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C57FF4C" w:rsidP="3C57FF4C" w:rsidRDefault="3C57FF4C" w14:paraId="31CCB9B8" w14:textId="3C23824D">
      <w:pPr>
        <w:jc w:val="center"/>
        <w:rPr>
          <w:rFonts w:ascii="Arial Nova" w:hAnsi="Arial Nova" w:eastAsia="Arial Nova" w:cs="Arial Nova"/>
          <w:b w:val="1"/>
          <w:bCs w:val="1"/>
          <w:sz w:val="40"/>
          <w:szCs w:val="40"/>
        </w:rPr>
      </w:pPr>
    </w:p>
    <w:p w:rsidR="3C57FF4C" w:rsidP="3C57FF4C" w:rsidRDefault="3C57FF4C" w14:paraId="17F100B2" w14:textId="0033794C">
      <w:pPr>
        <w:jc w:val="center"/>
        <w:rPr>
          <w:rFonts w:ascii="Arial Nova" w:hAnsi="Arial Nova" w:eastAsia="Arial Nova" w:cs="Arial Nova"/>
          <w:b w:val="1"/>
          <w:bCs w:val="1"/>
          <w:sz w:val="40"/>
          <w:szCs w:val="40"/>
        </w:rPr>
      </w:pPr>
    </w:p>
    <w:p w:rsidR="3C57FF4C" w:rsidP="3C57FF4C" w:rsidRDefault="3C57FF4C" w14:paraId="3A2939A5" w14:textId="5CE3F300">
      <w:pPr>
        <w:jc w:val="center"/>
        <w:rPr>
          <w:rFonts w:ascii="Arial Nova" w:hAnsi="Arial Nova" w:eastAsia="Arial Nova" w:cs="Arial Nova"/>
          <w:b w:val="1"/>
          <w:bCs w:val="1"/>
          <w:sz w:val="40"/>
          <w:szCs w:val="40"/>
        </w:rPr>
      </w:pPr>
    </w:p>
    <w:p w:rsidR="3C57FF4C" w:rsidP="3C57FF4C" w:rsidRDefault="3C57FF4C" w14:paraId="69E466C6" w14:textId="0855C487">
      <w:pPr>
        <w:jc w:val="center"/>
        <w:rPr>
          <w:rFonts w:ascii="Arial Nova" w:hAnsi="Arial Nova" w:eastAsia="Arial Nova" w:cs="Arial Nova"/>
          <w:b w:val="1"/>
          <w:bCs w:val="1"/>
          <w:sz w:val="40"/>
          <w:szCs w:val="40"/>
        </w:rPr>
      </w:pPr>
    </w:p>
    <w:p w:rsidR="3C57FF4C" w:rsidP="3C57FF4C" w:rsidRDefault="3C57FF4C" w14:paraId="69DDBE7E" w14:textId="51462D91">
      <w:pPr>
        <w:jc w:val="center"/>
        <w:rPr>
          <w:rFonts w:ascii="Arial Nova" w:hAnsi="Arial Nova" w:eastAsia="Arial Nova" w:cs="Arial Nova"/>
          <w:b w:val="1"/>
          <w:bCs w:val="1"/>
          <w:sz w:val="40"/>
          <w:szCs w:val="40"/>
        </w:rPr>
      </w:pPr>
    </w:p>
    <w:p w:rsidR="3C57FF4C" w:rsidP="3C57FF4C" w:rsidRDefault="3C57FF4C" w14:paraId="3109F770" w14:textId="1B9C65B3">
      <w:pPr>
        <w:jc w:val="center"/>
        <w:rPr>
          <w:rFonts w:ascii="Arial Nova" w:hAnsi="Arial Nova" w:eastAsia="Arial Nova" w:cs="Arial Nova"/>
          <w:b w:val="1"/>
          <w:bCs w:val="1"/>
          <w:noProof w:val="0"/>
          <w:sz w:val="40"/>
          <w:szCs w:val="40"/>
          <w:lang w:val="en-GB"/>
        </w:rPr>
      </w:pPr>
    </w:p>
    <w:p w:rsidR="654A18FE" w:rsidP="3C57FF4C" w:rsidRDefault="654A18FE" w14:paraId="4A7BE30A" w14:textId="6ACCE227">
      <w:pPr>
        <w:jc w:val="center"/>
        <w:rPr>
          <w:rFonts w:ascii="Arial Nova" w:hAnsi="Arial Nova" w:eastAsia="Arial Nova" w:cs="Arial Nova"/>
          <w:b w:val="1"/>
          <w:bCs w:val="1"/>
          <w:noProof w:val="0"/>
          <w:sz w:val="40"/>
          <w:szCs w:val="40"/>
          <w:lang w:val="en-GB"/>
        </w:rPr>
      </w:pPr>
      <w:bookmarkStart w:name="_GoBack" w:id="0"/>
      <w:bookmarkEnd w:id="0"/>
      <w:r w:rsidRPr="3C57FF4C" w:rsidR="654A18FE">
        <w:rPr>
          <w:rFonts w:ascii="Arial Nova" w:hAnsi="Arial Nova" w:eastAsia="Arial Nova" w:cs="Arial Nova"/>
          <w:b w:val="1"/>
          <w:bCs w:val="1"/>
          <w:noProof w:val="0"/>
          <w:sz w:val="40"/>
          <w:szCs w:val="40"/>
          <w:lang w:val="en-GB"/>
        </w:rPr>
        <w:t>The Community Around Us</w:t>
      </w:r>
    </w:p>
    <w:p w:rsidR="3C57FF4C" w:rsidP="3C57FF4C" w:rsidRDefault="3C57FF4C" w14:paraId="606ADDD9" w14:textId="5CE420C5">
      <w:pPr>
        <w:pStyle w:val="Normal"/>
        <w:jc w:val="center"/>
        <w:rPr>
          <w:rFonts w:ascii="Arial Nova" w:hAnsi="Arial Nova" w:eastAsia="Arial Nova" w:cs="Arial Nova"/>
          <w:b w:val="1"/>
          <w:bCs w:val="1"/>
          <w:noProof w:val="0"/>
          <w:sz w:val="40"/>
          <w:szCs w:val="40"/>
          <w:lang w:val="en-GB"/>
        </w:rPr>
      </w:pPr>
    </w:p>
    <w:p w:rsidR="3C57FF4C" w:rsidP="3C57FF4C" w:rsidRDefault="3C57FF4C" w14:paraId="7CBB9ECA" w14:textId="3668268D">
      <w:pPr>
        <w:pStyle w:val="Normal"/>
        <w:jc w:val="center"/>
        <w:rPr>
          <w:rFonts w:ascii="Arial Nova" w:hAnsi="Arial Nova" w:eastAsia="Arial Nova" w:cs="Arial Nova"/>
          <w:b w:val="1"/>
          <w:bCs w:val="1"/>
          <w:noProof w:val="0"/>
          <w:sz w:val="40"/>
          <w:szCs w:val="40"/>
          <w:lang w:val="en-GB"/>
        </w:rPr>
      </w:pPr>
    </w:p>
    <w:p w:rsidR="3C57FF4C" w:rsidP="3C57FF4C" w:rsidRDefault="3C57FF4C" w14:paraId="3D03FB00" w14:textId="15A72DDC">
      <w:pPr>
        <w:pStyle w:val="Normal"/>
        <w:jc w:val="center"/>
        <w:rPr>
          <w:rFonts w:ascii="Arial Nova" w:hAnsi="Arial Nova" w:eastAsia="Arial Nova" w:cs="Arial Nova"/>
          <w:b w:val="1"/>
          <w:bCs w:val="1"/>
          <w:noProof w:val="0"/>
          <w:sz w:val="40"/>
          <w:szCs w:val="40"/>
          <w:lang w:val="en-GB"/>
        </w:rPr>
      </w:pPr>
    </w:p>
    <w:p w:rsidR="3C57FF4C" w:rsidP="3C57FF4C" w:rsidRDefault="3C57FF4C" w14:paraId="1AC72B3D" w14:textId="052A2A13">
      <w:pPr>
        <w:pStyle w:val="Normal"/>
        <w:jc w:val="center"/>
        <w:rPr>
          <w:rFonts w:ascii="Arial Nova" w:hAnsi="Arial Nova" w:eastAsia="Arial Nova" w:cs="Arial Nova"/>
          <w:b w:val="1"/>
          <w:bCs w:val="1"/>
          <w:noProof w:val="0"/>
          <w:sz w:val="40"/>
          <w:szCs w:val="40"/>
          <w:lang w:val="en-GB"/>
        </w:rPr>
      </w:pPr>
    </w:p>
    <w:p w:rsidR="3C57FF4C" w:rsidP="3C57FF4C" w:rsidRDefault="3C57FF4C" w14:paraId="6ACE9A50" w14:textId="6A2BC180">
      <w:pPr>
        <w:pStyle w:val="Normal"/>
        <w:jc w:val="center"/>
        <w:rPr>
          <w:rFonts w:ascii="Arial Nova" w:hAnsi="Arial Nova" w:eastAsia="Arial Nova" w:cs="Arial Nova"/>
          <w:b w:val="1"/>
          <w:bCs w:val="1"/>
          <w:noProof w:val="0"/>
          <w:sz w:val="40"/>
          <w:szCs w:val="40"/>
          <w:lang w:val="en-GB"/>
        </w:rPr>
      </w:pPr>
    </w:p>
    <w:p w:rsidR="3C57FF4C" w:rsidP="3C57FF4C" w:rsidRDefault="3C57FF4C" w14:paraId="7E1DF99C" w14:textId="7CB14593">
      <w:pPr>
        <w:pStyle w:val="Normal"/>
        <w:jc w:val="right"/>
        <w:rPr>
          <w:rFonts w:ascii="Arial Nova" w:hAnsi="Arial Nova" w:eastAsia="Arial Nova" w:cs="Arial Nova"/>
          <w:b w:val="0"/>
          <w:bCs w:val="0"/>
          <w:noProof w:val="0"/>
          <w:sz w:val="32"/>
          <w:szCs w:val="32"/>
          <w:lang w:val="en-GB"/>
        </w:rPr>
      </w:pPr>
    </w:p>
    <w:p w:rsidR="3C57FF4C" w:rsidP="3C57FF4C" w:rsidRDefault="3C57FF4C" w14:paraId="36EEA3E1" w14:textId="3AEAB1A2">
      <w:pPr>
        <w:pStyle w:val="Normal"/>
        <w:jc w:val="right"/>
        <w:rPr>
          <w:rFonts w:ascii="Arial Nova" w:hAnsi="Arial Nova" w:eastAsia="Arial Nova" w:cs="Arial Nova"/>
          <w:b w:val="0"/>
          <w:bCs w:val="0"/>
          <w:noProof w:val="0"/>
          <w:sz w:val="32"/>
          <w:szCs w:val="32"/>
          <w:lang w:val="en-GB"/>
        </w:rPr>
      </w:pPr>
    </w:p>
    <w:p w:rsidR="3C57FF4C" w:rsidP="3C57FF4C" w:rsidRDefault="3C57FF4C" w14:paraId="5E4A7D77" w14:textId="264E1799">
      <w:pPr>
        <w:pStyle w:val="Normal"/>
        <w:jc w:val="right"/>
        <w:rPr>
          <w:rFonts w:ascii="Arial Nova" w:hAnsi="Arial Nova" w:eastAsia="Arial Nova" w:cs="Arial Nova"/>
          <w:b w:val="0"/>
          <w:bCs w:val="0"/>
          <w:noProof w:val="0"/>
          <w:sz w:val="32"/>
          <w:szCs w:val="32"/>
          <w:lang w:val="en-GB"/>
        </w:rPr>
      </w:pPr>
    </w:p>
    <w:p w:rsidR="7972D4F1" w:rsidP="3C57FF4C" w:rsidRDefault="7972D4F1" w14:paraId="2590F778" w14:textId="25ECED62">
      <w:pPr>
        <w:pStyle w:val="Normal"/>
        <w:jc w:val="right"/>
        <w:rPr>
          <w:rFonts w:ascii="Arial Nova" w:hAnsi="Arial Nova" w:eastAsia="Arial Nova" w:cs="Arial Nova"/>
          <w:b w:val="0"/>
          <w:bCs w:val="0"/>
          <w:noProof w:val="0"/>
          <w:sz w:val="24"/>
          <w:szCs w:val="24"/>
          <w:lang w:val="en-GB"/>
        </w:rPr>
      </w:pPr>
      <w:r w:rsidRPr="3C57FF4C" w:rsidR="7972D4F1">
        <w:rPr>
          <w:rFonts w:ascii="Arial Nova" w:hAnsi="Arial Nova" w:eastAsia="Arial Nova" w:cs="Arial Nova"/>
          <w:b w:val="0"/>
          <w:bCs w:val="0"/>
          <w:noProof w:val="0"/>
          <w:sz w:val="24"/>
          <w:szCs w:val="24"/>
          <w:lang w:val="en-GB"/>
        </w:rPr>
        <w:t>BMHP6022 Community Care and Development</w:t>
      </w:r>
    </w:p>
    <w:p w:rsidR="7972D4F1" w:rsidP="3C57FF4C" w:rsidRDefault="7972D4F1" w14:paraId="2D3F375A" w14:textId="5F183667">
      <w:pPr>
        <w:pStyle w:val="Normal"/>
        <w:jc w:val="right"/>
        <w:rPr>
          <w:rFonts w:ascii="Arial Nova" w:hAnsi="Arial Nova" w:eastAsia="Arial Nova" w:cs="Arial Nova"/>
          <w:b w:val="0"/>
          <w:bCs w:val="0"/>
          <w:noProof w:val="0"/>
          <w:sz w:val="24"/>
          <w:szCs w:val="24"/>
          <w:lang w:val="en-GB"/>
        </w:rPr>
      </w:pPr>
      <w:r w:rsidRPr="3C57FF4C" w:rsidR="7972D4F1">
        <w:rPr>
          <w:rFonts w:ascii="Arial Nova" w:hAnsi="Arial Nova" w:eastAsia="Arial Nova" w:cs="Arial Nova"/>
          <w:b w:val="0"/>
          <w:bCs w:val="0"/>
          <w:noProof w:val="0"/>
          <w:sz w:val="24"/>
          <w:szCs w:val="24"/>
          <w:lang w:val="en-GB"/>
        </w:rPr>
        <w:t>Student: Madalina Neagu (2017359)</w:t>
      </w:r>
    </w:p>
    <w:p w:rsidR="7972D4F1" w:rsidP="3C57FF4C" w:rsidRDefault="7972D4F1" w14:paraId="4D44098E" w14:textId="000F9587">
      <w:pPr>
        <w:pStyle w:val="Normal"/>
        <w:jc w:val="right"/>
        <w:rPr>
          <w:rFonts w:ascii="Arial Nova" w:hAnsi="Arial Nova" w:eastAsia="Arial Nova" w:cs="Arial Nova"/>
          <w:b w:val="0"/>
          <w:bCs w:val="0"/>
          <w:noProof w:val="0"/>
          <w:sz w:val="24"/>
          <w:szCs w:val="24"/>
          <w:lang w:val="en-GB"/>
        </w:rPr>
      </w:pPr>
      <w:r w:rsidRPr="3C57FF4C" w:rsidR="7972D4F1">
        <w:rPr>
          <w:rFonts w:ascii="Arial Nova" w:hAnsi="Arial Nova" w:eastAsia="Arial Nova" w:cs="Arial Nova"/>
          <w:b w:val="0"/>
          <w:bCs w:val="0"/>
          <w:noProof w:val="0"/>
          <w:sz w:val="24"/>
          <w:szCs w:val="24"/>
          <w:lang w:val="en-GB"/>
        </w:rPr>
        <w:t>Lecturer: Navdeep Randhawa</w:t>
      </w:r>
    </w:p>
    <w:p w:rsidR="3C57FF4C" w:rsidP="3C57FF4C" w:rsidRDefault="3C57FF4C" w14:paraId="027687DB" w14:textId="597D71C0">
      <w:pPr>
        <w:pStyle w:val="Normal"/>
        <w:jc w:val="right"/>
        <w:rPr>
          <w:rFonts w:ascii="Arial Nova" w:hAnsi="Arial Nova" w:eastAsia="Arial Nova" w:cs="Arial Nova"/>
          <w:b w:val="0"/>
          <w:bCs w:val="0"/>
          <w:noProof w:val="0"/>
          <w:sz w:val="24"/>
          <w:szCs w:val="24"/>
          <w:lang w:val="en-GB"/>
        </w:rPr>
      </w:pPr>
    </w:p>
    <w:p w:rsidR="3C57FF4C" w:rsidP="3C57FF4C" w:rsidRDefault="3C57FF4C" w14:paraId="30DF134E" w14:textId="3478E722">
      <w:pPr>
        <w:pStyle w:val="Normal"/>
        <w:jc w:val="right"/>
        <w:rPr>
          <w:rFonts w:ascii="Arial Nova" w:hAnsi="Arial Nova" w:eastAsia="Arial Nova" w:cs="Arial Nova"/>
          <w:b w:val="0"/>
          <w:bCs w:val="0"/>
          <w:noProof w:val="0"/>
          <w:sz w:val="24"/>
          <w:szCs w:val="24"/>
          <w:lang w:val="en-GB"/>
        </w:rPr>
      </w:pPr>
    </w:p>
    <w:p w:rsidR="3C57FF4C" w:rsidP="3C57FF4C" w:rsidRDefault="3C57FF4C" w14:paraId="12436DC3" w14:textId="68492284">
      <w:pPr>
        <w:pStyle w:val="Normal"/>
        <w:jc w:val="right"/>
        <w:rPr>
          <w:rFonts w:ascii="Arial Nova" w:hAnsi="Arial Nova" w:eastAsia="Arial Nova" w:cs="Arial Nova"/>
          <w:b w:val="0"/>
          <w:bCs w:val="0"/>
          <w:noProof w:val="0"/>
          <w:sz w:val="24"/>
          <w:szCs w:val="24"/>
          <w:lang w:val="en-GB"/>
        </w:rPr>
      </w:pPr>
    </w:p>
    <w:p w:rsidR="3C57FF4C" w:rsidP="3C57FF4C" w:rsidRDefault="3C57FF4C" w14:paraId="79E413BC" w14:textId="449EEBA4">
      <w:pPr>
        <w:pStyle w:val="Normal"/>
        <w:jc w:val="right"/>
        <w:rPr>
          <w:rFonts w:ascii="Arial Nova" w:hAnsi="Arial Nova" w:eastAsia="Arial Nova" w:cs="Arial Nova"/>
          <w:b w:val="0"/>
          <w:bCs w:val="0"/>
          <w:noProof w:val="0"/>
          <w:sz w:val="24"/>
          <w:szCs w:val="24"/>
          <w:lang w:val="en-GB"/>
        </w:rPr>
      </w:pPr>
    </w:p>
    <w:p w:rsidR="3C57FF4C" w:rsidP="3C57FF4C" w:rsidRDefault="3C57FF4C" w14:paraId="01C650CA" w14:textId="19C66AFD">
      <w:pPr>
        <w:pStyle w:val="Normal"/>
        <w:jc w:val="right"/>
        <w:rPr>
          <w:rFonts w:ascii="Arial Nova" w:hAnsi="Arial Nova" w:eastAsia="Arial Nova" w:cs="Arial Nova"/>
          <w:b w:val="0"/>
          <w:bCs w:val="0"/>
          <w:noProof w:val="0"/>
          <w:sz w:val="24"/>
          <w:szCs w:val="24"/>
          <w:lang w:val="en-GB"/>
        </w:rPr>
      </w:pPr>
    </w:p>
    <w:p w:rsidR="3C57FF4C" w:rsidP="3C57FF4C" w:rsidRDefault="3C57FF4C" w14:paraId="61803FFE" w14:textId="50869709">
      <w:pPr>
        <w:pStyle w:val="Normal"/>
        <w:jc w:val="right"/>
        <w:rPr>
          <w:rFonts w:ascii="Arial Nova" w:hAnsi="Arial Nova" w:eastAsia="Arial Nova" w:cs="Arial Nova"/>
          <w:b w:val="0"/>
          <w:bCs w:val="0"/>
          <w:noProof w:val="0"/>
          <w:sz w:val="24"/>
          <w:szCs w:val="24"/>
          <w:lang w:val="en-GB"/>
        </w:rPr>
      </w:pPr>
    </w:p>
    <w:p w:rsidR="3C57FF4C" w:rsidP="3C57FF4C" w:rsidRDefault="3C57FF4C" w14:paraId="30CEB274" w14:textId="776B9A61">
      <w:pPr>
        <w:pStyle w:val="Normal"/>
        <w:jc w:val="right"/>
        <w:rPr>
          <w:rFonts w:ascii="Arial Nova" w:hAnsi="Arial Nova" w:eastAsia="Arial Nova" w:cs="Arial Nova"/>
          <w:b w:val="0"/>
          <w:bCs w:val="0"/>
          <w:noProof w:val="0"/>
          <w:sz w:val="24"/>
          <w:szCs w:val="24"/>
          <w:lang w:val="en-GB"/>
        </w:rPr>
      </w:pPr>
    </w:p>
    <w:p w:rsidR="2FAC4138" w:rsidP="3C57FF4C" w:rsidRDefault="2FAC4138" w14:paraId="7BFBF141" w14:textId="67FD63BF">
      <w:pPr>
        <w:pStyle w:val="Normal"/>
        <w:jc w:val="left"/>
        <w:rPr>
          <w:rFonts w:ascii="Arial Nova" w:hAnsi="Arial Nova" w:eastAsia="Arial Nova" w:cs="Arial Nova"/>
          <w:b w:val="1"/>
          <w:bCs w:val="1"/>
          <w:noProof w:val="0"/>
          <w:sz w:val="24"/>
          <w:szCs w:val="24"/>
          <w:lang w:val="en-GB"/>
        </w:rPr>
      </w:pPr>
      <w:r w:rsidRPr="3C57FF4C" w:rsidR="2FAC4138">
        <w:rPr>
          <w:rFonts w:ascii="Arial Nova" w:hAnsi="Arial Nova" w:eastAsia="Arial Nova" w:cs="Arial Nova"/>
          <w:b w:val="1"/>
          <w:bCs w:val="1"/>
          <w:noProof w:val="0"/>
          <w:sz w:val="24"/>
          <w:szCs w:val="24"/>
          <w:lang w:val="en-GB"/>
        </w:rPr>
        <w:t>Contents</w:t>
      </w:r>
    </w:p>
    <w:p w:rsidR="3C57FF4C" w:rsidP="3C57FF4C" w:rsidRDefault="3C57FF4C" w14:paraId="418FA513" w14:textId="28B930B5">
      <w:pPr>
        <w:pStyle w:val="Normal"/>
        <w:jc w:val="left"/>
        <w:rPr>
          <w:rFonts w:ascii="Arial Nova" w:hAnsi="Arial Nova" w:eastAsia="Arial Nova" w:cs="Arial Nova"/>
          <w:b w:val="0"/>
          <w:bCs w:val="0"/>
          <w:noProof w:val="0"/>
          <w:sz w:val="24"/>
          <w:szCs w:val="24"/>
          <w:lang w:val="en-GB"/>
        </w:rPr>
      </w:pPr>
    </w:p>
    <w:p w:rsidR="2FAC4138" w:rsidP="3C57FF4C" w:rsidRDefault="2FAC4138" w14:paraId="69BA91C4" w14:textId="577560EE">
      <w:pPr>
        <w:pStyle w:val="Normal"/>
        <w:jc w:val="left"/>
        <w:rPr>
          <w:rFonts w:ascii="Arial Nova" w:hAnsi="Arial Nova" w:eastAsia="Arial Nova" w:cs="Arial Nova"/>
          <w:b w:val="0"/>
          <w:bCs w:val="0"/>
          <w:noProof w:val="0"/>
          <w:sz w:val="24"/>
          <w:szCs w:val="24"/>
          <w:lang w:val="en-GB"/>
        </w:rPr>
      </w:pPr>
      <w:r w:rsidRPr="3C57FF4C" w:rsidR="2FAC4138">
        <w:rPr>
          <w:rFonts w:ascii="Arial Nova" w:hAnsi="Arial Nova" w:eastAsia="Arial Nova" w:cs="Arial Nova"/>
          <w:b w:val="0"/>
          <w:bCs w:val="0"/>
          <w:noProof w:val="0"/>
          <w:sz w:val="24"/>
          <w:szCs w:val="24"/>
          <w:lang w:val="en-GB"/>
        </w:rPr>
        <w:t>Section                                                                                                                Page</w:t>
      </w:r>
    </w:p>
    <w:p w:rsidR="3C57FF4C" w:rsidP="3C57FF4C" w:rsidRDefault="3C57FF4C" w14:paraId="3EFA3898" w14:textId="57BD2AD5">
      <w:pPr>
        <w:pStyle w:val="Normal"/>
        <w:jc w:val="left"/>
        <w:rPr>
          <w:rFonts w:ascii="Arial Nova" w:hAnsi="Arial Nova" w:eastAsia="Arial Nova" w:cs="Arial Nova"/>
          <w:b w:val="0"/>
          <w:bCs w:val="0"/>
          <w:noProof w:val="0"/>
          <w:sz w:val="24"/>
          <w:szCs w:val="24"/>
          <w:lang w:val="en-GB"/>
        </w:rPr>
      </w:pPr>
    </w:p>
    <w:p w:rsidR="2FAC4138" w:rsidP="3C57FF4C" w:rsidRDefault="2FAC4138" w14:paraId="17D499D2" w14:textId="4A6101BC">
      <w:pPr>
        <w:pStyle w:val="Normal"/>
        <w:jc w:val="left"/>
        <w:rPr>
          <w:rFonts w:ascii="Arial Nova" w:hAnsi="Arial Nova" w:eastAsia="Arial Nova" w:cs="Arial Nova"/>
          <w:b w:val="0"/>
          <w:bCs w:val="0"/>
          <w:noProof w:val="0"/>
          <w:sz w:val="24"/>
          <w:szCs w:val="24"/>
          <w:lang w:val="en-GB"/>
        </w:rPr>
      </w:pPr>
      <w:r w:rsidRPr="3C57FF4C" w:rsidR="2FAC4138">
        <w:rPr>
          <w:rFonts w:ascii="Arial Nova" w:hAnsi="Arial Nova" w:eastAsia="Arial Nova" w:cs="Arial Nova"/>
          <w:b w:val="0"/>
          <w:bCs w:val="0"/>
          <w:noProof w:val="0"/>
          <w:sz w:val="24"/>
          <w:szCs w:val="24"/>
          <w:lang w:val="en-GB"/>
        </w:rPr>
        <w:t>Title...................................................................................................................................1</w:t>
      </w:r>
    </w:p>
    <w:p w:rsidR="2FAC4138" w:rsidP="3C57FF4C" w:rsidRDefault="2FAC4138" w14:paraId="5D8915D7" w14:textId="784040A9">
      <w:pPr>
        <w:pStyle w:val="Normal"/>
        <w:jc w:val="left"/>
        <w:rPr>
          <w:rFonts w:ascii="Arial Nova" w:hAnsi="Arial Nova" w:eastAsia="Arial Nova" w:cs="Arial Nova"/>
          <w:b w:val="0"/>
          <w:bCs w:val="0"/>
          <w:noProof w:val="0"/>
          <w:sz w:val="24"/>
          <w:szCs w:val="24"/>
          <w:lang w:val="en-GB"/>
        </w:rPr>
      </w:pPr>
      <w:r w:rsidRPr="3C57FF4C" w:rsidR="2FAC4138">
        <w:rPr>
          <w:rFonts w:ascii="Arial Nova" w:hAnsi="Arial Nova" w:eastAsia="Arial Nova" w:cs="Arial Nova"/>
          <w:b w:val="0"/>
          <w:bCs w:val="0"/>
          <w:noProof w:val="0"/>
          <w:sz w:val="24"/>
          <w:szCs w:val="24"/>
          <w:lang w:val="en-GB"/>
        </w:rPr>
        <w:t>Contents...........................................................................................................................2</w:t>
      </w:r>
    </w:p>
    <w:p w:rsidR="2FAC4138" w:rsidP="3C57FF4C" w:rsidRDefault="2FAC4138" w14:paraId="42264A57" w14:textId="088545A5">
      <w:pPr>
        <w:pStyle w:val="Normal"/>
        <w:jc w:val="left"/>
        <w:rPr>
          <w:rFonts w:ascii="Arial Nova" w:hAnsi="Arial Nova" w:eastAsia="Arial Nova" w:cs="Arial Nova"/>
          <w:b w:val="0"/>
          <w:bCs w:val="0"/>
          <w:noProof w:val="0"/>
          <w:sz w:val="24"/>
          <w:szCs w:val="24"/>
          <w:lang w:val="en-GB"/>
        </w:rPr>
      </w:pPr>
      <w:r w:rsidRPr="3C57FF4C" w:rsidR="2FAC4138">
        <w:rPr>
          <w:rFonts w:ascii="Arial Nova" w:hAnsi="Arial Nova" w:eastAsia="Arial Nova" w:cs="Arial Nova"/>
          <w:b w:val="0"/>
          <w:bCs w:val="0"/>
          <w:noProof w:val="0"/>
          <w:sz w:val="24"/>
          <w:szCs w:val="24"/>
          <w:lang w:val="en-GB"/>
        </w:rPr>
        <w:t>Introduction......................................................................................................................3</w:t>
      </w:r>
    </w:p>
    <w:p w:rsidR="7E67297C" w:rsidP="3C57FF4C" w:rsidRDefault="7E67297C" w14:paraId="6A55D611" w14:textId="5FEE349B">
      <w:pPr>
        <w:pStyle w:val="Normal"/>
        <w:jc w:val="left"/>
        <w:rPr>
          <w:rFonts w:ascii="Arial Nova" w:hAnsi="Arial Nova" w:eastAsia="Arial Nova" w:cs="Arial Nova"/>
          <w:b w:val="0"/>
          <w:bCs w:val="0"/>
          <w:noProof w:val="0"/>
          <w:sz w:val="24"/>
          <w:szCs w:val="24"/>
          <w:lang w:val="en-GB"/>
        </w:rPr>
      </w:pPr>
      <w:r w:rsidRPr="3C57FF4C" w:rsidR="7E67297C">
        <w:rPr>
          <w:rFonts w:ascii="Arial Nova" w:hAnsi="Arial Nova" w:eastAsia="Arial Nova" w:cs="Arial Nova"/>
          <w:b w:val="0"/>
          <w:bCs w:val="0"/>
          <w:noProof w:val="0"/>
          <w:sz w:val="24"/>
          <w:szCs w:val="24"/>
          <w:lang w:val="en-GB"/>
        </w:rPr>
        <w:t>Analysis of The Pheonix on the Hill..............................................................................4</w:t>
      </w:r>
    </w:p>
    <w:p w:rsidR="28CA9F4A" w:rsidP="3C57FF4C" w:rsidRDefault="28CA9F4A" w14:paraId="4766335C" w14:textId="711FFAC4">
      <w:pPr>
        <w:pStyle w:val="Normal"/>
        <w:jc w:val="left"/>
        <w:rPr>
          <w:rFonts w:ascii="Arial Nova" w:hAnsi="Arial Nova" w:eastAsia="Arial Nova" w:cs="Arial Nova"/>
          <w:b w:val="0"/>
          <w:bCs w:val="0"/>
          <w:noProof w:val="0"/>
          <w:sz w:val="24"/>
          <w:szCs w:val="24"/>
          <w:lang w:val="en-GB"/>
        </w:rPr>
      </w:pPr>
      <w:r w:rsidRPr="3C57FF4C" w:rsidR="28CA9F4A">
        <w:rPr>
          <w:rFonts w:ascii="Arial Nova" w:hAnsi="Arial Nova" w:eastAsia="Arial Nova" w:cs="Arial Nova"/>
          <w:b w:val="0"/>
          <w:bCs w:val="0"/>
          <w:noProof w:val="0"/>
          <w:sz w:val="24"/>
          <w:szCs w:val="24"/>
          <w:lang w:val="en-GB"/>
        </w:rPr>
        <w:t>Approaches to Fostering Growth and Development in The Pheonix on th</w:t>
      </w:r>
      <w:r w:rsidRPr="3C57FF4C" w:rsidR="4C56EB45">
        <w:rPr>
          <w:rFonts w:ascii="Arial Nova" w:hAnsi="Arial Nova" w:eastAsia="Arial Nova" w:cs="Arial Nova"/>
          <w:b w:val="0"/>
          <w:bCs w:val="0"/>
          <w:noProof w:val="0"/>
          <w:sz w:val="24"/>
          <w:szCs w:val="24"/>
          <w:lang w:val="en-GB"/>
        </w:rPr>
        <w:t>e Hill Community.......................................................................................................................6</w:t>
      </w:r>
    </w:p>
    <w:p w:rsidR="4C56EB45" w:rsidP="3C57FF4C" w:rsidRDefault="4C56EB45" w14:paraId="63D6B75F" w14:textId="052541AE">
      <w:pPr>
        <w:pStyle w:val="Normal"/>
        <w:jc w:val="left"/>
        <w:rPr>
          <w:rFonts w:ascii="Arial Nova" w:hAnsi="Arial Nova" w:eastAsia="Arial Nova" w:cs="Arial Nova"/>
          <w:b w:val="0"/>
          <w:bCs w:val="0"/>
          <w:noProof w:val="0"/>
          <w:sz w:val="24"/>
          <w:szCs w:val="24"/>
          <w:lang w:val="en-GB"/>
        </w:rPr>
      </w:pPr>
      <w:r w:rsidRPr="3C57FF4C" w:rsidR="4C56EB45">
        <w:rPr>
          <w:rFonts w:ascii="Arial Nova" w:hAnsi="Arial Nova" w:eastAsia="Arial Nova" w:cs="Arial Nova"/>
          <w:b w:val="0"/>
          <w:bCs w:val="0"/>
          <w:noProof w:val="0"/>
          <w:sz w:val="24"/>
          <w:szCs w:val="24"/>
          <w:lang w:val="en-GB"/>
        </w:rPr>
        <w:t>Challenges and Limitations............................................................................................</w:t>
      </w:r>
      <w:r w:rsidRPr="3C57FF4C" w:rsidR="102DD200">
        <w:rPr>
          <w:rFonts w:ascii="Arial Nova" w:hAnsi="Arial Nova" w:eastAsia="Arial Nova" w:cs="Arial Nova"/>
          <w:b w:val="0"/>
          <w:bCs w:val="0"/>
          <w:noProof w:val="0"/>
          <w:sz w:val="24"/>
          <w:szCs w:val="24"/>
          <w:lang w:val="en-GB"/>
        </w:rPr>
        <w:t>8</w:t>
      </w:r>
    </w:p>
    <w:p w:rsidR="4C56EB45" w:rsidP="3C57FF4C" w:rsidRDefault="4C56EB45" w14:paraId="4A1FB4DD" w14:textId="47E69D09">
      <w:pPr>
        <w:pStyle w:val="Normal"/>
        <w:jc w:val="left"/>
        <w:rPr>
          <w:rFonts w:ascii="Arial Nova" w:hAnsi="Arial Nova" w:eastAsia="Arial Nova" w:cs="Arial Nova"/>
          <w:b w:val="0"/>
          <w:bCs w:val="0"/>
          <w:noProof w:val="0"/>
          <w:sz w:val="24"/>
          <w:szCs w:val="24"/>
          <w:lang w:val="en-GB"/>
        </w:rPr>
      </w:pPr>
      <w:r w:rsidRPr="3C57FF4C" w:rsidR="4C56EB45">
        <w:rPr>
          <w:rFonts w:ascii="Arial Nova" w:hAnsi="Arial Nova" w:eastAsia="Arial Nova" w:cs="Arial Nova"/>
          <w:b w:val="0"/>
          <w:bCs w:val="0"/>
          <w:noProof w:val="0"/>
          <w:sz w:val="24"/>
          <w:szCs w:val="24"/>
          <w:lang w:val="en-GB"/>
        </w:rPr>
        <w:t>Conclusion........................................................................................................................</w:t>
      </w:r>
      <w:r w:rsidRPr="3C57FF4C" w:rsidR="61506334">
        <w:rPr>
          <w:rFonts w:ascii="Arial Nova" w:hAnsi="Arial Nova" w:eastAsia="Arial Nova" w:cs="Arial Nova"/>
          <w:b w:val="0"/>
          <w:bCs w:val="0"/>
          <w:noProof w:val="0"/>
          <w:sz w:val="24"/>
          <w:szCs w:val="24"/>
          <w:lang w:val="en-GB"/>
        </w:rPr>
        <w:t>9</w:t>
      </w:r>
    </w:p>
    <w:p w:rsidR="4C56EB45" w:rsidP="3C57FF4C" w:rsidRDefault="4C56EB45" w14:paraId="0001A211" w14:textId="6D9550CB">
      <w:pPr>
        <w:pStyle w:val="Normal"/>
        <w:jc w:val="left"/>
        <w:rPr>
          <w:rFonts w:ascii="Arial Nova" w:hAnsi="Arial Nova" w:eastAsia="Arial Nova" w:cs="Arial Nova"/>
          <w:b w:val="0"/>
          <w:bCs w:val="0"/>
          <w:noProof w:val="0"/>
          <w:sz w:val="24"/>
          <w:szCs w:val="24"/>
          <w:lang w:val="en-GB"/>
        </w:rPr>
      </w:pPr>
      <w:r w:rsidRPr="3C57FF4C" w:rsidR="4C56EB45">
        <w:rPr>
          <w:rFonts w:ascii="Arial Nova" w:hAnsi="Arial Nova" w:eastAsia="Arial Nova" w:cs="Arial Nova"/>
          <w:b w:val="0"/>
          <w:bCs w:val="0"/>
          <w:noProof w:val="0"/>
          <w:sz w:val="24"/>
          <w:szCs w:val="24"/>
          <w:lang w:val="en-GB"/>
        </w:rPr>
        <w:t>References.......................................................................................................................</w:t>
      </w:r>
      <w:r w:rsidRPr="3C57FF4C" w:rsidR="03B3BF12">
        <w:rPr>
          <w:rFonts w:ascii="Arial Nova" w:hAnsi="Arial Nova" w:eastAsia="Arial Nova" w:cs="Arial Nova"/>
          <w:b w:val="0"/>
          <w:bCs w:val="0"/>
          <w:noProof w:val="0"/>
          <w:sz w:val="24"/>
          <w:szCs w:val="24"/>
          <w:lang w:val="en-GB"/>
        </w:rPr>
        <w:t>11</w:t>
      </w:r>
    </w:p>
    <w:p w:rsidR="3C57FF4C" w:rsidP="3C57FF4C" w:rsidRDefault="3C57FF4C" w14:paraId="2C92BD5F" w14:textId="41A66047">
      <w:pPr>
        <w:pStyle w:val="Normal"/>
        <w:jc w:val="left"/>
        <w:rPr>
          <w:rFonts w:ascii="Arial Nova" w:hAnsi="Arial Nova" w:eastAsia="Arial Nova" w:cs="Arial Nova"/>
          <w:b w:val="0"/>
          <w:bCs w:val="0"/>
          <w:noProof w:val="0"/>
          <w:sz w:val="24"/>
          <w:szCs w:val="24"/>
          <w:lang w:val="en-GB"/>
        </w:rPr>
      </w:pPr>
    </w:p>
    <w:p w:rsidR="3C57FF4C" w:rsidP="3C57FF4C" w:rsidRDefault="3C57FF4C" w14:paraId="11078CF2" w14:textId="486722F4">
      <w:pPr>
        <w:pStyle w:val="Normal"/>
        <w:jc w:val="left"/>
        <w:rPr>
          <w:rFonts w:ascii="Arial Nova" w:hAnsi="Arial Nova" w:eastAsia="Arial Nova" w:cs="Arial Nova"/>
          <w:b w:val="0"/>
          <w:bCs w:val="0"/>
          <w:noProof w:val="0"/>
          <w:sz w:val="24"/>
          <w:szCs w:val="24"/>
          <w:lang w:val="en-GB"/>
        </w:rPr>
      </w:pPr>
    </w:p>
    <w:p w:rsidR="3C57FF4C" w:rsidP="3C57FF4C" w:rsidRDefault="3C57FF4C" w14:paraId="0A84185E" w14:textId="45D211B5">
      <w:pPr>
        <w:pStyle w:val="Normal"/>
        <w:jc w:val="left"/>
        <w:rPr>
          <w:rFonts w:ascii="Arial Nova" w:hAnsi="Arial Nova" w:eastAsia="Arial Nova" w:cs="Arial Nova"/>
          <w:b w:val="0"/>
          <w:bCs w:val="0"/>
          <w:noProof w:val="0"/>
          <w:sz w:val="24"/>
          <w:szCs w:val="24"/>
          <w:lang w:val="en-GB"/>
        </w:rPr>
      </w:pPr>
    </w:p>
    <w:p w:rsidR="3C57FF4C" w:rsidP="3C57FF4C" w:rsidRDefault="3C57FF4C" w14:paraId="7C8D6D4B" w14:textId="5EB37AB4">
      <w:pPr>
        <w:pStyle w:val="Normal"/>
        <w:jc w:val="left"/>
        <w:rPr>
          <w:rFonts w:ascii="Arial Nova" w:hAnsi="Arial Nova" w:eastAsia="Arial Nova" w:cs="Arial Nova"/>
          <w:b w:val="0"/>
          <w:bCs w:val="0"/>
          <w:noProof w:val="0"/>
          <w:sz w:val="24"/>
          <w:szCs w:val="24"/>
          <w:lang w:val="en-GB"/>
        </w:rPr>
      </w:pPr>
    </w:p>
    <w:p w:rsidR="3C57FF4C" w:rsidP="3C57FF4C" w:rsidRDefault="3C57FF4C" w14:paraId="2335A3CC" w14:textId="3AC491C9">
      <w:pPr>
        <w:pStyle w:val="Normal"/>
        <w:jc w:val="left"/>
        <w:rPr>
          <w:rFonts w:ascii="Arial Nova" w:hAnsi="Arial Nova" w:eastAsia="Arial Nova" w:cs="Arial Nova"/>
          <w:b w:val="0"/>
          <w:bCs w:val="0"/>
          <w:noProof w:val="0"/>
          <w:sz w:val="24"/>
          <w:szCs w:val="24"/>
          <w:lang w:val="en-GB"/>
        </w:rPr>
      </w:pPr>
    </w:p>
    <w:p w:rsidR="3C57FF4C" w:rsidP="3C57FF4C" w:rsidRDefault="3C57FF4C" w14:paraId="54AB22E6" w14:textId="43AAA0EE">
      <w:pPr>
        <w:pStyle w:val="Normal"/>
        <w:jc w:val="left"/>
        <w:rPr>
          <w:rFonts w:ascii="Arial Nova" w:hAnsi="Arial Nova" w:eastAsia="Arial Nova" w:cs="Arial Nova"/>
          <w:b w:val="0"/>
          <w:bCs w:val="0"/>
          <w:noProof w:val="0"/>
          <w:sz w:val="24"/>
          <w:szCs w:val="24"/>
          <w:lang w:val="en-GB"/>
        </w:rPr>
      </w:pPr>
    </w:p>
    <w:p w:rsidR="3C57FF4C" w:rsidP="3C57FF4C" w:rsidRDefault="3C57FF4C" w14:paraId="7002B9CE" w14:textId="0A4EFDF3">
      <w:pPr>
        <w:pStyle w:val="Normal"/>
        <w:jc w:val="left"/>
        <w:rPr>
          <w:rFonts w:ascii="Arial Nova" w:hAnsi="Arial Nova" w:eastAsia="Arial Nova" w:cs="Arial Nova"/>
          <w:b w:val="0"/>
          <w:bCs w:val="0"/>
          <w:noProof w:val="0"/>
          <w:sz w:val="24"/>
          <w:szCs w:val="24"/>
          <w:lang w:val="en-GB"/>
        </w:rPr>
      </w:pPr>
    </w:p>
    <w:p w:rsidR="3C57FF4C" w:rsidP="3C57FF4C" w:rsidRDefault="3C57FF4C" w14:paraId="3F06CE36" w14:textId="4FA48F38">
      <w:pPr>
        <w:pStyle w:val="Normal"/>
        <w:jc w:val="left"/>
        <w:rPr>
          <w:rFonts w:ascii="Arial Nova" w:hAnsi="Arial Nova" w:eastAsia="Arial Nova" w:cs="Arial Nova"/>
          <w:b w:val="0"/>
          <w:bCs w:val="0"/>
          <w:noProof w:val="0"/>
          <w:sz w:val="24"/>
          <w:szCs w:val="24"/>
          <w:lang w:val="en-GB"/>
        </w:rPr>
      </w:pPr>
    </w:p>
    <w:p w:rsidR="3C57FF4C" w:rsidP="3C57FF4C" w:rsidRDefault="3C57FF4C" w14:paraId="59B653EA" w14:textId="519D6D3C">
      <w:pPr>
        <w:pStyle w:val="Normal"/>
        <w:jc w:val="left"/>
        <w:rPr>
          <w:rFonts w:ascii="Arial Nova" w:hAnsi="Arial Nova" w:eastAsia="Arial Nova" w:cs="Arial Nova"/>
          <w:b w:val="0"/>
          <w:bCs w:val="0"/>
          <w:noProof w:val="0"/>
          <w:sz w:val="24"/>
          <w:szCs w:val="24"/>
          <w:lang w:val="en-GB"/>
        </w:rPr>
      </w:pPr>
    </w:p>
    <w:p w:rsidR="3C57FF4C" w:rsidP="3C57FF4C" w:rsidRDefault="3C57FF4C" w14:paraId="7F9472AC" w14:textId="074AF33B">
      <w:pPr>
        <w:pStyle w:val="Normal"/>
        <w:jc w:val="left"/>
        <w:rPr>
          <w:rFonts w:ascii="Arial Nova" w:hAnsi="Arial Nova" w:eastAsia="Arial Nova" w:cs="Arial Nova"/>
          <w:b w:val="0"/>
          <w:bCs w:val="0"/>
          <w:noProof w:val="0"/>
          <w:sz w:val="24"/>
          <w:szCs w:val="24"/>
          <w:lang w:val="en-GB"/>
        </w:rPr>
      </w:pPr>
    </w:p>
    <w:p w:rsidR="3C57FF4C" w:rsidP="3C57FF4C" w:rsidRDefault="3C57FF4C" w14:paraId="18979E80" w14:textId="32277CC0">
      <w:pPr>
        <w:pStyle w:val="Normal"/>
        <w:jc w:val="left"/>
        <w:rPr>
          <w:rFonts w:ascii="Arial Nova" w:hAnsi="Arial Nova" w:eastAsia="Arial Nova" w:cs="Arial Nova"/>
          <w:b w:val="0"/>
          <w:bCs w:val="0"/>
          <w:noProof w:val="0"/>
          <w:sz w:val="24"/>
          <w:szCs w:val="24"/>
          <w:lang w:val="en-GB"/>
        </w:rPr>
      </w:pPr>
    </w:p>
    <w:p w:rsidR="3C57FF4C" w:rsidP="3C57FF4C" w:rsidRDefault="3C57FF4C" w14:paraId="5B7A315C" w14:textId="370FB89A">
      <w:pPr>
        <w:pStyle w:val="Normal"/>
        <w:jc w:val="left"/>
        <w:rPr>
          <w:rFonts w:ascii="Arial Nova" w:hAnsi="Arial Nova" w:eastAsia="Arial Nova" w:cs="Arial Nova"/>
          <w:b w:val="0"/>
          <w:bCs w:val="0"/>
          <w:noProof w:val="0"/>
          <w:sz w:val="24"/>
          <w:szCs w:val="24"/>
          <w:lang w:val="en-GB"/>
        </w:rPr>
      </w:pPr>
    </w:p>
    <w:p w:rsidR="3C57FF4C" w:rsidP="3C57FF4C" w:rsidRDefault="3C57FF4C" w14:paraId="029309A1" w14:textId="3156D178">
      <w:pPr>
        <w:pStyle w:val="Normal"/>
        <w:jc w:val="left"/>
        <w:rPr>
          <w:rFonts w:ascii="Arial Nova" w:hAnsi="Arial Nova" w:eastAsia="Arial Nova" w:cs="Arial Nova"/>
          <w:b w:val="0"/>
          <w:bCs w:val="0"/>
          <w:noProof w:val="0"/>
          <w:sz w:val="24"/>
          <w:szCs w:val="24"/>
          <w:lang w:val="en-GB"/>
        </w:rPr>
      </w:pPr>
    </w:p>
    <w:p w:rsidR="3C57FF4C" w:rsidP="3C57FF4C" w:rsidRDefault="3C57FF4C" w14:paraId="38461AA6" w14:textId="2951F1BB">
      <w:pPr>
        <w:pStyle w:val="Normal"/>
        <w:jc w:val="left"/>
        <w:rPr>
          <w:rFonts w:ascii="Arial Nova" w:hAnsi="Arial Nova" w:eastAsia="Arial Nova" w:cs="Arial Nova"/>
          <w:b w:val="0"/>
          <w:bCs w:val="0"/>
          <w:noProof w:val="0"/>
          <w:sz w:val="24"/>
          <w:szCs w:val="24"/>
          <w:lang w:val="en-GB"/>
        </w:rPr>
      </w:pPr>
    </w:p>
    <w:p w:rsidR="3C57FF4C" w:rsidP="3C57FF4C" w:rsidRDefault="3C57FF4C" w14:paraId="45437D09" w14:textId="3EDD6D0D">
      <w:pPr>
        <w:pStyle w:val="Normal"/>
        <w:jc w:val="left"/>
        <w:rPr>
          <w:rFonts w:ascii="Arial Nova" w:hAnsi="Arial Nova" w:eastAsia="Arial Nova" w:cs="Arial Nova"/>
          <w:b w:val="0"/>
          <w:bCs w:val="0"/>
          <w:noProof w:val="0"/>
          <w:sz w:val="24"/>
          <w:szCs w:val="24"/>
          <w:lang w:val="en-GB"/>
        </w:rPr>
      </w:pPr>
    </w:p>
    <w:p w:rsidR="3C57FF4C" w:rsidP="3C57FF4C" w:rsidRDefault="3C57FF4C" w14:paraId="3D0EB6B7" w14:textId="51063D8E">
      <w:pPr>
        <w:pStyle w:val="Normal"/>
        <w:jc w:val="left"/>
        <w:rPr>
          <w:rFonts w:ascii="Arial Nova" w:hAnsi="Arial Nova" w:eastAsia="Arial Nova" w:cs="Arial Nova"/>
          <w:b w:val="0"/>
          <w:bCs w:val="0"/>
          <w:noProof w:val="0"/>
          <w:sz w:val="24"/>
          <w:szCs w:val="24"/>
          <w:lang w:val="en-GB"/>
        </w:rPr>
      </w:pPr>
    </w:p>
    <w:p w:rsidR="4C56EB45" w:rsidP="3C57FF4C" w:rsidRDefault="4C56EB45" w14:paraId="790A203E" w14:textId="15C5CAA6">
      <w:pPr>
        <w:pStyle w:val="Normal"/>
        <w:keepNext w:val="0"/>
        <w:keepLines w:val="0"/>
        <w:spacing w:line="360" w:lineRule="auto"/>
        <w:jc w:val="left"/>
        <w:rPr>
          <w:rFonts w:ascii="Arial Nova" w:hAnsi="Arial Nova" w:eastAsia="Arial Nova" w:cs="Arial Nova"/>
          <w:b w:val="1"/>
          <w:bCs w:val="1"/>
          <w:noProof w:val="0"/>
          <w:sz w:val="24"/>
          <w:szCs w:val="24"/>
          <w:lang w:val="en-GB"/>
        </w:rPr>
      </w:pPr>
      <w:r w:rsidRPr="3C57FF4C" w:rsidR="4C56EB45">
        <w:rPr>
          <w:rFonts w:ascii="Arial Nova" w:hAnsi="Arial Nova" w:eastAsia="Arial Nova" w:cs="Arial Nova"/>
          <w:b w:val="1"/>
          <w:bCs w:val="1"/>
          <w:noProof w:val="0"/>
          <w:sz w:val="24"/>
          <w:szCs w:val="24"/>
          <w:lang w:val="en-GB"/>
        </w:rPr>
        <w:t>The Community Around Us</w:t>
      </w:r>
    </w:p>
    <w:p w:rsidR="5F18CBF3" w:rsidP="3C57FF4C" w:rsidRDefault="5F18CBF3" w14:paraId="4FAF5B25" w14:textId="2B453BA0">
      <w:pPr>
        <w:pStyle w:val="Normal"/>
        <w:keepNext w:val="0"/>
        <w:keepLines w:val="0"/>
        <w:spacing w:line="360" w:lineRule="auto"/>
        <w:jc w:val="left"/>
        <w:rPr>
          <w:rFonts w:ascii="Arial Nova" w:hAnsi="Arial Nova" w:eastAsia="Arial Nova" w:cs="Arial Nova"/>
          <w:b w:val="0"/>
          <w:bCs w:val="0"/>
          <w:noProof w:val="0"/>
          <w:sz w:val="24"/>
          <w:szCs w:val="24"/>
          <w:lang w:val="en-GB"/>
        </w:rPr>
      </w:pPr>
      <w:r w:rsidRPr="3C57FF4C" w:rsidR="5F18CBF3">
        <w:rPr>
          <w:rFonts w:ascii="Arial Nova" w:hAnsi="Arial Nova" w:eastAsia="Arial Nova" w:cs="Arial Nova"/>
          <w:b w:val="0"/>
          <w:bCs w:val="0"/>
          <w:noProof w:val="0"/>
          <w:sz w:val="24"/>
          <w:szCs w:val="24"/>
          <w:lang w:val="en-GB"/>
        </w:rPr>
        <w:t xml:space="preserve">In Swansea, South Wales, UK, an area known as Phoenix on the Hill is distinct and flourishing. The Phoenix on the Hill neighbourhood was first built as a housing development for the city's industrial workers in the late 19th and early 20th centuries and has developed into a diversified community with a rich cultural history. The neighbourhood is well-known for its historical sites, including the Phoenix Tower, which has come to </w:t>
      </w:r>
      <w:r w:rsidRPr="3C57FF4C" w:rsidR="5F18CBF3">
        <w:rPr>
          <w:rFonts w:ascii="Arial Nova" w:hAnsi="Arial Nova" w:eastAsia="Arial Nova" w:cs="Arial Nova"/>
          <w:b w:val="0"/>
          <w:bCs w:val="0"/>
          <w:noProof w:val="0"/>
          <w:sz w:val="24"/>
          <w:szCs w:val="24"/>
          <w:lang w:val="en-GB"/>
        </w:rPr>
        <w:t>represent</w:t>
      </w:r>
      <w:r w:rsidRPr="3C57FF4C" w:rsidR="5F18CBF3">
        <w:rPr>
          <w:rFonts w:ascii="Arial Nova" w:hAnsi="Arial Nova" w:eastAsia="Arial Nova" w:cs="Arial Nova"/>
          <w:b w:val="0"/>
          <w:bCs w:val="0"/>
          <w:noProof w:val="0"/>
          <w:sz w:val="24"/>
          <w:szCs w:val="24"/>
          <w:lang w:val="en-GB"/>
        </w:rPr>
        <w:t xml:space="preserve"> the region's resiliency and rebirth. In addition, the Phoenix on the Hill neighbourhood is distinguished by a demographically varied population, including people of all ages, nationalities, and socioeconomic statuses (Pheonix, 2023). Despite these difficulties, the neighbourhood has </w:t>
      </w:r>
      <w:r w:rsidRPr="3C57FF4C" w:rsidR="5F18CBF3">
        <w:rPr>
          <w:rFonts w:ascii="Arial Nova" w:hAnsi="Arial Nova" w:eastAsia="Arial Nova" w:cs="Arial Nova"/>
          <w:b w:val="0"/>
          <w:bCs w:val="0"/>
          <w:noProof w:val="0"/>
          <w:sz w:val="24"/>
          <w:szCs w:val="24"/>
          <w:lang w:val="en-GB"/>
        </w:rPr>
        <w:t>demonstrated</w:t>
      </w:r>
      <w:r w:rsidRPr="3C57FF4C" w:rsidR="5F18CBF3">
        <w:rPr>
          <w:rFonts w:ascii="Arial Nova" w:hAnsi="Arial Nova" w:eastAsia="Arial Nova" w:cs="Arial Nova"/>
          <w:b w:val="0"/>
          <w:bCs w:val="0"/>
          <w:noProof w:val="0"/>
          <w:sz w:val="24"/>
          <w:szCs w:val="24"/>
          <w:lang w:val="en-GB"/>
        </w:rPr>
        <w:t xml:space="preserve"> exceptional resilience and </w:t>
      </w:r>
      <w:r w:rsidRPr="3C57FF4C" w:rsidR="5F18CBF3">
        <w:rPr>
          <w:rFonts w:ascii="Arial Nova" w:hAnsi="Arial Nova" w:eastAsia="Arial Nova" w:cs="Arial Nova"/>
          <w:b w:val="0"/>
          <w:bCs w:val="0"/>
          <w:noProof w:val="0"/>
          <w:sz w:val="24"/>
          <w:szCs w:val="24"/>
          <w:lang w:val="en-GB"/>
        </w:rPr>
        <w:t>a strong sense</w:t>
      </w:r>
      <w:r w:rsidRPr="3C57FF4C" w:rsidR="5F18CBF3">
        <w:rPr>
          <w:rFonts w:ascii="Arial Nova" w:hAnsi="Arial Nova" w:eastAsia="Arial Nova" w:cs="Arial Nova"/>
          <w:b w:val="0"/>
          <w:bCs w:val="0"/>
          <w:noProof w:val="0"/>
          <w:sz w:val="24"/>
          <w:szCs w:val="24"/>
          <w:lang w:val="en-GB"/>
        </w:rPr>
        <w:t xml:space="preserve"> of community participation, with inhabitants taking a proactive role in several projects that support growth and development. A complicated and dynamic process encouraging growth and development within a community involves several social, economic, and cultural elements (</w:t>
      </w:r>
      <w:r w:rsidRPr="3C57FF4C" w:rsidR="5F18CBF3">
        <w:rPr>
          <w:rFonts w:ascii="Arial Nova" w:hAnsi="Arial Nova" w:eastAsia="Arial Nova" w:cs="Arial Nova"/>
          <w:b w:val="0"/>
          <w:bCs w:val="0"/>
          <w:noProof w:val="0"/>
          <w:sz w:val="24"/>
          <w:szCs w:val="24"/>
          <w:lang w:val="en-GB"/>
        </w:rPr>
        <w:t>Canitez</w:t>
      </w:r>
      <w:r w:rsidRPr="3C57FF4C" w:rsidR="5F18CBF3">
        <w:rPr>
          <w:rFonts w:ascii="Arial Nova" w:hAnsi="Arial Nova" w:eastAsia="Arial Nova" w:cs="Arial Nova"/>
          <w:b w:val="0"/>
          <w:bCs w:val="0"/>
          <w:noProof w:val="0"/>
          <w:sz w:val="24"/>
          <w:szCs w:val="24"/>
          <w:lang w:val="en-GB"/>
        </w:rPr>
        <w:t xml:space="preserve">, 2019). It is part of building community </w:t>
      </w:r>
      <w:r w:rsidRPr="3C57FF4C" w:rsidR="5F18CBF3">
        <w:rPr>
          <w:rFonts w:ascii="Arial Nova" w:hAnsi="Arial Nova" w:eastAsia="Arial Nova" w:cs="Arial Nova"/>
          <w:b w:val="0"/>
          <w:bCs w:val="0"/>
          <w:noProof w:val="0"/>
          <w:sz w:val="24"/>
          <w:szCs w:val="24"/>
          <w:lang w:val="en-GB"/>
        </w:rPr>
        <w:t>capacity</w:t>
      </w:r>
      <w:r w:rsidRPr="3C57FF4C" w:rsidR="5F18CBF3">
        <w:rPr>
          <w:rFonts w:ascii="Arial Nova" w:hAnsi="Arial Nova" w:eastAsia="Arial Nova" w:cs="Arial Nova"/>
          <w:b w:val="0"/>
          <w:bCs w:val="0"/>
          <w:noProof w:val="0"/>
          <w:sz w:val="24"/>
          <w:szCs w:val="24"/>
          <w:lang w:val="en-GB"/>
        </w:rPr>
        <w:t xml:space="preserve">, empowering </w:t>
      </w:r>
      <w:r w:rsidRPr="3C57FF4C" w:rsidR="5F18CBF3">
        <w:rPr>
          <w:rFonts w:ascii="Arial Nova" w:hAnsi="Arial Nova" w:eastAsia="Arial Nova" w:cs="Arial Nova"/>
          <w:b w:val="0"/>
          <w:bCs w:val="0"/>
          <w:noProof w:val="0"/>
          <w:sz w:val="24"/>
          <w:szCs w:val="24"/>
          <w:lang w:val="en-GB"/>
        </w:rPr>
        <w:t>people</w:t>
      </w:r>
      <w:r w:rsidRPr="3C57FF4C" w:rsidR="5F18CBF3">
        <w:rPr>
          <w:rFonts w:ascii="Arial Nova" w:hAnsi="Arial Nova" w:eastAsia="Arial Nova" w:cs="Arial Nova"/>
          <w:b w:val="0"/>
          <w:bCs w:val="0"/>
          <w:noProof w:val="0"/>
          <w:sz w:val="24"/>
          <w:szCs w:val="24"/>
          <w:lang w:val="en-GB"/>
        </w:rPr>
        <w:t xml:space="preserve"> and groups, and encouraging constructive modifications to behaviours, attitudes, and practises.</w:t>
      </w:r>
    </w:p>
    <w:p w:rsidR="5F18CBF3" w:rsidP="3C57FF4C" w:rsidRDefault="5F18CBF3" w14:paraId="4ABEA38D" w14:textId="4711D974">
      <w:pPr>
        <w:pStyle w:val="Normal"/>
        <w:keepNext w:val="0"/>
        <w:keepLines w:val="0"/>
        <w:spacing w:line="360" w:lineRule="auto"/>
        <w:jc w:val="left"/>
        <w:rPr>
          <w:rFonts w:ascii="Arial Nova" w:hAnsi="Arial Nova" w:eastAsia="Arial Nova" w:cs="Arial Nova"/>
          <w:b w:val="0"/>
          <w:bCs w:val="0"/>
          <w:noProof w:val="0"/>
          <w:sz w:val="24"/>
          <w:szCs w:val="24"/>
          <w:lang w:val="en-GB"/>
        </w:rPr>
      </w:pPr>
      <w:r w:rsidRPr="3C57FF4C" w:rsidR="5F18CBF3">
        <w:rPr>
          <w:rFonts w:ascii="Arial Nova" w:hAnsi="Arial Nova" w:eastAsia="Arial Nova" w:cs="Arial Nova"/>
          <w:b w:val="0"/>
          <w:bCs w:val="0"/>
          <w:noProof w:val="0"/>
          <w:sz w:val="24"/>
          <w:szCs w:val="24"/>
          <w:lang w:val="en-GB"/>
        </w:rPr>
        <w:t>Moreover, fostering growth and development emphasises the need for inclusive and participatory methods considering a community's particular context and assets (</w:t>
      </w:r>
      <w:r w:rsidRPr="3C57FF4C" w:rsidR="5F18CBF3">
        <w:rPr>
          <w:rFonts w:ascii="Arial Nova" w:hAnsi="Arial Nova" w:eastAsia="Arial Nova" w:cs="Arial Nova"/>
          <w:b w:val="0"/>
          <w:bCs w:val="0"/>
          <w:noProof w:val="0"/>
          <w:sz w:val="24"/>
          <w:szCs w:val="24"/>
          <w:lang w:val="en-GB"/>
        </w:rPr>
        <w:t>Bricout</w:t>
      </w:r>
      <w:r w:rsidRPr="3C57FF4C" w:rsidR="5F18CBF3">
        <w:rPr>
          <w:rFonts w:ascii="Arial Nova" w:hAnsi="Arial Nova" w:eastAsia="Arial Nova" w:cs="Arial Nova"/>
          <w:b w:val="0"/>
          <w:bCs w:val="0"/>
          <w:noProof w:val="0"/>
          <w:sz w:val="24"/>
          <w:szCs w:val="24"/>
          <w:lang w:val="en-GB"/>
        </w:rPr>
        <w:t xml:space="preserve"> et al., 2021). It involves tailoring initiatives to the specific needs and aspirations of the community, </w:t>
      </w:r>
      <w:r w:rsidRPr="3C57FF4C" w:rsidR="5F18CBF3">
        <w:rPr>
          <w:rFonts w:ascii="Arial Nova" w:hAnsi="Arial Nova" w:eastAsia="Arial Nova" w:cs="Arial Nova"/>
          <w:b w:val="0"/>
          <w:bCs w:val="0"/>
          <w:noProof w:val="0"/>
          <w:sz w:val="24"/>
          <w:szCs w:val="24"/>
          <w:lang w:val="en-GB"/>
        </w:rPr>
        <w:t>leveraging</w:t>
      </w:r>
      <w:r w:rsidRPr="3C57FF4C" w:rsidR="5F18CBF3">
        <w:rPr>
          <w:rFonts w:ascii="Arial Nova" w:hAnsi="Arial Nova" w:eastAsia="Arial Nova" w:cs="Arial Nova"/>
          <w:b w:val="0"/>
          <w:bCs w:val="0"/>
          <w:noProof w:val="0"/>
          <w:sz w:val="24"/>
          <w:szCs w:val="24"/>
          <w:lang w:val="en-GB"/>
        </w:rPr>
        <w:t xml:space="preserve"> its cultural heritage, and engaging residents in the decision-making and implementation processes. Thus, the Phoenix on the Hill community </w:t>
      </w:r>
      <w:r w:rsidRPr="3C57FF4C" w:rsidR="5F18CBF3">
        <w:rPr>
          <w:rFonts w:ascii="Arial Nova" w:hAnsi="Arial Nova" w:eastAsia="Arial Nova" w:cs="Arial Nova"/>
          <w:b w:val="0"/>
          <w:bCs w:val="0"/>
          <w:noProof w:val="0"/>
          <w:sz w:val="24"/>
          <w:szCs w:val="24"/>
          <w:lang w:val="en-GB"/>
        </w:rPr>
        <w:t>provides</w:t>
      </w:r>
      <w:r w:rsidRPr="3C57FF4C" w:rsidR="5F18CBF3">
        <w:rPr>
          <w:rFonts w:ascii="Arial Nova" w:hAnsi="Arial Nova" w:eastAsia="Arial Nova" w:cs="Arial Nova"/>
          <w:b w:val="0"/>
          <w:bCs w:val="0"/>
          <w:noProof w:val="0"/>
          <w:sz w:val="24"/>
          <w:szCs w:val="24"/>
          <w:lang w:val="en-GB"/>
        </w:rPr>
        <w:t xml:space="preserve"> an interesting case study to explore the approaches taken to foster growth and development within a community, considering its history, demographics, cultural context, and the challenges and opportunities it faces.</w:t>
      </w:r>
    </w:p>
    <w:p w:rsidR="3C57FF4C" w:rsidP="3C57FF4C" w:rsidRDefault="3C57FF4C" w14:paraId="3170E8BB" w14:textId="42119418">
      <w:pPr>
        <w:pStyle w:val="Normal"/>
        <w:keepNext w:val="0"/>
        <w:keepLines w:val="0"/>
        <w:spacing w:line="360" w:lineRule="auto"/>
        <w:jc w:val="left"/>
        <w:rPr>
          <w:rFonts w:ascii="Arial Nova" w:hAnsi="Arial Nova" w:eastAsia="Arial Nova" w:cs="Arial Nova"/>
          <w:b w:val="0"/>
          <w:bCs w:val="0"/>
          <w:noProof w:val="0"/>
          <w:sz w:val="24"/>
          <w:szCs w:val="24"/>
          <w:lang w:val="en-GB"/>
        </w:rPr>
      </w:pPr>
    </w:p>
    <w:p w:rsidR="3C57FF4C" w:rsidP="3C57FF4C" w:rsidRDefault="3C57FF4C" w14:paraId="37209167" w14:textId="24B80189">
      <w:pPr>
        <w:pStyle w:val="Normal"/>
        <w:keepNext w:val="0"/>
        <w:keepLines w:val="0"/>
        <w:spacing w:line="360" w:lineRule="auto"/>
        <w:jc w:val="left"/>
        <w:rPr>
          <w:rFonts w:ascii="Arial Nova" w:hAnsi="Arial Nova" w:eastAsia="Arial Nova" w:cs="Arial Nova"/>
          <w:b w:val="0"/>
          <w:bCs w:val="0"/>
          <w:noProof w:val="0"/>
          <w:sz w:val="24"/>
          <w:szCs w:val="24"/>
          <w:lang w:val="en-GB"/>
        </w:rPr>
      </w:pPr>
    </w:p>
    <w:p w:rsidR="3C57FF4C" w:rsidP="3C57FF4C" w:rsidRDefault="3C57FF4C" w14:paraId="44602CF3" w14:textId="7B6E5787">
      <w:pPr>
        <w:pStyle w:val="Heading1"/>
        <w:keepNext w:val="0"/>
        <w:keepLines w:val="0"/>
        <w:spacing w:line="360" w:lineRule="auto"/>
        <w:rPr>
          <w:rFonts w:ascii="Arial Nova" w:hAnsi="Arial Nova" w:eastAsia="Arial Nova" w:cs="Arial Nova"/>
          <w:b w:val="1"/>
          <w:bCs w:val="1"/>
          <w:noProof w:val="0"/>
          <w:color w:val="0E101A"/>
          <w:sz w:val="24"/>
          <w:szCs w:val="24"/>
          <w:lang w:val="en-GB"/>
        </w:rPr>
      </w:pPr>
    </w:p>
    <w:p w:rsidR="00FBAFA5" w:rsidP="3C57FF4C" w:rsidRDefault="00FBAFA5" w14:paraId="3EA1F0A7" w14:textId="3776FB7D">
      <w:pPr>
        <w:pStyle w:val="Heading1"/>
        <w:keepNext w:val="0"/>
        <w:keepLines w:val="0"/>
        <w:spacing w:line="360" w:lineRule="auto"/>
        <w:rPr>
          <w:rFonts w:ascii="Arial Nova" w:hAnsi="Arial Nova" w:eastAsia="Arial Nova" w:cs="Arial Nova"/>
          <w:b w:val="1"/>
          <w:bCs w:val="1"/>
          <w:noProof w:val="0"/>
          <w:color w:val="0E101A"/>
          <w:sz w:val="24"/>
          <w:szCs w:val="24"/>
          <w:lang w:val="en-GB"/>
        </w:rPr>
      </w:pPr>
      <w:r w:rsidRPr="3C57FF4C" w:rsidR="00FBAFA5">
        <w:rPr>
          <w:rFonts w:ascii="Arial Nova" w:hAnsi="Arial Nova" w:eastAsia="Arial Nova" w:cs="Arial Nova"/>
          <w:b w:val="1"/>
          <w:bCs w:val="1"/>
          <w:noProof w:val="0"/>
          <w:color w:val="0E101A"/>
          <w:sz w:val="24"/>
          <w:szCs w:val="24"/>
          <w:lang w:val="en-GB"/>
        </w:rPr>
        <w:t>Analysis of The Phoenix on the Hill Community</w:t>
      </w:r>
    </w:p>
    <w:p w:rsidR="00FBAFA5" w:rsidP="3C57FF4C" w:rsidRDefault="00FBAFA5" w14:paraId="7CF09287" w14:textId="139171E2">
      <w:pPr>
        <w:keepNext w:val="0"/>
        <w:keepLines w:val="0"/>
        <w:spacing w:line="360" w:lineRule="auto"/>
        <w:jc w:val="left"/>
        <w:rPr>
          <w:rFonts w:ascii="Arial Nova" w:hAnsi="Arial Nova" w:eastAsia="Arial Nova" w:cs="Arial Nova"/>
          <w:noProof w:val="0"/>
          <w:color w:val="0E101A"/>
          <w:sz w:val="24"/>
          <w:szCs w:val="24"/>
          <w:lang w:val="en-GB"/>
        </w:rPr>
      </w:pPr>
      <w:r w:rsidRPr="3C57FF4C" w:rsidR="00FBAFA5">
        <w:rPr>
          <w:rFonts w:ascii="Arial Nova" w:hAnsi="Arial Nova" w:eastAsia="Arial Nova" w:cs="Arial Nova"/>
          <w:noProof w:val="0"/>
          <w:color w:val="0E101A"/>
          <w:sz w:val="24"/>
          <w:szCs w:val="24"/>
          <w:lang w:val="en-GB"/>
        </w:rPr>
        <w:t xml:space="preserve">The Phoenix on the Hill community is in Swansea, a South Wales, UK coastal city. It is </w:t>
      </w:r>
      <w:r w:rsidRPr="3C57FF4C" w:rsidR="00FBAFA5">
        <w:rPr>
          <w:rFonts w:ascii="Arial Nova" w:hAnsi="Arial Nova" w:eastAsia="Arial Nova" w:cs="Arial Nova"/>
          <w:noProof w:val="0"/>
          <w:color w:val="0E101A"/>
          <w:sz w:val="24"/>
          <w:szCs w:val="24"/>
          <w:lang w:val="en-GB"/>
        </w:rPr>
        <w:t>located</w:t>
      </w:r>
      <w:r w:rsidRPr="3C57FF4C" w:rsidR="00FBAFA5">
        <w:rPr>
          <w:rFonts w:ascii="Arial Nova" w:hAnsi="Arial Nova" w:eastAsia="Arial Nova" w:cs="Arial Nova"/>
          <w:noProof w:val="0"/>
          <w:color w:val="0E101A"/>
          <w:sz w:val="24"/>
          <w:szCs w:val="24"/>
          <w:lang w:val="en-GB"/>
        </w:rPr>
        <w:t xml:space="preserve"> on a hill facing the city, </w:t>
      </w:r>
      <w:r w:rsidRPr="3C57FF4C" w:rsidR="00FBAFA5">
        <w:rPr>
          <w:rFonts w:ascii="Arial Nova" w:hAnsi="Arial Nova" w:eastAsia="Arial Nova" w:cs="Arial Nova"/>
          <w:noProof w:val="0"/>
          <w:color w:val="0E101A"/>
          <w:sz w:val="24"/>
          <w:szCs w:val="24"/>
          <w:lang w:val="en-GB"/>
        </w:rPr>
        <w:t>providing</w:t>
      </w:r>
      <w:r w:rsidRPr="3C57FF4C" w:rsidR="00FBAFA5">
        <w:rPr>
          <w:rFonts w:ascii="Arial Nova" w:hAnsi="Arial Nova" w:eastAsia="Arial Nova" w:cs="Arial Nova"/>
          <w:noProof w:val="0"/>
          <w:color w:val="0E101A"/>
          <w:sz w:val="24"/>
          <w:szCs w:val="24"/>
          <w:lang w:val="en-GB"/>
        </w:rPr>
        <w:t xml:space="preserve"> panoramic views of Swansea Bay and the surrounding areas. The community encompasses many residential properties, including historic houses, terraced homes, and modern apartments. Moreover, the neighbourhood is </w:t>
      </w:r>
      <w:r w:rsidRPr="3C57FF4C" w:rsidR="00FBAFA5">
        <w:rPr>
          <w:rFonts w:ascii="Arial Nova" w:hAnsi="Arial Nova" w:eastAsia="Arial Nova" w:cs="Arial Nova"/>
          <w:noProof w:val="0"/>
          <w:color w:val="0E101A"/>
          <w:sz w:val="24"/>
          <w:szCs w:val="24"/>
          <w:lang w:val="en-GB"/>
        </w:rPr>
        <w:t>relatively small</w:t>
      </w:r>
      <w:r w:rsidRPr="3C57FF4C" w:rsidR="00FBAFA5">
        <w:rPr>
          <w:rFonts w:ascii="Arial Nova" w:hAnsi="Arial Nova" w:eastAsia="Arial Nova" w:cs="Arial Nova"/>
          <w:noProof w:val="0"/>
          <w:color w:val="0E101A"/>
          <w:sz w:val="24"/>
          <w:szCs w:val="24"/>
          <w:lang w:val="en-GB"/>
        </w:rPr>
        <w:t>, with a total area of around 0.5 square kilometres. The community's population demographics are diverse, with inhabitants of varied ages, races, and socioeconomic statuses (South Wales Fire &amp; Rescue Service, 2023). Families, professionals, artists, students, and seniors live in the neighbourhood, contributing to its lively and dynamic nature.</w:t>
      </w:r>
      <w:r w:rsidRPr="3C57FF4C" w:rsidR="382EEEA1">
        <w:rPr>
          <w:rFonts w:ascii="Arial Nova" w:hAnsi="Arial Nova" w:eastAsia="Arial Nova" w:cs="Arial Nova"/>
          <w:noProof w:val="0"/>
          <w:color w:val="0E101A"/>
          <w:sz w:val="24"/>
          <w:szCs w:val="24"/>
          <w:lang w:val="en-GB"/>
        </w:rPr>
        <w:t xml:space="preserve"> T</w:t>
      </w:r>
      <w:r w:rsidRPr="3C57FF4C" w:rsidR="00FBAFA5">
        <w:rPr>
          <w:rFonts w:ascii="Arial Nova" w:hAnsi="Arial Nova" w:eastAsia="Arial Nova" w:cs="Arial Nova"/>
          <w:noProof w:val="0"/>
          <w:color w:val="0E101A"/>
          <w:sz w:val="24"/>
          <w:szCs w:val="24"/>
          <w:lang w:val="en-GB"/>
        </w:rPr>
        <w:t>he community reflects a mix of different socioeconomic characteristics. While some parts of the community are affluent, with higher-income residents and well-maintained properties, other areas may experience socioeconomic challenges, including poverty, unemployment, and social inequality. These diverse socioeconomic characteristics can influence the community's dynamics, including access to resources, opportunities, and services.</w:t>
      </w:r>
    </w:p>
    <w:p w:rsidR="119D1FE3" w:rsidP="3C57FF4C" w:rsidRDefault="119D1FE3" w14:paraId="2A533129" w14:textId="6AF838C8">
      <w:pPr>
        <w:pStyle w:val="Heading2"/>
        <w:keepNext w:val="0"/>
        <w:keepLines w:val="0"/>
        <w:spacing w:line="360" w:lineRule="auto"/>
        <w:rPr>
          <w:rFonts w:ascii="Arial Nova" w:hAnsi="Arial Nova" w:eastAsia="Arial Nova" w:cs="Arial Nova"/>
          <w:b w:val="0"/>
          <w:bCs w:val="0"/>
          <w:noProof w:val="0"/>
          <w:color w:val="0E101A"/>
          <w:sz w:val="24"/>
          <w:szCs w:val="24"/>
          <w:lang w:val="en-GB"/>
        </w:rPr>
      </w:pPr>
      <w:r w:rsidRPr="3C57FF4C" w:rsidR="119D1FE3">
        <w:rPr>
          <w:rFonts w:ascii="Arial Nova" w:hAnsi="Arial Nova" w:eastAsia="Arial Nova" w:cs="Arial Nova"/>
          <w:b w:val="0"/>
          <w:bCs w:val="0"/>
          <w:i w:val="1"/>
          <w:iCs w:val="1"/>
          <w:noProof w:val="0"/>
          <w:color w:val="0E101A"/>
          <w:sz w:val="24"/>
          <w:szCs w:val="24"/>
          <w:lang w:val="en-GB"/>
        </w:rPr>
        <w:t>Cultural and Societal Impac</w:t>
      </w:r>
      <w:r w:rsidRPr="3C57FF4C" w:rsidR="119D1FE3">
        <w:rPr>
          <w:rFonts w:ascii="Arial Nova" w:hAnsi="Arial Nova" w:eastAsia="Arial Nova" w:cs="Arial Nova"/>
          <w:b w:val="0"/>
          <w:bCs w:val="0"/>
          <w:noProof w:val="0"/>
          <w:color w:val="0E101A"/>
          <w:sz w:val="24"/>
          <w:szCs w:val="24"/>
          <w:lang w:val="en-GB"/>
        </w:rPr>
        <w:t>t</w:t>
      </w:r>
    </w:p>
    <w:p w:rsidR="119D1FE3" w:rsidP="3C57FF4C" w:rsidRDefault="119D1FE3" w14:paraId="02CF64D7" w14:textId="50A95309">
      <w:pPr>
        <w:keepNext w:val="0"/>
        <w:keepLines w:val="0"/>
        <w:spacing w:line="360" w:lineRule="auto"/>
        <w:jc w:val="left"/>
        <w:rPr>
          <w:rFonts w:ascii="Arial Nova" w:hAnsi="Arial Nova" w:eastAsia="Arial Nova" w:cs="Arial Nova"/>
          <w:noProof w:val="0"/>
          <w:color w:val="0E101A"/>
          <w:sz w:val="24"/>
          <w:szCs w:val="24"/>
          <w:lang w:val="en-GB"/>
        </w:rPr>
      </w:pPr>
      <w:r w:rsidRPr="3C57FF4C" w:rsidR="119D1FE3">
        <w:rPr>
          <w:rFonts w:ascii="Arial Nova" w:hAnsi="Arial Nova" w:eastAsia="Arial Nova" w:cs="Arial Nova"/>
          <w:noProof w:val="0"/>
          <w:color w:val="0E101A"/>
          <w:sz w:val="24"/>
          <w:szCs w:val="24"/>
          <w:lang w:val="en-GB"/>
        </w:rPr>
        <w:t xml:space="preserve">The cultural and societal impact of The Phoenix on the Hill community is notable in several aspects. One significant contribution is the community's involvement in the local economy (Garnett, 2020). The community hosts various small businesses, including local shops, cafes, and restaurants, which </w:t>
      </w:r>
      <w:r w:rsidRPr="3C57FF4C" w:rsidR="119D1FE3">
        <w:rPr>
          <w:rFonts w:ascii="Arial Nova" w:hAnsi="Arial Nova" w:eastAsia="Arial Nova" w:cs="Arial Nova"/>
          <w:noProof w:val="0"/>
          <w:color w:val="0E101A"/>
          <w:sz w:val="24"/>
          <w:szCs w:val="24"/>
          <w:lang w:val="en-GB"/>
        </w:rPr>
        <w:t>provide</w:t>
      </w:r>
      <w:r w:rsidRPr="3C57FF4C" w:rsidR="119D1FE3">
        <w:rPr>
          <w:rFonts w:ascii="Arial Nova" w:hAnsi="Arial Nova" w:eastAsia="Arial Nova" w:cs="Arial Nova"/>
          <w:noProof w:val="0"/>
          <w:color w:val="0E101A"/>
          <w:sz w:val="24"/>
          <w:szCs w:val="24"/>
          <w:lang w:val="en-GB"/>
        </w:rPr>
        <w:t xml:space="preserve"> employment opportunities and contribute to the local economy. The entrepreneurial spirit and creativity of the community members also contribute to the arts and culture scene in Swansea, with local artists, musicians, and performers </w:t>
      </w:r>
      <w:r w:rsidRPr="3C57FF4C" w:rsidR="119D1FE3">
        <w:rPr>
          <w:rFonts w:ascii="Arial Nova" w:hAnsi="Arial Nova" w:eastAsia="Arial Nova" w:cs="Arial Nova"/>
          <w:noProof w:val="0"/>
          <w:color w:val="0E101A"/>
          <w:sz w:val="24"/>
          <w:szCs w:val="24"/>
          <w:lang w:val="en-GB"/>
        </w:rPr>
        <w:t>showcasing</w:t>
      </w:r>
      <w:r w:rsidRPr="3C57FF4C" w:rsidR="119D1FE3">
        <w:rPr>
          <w:rFonts w:ascii="Arial Nova" w:hAnsi="Arial Nova" w:eastAsia="Arial Nova" w:cs="Arial Nova"/>
          <w:noProof w:val="0"/>
          <w:color w:val="0E101A"/>
          <w:sz w:val="24"/>
          <w:szCs w:val="24"/>
          <w:lang w:val="en-GB"/>
        </w:rPr>
        <w:t xml:space="preserve"> their talents in the community and beyond (Rogers, 2021). Community engagement is another critical aspect of the cultural and societal impact of The Phoenix on the Hill community. Residents actively </w:t>
      </w:r>
      <w:r w:rsidRPr="3C57FF4C" w:rsidR="119D1FE3">
        <w:rPr>
          <w:rFonts w:ascii="Arial Nova" w:hAnsi="Arial Nova" w:eastAsia="Arial Nova" w:cs="Arial Nova"/>
          <w:noProof w:val="0"/>
          <w:color w:val="0E101A"/>
          <w:sz w:val="24"/>
          <w:szCs w:val="24"/>
          <w:lang w:val="en-GB"/>
        </w:rPr>
        <w:t>participate</w:t>
      </w:r>
      <w:r w:rsidRPr="3C57FF4C" w:rsidR="119D1FE3">
        <w:rPr>
          <w:rFonts w:ascii="Arial Nova" w:hAnsi="Arial Nova" w:eastAsia="Arial Nova" w:cs="Arial Nova"/>
          <w:noProof w:val="0"/>
          <w:color w:val="0E101A"/>
          <w:sz w:val="24"/>
          <w:szCs w:val="24"/>
          <w:lang w:val="en-GB"/>
        </w:rPr>
        <w:t xml:space="preserve"> in various community organizations and initiatives promoting growth and development. These initiatives include neighbourhood associations, community gardens, social clubs, and events that foster social cohesion, civic participation, and collective decision-making (James, 2022). The community's engagement in these activities creates </w:t>
      </w:r>
      <w:r w:rsidRPr="3C57FF4C" w:rsidR="119D1FE3">
        <w:rPr>
          <w:rFonts w:ascii="Arial Nova" w:hAnsi="Arial Nova" w:eastAsia="Arial Nova" w:cs="Arial Nova"/>
          <w:noProof w:val="0"/>
          <w:color w:val="0E101A"/>
          <w:sz w:val="24"/>
          <w:szCs w:val="24"/>
          <w:lang w:val="en-GB"/>
        </w:rPr>
        <w:t>a strong sense</w:t>
      </w:r>
      <w:r w:rsidRPr="3C57FF4C" w:rsidR="119D1FE3">
        <w:rPr>
          <w:rFonts w:ascii="Arial Nova" w:hAnsi="Arial Nova" w:eastAsia="Arial Nova" w:cs="Arial Nova"/>
          <w:noProof w:val="0"/>
          <w:color w:val="0E101A"/>
          <w:sz w:val="24"/>
          <w:szCs w:val="24"/>
          <w:lang w:val="en-GB"/>
        </w:rPr>
        <w:t xml:space="preserve"> of belonging, ownership, and pride among its members, positively </w:t>
      </w:r>
      <w:r w:rsidRPr="3C57FF4C" w:rsidR="119D1FE3">
        <w:rPr>
          <w:rFonts w:ascii="Arial Nova" w:hAnsi="Arial Nova" w:eastAsia="Arial Nova" w:cs="Arial Nova"/>
          <w:noProof w:val="0"/>
          <w:color w:val="0E101A"/>
          <w:sz w:val="24"/>
          <w:szCs w:val="24"/>
          <w:lang w:val="en-GB"/>
        </w:rPr>
        <w:t>impacting</w:t>
      </w:r>
      <w:r w:rsidRPr="3C57FF4C" w:rsidR="119D1FE3">
        <w:rPr>
          <w:rFonts w:ascii="Arial Nova" w:hAnsi="Arial Nova" w:eastAsia="Arial Nova" w:cs="Arial Nova"/>
          <w:noProof w:val="0"/>
          <w:color w:val="0E101A"/>
          <w:sz w:val="24"/>
          <w:szCs w:val="24"/>
          <w:lang w:val="en-GB"/>
        </w:rPr>
        <w:t xml:space="preserve"> their well-being and resilience.</w:t>
      </w:r>
    </w:p>
    <w:p w:rsidR="19841F38" w:rsidP="3C57FF4C" w:rsidRDefault="19841F38" w14:paraId="702D5C30" w14:textId="7B0A864E">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19841F38">
        <w:rPr>
          <w:rFonts w:ascii="Arial Nova" w:hAnsi="Arial Nova" w:eastAsia="Arial Nova" w:cs="Arial Nova"/>
          <w:b w:val="0"/>
          <w:bCs w:val="0"/>
          <w:i w:val="1"/>
          <w:iCs w:val="1"/>
          <w:noProof w:val="0"/>
          <w:color w:val="0E101A"/>
          <w:sz w:val="24"/>
          <w:szCs w:val="24"/>
          <w:lang w:val="en-GB"/>
        </w:rPr>
        <w:t>Unique Features and Strengths of the Community</w:t>
      </w:r>
    </w:p>
    <w:p w:rsidR="19841F38" w:rsidP="3C57FF4C" w:rsidRDefault="19841F38" w14:paraId="540546F2" w14:textId="7D9EBFFA">
      <w:pPr>
        <w:keepNext w:val="0"/>
        <w:keepLines w:val="0"/>
        <w:spacing w:line="360" w:lineRule="auto"/>
        <w:jc w:val="left"/>
        <w:rPr>
          <w:rFonts w:ascii="Arial Nova" w:hAnsi="Arial Nova" w:eastAsia="Arial Nova" w:cs="Arial Nova"/>
          <w:noProof w:val="0"/>
          <w:color w:val="0E101A"/>
          <w:sz w:val="24"/>
          <w:szCs w:val="24"/>
          <w:lang w:val="en-GB"/>
        </w:rPr>
      </w:pPr>
      <w:r w:rsidRPr="3C57FF4C" w:rsidR="19841F38">
        <w:rPr>
          <w:rFonts w:ascii="Arial Nova" w:hAnsi="Arial Nova" w:eastAsia="Arial Nova" w:cs="Arial Nova"/>
          <w:noProof w:val="0"/>
          <w:color w:val="0E101A"/>
          <w:sz w:val="24"/>
          <w:szCs w:val="24"/>
          <w:lang w:val="en-GB"/>
        </w:rPr>
        <w:t xml:space="preserve">Defined by its distinctive qualities, The Pheonix on the Hill community also contribute to its character. The population's diversity, which brings together people from various backgrounds, cultures, and viewpoints, is one of its main assets. By encouraging tolerance, acceptance, and social cohesiveness, this variety adds to the community's depth and vibrancy (Aelbrecht &amp; Stevens, 2019). The community's historical landmarks, including the Phoenix Tower, are further distinctive elements that enhance the area's allure and feeling of history. These icons </w:t>
      </w:r>
      <w:r w:rsidRPr="3C57FF4C" w:rsidR="19841F38">
        <w:rPr>
          <w:rFonts w:ascii="Arial Nova" w:hAnsi="Arial Nova" w:eastAsia="Arial Nova" w:cs="Arial Nova"/>
          <w:noProof w:val="0"/>
          <w:color w:val="0E101A"/>
          <w:sz w:val="24"/>
          <w:szCs w:val="24"/>
          <w:lang w:val="en-GB"/>
        </w:rPr>
        <w:t>represent</w:t>
      </w:r>
      <w:r w:rsidRPr="3C57FF4C" w:rsidR="19841F38">
        <w:rPr>
          <w:rFonts w:ascii="Arial Nova" w:hAnsi="Arial Nova" w:eastAsia="Arial Nova" w:cs="Arial Nova"/>
          <w:noProof w:val="0"/>
          <w:color w:val="0E101A"/>
          <w:sz w:val="24"/>
          <w:szCs w:val="24"/>
          <w:lang w:val="en-GB"/>
        </w:rPr>
        <w:t xml:space="preserve"> resiliency and regeneration, </w:t>
      </w:r>
      <w:r w:rsidRPr="3C57FF4C" w:rsidR="19841F38">
        <w:rPr>
          <w:rFonts w:ascii="Arial Nova" w:hAnsi="Arial Nova" w:eastAsia="Arial Nova" w:cs="Arial Nova"/>
          <w:noProof w:val="0"/>
          <w:color w:val="0E101A"/>
          <w:sz w:val="24"/>
          <w:szCs w:val="24"/>
          <w:lang w:val="en-GB"/>
        </w:rPr>
        <w:t>demonstrating</w:t>
      </w:r>
      <w:r w:rsidRPr="3C57FF4C" w:rsidR="19841F38">
        <w:rPr>
          <w:rFonts w:ascii="Arial Nova" w:hAnsi="Arial Nova" w:eastAsia="Arial Nova" w:cs="Arial Nova"/>
          <w:noProof w:val="0"/>
          <w:color w:val="0E101A"/>
          <w:sz w:val="24"/>
          <w:szCs w:val="24"/>
          <w:lang w:val="en-GB"/>
        </w:rPr>
        <w:t xml:space="preserve"> the neighbourhood's capacity to adjust to and prosper in the face of change (Houston &amp; Zuñiga, 2019). Another significant asset of The Phoenix on the Hill neighbourhood is its vibrant community organisations. These groups, like neighbourhood associations and community gardens, are essential for promoting civic participation, creating social capital, and allowing locals to act as a unit (Barfoot &amp; Smith, 2020). They give locals venues for interaction, teamwork, and problem-solving, fostering the social and cultural health of the neighbourhood. The Phoenix on the Hill neighbourhood also gains from its position, which offers inhabitants panoramic views of the surroundings and a sense of home and belonging (Holtorf &amp; </w:t>
      </w:r>
      <w:r w:rsidRPr="3C57FF4C" w:rsidR="19841F38">
        <w:rPr>
          <w:rFonts w:ascii="Arial Nova" w:hAnsi="Arial Nova" w:eastAsia="Arial Nova" w:cs="Arial Nova"/>
          <w:noProof w:val="0"/>
          <w:color w:val="0E101A"/>
          <w:sz w:val="24"/>
          <w:szCs w:val="24"/>
          <w:lang w:val="en-GB"/>
        </w:rPr>
        <w:t>Högberg</w:t>
      </w:r>
      <w:r w:rsidRPr="3C57FF4C" w:rsidR="19841F38">
        <w:rPr>
          <w:rFonts w:ascii="Arial Nova" w:hAnsi="Arial Nova" w:eastAsia="Arial Nova" w:cs="Arial Nova"/>
          <w:noProof w:val="0"/>
          <w:color w:val="0E101A"/>
          <w:sz w:val="24"/>
          <w:szCs w:val="24"/>
          <w:lang w:val="en-GB"/>
        </w:rPr>
        <w:t>, 2020). The hilltop position also offers chances for leisure pursuits like hiking, strolling, and taking in nature, enhancing the health and well-being of the neighbourhood.</w:t>
      </w:r>
    </w:p>
    <w:p w:rsidR="19841F38" w:rsidP="3C57FF4C" w:rsidRDefault="19841F38" w14:paraId="053C32D8" w14:textId="2F681124">
      <w:pPr>
        <w:keepNext w:val="0"/>
        <w:keepLines w:val="0"/>
        <w:spacing w:line="360" w:lineRule="auto"/>
        <w:jc w:val="left"/>
        <w:rPr>
          <w:rFonts w:ascii="Arial Nova" w:hAnsi="Arial Nova" w:eastAsia="Arial Nova" w:cs="Arial Nova"/>
          <w:noProof w:val="0"/>
          <w:color w:val="0E101A"/>
          <w:sz w:val="24"/>
          <w:szCs w:val="24"/>
          <w:lang w:val="en-GB"/>
        </w:rPr>
      </w:pPr>
      <w:r w:rsidRPr="3C57FF4C" w:rsidR="19841F38">
        <w:rPr>
          <w:rFonts w:ascii="Arial Nova" w:hAnsi="Arial Nova" w:eastAsia="Arial Nova" w:cs="Arial Nova"/>
          <w:noProof w:val="0"/>
          <w:color w:val="0E101A"/>
          <w:sz w:val="24"/>
          <w:szCs w:val="24"/>
          <w:lang w:val="en-GB"/>
        </w:rPr>
        <w:t>However, The Phoenix on the Hill community also faces challenges in fostering growth and development. Socioeconomic disparities within the community can create inequalities in access to resources and opportunities, posing challenges to inclusive growth (</w:t>
      </w:r>
      <w:r w:rsidRPr="3C57FF4C" w:rsidR="19841F38">
        <w:rPr>
          <w:rFonts w:ascii="Arial Nova" w:hAnsi="Arial Nova" w:eastAsia="Arial Nova" w:cs="Arial Nova"/>
          <w:noProof w:val="0"/>
          <w:color w:val="0E101A"/>
          <w:sz w:val="24"/>
          <w:szCs w:val="24"/>
          <w:lang w:val="en-GB"/>
        </w:rPr>
        <w:t>Rouzet</w:t>
      </w:r>
      <w:r w:rsidRPr="3C57FF4C" w:rsidR="19841F38">
        <w:rPr>
          <w:rFonts w:ascii="Arial Nova" w:hAnsi="Arial Nova" w:eastAsia="Arial Nova" w:cs="Arial Nova"/>
          <w:noProof w:val="0"/>
          <w:color w:val="0E101A"/>
          <w:sz w:val="24"/>
          <w:szCs w:val="24"/>
          <w:lang w:val="en-GB"/>
        </w:rPr>
        <w:t xml:space="preserve"> et al., 2019). Moreover, limited resources and funding for community initiatives and potential conflicts among stakeholders may also present obstacles to achieving common goals (</w:t>
      </w:r>
      <w:r w:rsidRPr="3C57FF4C" w:rsidR="19841F38">
        <w:rPr>
          <w:rFonts w:ascii="Arial Nova" w:hAnsi="Arial Nova" w:eastAsia="Arial Nova" w:cs="Arial Nova"/>
          <w:noProof w:val="0"/>
          <w:color w:val="0E101A"/>
          <w:sz w:val="24"/>
          <w:szCs w:val="24"/>
          <w:lang w:val="en-GB"/>
        </w:rPr>
        <w:t>Journeault</w:t>
      </w:r>
      <w:r w:rsidRPr="3C57FF4C" w:rsidR="19841F38">
        <w:rPr>
          <w:rFonts w:ascii="Arial Nova" w:hAnsi="Arial Nova" w:eastAsia="Arial Nova" w:cs="Arial Nova"/>
          <w:noProof w:val="0"/>
          <w:color w:val="0E101A"/>
          <w:sz w:val="24"/>
          <w:szCs w:val="24"/>
          <w:lang w:val="en-GB"/>
        </w:rPr>
        <w:t xml:space="preserve"> et al., 2021). In addition, tailoring </w:t>
      </w:r>
      <w:r w:rsidRPr="3C57FF4C" w:rsidR="19841F38">
        <w:rPr>
          <w:rFonts w:ascii="Arial Nova" w:hAnsi="Arial Nova" w:eastAsia="Arial Nova" w:cs="Arial Nova"/>
          <w:noProof w:val="0"/>
          <w:color w:val="0E101A"/>
          <w:sz w:val="24"/>
          <w:szCs w:val="24"/>
          <w:lang w:val="en-GB"/>
        </w:rPr>
        <w:t>messages</w:t>
      </w:r>
      <w:r w:rsidRPr="3C57FF4C" w:rsidR="19841F38">
        <w:rPr>
          <w:rFonts w:ascii="Arial Nova" w:hAnsi="Arial Nova" w:eastAsia="Arial Nova" w:cs="Arial Nova"/>
          <w:noProof w:val="0"/>
          <w:color w:val="0E101A"/>
          <w:sz w:val="24"/>
          <w:szCs w:val="24"/>
          <w:lang w:val="en-GB"/>
        </w:rPr>
        <w:t xml:space="preserve"> and approaches to suit the context of the community can be complex, as different voices and perspectives need to be considered to ensure inclusivity and participation (Nielson et al., 2019). Furthermore, external factors such as changes in economic trends, urban development policies, and social dynamics can </w:t>
      </w:r>
      <w:r w:rsidRPr="3C57FF4C" w:rsidR="19841F38">
        <w:rPr>
          <w:rFonts w:ascii="Arial Nova" w:hAnsi="Arial Nova" w:eastAsia="Arial Nova" w:cs="Arial Nova"/>
          <w:noProof w:val="0"/>
          <w:color w:val="0E101A"/>
          <w:sz w:val="24"/>
          <w:szCs w:val="24"/>
          <w:lang w:val="en-GB"/>
        </w:rPr>
        <w:t>impact</w:t>
      </w:r>
      <w:r w:rsidRPr="3C57FF4C" w:rsidR="19841F38">
        <w:rPr>
          <w:rFonts w:ascii="Arial Nova" w:hAnsi="Arial Nova" w:eastAsia="Arial Nova" w:cs="Arial Nova"/>
          <w:noProof w:val="0"/>
          <w:color w:val="0E101A"/>
          <w:sz w:val="24"/>
          <w:szCs w:val="24"/>
          <w:lang w:val="en-GB"/>
        </w:rPr>
        <w:t xml:space="preserve"> the community's growth and development (Nicolas et al., 2020). Finally, balancing the preservation of historic landmarks and cultural heritage with the need for modernisation and progress can also be a delicate challenge (Chandan &amp; Kumar, 2019).</w:t>
      </w:r>
    </w:p>
    <w:p w:rsidR="2393748D" w:rsidP="3C57FF4C" w:rsidRDefault="2393748D" w14:paraId="5887D3E7" w14:textId="7F0A9CE9">
      <w:pPr>
        <w:pStyle w:val="Heading1"/>
        <w:keepNext w:val="0"/>
        <w:keepLines w:val="0"/>
        <w:spacing w:line="360" w:lineRule="auto"/>
        <w:rPr>
          <w:rFonts w:ascii="Arial Nova" w:hAnsi="Arial Nova" w:eastAsia="Arial Nova" w:cs="Arial Nova"/>
          <w:b w:val="1"/>
          <w:bCs w:val="1"/>
          <w:noProof w:val="0"/>
          <w:color w:val="0E101A"/>
          <w:sz w:val="24"/>
          <w:szCs w:val="24"/>
          <w:lang w:val="en-GB"/>
        </w:rPr>
      </w:pPr>
      <w:r w:rsidRPr="3C57FF4C" w:rsidR="2393748D">
        <w:rPr>
          <w:rFonts w:ascii="Arial Nova" w:hAnsi="Arial Nova" w:eastAsia="Arial Nova" w:cs="Arial Nova"/>
          <w:b w:val="1"/>
          <w:bCs w:val="1"/>
          <w:noProof w:val="0"/>
          <w:color w:val="0E101A"/>
          <w:sz w:val="24"/>
          <w:szCs w:val="24"/>
          <w:lang w:val="en-GB"/>
        </w:rPr>
        <w:t>Approaches to Fostering Growth and Development in The Phoenix on the Hill Community</w:t>
      </w:r>
    </w:p>
    <w:p w:rsidR="2393748D" w:rsidP="3C57FF4C" w:rsidRDefault="2393748D" w14:paraId="3E784FBC" w14:textId="4A192C04">
      <w:pPr>
        <w:keepNext w:val="0"/>
        <w:keepLines w:val="0"/>
        <w:spacing w:line="360" w:lineRule="auto"/>
        <w:jc w:val="left"/>
        <w:rPr>
          <w:rFonts w:ascii="Arial Nova" w:hAnsi="Arial Nova" w:eastAsia="Arial Nova" w:cs="Arial Nova"/>
          <w:noProof w:val="0"/>
          <w:color w:val="0E101A"/>
          <w:sz w:val="24"/>
          <w:szCs w:val="24"/>
          <w:lang w:val="en-GB"/>
        </w:rPr>
      </w:pPr>
      <w:r w:rsidRPr="3C57FF4C" w:rsidR="2393748D">
        <w:rPr>
          <w:rFonts w:ascii="Arial Nova" w:hAnsi="Arial Nova" w:eastAsia="Arial Nova" w:cs="Arial Nova"/>
          <w:noProof w:val="0"/>
          <w:color w:val="0E101A"/>
          <w:sz w:val="24"/>
          <w:szCs w:val="24"/>
          <w:lang w:val="en-GB"/>
        </w:rPr>
        <w:t>The Phoenix on the Hill community has adopted various approaches to foster growth and development within the community. These approaches encompass the use of imagery, cultural and societal impact, and tailoring of messages to suit the context of the community, as well as critical concepts related to community engagement, capacity-building, and empowerment.</w:t>
      </w:r>
    </w:p>
    <w:p w:rsidR="2393748D" w:rsidP="3C57FF4C" w:rsidRDefault="2393748D" w14:paraId="43C63C53" w14:textId="2E9DDAB6">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2393748D">
        <w:rPr>
          <w:rFonts w:ascii="Arial Nova" w:hAnsi="Arial Nova" w:eastAsia="Arial Nova" w:cs="Arial Nova"/>
          <w:b w:val="0"/>
          <w:bCs w:val="0"/>
          <w:i w:val="1"/>
          <w:iCs w:val="1"/>
          <w:noProof w:val="0"/>
          <w:color w:val="0E101A"/>
          <w:sz w:val="24"/>
          <w:szCs w:val="24"/>
          <w:lang w:val="en-GB"/>
        </w:rPr>
        <w:t>Use of Imagery</w:t>
      </w:r>
    </w:p>
    <w:p w:rsidR="2393748D" w:rsidP="3C57FF4C" w:rsidRDefault="2393748D" w14:paraId="08AF65AA" w14:textId="085F9485">
      <w:pPr>
        <w:keepNext w:val="0"/>
        <w:keepLines w:val="0"/>
        <w:spacing w:line="360" w:lineRule="auto"/>
        <w:jc w:val="left"/>
        <w:rPr>
          <w:rFonts w:ascii="Arial Nova" w:hAnsi="Arial Nova" w:eastAsia="Arial Nova" w:cs="Arial Nova"/>
          <w:noProof w:val="0"/>
          <w:color w:val="0E101A"/>
          <w:sz w:val="24"/>
          <w:szCs w:val="24"/>
          <w:lang w:val="en-GB"/>
        </w:rPr>
      </w:pPr>
      <w:r w:rsidRPr="3C57FF4C" w:rsidR="2393748D">
        <w:rPr>
          <w:rFonts w:ascii="Arial Nova" w:hAnsi="Arial Nova" w:eastAsia="Arial Nova" w:cs="Arial Nova"/>
          <w:noProof w:val="0"/>
          <w:color w:val="0E101A"/>
          <w:sz w:val="24"/>
          <w:szCs w:val="24"/>
          <w:lang w:val="en-GB"/>
        </w:rPr>
        <w:t xml:space="preserve">Imagery shapes a community's </w:t>
      </w:r>
      <w:r w:rsidRPr="3C57FF4C" w:rsidR="2393748D">
        <w:rPr>
          <w:rFonts w:ascii="Arial Nova" w:hAnsi="Arial Nova" w:eastAsia="Arial Nova" w:cs="Arial Nova"/>
          <w:noProof w:val="0"/>
          <w:color w:val="0E101A"/>
          <w:sz w:val="24"/>
          <w:szCs w:val="24"/>
          <w:lang w:val="en-GB"/>
        </w:rPr>
        <w:t>perception</w:t>
      </w:r>
      <w:r w:rsidRPr="3C57FF4C" w:rsidR="2393748D">
        <w:rPr>
          <w:rFonts w:ascii="Arial Nova" w:hAnsi="Arial Nova" w:eastAsia="Arial Nova" w:cs="Arial Nova"/>
          <w:noProof w:val="0"/>
          <w:color w:val="0E101A"/>
          <w:sz w:val="24"/>
          <w:szCs w:val="24"/>
          <w:lang w:val="en-GB"/>
        </w:rPr>
        <w:t xml:space="preserve"> and promotes its growth and development (Schwartz &amp; Ryan, 2021). So, the community has </w:t>
      </w:r>
      <w:r w:rsidRPr="3C57FF4C" w:rsidR="2393748D">
        <w:rPr>
          <w:rFonts w:ascii="Arial Nova" w:hAnsi="Arial Nova" w:eastAsia="Arial Nova" w:cs="Arial Nova"/>
          <w:noProof w:val="0"/>
          <w:color w:val="0E101A"/>
          <w:sz w:val="24"/>
          <w:szCs w:val="24"/>
          <w:lang w:val="en-GB"/>
        </w:rPr>
        <w:t>leveraged</w:t>
      </w:r>
      <w:r w:rsidRPr="3C57FF4C" w:rsidR="2393748D">
        <w:rPr>
          <w:rFonts w:ascii="Arial Nova" w:hAnsi="Arial Nova" w:eastAsia="Arial Nova" w:cs="Arial Nova"/>
          <w:noProof w:val="0"/>
          <w:color w:val="0E101A"/>
          <w:sz w:val="24"/>
          <w:szCs w:val="24"/>
          <w:lang w:val="en-GB"/>
        </w:rPr>
        <w:t xml:space="preserve"> its historic landmarks, hilltop location, and cultural heritage to create a distinct identity that reflects its unique features. For example, the community has used the imagery of the hilltop and historic buildings in its promotional materials, social media, and community events to create a sense of pride and place (Parry-Jones, 2019). Thus, the imagery has helped to </w:t>
      </w:r>
      <w:r w:rsidRPr="3C57FF4C" w:rsidR="2393748D">
        <w:rPr>
          <w:rFonts w:ascii="Arial Nova" w:hAnsi="Arial Nova" w:eastAsia="Arial Nova" w:cs="Arial Nova"/>
          <w:noProof w:val="0"/>
          <w:color w:val="0E101A"/>
          <w:sz w:val="24"/>
          <w:szCs w:val="24"/>
          <w:lang w:val="en-GB"/>
        </w:rPr>
        <w:t>establish</w:t>
      </w:r>
      <w:r w:rsidRPr="3C57FF4C" w:rsidR="2393748D">
        <w:rPr>
          <w:rFonts w:ascii="Arial Nova" w:hAnsi="Arial Nova" w:eastAsia="Arial Nova" w:cs="Arial Nova"/>
          <w:noProof w:val="0"/>
          <w:color w:val="0E101A"/>
          <w:sz w:val="24"/>
          <w:szCs w:val="24"/>
          <w:lang w:val="en-GB"/>
        </w:rPr>
        <w:t xml:space="preserve"> The Phoenix on the Hill community as a distinctive and attractive destination, promoting tourism, local businesses, and community engagement.</w:t>
      </w:r>
    </w:p>
    <w:p w:rsidR="2393748D" w:rsidP="3C57FF4C" w:rsidRDefault="2393748D" w14:paraId="24B8813C" w14:textId="10B6CCEF">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2393748D">
        <w:rPr>
          <w:rFonts w:ascii="Arial Nova" w:hAnsi="Arial Nova" w:eastAsia="Arial Nova" w:cs="Arial Nova"/>
          <w:b w:val="0"/>
          <w:bCs w:val="0"/>
          <w:i w:val="1"/>
          <w:iCs w:val="1"/>
          <w:noProof w:val="0"/>
          <w:color w:val="0E101A"/>
          <w:sz w:val="24"/>
          <w:szCs w:val="24"/>
          <w:lang w:val="en-GB"/>
        </w:rPr>
        <w:t>Cultural and Societal Impact</w:t>
      </w:r>
    </w:p>
    <w:p w:rsidR="2FA26C7B" w:rsidP="3C57FF4C" w:rsidRDefault="2FA26C7B" w14:paraId="15EEEB30" w14:textId="4E2F23F2">
      <w:pPr>
        <w:keepNext w:val="0"/>
        <w:keepLines w:val="0"/>
        <w:spacing w:line="360" w:lineRule="auto"/>
        <w:jc w:val="left"/>
        <w:rPr>
          <w:rFonts w:ascii="Arial Nova" w:hAnsi="Arial Nova" w:eastAsia="Arial Nova" w:cs="Arial Nova"/>
          <w:noProof w:val="0"/>
          <w:color w:val="0E101A"/>
          <w:sz w:val="24"/>
          <w:szCs w:val="24"/>
          <w:lang w:val="en-GB"/>
        </w:rPr>
      </w:pPr>
      <w:r w:rsidRPr="3C57FF4C" w:rsidR="2FA26C7B">
        <w:rPr>
          <w:rFonts w:ascii="Arial Nova" w:hAnsi="Arial Nova" w:eastAsia="Arial Nova" w:cs="Arial Nova"/>
          <w:noProof w:val="0"/>
          <w:color w:val="0E101A"/>
          <w:sz w:val="24"/>
          <w:szCs w:val="24"/>
          <w:lang w:val="en-GB"/>
        </w:rPr>
        <w:t>A</w:t>
      </w:r>
      <w:r w:rsidRPr="3C57FF4C" w:rsidR="2393748D">
        <w:rPr>
          <w:rFonts w:ascii="Arial Nova" w:hAnsi="Arial Nova" w:eastAsia="Arial Nova" w:cs="Arial Nova"/>
          <w:noProof w:val="0"/>
          <w:color w:val="0E101A"/>
          <w:sz w:val="24"/>
          <w:szCs w:val="24"/>
          <w:lang w:val="en-GB"/>
        </w:rPr>
        <w:t xml:space="preserve"> diverse community of people of varying ages, ethnicities, and cultural backgrounds, the region is home to a significant and long-standing cultural heritage (Lemoine, 2020). A vibrant cultural environment with a wide range of artistic, musical, and cultural events has </w:t>
      </w:r>
      <w:r w:rsidRPr="3C57FF4C" w:rsidR="2393748D">
        <w:rPr>
          <w:rFonts w:ascii="Arial Nova" w:hAnsi="Arial Nova" w:eastAsia="Arial Nova" w:cs="Arial Nova"/>
          <w:noProof w:val="0"/>
          <w:color w:val="0E101A"/>
          <w:sz w:val="24"/>
          <w:szCs w:val="24"/>
          <w:lang w:val="en-GB"/>
        </w:rPr>
        <w:t>emerged</w:t>
      </w:r>
      <w:r w:rsidRPr="3C57FF4C" w:rsidR="2393748D">
        <w:rPr>
          <w:rFonts w:ascii="Arial Nova" w:hAnsi="Arial Nova" w:eastAsia="Arial Nova" w:cs="Arial Nova"/>
          <w:noProof w:val="0"/>
          <w:color w:val="0E101A"/>
          <w:sz w:val="24"/>
          <w:szCs w:val="24"/>
          <w:lang w:val="en-GB"/>
        </w:rPr>
        <w:t xml:space="preserve"> because of the neighbourhood's embrace of and celebration of its diversity. The community has also promoted intercultural dialogue, collaboration, and cultural exchange, contributing to the neighbourhood's social cohesion, understanding, and pride.</w:t>
      </w:r>
    </w:p>
    <w:p w:rsidR="184BBFE0" w:rsidP="3C57FF4C" w:rsidRDefault="184BBFE0" w14:paraId="11B9F8F7" w14:textId="61F11A87">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184BBFE0">
        <w:rPr>
          <w:rFonts w:ascii="Arial Nova" w:hAnsi="Arial Nova" w:eastAsia="Arial Nova" w:cs="Arial Nova"/>
          <w:b w:val="0"/>
          <w:bCs w:val="0"/>
          <w:i w:val="1"/>
          <w:iCs w:val="1"/>
          <w:noProof w:val="0"/>
          <w:color w:val="0E101A"/>
          <w:sz w:val="24"/>
          <w:szCs w:val="24"/>
          <w:lang w:val="en-GB"/>
        </w:rPr>
        <w:t>Tailoring of Messages to Suit the Context of the Community</w:t>
      </w:r>
    </w:p>
    <w:p w:rsidR="184BBFE0" w:rsidP="3C57FF4C" w:rsidRDefault="184BBFE0" w14:paraId="006532F7" w14:textId="008404FD">
      <w:pPr>
        <w:keepNext w:val="0"/>
        <w:keepLines w:val="0"/>
        <w:spacing w:line="360" w:lineRule="auto"/>
        <w:jc w:val="left"/>
        <w:rPr>
          <w:rFonts w:ascii="Arial Nova" w:hAnsi="Arial Nova" w:eastAsia="Arial Nova" w:cs="Arial Nova"/>
          <w:noProof w:val="0"/>
          <w:color w:val="0E101A"/>
          <w:sz w:val="24"/>
          <w:szCs w:val="24"/>
          <w:lang w:val="en-GB"/>
        </w:rPr>
      </w:pPr>
      <w:r w:rsidRPr="3C57FF4C" w:rsidR="184BBFE0">
        <w:rPr>
          <w:rFonts w:ascii="Arial Nova" w:hAnsi="Arial Nova" w:eastAsia="Arial Nova" w:cs="Arial Nova"/>
          <w:noProof w:val="0"/>
          <w:color w:val="0E101A"/>
          <w:sz w:val="24"/>
          <w:szCs w:val="24"/>
          <w:lang w:val="en-GB"/>
        </w:rPr>
        <w:t>Tailoring messages to suit the context of the community has been a critical approach to fostering growth and development in The Phoenix on the Hill community. The community has recognised the importance of understanding its diverse population's needs, aspirations, and values and has tailored its messages and initiatives accordingly. For example, the community has used inclusive language, culturally relevant content, and participatory approaches in its communication strategies to ensure that different voices and perspectives are considered (Price, 2020). This approach has promoted inclusivity, participation, and ownership among community members, leading to increased engagement, empowerment, and commitment to community initiatives.</w:t>
      </w:r>
    </w:p>
    <w:p w:rsidR="184BBFE0" w:rsidP="3C57FF4C" w:rsidRDefault="184BBFE0" w14:paraId="47BACD30" w14:textId="5BAB4BB4">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184BBFE0">
        <w:rPr>
          <w:rFonts w:ascii="Arial Nova" w:hAnsi="Arial Nova" w:eastAsia="Arial Nova" w:cs="Arial Nova"/>
          <w:b w:val="0"/>
          <w:bCs w:val="0"/>
          <w:i w:val="1"/>
          <w:iCs w:val="1"/>
          <w:noProof w:val="0"/>
          <w:color w:val="0E101A"/>
          <w:sz w:val="24"/>
          <w:szCs w:val="24"/>
          <w:lang w:val="en-GB"/>
        </w:rPr>
        <w:t>Behavioural Change Within the Community</w:t>
      </w:r>
    </w:p>
    <w:p w:rsidR="184BBFE0" w:rsidP="3C57FF4C" w:rsidRDefault="184BBFE0" w14:paraId="66BDADAD" w14:textId="2DA63DB6">
      <w:pPr>
        <w:keepNext w:val="0"/>
        <w:keepLines w:val="0"/>
        <w:spacing w:line="360" w:lineRule="auto"/>
        <w:jc w:val="left"/>
        <w:rPr>
          <w:rFonts w:ascii="Arial Nova" w:hAnsi="Arial Nova" w:eastAsia="Arial Nova" w:cs="Arial Nova"/>
          <w:noProof w:val="0"/>
          <w:color w:val="0E101A"/>
          <w:sz w:val="24"/>
          <w:szCs w:val="24"/>
          <w:lang w:val="en-GB"/>
        </w:rPr>
      </w:pPr>
      <w:r w:rsidRPr="3C57FF4C" w:rsidR="184BBFE0">
        <w:rPr>
          <w:rFonts w:ascii="Arial Nova" w:hAnsi="Arial Nova" w:eastAsia="Arial Nova" w:cs="Arial Nova"/>
          <w:noProof w:val="0"/>
          <w:color w:val="0E101A"/>
          <w:sz w:val="24"/>
          <w:szCs w:val="24"/>
          <w:lang w:val="en-GB"/>
        </w:rPr>
        <w:t xml:space="preserve">In addition to imagery, cultural impact, and tailoring of messages, key concepts related to community engagement, capacity-building, and empowerment have been employed in the approaches to fostering growth and development in The Phoenix on the Hill community. Community engagement has been a fundamental approach involving community members' active participation and involvement in decision-making processes, community events, and initiatives. The community has encouraged and </w:t>
      </w:r>
      <w:r w:rsidRPr="3C57FF4C" w:rsidR="184BBFE0">
        <w:rPr>
          <w:rFonts w:ascii="Arial Nova" w:hAnsi="Arial Nova" w:eastAsia="Arial Nova" w:cs="Arial Nova"/>
          <w:noProof w:val="0"/>
          <w:color w:val="0E101A"/>
          <w:sz w:val="24"/>
          <w:szCs w:val="24"/>
          <w:lang w:val="en-GB"/>
        </w:rPr>
        <w:t>facilitated</w:t>
      </w:r>
      <w:r w:rsidRPr="3C57FF4C" w:rsidR="184BBFE0">
        <w:rPr>
          <w:rFonts w:ascii="Arial Nova" w:hAnsi="Arial Nova" w:eastAsia="Arial Nova" w:cs="Arial Nova"/>
          <w:noProof w:val="0"/>
          <w:color w:val="0E101A"/>
          <w:sz w:val="24"/>
          <w:szCs w:val="24"/>
          <w:lang w:val="en-GB"/>
        </w:rPr>
        <w:t xml:space="preserve"> community engagement through various channels, such as community meetings, forums, online platforms, and social media. This approach has promoted a sense of ownership, responsibility, and accountability among community members, leading to increased commitment, collaboration, and sustainability of community initiatives.</w:t>
      </w:r>
    </w:p>
    <w:p w:rsidR="184BBFE0" w:rsidP="3C57FF4C" w:rsidRDefault="184BBFE0" w14:paraId="02EA358D" w14:textId="10A586DD">
      <w:pPr>
        <w:keepNext w:val="0"/>
        <w:keepLines w:val="0"/>
        <w:spacing w:line="360" w:lineRule="auto"/>
        <w:jc w:val="left"/>
        <w:rPr>
          <w:rFonts w:ascii="Arial Nova" w:hAnsi="Arial Nova" w:eastAsia="Arial Nova" w:cs="Arial Nova"/>
          <w:noProof w:val="0"/>
          <w:color w:val="0E101A"/>
          <w:sz w:val="24"/>
          <w:szCs w:val="24"/>
          <w:lang w:val="en-GB"/>
        </w:rPr>
      </w:pPr>
      <w:r w:rsidRPr="3C57FF4C" w:rsidR="184BBFE0">
        <w:rPr>
          <w:rFonts w:ascii="Arial Nova" w:hAnsi="Arial Nova" w:eastAsia="Arial Nova" w:cs="Arial Nova"/>
          <w:noProof w:val="0"/>
          <w:color w:val="0E101A"/>
          <w:sz w:val="24"/>
          <w:szCs w:val="24"/>
          <w:lang w:val="en-GB"/>
        </w:rPr>
        <w:t xml:space="preserve">Capacity-building has also been critical in fostering growth and development in The Phoenix on the Hill community. The community has recognised the importance of building its members' skills, knowledge, and resources to effectively </w:t>
      </w:r>
      <w:r w:rsidRPr="3C57FF4C" w:rsidR="184BBFE0">
        <w:rPr>
          <w:rFonts w:ascii="Arial Nova" w:hAnsi="Arial Nova" w:eastAsia="Arial Nova" w:cs="Arial Nova"/>
          <w:noProof w:val="0"/>
          <w:color w:val="0E101A"/>
          <w:sz w:val="24"/>
          <w:szCs w:val="24"/>
          <w:lang w:val="en-GB"/>
        </w:rPr>
        <w:t>participate</w:t>
      </w:r>
      <w:r w:rsidRPr="3C57FF4C" w:rsidR="184BBFE0">
        <w:rPr>
          <w:rFonts w:ascii="Arial Nova" w:hAnsi="Arial Nova" w:eastAsia="Arial Nova" w:cs="Arial Nova"/>
          <w:noProof w:val="0"/>
          <w:color w:val="0E101A"/>
          <w:sz w:val="24"/>
          <w:szCs w:val="24"/>
          <w:lang w:val="en-GB"/>
        </w:rPr>
        <w:t xml:space="preserve"> in community initiatives and contribute to its growth and development. As such, capacity-building initiatives have included training programs, workshops, mentorship, and skill-sharing activities to empower community members with the necessary tools and resources to shape the community's future actively (Campbell, 2019). This approach has increased community competence, leadership, and innovation, fostering sustainable growth and development.</w:t>
      </w:r>
    </w:p>
    <w:p w:rsidR="184BBFE0" w:rsidP="3C57FF4C" w:rsidRDefault="184BBFE0" w14:paraId="7D58B186" w14:textId="2AC43849">
      <w:pPr>
        <w:keepNext w:val="0"/>
        <w:keepLines w:val="0"/>
        <w:spacing w:line="360" w:lineRule="auto"/>
        <w:jc w:val="left"/>
        <w:rPr>
          <w:rFonts w:ascii="Arial Nova" w:hAnsi="Arial Nova" w:eastAsia="Arial Nova" w:cs="Arial Nova"/>
          <w:noProof w:val="0"/>
          <w:color w:val="0E101A"/>
          <w:sz w:val="24"/>
          <w:szCs w:val="24"/>
          <w:lang w:val="en-GB"/>
        </w:rPr>
      </w:pPr>
      <w:r w:rsidRPr="3C57FF4C" w:rsidR="184BBFE0">
        <w:rPr>
          <w:rFonts w:ascii="Arial Nova" w:hAnsi="Arial Nova" w:eastAsia="Arial Nova" w:cs="Arial Nova"/>
          <w:noProof w:val="0"/>
          <w:color w:val="0E101A"/>
          <w:sz w:val="24"/>
          <w:szCs w:val="24"/>
          <w:lang w:val="en-GB"/>
        </w:rPr>
        <w:t xml:space="preserve">Another essential idea used in strategies for encouraging growth and development in The Phoenix on the Hill community is empowerment. By allowing its members to take charge of community projects, make choices, and influence the community's destiny, the community has tried to empower its members. For instance, The Phoenix on the Hill community has created community committees, organisations, and groups led by community members, enabling them to assume leadership positions and </w:t>
      </w:r>
      <w:r w:rsidRPr="3C57FF4C" w:rsidR="184BBFE0">
        <w:rPr>
          <w:rFonts w:ascii="Arial Nova" w:hAnsi="Arial Nova" w:eastAsia="Arial Nova" w:cs="Arial Nova"/>
          <w:noProof w:val="0"/>
          <w:color w:val="0E101A"/>
          <w:sz w:val="24"/>
          <w:szCs w:val="24"/>
          <w:lang w:val="en-GB"/>
        </w:rPr>
        <w:t>participate</w:t>
      </w:r>
      <w:r w:rsidRPr="3C57FF4C" w:rsidR="184BBFE0">
        <w:rPr>
          <w:rFonts w:ascii="Arial Nova" w:hAnsi="Arial Nova" w:eastAsia="Arial Nova" w:cs="Arial Nova"/>
          <w:noProof w:val="0"/>
          <w:color w:val="0E101A"/>
          <w:sz w:val="24"/>
          <w:szCs w:val="24"/>
          <w:lang w:val="en-GB"/>
        </w:rPr>
        <w:t xml:space="preserve"> in decision-making processes (Clark &amp; Friedman, 2020). These programmes have allowed residents to actively contribute to </w:t>
      </w:r>
      <w:r w:rsidRPr="3C57FF4C" w:rsidR="184BBFE0">
        <w:rPr>
          <w:rFonts w:ascii="Arial Nova" w:hAnsi="Arial Nova" w:eastAsia="Arial Nova" w:cs="Arial Nova"/>
          <w:noProof w:val="0"/>
          <w:color w:val="0E101A"/>
          <w:sz w:val="24"/>
          <w:szCs w:val="24"/>
          <w:lang w:val="en-GB"/>
        </w:rPr>
        <w:t>determining</w:t>
      </w:r>
      <w:r w:rsidRPr="3C57FF4C" w:rsidR="184BBFE0">
        <w:rPr>
          <w:rFonts w:ascii="Arial Nova" w:hAnsi="Arial Nova" w:eastAsia="Arial Nova" w:cs="Arial Nova"/>
          <w:noProof w:val="0"/>
          <w:color w:val="0E101A"/>
          <w:sz w:val="24"/>
          <w:szCs w:val="24"/>
          <w:lang w:val="en-GB"/>
        </w:rPr>
        <w:t xml:space="preserve"> the community's direction, resolving neighbourhood problems, and promoting good change. Consequently, the empowerment strategy has enhanced community pride, ownership, and toughness, which has helped grow and develop The Phoenix on the Hill community (Levine, 2021).</w:t>
      </w:r>
    </w:p>
    <w:p w:rsidR="79D8F6A7" w:rsidP="3C57FF4C" w:rsidRDefault="79D8F6A7" w14:paraId="3FA10F6E" w14:textId="56AFFD82">
      <w:pPr>
        <w:pStyle w:val="Heading1"/>
        <w:keepNext w:val="0"/>
        <w:keepLines w:val="0"/>
        <w:spacing w:line="360" w:lineRule="auto"/>
        <w:rPr>
          <w:rFonts w:ascii="Arial Nova" w:hAnsi="Arial Nova" w:eastAsia="Arial Nova" w:cs="Arial Nova"/>
          <w:b w:val="1"/>
          <w:bCs w:val="1"/>
          <w:noProof w:val="0"/>
          <w:color w:val="0E101A"/>
          <w:sz w:val="24"/>
          <w:szCs w:val="24"/>
          <w:lang w:val="en-GB"/>
        </w:rPr>
      </w:pPr>
      <w:r w:rsidRPr="3C57FF4C" w:rsidR="79D8F6A7">
        <w:rPr>
          <w:rFonts w:ascii="Arial Nova" w:hAnsi="Arial Nova" w:eastAsia="Arial Nova" w:cs="Arial Nova"/>
          <w:b w:val="1"/>
          <w:bCs w:val="1"/>
          <w:noProof w:val="0"/>
          <w:color w:val="0E101A"/>
          <w:sz w:val="24"/>
          <w:szCs w:val="24"/>
          <w:lang w:val="en-GB"/>
        </w:rPr>
        <w:t>Challenges and Limitations</w:t>
      </w:r>
    </w:p>
    <w:p w:rsidR="79D8F6A7" w:rsidP="3C57FF4C" w:rsidRDefault="79D8F6A7" w14:paraId="1297C30E" w14:textId="11F205F3">
      <w:pPr>
        <w:keepNext w:val="0"/>
        <w:keepLines w:val="0"/>
        <w:spacing w:line="360" w:lineRule="auto"/>
        <w:jc w:val="left"/>
        <w:rPr>
          <w:rFonts w:ascii="Arial Nova" w:hAnsi="Arial Nova" w:eastAsia="Arial Nova" w:cs="Arial Nova"/>
          <w:noProof w:val="0"/>
          <w:color w:val="0E101A"/>
          <w:sz w:val="24"/>
          <w:szCs w:val="24"/>
          <w:lang w:val="en-GB"/>
        </w:rPr>
      </w:pPr>
      <w:r w:rsidRPr="3C57FF4C" w:rsidR="79D8F6A7">
        <w:rPr>
          <w:rFonts w:ascii="Arial Nova" w:hAnsi="Arial Nova" w:eastAsia="Arial Nova" w:cs="Arial Nova"/>
          <w:noProof w:val="0"/>
          <w:color w:val="0E101A"/>
          <w:sz w:val="24"/>
          <w:szCs w:val="24"/>
          <w:lang w:val="en-GB"/>
        </w:rPr>
        <w:t xml:space="preserve">Like any other community, the Phoenix on the Hill community faces challenges and limitations in fostering growth and development. These challenges can be categorised into external and internal factors that </w:t>
      </w:r>
      <w:r w:rsidRPr="3C57FF4C" w:rsidR="79D8F6A7">
        <w:rPr>
          <w:rFonts w:ascii="Arial Nova" w:hAnsi="Arial Nova" w:eastAsia="Arial Nova" w:cs="Arial Nova"/>
          <w:noProof w:val="0"/>
          <w:color w:val="0E101A"/>
          <w:sz w:val="24"/>
          <w:szCs w:val="24"/>
          <w:lang w:val="en-GB"/>
        </w:rPr>
        <w:t>impact</w:t>
      </w:r>
      <w:r w:rsidRPr="3C57FF4C" w:rsidR="79D8F6A7">
        <w:rPr>
          <w:rFonts w:ascii="Arial Nova" w:hAnsi="Arial Nova" w:eastAsia="Arial Nova" w:cs="Arial Nova"/>
          <w:noProof w:val="0"/>
          <w:color w:val="0E101A"/>
          <w:sz w:val="24"/>
          <w:szCs w:val="24"/>
          <w:lang w:val="en-GB"/>
        </w:rPr>
        <w:t xml:space="preserve"> the community's initiatives.</w:t>
      </w:r>
    </w:p>
    <w:p w:rsidR="79D8F6A7" w:rsidP="3C57FF4C" w:rsidRDefault="79D8F6A7" w14:paraId="2DC5CBEC" w14:textId="67C07DA8">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79D8F6A7">
        <w:rPr>
          <w:rFonts w:ascii="Arial Nova" w:hAnsi="Arial Nova" w:eastAsia="Arial Nova" w:cs="Arial Nova"/>
          <w:b w:val="0"/>
          <w:bCs w:val="0"/>
          <w:i w:val="1"/>
          <w:iCs w:val="1"/>
          <w:noProof w:val="0"/>
          <w:color w:val="0E101A"/>
          <w:sz w:val="24"/>
          <w:szCs w:val="24"/>
          <w:lang w:val="en-GB"/>
        </w:rPr>
        <w:t>External Challenges</w:t>
      </w:r>
    </w:p>
    <w:p w:rsidR="79D8F6A7" w:rsidP="3C57FF4C" w:rsidRDefault="79D8F6A7" w14:paraId="7EB83876" w14:textId="1B072036">
      <w:pPr>
        <w:keepNext w:val="0"/>
        <w:keepLines w:val="0"/>
        <w:spacing w:line="360" w:lineRule="auto"/>
        <w:jc w:val="left"/>
        <w:rPr>
          <w:rFonts w:ascii="Arial Nova" w:hAnsi="Arial Nova" w:eastAsia="Arial Nova" w:cs="Arial Nova"/>
          <w:noProof w:val="0"/>
          <w:color w:val="0E101A"/>
          <w:sz w:val="24"/>
          <w:szCs w:val="24"/>
          <w:lang w:val="en-GB"/>
        </w:rPr>
      </w:pPr>
      <w:r w:rsidRPr="3C57FF4C" w:rsidR="79D8F6A7">
        <w:rPr>
          <w:rFonts w:ascii="Arial Nova" w:hAnsi="Arial Nova" w:eastAsia="Arial Nova" w:cs="Arial Nova"/>
          <w:noProof w:val="0"/>
          <w:color w:val="0E101A"/>
          <w:sz w:val="24"/>
          <w:szCs w:val="24"/>
          <w:lang w:val="en-GB"/>
        </w:rPr>
        <w:t>Externally, economic constraints can challenge the community's growth and development efforts. For example, limited financial resources may restrict the implementation of initiatives, such as infrastructure development or economic programs, that require substantial investments (</w:t>
      </w:r>
      <w:r w:rsidRPr="3C57FF4C" w:rsidR="79D8F6A7">
        <w:rPr>
          <w:rFonts w:ascii="Arial Nova" w:hAnsi="Arial Nova" w:eastAsia="Arial Nova" w:cs="Arial Nova"/>
          <w:noProof w:val="0"/>
          <w:color w:val="0E101A"/>
          <w:sz w:val="24"/>
          <w:szCs w:val="24"/>
          <w:lang w:val="en-GB"/>
        </w:rPr>
        <w:t>Sumaila</w:t>
      </w:r>
      <w:r w:rsidRPr="3C57FF4C" w:rsidR="79D8F6A7">
        <w:rPr>
          <w:rFonts w:ascii="Arial Nova" w:hAnsi="Arial Nova" w:eastAsia="Arial Nova" w:cs="Arial Nova"/>
          <w:noProof w:val="0"/>
          <w:color w:val="0E101A"/>
          <w:sz w:val="24"/>
          <w:szCs w:val="24"/>
          <w:lang w:val="en-GB"/>
        </w:rPr>
        <w:t xml:space="preserve"> et al., 2021). In addition, government policies and regulations can also </w:t>
      </w:r>
      <w:r w:rsidRPr="3C57FF4C" w:rsidR="79D8F6A7">
        <w:rPr>
          <w:rFonts w:ascii="Arial Nova" w:hAnsi="Arial Nova" w:eastAsia="Arial Nova" w:cs="Arial Nova"/>
          <w:noProof w:val="0"/>
          <w:color w:val="0E101A"/>
          <w:sz w:val="24"/>
          <w:szCs w:val="24"/>
          <w:lang w:val="en-GB"/>
        </w:rPr>
        <w:t>impact</w:t>
      </w:r>
      <w:r w:rsidRPr="3C57FF4C" w:rsidR="79D8F6A7">
        <w:rPr>
          <w:rFonts w:ascii="Arial Nova" w:hAnsi="Arial Nova" w:eastAsia="Arial Nova" w:cs="Arial Nova"/>
          <w:noProof w:val="0"/>
          <w:color w:val="0E101A"/>
          <w:sz w:val="24"/>
          <w:szCs w:val="24"/>
          <w:lang w:val="en-GB"/>
        </w:rPr>
        <w:t xml:space="preserve"> the community's initiatives by </w:t>
      </w:r>
      <w:r w:rsidRPr="3C57FF4C" w:rsidR="79D8F6A7">
        <w:rPr>
          <w:rFonts w:ascii="Arial Nova" w:hAnsi="Arial Nova" w:eastAsia="Arial Nova" w:cs="Arial Nova"/>
          <w:noProof w:val="0"/>
          <w:color w:val="0E101A"/>
          <w:sz w:val="24"/>
          <w:szCs w:val="24"/>
          <w:lang w:val="en-GB"/>
        </w:rPr>
        <w:t>providing</w:t>
      </w:r>
      <w:r w:rsidRPr="3C57FF4C" w:rsidR="79D8F6A7">
        <w:rPr>
          <w:rFonts w:ascii="Arial Nova" w:hAnsi="Arial Nova" w:eastAsia="Arial Nova" w:cs="Arial Nova"/>
          <w:noProof w:val="0"/>
          <w:color w:val="0E101A"/>
          <w:sz w:val="24"/>
          <w:szCs w:val="24"/>
          <w:lang w:val="en-GB"/>
        </w:rPr>
        <w:t xml:space="preserve"> support or imposing restrictions. For example, changes in funding allocations or regulatory requirements may affect the community's ability to implement programs or access resources needed for growth and development (</w:t>
      </w:r>
      <w:r w:rsidRPr="3C57FF4C" w:rsidR="79D8F6A7">
        <w:rPr>
          <w:rFonts w:ascii="Arial Nova" w:hAnsi="Arial Nova" w:eastAsia="Arial Nova" w:cs="Arial Nova"/>
          <w:noProof w:val="0"/>
          <w:color w:val="0E101A"/>
          <w:sz w:val="24"/>
          <w:szCs w:val="24"/>
          <w:lang w:val="en-GB"/>
        </w:rPr>
        <w:t>Warneryd</w:t>
      </w:r>
      <w:r w:rsidRPr="3C57FF4C" w:rsidR="79D8F6A7">
        <w:rPr>
          <w:rFonts w:ascii="Arial Nova" w:hAnsi="Arial Nova" w:eastAsia="Arial Nova" w:cs="Arial Nova"/>
          <w:noProof w:val="0"/>
          <w:color w:val="0E101A"/>
          <w:sz w:val="24"/>
          <w:szCs w:val="24"/>
          <w:lang w:val="en-GB"/>
        </w:rPr>
        <w:t xml:space="preserve"> et al., 2020). Moreover, social barriers can also challenge The Phoenix on the Hill community. Furthermore, discrimination, prejudice, or marginalisation based on race, religion, or ethnicity can hinder the community's efforts to foster inclusivity, social cohesion, and community engagement (</w:t>
      </w:r>
      <w:r w:rsidRPr="3C57FF4C" w:rsidR="79D8F6A7">
        <w:rPr>
          <w:rFonts w:ascii="Arial Nova" w:hAnsi="Arial Nova" w:eastAsia="Arial Nova" w:cs="Arial Nova"/>
          <w:noProof w:val="0"/>
          <w:color w:val="0E101A"/>
          <w:sz w:val="24"/>
          <w:szCs w:val="24"/>
          <w:lang w:val="en-GB"/>
        </w:rPr>
        <w:t>Kondrla</w:t>
      </w:r>
      <w:r w:rsidRPr="3C57FF4C" w:rsidR="79D8F6A7">
        <w:rPr>
          <w:rFonts w:ascii="Arial Nova" w:hAnsi="Arial Nova" w:eastAsia="Arial Nova" w:cs="Arial Nova"/>
          <w:noProof w:val="0"/>
          <w:color w:val="0E101A"/>
          <w:sz w:val="24"/>
          <w:szCs w:val="24"/>
          <w:lang w:val="en-GB"/>
        </w:rPr>
        <w:t xml:space="preserve"> et al., 2020). Therefore, these social barriers can affect the community's ability to collaborate, access resources, and achieve its goals.</w:t>
      </w:r>
    </w:p>
    <w:p w:rsidR="79D8F6A7" w:rsidP="3C57FF4C" w:rsidRDefault="79D8F6A7" w14:paraId="353ADC41" w14:textId="4CE68684">
      <w:pPr>
        <w:pStyle w:val="Heading2"/>
        <w:keepNext w:val="0"/>
        <w:keepLines w:val="0"/>
        <w:spacing w:line="360" w:lineRule="auto"/>
        <w:rPr>
          <w:rFonts w:ascii="Arial Nova" w:hAnsi="Arial Nova" w:eastAsia="Arial Nova" w:cs="Arial Nova"/>
          <w:b w:val="0"/>
          <w:bCs w:val="0"/>
          <w:i w:val="1"/>
          <w:iCs w:val="1"/>
          <w:noProof w:val="0"/>
          <w:color w:val="0E101A"/>
          <w:sz w:val="24"/>
          <w:szCs w:val="24"/>
          <w:lang w:val="en-GB"/>
        </w:rPr>
      </w:pPr>
      <w:r w:rsidRPr="3C57FF4C" w:rsidR="79D8F6A7">
        <w:rPr>
          <w:rFonts w:ascii="Arial Nova" w:hAnsi="Arial Nova" w:eastAsia="Arial Nova" w:cs="Arial Nova"/>
          <w:b w:val="0"/>
          <w:bCs w:val="0"/>
          <w:i w:val="1"/>
          <w:iCs w:val="1"/>
          <w:noProof w:val="0"/>
          <w:color w:val="0E101A"/>
          <w:sz w:val="24"/>
          <w:szCs w:val="24"/>
          <w:lang w:val="en-GB"/>
        </w:rPr>
        <w:t>Internal Challenges</w:t>
      </w:r>
    </w:p>
    <w:p w:rsidR="79D8F6A7" w:rsidP="3C57FF4C" w:rsidRDefault="79D8F6A7" w14:paraId="1C9DBF98" w14:textId="5371D99F">
      <w:pPr>
        <w:keepNext w:val="0"/>
        <w:keepLines w:val="0"/>
        <w:spacing w:line="360" w:lineRule="auto"/>
        <w:jc w:val="left"/>
        <w:rPr>
          <w:rFonts w:ascii="Arial Nova" w:hAnsi="Arial Nova" w:eastAsia="Arial Nova" w:cs="Arial Nova"/>
          <w:noProof w:val="0"/>
          <w:color w:val="0E101A"/>
          <w:sz w:val="24"/>
          <w:szCs w:val="24"/>
          <w:lang w:val="en-GB"/>
        </w:rPr>
      </w:pPr>
      <w:r w:rsidRPr="3C57FF4C" w:rsidR="79D8F6A7">
        <w:rPr>
          <w:rFonts w:ascii="Arial Nova" w:hAnsi="Arial Nova" w:eastAsia="Arial Nova" w:cs="Arial Nova"/>
          <w:noProof w:val="0"/>
          <w:color w:val="0E101A"/>
          <w:sz w:val="24"/>
          <w:szCs w:val="24"/>
          <w:lang w:val="en-GB"/>
        </w:rPr>
        <w:t xml:space="preserve">Internally, resistance to change can pose challenges to growth and development initiatives. For example, some community members may hesitate to embrace </w:t>
      </w:r>
      <w:r w:rsidRPr="3C57FF4C" w:rsidR="79D8F6A7">
        <w:rPr>
          <w:rFonts w:ascii="Arial Nova" w:hAnsi="Arial Nova" w:eastAsia="Arial Nova" w:cs="Arial Nova"/>
          <w:noProof w:val="0"/>
          <w:color w:val="0E101A"/>
          <w:sz w:val="24"/>
          <w:szCs w:val="24"/>
          <w:lang w:val="en-GB"/>
        </w:rPr>
        <w:t>new ideas</w:t>
      </w:r>
      <w:r w:rsidRPr="3C57FF4C" w:rsidR="79D8F6A7">
        <w:rPr>
          <w:rFonts w:ascii="Arial Nova" w:hAnsi="Arial Nova" w:eastAsia="Arial Nova" w:cs="Arial Nova"/>
          <w:noProof w:val="0"/>
          <w:color w:val="0E101A"/>
          <w:sz w:val="24"/>
          <w:szCs w:val="24"/>
          <w:lang w:val="en-GB"/>
        </w:rPr>
        <w:t xml:space="preserve">, technologies, or approaches due to fear of change or attachment to traditional practices (Arndt et al., 2021). Lack of resources, such as funding, infrastructure, or skilled personnel, can also limit the community's ability to implement initiatives effectively. Moreover, cultural differences among community members may also pose challenges, as varying perspectives, values, and beliefs can </w:t>
      </w:r>
      <w:r w:rsidRPr="3C57FF4C" w:rsidR="79D8F6A7">
        <w:rPr>
          <w:rFonts w:ascii="Arial Nova" w:hAnsi="Arial Nova" w:eastAsia="Arial Nova" w:cs="Arial Nova"/>
          <w:noProof w:val="0"/>
          <w:color w:val="0E101A"/>
          <w:sz w:val="24"/>
          <w:szCs w:val="24"/>
          <w:lang w:val="en-GB"/>
        </w:rPr>
        <w:t>impact</w:t>
      </w:r>
      <w:r w:rsidRPr="3C57FF4C" w:rsidR="79D8F6A7">
        <w:rPr>
          <w:rFonts w:ascii="Arial Nova" w:hAnsi="Arial Nova" w:eastAsia="Arial Nova" w:cs="Arial Nova"/>
          <w:noProof w:val="0"/>
          <w:color w:val="0E101A"/>
          <w:sz w:val="24"/>
          <w:szCs w:val="24"/>
          <w:lang w:val="en-GB"/>
        </w:rPr>
        <w:t xml:space="preserve"> decision-making, communication, and cooperation within the community (</w:t>
      </w:r>
      <w:r w:rsidRPr="3C57FF4C" w:rsidR="79D8F6A7">
        <w:rPr>
          <w:rFonts w:ascii="Arial Nova" w:hAnsi="Arial Nova" w:eastAsia="Arial Nova" w:cs="Arial Nova"/>
          <w:noProof w:val="0"/>
          <w:color w:val="0E101A"/>
          <w:sz w:val="24"/>
          <w:szCs w:val="24"/>
          <w:lang w:val="en-GB"/>
        </w:rPr>
        <w:t>Stratone</w:t>
      </w:r>
      <w:r w:rsidRPr="3C57FF4C" w:rsidR="79D8F6A7">
        <w:rPr>
          <w:rFonts w:ascii="Arial Nova" w:hAnsi="Arial Nova" w:eastAsia="Arial Nova" w:cs="Arial Nova"/>
          <w:noProof w:val="0"/>
          <w:color w:val="0E101A"/>
          <w:sz w:val="24"/>
          <w:szCs w:val="24"/>
          <w:lang w:val="en-GB"/>
        </w:rPr>
        <w:t xml:space="preserve"> &amp; </w:t>
      </w:r>
      <w:r w:rsidRPr="3C57FF4C" w:rsidR="79D8F6A7">
        <w:rPr>
          <w:rFonts w:ascii="Arial Nova" w:hAnsi="Arial Nova" w:eastAsia="Arial Nova" w:cs="Arial Nova"/>
          <w:noProof w:val="0"/>
          <w:color w:val="0E101A"/>
          <w:sz w:val="24"/>
          <w:szCs w:val="24"/>
          <w:lang w:val="en-GB"/>
        </w:rPr>
        <w:t>Vătămănescu</w:t>
      </w:r>
      <w:r w:rsidRPr="3C57FF4C" w:rsidR="79D8F6A7">
        <w:rPr>
          <w:rFonts w:ascii="Arial Nova" w:hAnsi="Arial Nova" w:eastAsia="Arial Nova" w:cs="Arial Nova"/>
          <w:noProof w:val="0"/>
          <w:color w:val="0E101A"/>
          <w:sz w:val="24"/>
          <w:szCs w:val="24"/>
          <w:lang w:val="en-GB"/>
        </w:rPr>
        <w:t>, 2019).</w:t>
      </w:r>
    </w:p>
    <w:p w:rsidR="79D8F6A7" w:rsidP="3C57FF4C" w:rsidRDefault="79D8F6A7" w14:paraId="41A6FD06" w14:textId="1710B8A1">
      <w:pPr>
        <w:pStyle w:val="Heading2"/>
        <w:keepNext w:val="0"/>
        <w:keepLines w:val="0"/>
        <w:spacing w:line="360" w:lineRule="auto"/>
        <w:rPr>
          <w:rFonts w:ascii="Arial Nova" w:hAnsi="Arial Nova" w:eastAsia="Arial Nova" w:cs="Arial Nova"/>
          <w:b w:val="0"/>
          <w:bCs w:val="0"/>
          <w:noProof w:val="0"/>
          <w:color w:val="0E101A"/>
          <w:sz w:val="24"/>
          <w:szCs w:val="24"/>
          <w:lang w:val="en-GB"/>
        </w:rPr>
      </w:pPr>
      <w:r w:rsidRPr="3C57FF4C" w:rsidR="79D8F6A7">
        <w:rPr>
          <w:rFonts w:ascii="Arial Nova" w:hAnsi="Arial Nova" w:eastAsia="Arial Nova" w:cs="Arial Nova"/>
          <w:b w:val="0"/>
          <w:bCs w:val="0"/>
          <w:noProof w:val="0"/>
          <w:color w:val="0E101A"/>
          <w:sz w:val="24"/>
          <w:szCs w:val="24"/>
          <w:lang w:val="en-GB"/>
        </w:rPr>
        <w:t>Potential Risks and Limitations of the Approaches Taken by the Community</w:t>
      </w:r>
    </w:p>
    <w:p w:rsidR="79D8F6A7" w:rsidP="3C57FF4C" w:rsidRDefault="79D8F6A7" w14:paraId="790FDD83" w14:textId="7CC3D87A">
      <w:pPr>
        <w:keepNext w:val="0"/>
        <w:keepLines w:val="0"/>
        <w:spacing w:line="360" w:lineRule="auto"/>
        <w:jc w:val="left"/>
        <w:rPr>
          <w:rFonts w:ascii="Arial Nova" w:hAnsi="Arial Nova" w:eastAsia="Arial Nova" w:cs="Arial Nova"/>
          <w:noProof w:val="0"/>
          <w:color w:val="0E101A"/>
          <w:sz w:val="24"/>
          <w:szCs w:val="24"/>
          <w:lang w:val="en-GB"/>
        </w:rPr>
      </w:pPr>
      <w:r w:rsidRPr="3C57FF4C" w:rsidR="79D8F6A7">
        <w:rPr>
          <w:rFonts w:ascii="Arial Nova" w:hAnsi="Arial Nova" w:eastAsia="Arial Nova" w:cs="Arial Nova"/>
          <w:noProof w:val="0"/>
          <w:color w:val="0E101A"/>
          <w:sz w:val="24"/>
          <w:szCs w:val="24"/>
          <w:lang w:val="en-GB"/>
        </w:rPr>
        <w:t>Furthermore, the approaches taken by The Phoenix on the Hill community may have potential risks and limitations in promoting growth and development. For example, tailoring messages to suit the community context may require careful consideration to avoid unintentional exclusion or misinterpretation (Marin, 2022). Using imagery, cultural impact, and societal impact may also have limitations, as different individuals or groups may interpret them differently or not resonate with all community members. The success of initiatives or programs may also depend on funding sustainability, community engagement, and long-term impact, which may pose challenges in maintaining the momentum of growth and development efforts (Crew, 2020).</w:t>
      </w:r>
    </w:p>
    <w:p w:rsidR="28D5819F" w:rsidP="3C57FF4C" w:rsidRDefault="28D5819F" w14:paraId="14FDB611" w14:textId="2EC28DCB">
      <w:pPr>
        <w:pStyle w:val="Normal"/>
        <w:keepNext w:val="0"/>
        <w:keepLines w:val="0"/>
        <w:spacing w:line="360" w:lineRule="auto"/>
        <w:jc w:val="left"/>
        <w:rPr>
          <w:rFonts w:ascii="Arial Nova" w:hAnsi="Arial Nova" w:eastAsia="Arial Nova" w:cs="Arial Nova"/>
          <w:b w:val="1"/>
          <w:bCs w:val="1"/>
          <w:noProof w:val="0"/>
          <w:color w:val="0E101A"/>
          <w:sz w:val="24"/>
          <w:szCs w:val="24"/>
          <w:lang w:val="en-GB"/>
        </w:rPr>
      </w:pPr>
      <w:r w:rsidRPr="3C57FF4C" w:rsidR="28D5819F">
        <w:rPr>
          <w:rFonts w:ascii="Arial Nova" w:hAnsi="Arial Nova" w:eastAsia="Arial Nova" w:cs="Arial Nova"/>
          <w:b w:val="1"/>
          <w:bCs w:val="1"/>
          <w:noProof w:val="0"/>
          <w:color w:val="0E101A"/>
          <w:sz w:val="24"/>
          <w:szCs w:val="24"/>
          <w:lang w:val="en-GB"/>
        </w:rPr>
        <w:t>Conclusion</w:t>
      </w:r>
    </w:p>
    <w:p w:rsidR="79D8F6A7" w:rsidP="3C57FF4C" w:rsidRDefault="79D8F6A7" w14:paraId="0372852C" w14:textId="57546B25">
      <w:pPr>
        <w:keepNext w:val="0"/>
        <w:keepLines w:val="0"/>
        <w:spacing w:line="360" w:lineRule="auto"/>
        <w:jc w:val="left"/>
        <w:rPr>
          <w:rFonts w:ascii="Arial Nova" w:hAnsi="Arial Nova" w:eastAsia="Arial Nova" w:cs="Arial Nova"/>
          <w:noProof w:val="0"/>
          <w:color w:val="0E101A"/>
          <w:sz w:val="24"/>
          <w:szCs w:val="24"/>
          <w:lang w:val="en-GB"/>
        </w:rPr>
      </w:pPr>
      <w:r w:rsidRPr="3C57FF4C" w:rsidR="79D8F6A7">
        <w:rPr>
          <w:rFonts w:ascii="Arial Nova" w:hAnsi="Arial Nova" w:eastAsia="Arial Nova" w:cs="Arial Nova"/>
          <w:noProof w:val="0"/>
          <w:color w:val="0E101A"/>
          <w:sz w:val="24"/>
          <w:szCs w:val="24"/>
          <w:lang w:val="en-GB"/>
        </w:rPr>
        <w:t xml:space="preserve">In conclusion, the research has </w:t>
      </w:r>
      <w:r w:rsidRPr="3C57FF4C" w:rsidR="79D8F6A7">
        <w:rPr>
          <w:rFonts w:ascii="Arial Nova" w:hAnsi="Arial Nova" w:eastAsia="Arial Nova" w:cs="Arial Nova"/>
          <w:noProof w:val="0"/>
          <w:color w:val="0E101A"/>
          <w:sz w:val="24"/>
          <w:szCs w:val="24"/>
          <w:lang w:val="en-GB"/>
        </w:rPr>
        <w:t>provided</w:t>
      </w:r>
      <w:r w:rsidRPr="3C57FF4C" w:rsidR="79D8F6A7">
        <w:rPr>
          <w:rFonts w:ascii="Arial Nova" w:hAnsi="Arial Nova" w:eastAsia="Arial Nova" w:cs="Arial Nova"/>
          <w:noProof w:val="0"/>
          <w:color w:val="0E101A"/>
          <w:sz w:val="24"/>
          <w:szCs w:val="24"/>
          <w:lang w:val="en-GB"/>
        </w:rPr>
        <w:t xml:space="preserve"> an in-depth analysis of The Phoenix on the Hill community, its approaches to fostering growth and development, challenges, limitations, and recommendations for improvement. The community's use of imagery, cultural impact, and message tailoring to suit its context has been identified as a strength, along with its diverse population, historic landmarks, and community organisations. The community's efforts to engage in community development, capacity-building, and empowerment have also been recognised as key concepts in promoting behavioural change. However, challenges such as economic constraints, government policies, social barriers, resistance to change, lack of resources, and cultural differences limit the community's efforts. As a recommendation, to enhance the community's efforts in promoting growth and development, prioritise sustainable funding, address social barriers through inclusivity and diversity initiatives, and strengthen community engagement and collaboration. It is also crucial to continuously evaluate the impact and effectiveness of initiatives and adapt them as needed. The results of this study have effects on other communities comparable to The Phoenix on the Hill as well. They emphasise the value of community-based strategies for promoting growth and development, where the local community's context, culture, and involvement play a crucial role. These results can provide guidance and motivation for other communities </w:t>
      </w:r>
      <w:r w:rsidRPr="3C57FF4C" w:rsidR="79D8F6A7">
        <w:rPr>
          <w:rFonts w:ascii="Arial Nova" w:hAnsi="Arial Nova" w:eastAsia="Arial Nova" w:cs="Arial Nova"/>
          <w:noProof w:val="0"/>
          <w:color w:val="0E101A"/>
          <w:sz w:val="24"/>
          <w:szCs w:val="24"/>
          <w:lang w:val="en-GB"/>
        </w:rPr>
        <w:t>attempting</w:t>
      </w:r>
      <w:r w:rsidRPr="3C57FF4C" w:rsidR="79D8F6A7">
        <w:rPr>
          <w:rFonts w:ascii="Arial Nova" w:hAnsi="Arial Nova" w:eastAsia="Arial Nova" w:cs="Arial Nova"/>
          <w:noProof w:val="0"/>
          <w:color w:val="0E101A"/>
          <w:sz w:val="24"/>
          <w:szCs w:val="24"/>
          <w:lang w:val="en-GB"/>
        </w:rPr>
        <w:t xml:space="preserve"> to grow and thrive while dealing with comparable difficulties. Because of this, community-based strategies are essential for promoting growth and development in areas like The Phoenix on the Hill. Communities may </w:t>
      </w:r>
      <w:r w:rsidRPr="3C57FF4C" w:rsidR="79D8F6A7">
        <w:rPr>
          <w:rFonts w:ascii="Arial Nova" w:hAnsi="Arial Nova" w:eastAsia="Arial Nova" w:cs="Arial Nova"/>
          <w:noProof w:val="0"/>
          <w:color w:val="0E101A"/>
          <w:sz w:val="24"/>
          <w:szCs w:val="24"/>
          <w:lang w:val="en-GB"/>
        </w:rPr>
        <w:t>benefit</w:t>
      </w:r>
      <w:r w:rsidRPr="3C57FF4C" w:rsidR="79D8F6A7">
        <w:rPr>
          <w:rFonts w:ascii="Arial Nova" w:hAnsi="Arial Nova" w:eastAsia="Arial Nova" w:cs="Arial Nova"/>
          <w:noProof w:val="0"/>
          <w:color w:val="0E101A"/>
          <w:sz w:val="24"/>
          <w:szCs w:val="24"/>
          <w:lang w:val="en-GB"/>
        </w:rPr>
        <w:t xml:space="preserve"> their socioeconomic and cultural well-being by utilising their assets, solving problems, and working together. Further investigation in this field may examine the long-term effects of community-based efforts, assess the efficacy of various techniques, and unearth creative solutions to problems. Encouraging community growth and development requires ongoing efforts, teamwork, and adaptation to achieve sustainable and inclusive outcomes.</w:t>
      </w:r>
    </w:p>
    <w:p w:rsidR="3C57FF4C" w:rsidP="3C57FF4C" w:rsidRDefault="3C57FF4C" w14:paraId="20F54F53" w14:textId="39CFB0E3">
      <w:pPr>
        <w:pStyle w:val="Normal"/>
        <w:keepNext w:val="0"/>
        <w:keepLines w:val="0"/>
        <w:spacing w:line="360" w:lineRule="auto"/>
        <w:jc w:val="left"/>
        <w:rPr>
          <w:rFonts w:ascii="Arial Nova" w:hAnsi="Arial Nova" w:eastAsia="Arial Nova" w:cs="Arial Nova"/>
          <w:noProof w:val="0"/>
          <w:color w:val="0E101A"/>
          <w:sz w:val="24"/>
          <w:szCs w:val="24"/>
          <w:lang w:val="en-GB"/>
        </w:rPr>
      </w:pPr>
    </w:p>
    <w:p w:rsidR="3C57FF4C" w:rsidP="3C57FF4C" w:rsidRDefault="3C57FF4C" w14:paraId="6E008E9F" w14:textId="06032E0B">
      <w:pPr>
        <w:pStyle w:val="Normal"/>
        <w:keepNext w:val="0"/>
        <w:keepLines w:val="0"/>
        <w:spacing w:line="360" w:lineRule="auto"/>
        <w:jc w:val="left"/>
        <w:rPr>
          <w:rFonts w:ascii="Arial Nova" w:hAnsi="Arial Nova" w:eastAsia="Arial Nova" w:cs="Arial Nova"/>
          <w:noProof w:val="0"/>
          <w:color w:val="0E101A"/>
          <w:sz w:val="24"/>
          <w:szCs w:val="24"/>
          <w:lang w:val="en-GB"/>
        </w:rPr>
      </w:pPr>
    </w:p>
    <w:p w:rsidR="3C57FF4C" w:rsidP="3C57FF4C" w:rsidRDefault="3C57FF4C" w14:paraId="43BDA05A" w14:textId="49BCA814">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579DD042" w14:textId="239D4D70">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7E513564" w14:textId="14D7AFF9">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75F6E8BC" w14:textId="5F73ABCB">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0201BE44" w14:textId="35C0CE6C">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53413400" w14:textId="15E4F8BB">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1649FBCF" w14:textId="1F8240E2">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301D1F51" w14:textId="17872234">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3C57FF4C" w:rsidP="3C57FF4C" w:rsidRDefault="3C57FF4C" w14:paraId="2CC008C5" w14:textId="629C1A49">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p>
    <w:p w:rsidR="79D8F6A7" w:rsidP="3C57FF4C" w:rsidRDefault="79D8F6A7" w14:paraId="3E86B93E" w14:textId="48CF3578">
      <w:pPr>
        <w:pStyle w:val="Heading1"/>
        <w:keepNext w:val="0"/>
        <w:keepLines w:val="0"/>
        <w:spacing w:line="360" w:lineRule="auto"/>
        <w:rPr>
          <w:rFonts w:ascii="Arial Nova" w:hAnsi="Arial Nova" w:eastAsia="Arial Nova" w:cs="Arial Nova"/>
          <w:b w:val="1"/>
          <w:bCs w:val="1"/>
          <w:i w:val="0"/>
          <w:iCs w:val="0"/>
          <w:noProof w:val="0"/>
          <w:color w:val="auto"/>
          <w:sz w:val="24"/>
          <w:szCs w:val="24"/>
          <w:lang w:val="en-GB"/>
        </w:rPr>
      </w:pPr>
      <w:r w:rsidRPr="3C57FF4C" w:rsidR="79D8F6A7">
        <w:rPr>
          <w:rFonts w:ascii="Arial Nova" w:hAnsi="Arial Nova" w:eastAsia="Arial Nova" w:cs="Arial Nova"/>
          <w:b w:val="1"/>
          <w:bCs w:val="1"/>
          <w:i w:val="0"/>
          <w:iCs w:val="0"/>
          <w:noProof w:val="0"/>
          <w:color w:val="auto"/>
          <w:sz w:val="24"/>
          <w:szCs w:val="24"/>
          <w:lang w:val="en-GB"/>
        </w:rPr>
        <w:t>References</w:t>
      </w:r>
    </w:p>
    <w:p w:rsidR="3C57FF4C" w:rsidP="3C57FF4C" w:rsidRDefault="3C57FF4C" w14:paraId="1A2EE843" w14:textId="789A7D17">
      <w:pPr>
        <w:pStyle w:val="Normal"/>
        <w:keepNext w:val="0"/>
        <w:keepLines w:val="0"/>
        <w:rPr>
          <w:noProof w:val="0"/>
          <w:lang w:val="en-GB"/>
        </w:rPr>
      </w:pPr>
    </w:p>
    <w:p w:rsidR="79D8F6A7" w:rsidP="3C57FF4C" w:rsidRDefault="79D8F6A7" w14:paraId="3ECE5403" w14:textId="21DCA47A">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Aelbrecht, P., &amp; Stevens, Q. (2019). </w:t>
      </w:r>
      <w:r w:rsidRPr="3C57FF4C" w:rsidR="79D8F6A7">
        <w:rPr>
          <w:rFonts w:ascii="Arial Nova" w:hAnsi="Arial Nova" w:eastAsia="Arial Nova" w:cs="Arial Nova"/>
          <w:i w:val="1"/>
          <w:iCs w:val="1"/>
          <w:noProof w:val="0"/>
          <w:sz w:val="24"/>
          <w:szCs w:val="24"/>
          <w:lang w:val="en-GB"/>
        </w:rPr>
        <w:t>Public Space Design and Social Cohesion: An International Comparison</w:t>
      </w:r>
      <w:r w:rsidRPr="3C57FF4C" w:rsidR="79D8F6A7">
        <w:rPr>
          <w:rFonts w:ascii="Arial Nova" w:hAnsi="Arial Nova" w:eastAsia="Arial Nova" w:cs="Arial Nova"/>
          <w:noProof w:val="0"/>
          <w:sz w:val="24"/>
          <w:szCs w:val="24"/>
          <w:lang w:val="en-GB"/>
        </w:rPr>
        <w:t>. Routledge.</w:t>
      </w:r>
    </w:p>
    <w:p w:rsidR="79D8F6A7" w:rsidP="3C57FF4C" w:rsidRDefault="79D8F6A7" w14:paraId="42611CF9" w14:textId="3BB002C6">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Arndt, F., Ng, W., &amp; Huang, T. (2021). Do-It-Yourself laboratories, communities of practice, and open innovation in a digitalised environment. </w:t>
      </w:r>
      <w:r w:rsidRPr="3C57FF4C" w:rsidR="79D8F6A7">
        <w:rPr>
          <w:rFonts w:ascii="Arial Nova" w:hAnsi="Arial Nova" w:eastAsia="Arial Nova" w:cs="Arial Nova"/>
          <w:i w:val="1"/>
          <w:iCs w:val="1"/>
          <w:noProof w:val="0"/>
          <w:sz w:val="24"/>
          <w:szCs w:val="24"/>
          <w:lang w:val="en-GB"/>
        </w:rPr>
        <w:t>Technology Analysis &amp; Strategic Management</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33</w:t>
      </w:r>
      <w:r w:rsidRPr="3C57FF4C" w:rsidR="79D8F6A7">
        <w:rPr>
          <w:rFonts w:ascii="Arial Nova" w:hAnsi="Arial Nova" w:eastAsia="Arial Nova" w:cs="Arial Nova"/>
          <w:noProof w:val="0"/>
          <w:sz w:val="24"/>
          <w:szCs w:val="24"/>
          <w:lang w:val="en-GB"/>
        </w:rPr>
        <w:t>(10), 1186–1197.</w:t>
      </w:r>
      <w:r w:rsidRPr="3C57FF4C" w:rsidR="24B67A97">
        <w:rPr>
          <w:rFonts w:ascii="Arial Nova" w:hAnsi="Arial Nova" w:eastAsia="Arial Nova" w:cs="Arial Nova"/>
          <w:noProof w:val="0"/>
          <w:sz w:val="24"/>
          <w:szCs w:val="24"/>
          <w:lang w:val="en-GB"/>
        </w:rPr>
        <w:t xml:space="preserve"> Available at: </w:t>
      </w:r>
      <w:hyperlink r:id="R63ac7dfd851043af">
        <w:r w:rsidRPr="3C57FF4C" w:rsidR="79D8F6A7">
          <w:rPr>
            <w:rStyle w:val="Hyperlink"/>
            <w:rFonts w:ascii="Arial Nova" w:hAnsi="Arial Nova" w:eastAsia="Arial Nova" w:cs="Arial Nova"/>
            <w:noProof w:val="0"/>
            <w:sz w:val="24"/>
            <w:szCs w:val="24"/>
            <w:lang w:val="en-GB"/>
          </w:rPr>
          <w:t>https://doi.org/10.1080/09537325.2021.1931674</w:t>
        </w:r>
      </w:hyperlink>
    </w:p>
    <w:p w:rsidR="79D8F6A7" w:rsidP="3C57FF4C" w:rsidRDefault="79D8F6A7" w14:paraId="05DB4F2F" w14:textId="571053D3">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Barfoot, R., &amp; Smith, K. (2020). </w:t>
      </w:r>
      <w:r w:rsidRPr="3C57FF4C" w:rsidR="79D8F6A7">
        <w:rPr>
          <w:rFonts w:ascii="Arial Nova" w:hAnsi="Arial Nova" w:eastAsia="Arial Nova" w:cs="Arial Nova"/>
          <w:i w:val="1"/>
          <w:iCs w:val="1"/>
          <w:noProof w:val="0"/>
          <w:sz w:val="24"/>
          <w:szCs w:val="24"/>
          <w:lang w:val="en-GB"/>
        </w:rPr>
        <w:t>New Theoretical Perspectives on Dylan Thomas: A writer of words, and nothing else?</w:t>
      </w:r>
      <w:r w:rsidRPr="3C57FF4C" w:rsidR="79D8F6A7">
        <w:rPr>
          <w:rFonts w:ascii="Arial Nova" w:hAnsi="Arial Nova" w:eastAsia="Arial Nova" w:cs="Arial Nova"/>
          <w:noProof w:val="0"/>
          <w:sz w:val="24"/>
          <w:szCs w:val="24"/>
          <w:lang w:val="en-GB"/>
        </w:rPr>
        <w:t xml:space="preserve"> University of Wales Press.</w:t>
      </w:r>
    </w:p>
    <w:p w:rsidR="79D8F6A7" w:rsidP="3C57FF4C" w:rsidRDefault="79D8F6A7" w14:paraId="5DED8525" w14:textId="0DB05407">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Bricout</w:t>
      </w:r>
      <w:r w:rsidRPr="3C57FF4C" w:rsidR="79D8F6A7">
        <w:rPr>
          <w:rFonts w:ascii="Arial Nova" w:hAnsi="Arial Nova" w:eastAsia="Arial Nova" w:cs="Arial Nova"/>
          <w:noProof w:val="0"/>
          <w:sz w:val="24"/>
          <w:szCs w:val="24"/>
          <w:lang w:val="en-GB"/>
        </w:rPr>
        <w:t xml:space="preserve">, J., Baker, P. M. A., Moon, N. W., &amp; Sharma, B. (2021). Exploring the Smart Future of Participation: Community, Inclusivity, and People </w:t>
      </w:r>
      <w:r w:rsidRPr="3C57FF4C" w:rsidR="79D8F6A7">
        <w:rPr>
          <w:rFonts w:ascii="Arial Nova" w:hAnsi="Arial Nova" w:eastAsia="Arial Nova" w:cs="Arial Nova"/>
          <w:noProof w:val="0"/>
          <w:sz w:val="24"/>
          <w:szCs w:val="24"/>
          <w:lang w:val="en-GB"/>
        </w:rPr>
        <w:t>With</w:t>
      </w:r>
      <w:r w:rsidRPr="3C57FF4C" w:rsidR="79D8F6A7">
        <w:rPr>
          <w:rFonts w:ascii="Arial Nova" w:hAnsi="Arial Nova" w:eastAsia="Arial Nova" w:cs="Arial Nova"/>
          <w:noProof w:val="0"/>
          <w:sz w:val="24"/>
          <w:szCs w:val="24"/>
          <w:lang w:val="en-GB"/>
        </w:rPr>
        <w:t xml:space="preserve"> Disabilities. </w:t>
      </w:r>
      <w:r w:rsidRPr="3C57FF4C" w:rsidR="79D8F6A7">
        <w:rPr>
          <w:rFonts w:ascii="Arial Nova" w:hAnsi="Arial Nova" w:eastAsia="Arial Nova" w:cs="Arial Nova"/>
          <w:i w:val="1"/>
          <w:iCs w:val="1"/>
          <w:noProof w:val="0"/>
          <w:sz w:val="24"/>
          <w:szCs w:val="24"/>
          <w:lang w:val="en-GB"/>
        </w:rPr>
        <w:t>International Journal of E-Planning Research (IJEPR)</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10</w:t>
      </w:r>
      <w:r w:rsidRPr="3C57FF4C" w:rsidR="79D8F6A7">
        <w:rPr>
          <w:rFonts w:ascii="Arial Nova" w:hAnsi="Arial Nova" w:eastAsia="Arial Nova" w:cs="Arial Nova"/>
          <w:noProof w:val="0"/>
          <w:sz w:val="24"/>
          <w:szCs w:val="24"/>
          <w:lang w:val="en-GB"/>
        </w:rPr>
        <w:t>(2), 94–108.</w:t>
      </w:r>
      <w:r w:rsidRPr="3C57FF4C" w:rsidR="19430E68">
        <w:rPr>
          <w:rFonts w:ascii="Arial Nova" w:hAnsi="Arial Nova" w:eastAsia="Arial Nova" w:cs="Arial Nova"/>
          <w:noProof w:val="0"/>
          <w:sz w:val="24"/>
          <w:szCs w:val="24"/>
          <w:lang w:val="en-GB"/>
        </w:rPr>
        <w:t xml:space="preserve"> </w:t>
      </w:r>
      <w:r w:rsidRPr="3C57FF4C" w:rsidR="19430E68">
        <w:rPr>
          <w:rFonts w:ascii="Arial Nova" w:hAnsi="Arial Nova" w:eastAsia="Arial Nova" w:cs="Arial Nova"/>
          <w:noProof w:val="0"/>
          <w:sz w:val="24"/>
          <w:szCs w:val="24"/>
          <w:lang w:val="en-GB"/>
        </w:rPr>
        <w:t>Available</w:t>
      </w:r>
      <w:r w:rsidRPr="3C57FF4C" w:rsidR="19430E68">
        <w:rPr>
          <w:rFonts w:ascii="Arial Nova" w:hAnsi="Arial Nova" w:eastAsia="Arial Nova" w:cs="Arial Nova"/>
          <w:noProof w:val="0"/>
          <w:sz w:val="24"/>
          <w:szCs w:val="24"/>
          <w:lang w:val="en-GB"/>
        </w:rPr>
        <w:t xml:space="preserve"> at: </w:t>
      </w:r>
      <w:hyperlink r:id="Ra14ce475daf1404c">
        <w:r w:rsidRPr="3C57FF4C" w:rsidR="79D8F6A7">
          <w:rPr>
            <w:rStyle w:val="Hyperlink"/>
            <w:rFonts w:ascii="Arial Nova" w:hAnsi="Arial Nova" w:eastAsia="Arial Nova" w:cs="Arial Nova"/>
            <w:noProof w:val="0"/>
            <w:sz w:val="24"/>
            <w:szCs w:val="24"/>
            <w:lang w:val="en-GB"/>
          </w:rPr>
          <w:t>https://doi.org/10.4018/IJEPR.20210401.oa8</w:t>
        </w:r>
      </w:hyperlink>
    </w:p>
    <w:p w:rsidR="79D8F6A7" w:rsidP="3C57FF4C" w:rsidRDefault="79D8F6A7" w14:paraId="1E02A14C" w14:textId="29AA4934">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Campbell, M. (2019). From youth engagement to creative industries incubators: Models of working with youth in community arts settings: Review of Education, Pedagogy, and Cultural Studies: Vol 41, No 3. </w:t>
      </w:r>
      <w:r w:rsidRPr="3C57FF4C" w:rsidR="634F7E61">
        <w:rPr>
          <w:rFonts w:ascii="Arial Nova" w:hAnsi="Arial Nova" w:eastAsia="Arial Nova" w:cs="Arial Nova"/>
          <w:noProof w:val="0"/>
          <w:sz w:val="24"/>
          <w:szCs w:val="24"/>
          <w:lang w:val="en-GB"/>
        </w:rPr>
        <w:t>Available at:</w:t>
      </w:r>
      <w:r w:rsidRPr="3C57FF4C" w:rsidR="79D8F6A7">
        <w:rPr>
          <w:rFonts w:ascii="Arial Nova" w:hAnsi="Arial Nova" w:eastAsia="Arial Nova" w:cs="Arial Nova"/>
          <w:noProof w:val="0"/>
          <w:sz w:val="24"/>
          <w:szCs w:val="24"/>
          <w:lang w:val="en-GB"/>
        </w:rPr>
        <w:t xml:space="preserve"> </w:t>
      </w:r>
      <w:hyperlink r:id="Raf1a785d0cfa4ee4">
        <w:r w:rsidRPr="3C57FF4C" w:rsidR="79D8F6A7">
          <w:rPr>
            <w:rStyle w:val="Hyperlink"/>
            <w:rFonts w:ascii="Arial Nova" w:hAnsi="Arial Nova" w:eastAsia="Arial Nova" w:cs="Arial Nova"/>
            <w:noProof w:val="0"/>
            <w:sz w:val="24"/>
            <w:szCs w:val="24"/>
            <w:lang w:val="en-GB"/>
          </w:rPr>
          <w:t>https://www.tandfonline.com/doi/abs/10.1080/10714413.2019.1685854?journalCode=gred20</w:t>
        </w:r>
      </w:hyperlink>
      <w:r w:rsidRPr="3C57FF4C" w:rsidR="4C9ECE82">
        <w:rPr>
          <w:rFonts w:ascii="Arial Nova" w:hAnsi="Arial Nova" w:eastAsia="Arial Nova" w:cs="Arial Nova"/>
          <w:noProof w:val="0"/>
          <w:sz w:val="24"/>
          <w:szCs w:val="24"/>
          <w:lang w:val="en-GB"/>
        </w:rPr>
        <w:t xml:space="preserve"> (Accessed on 23 April 2023)</w:t>
      </w:r>
    </w:p>
    <w:p w:rsidR="79D8F6A7" w:rsidP="3C57FF4C" w:rsidRDefault="79D8F6A7" w14:paraId="373E634B" w14:textId="136EA471">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Canitez</w:t>
      </w:r>
      <w:r w:rsidRPr="3C57FF4C" w:rsidR="79D8F6A7">
        <w:rPr>
          <w:rFonts w:ascii="Arial Nova" w:hAnsi="Arial Nova" w:eastAsia="Arial Nova" w:cs="Arial Nova"/>
          <w:noProof w:val="0"/>
          <w:sz w:val="24"/>
          <w:szCs w:val="24"/>
          <w:lang w:val="en-GB"/>
        </w:rPr>
        <w:t xml:space="preserve">, F. (2019). Pathways to sustainable urban mobility in developing megacities: A socio-technical transition perspective. </w:t>
      </w:r>
      <w:r w:rsidRPr="3C57FF4C" w:rsidR="79D8F6A7">
        <w:rPr>
          <w:rFonts w:ascii="Arial Nova" w:hAnsi="Arial Nova" w:eastAsia="Arial Nova" w:cs="Arial Nova"/>
          <w:i w:val="1"/>
          <w:iCs w:val="1"/>
          <w:noProof w:val="0"/>
          <w:sz w:val="24"/>
          <w:szCs w:val="24"/>
          <w:lang w:val="en-GB"/>
        </w:rPr>
        <w:t>Technological Forecasting and Social Change</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141</w:t>
      </w:r>
      <w:r w:rsidRPr="3C57FF4C" w:rsidR="79D8F6A7">
        <w:rPr>
          <w:rFonts w:ascii="Arial Nova" w:hAnsi="Arial Nova" w:eastAsia="Arial Nova" w:cs="Arial Nova"/>
          <w:noProof w:val="0"/>
          <w:sz w:val="24"/>
          <w:szCs w:val="24"/>
          <w:lang w:val="en-GB"/>
        </w:rPr>
        <w:t>, 319–329.</w:t>
      </w:r>
      <w:r w:rsidRPr="3C57FF4C" w:rsidR="48288525">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87faf24d022040cb">
        <w:r w:rsidRPr="3C57FF4C" w:rsidR="79D8F6A7">
          <w:rPr>
            <w:rStyle w:val="Hyperlink"/>
            <w:rFonts w:ascii="Arial Nova" w:hAnsi="Arial Nova" w:eastAsia="Arial Nova" w:cs="Arial Nova"/>
            <w:noProof w:val="0"/>
            <w:sz w:val="24"/>
            <w:szCs w:val="24"/>
            <w:lang w:val="en-GB"/>
          </w:rPr>
          <w:t>https://doi.org/10.1016/j.techfore.2019.01.008</w:t>
        </w:r>
      </w:hyperlink>
    </w:p>
    <w:p w:rsidR="79D8F6A7" w:rsidP="3C57FF4C" w:rsidRDefault="79D8F6A7" w14:paraId="016FC517" w14:textId="7219BD75">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Chandan, S., &amp; Kumar, A. (2019). </w:t>
      </w:r>
      <w:r w:rsidRPr="3C57FF4C" w:rsidR="79D8F6A7">
        <w:rPr>
          <w:rFonts w:ascii="Arial Nova" w:hAnsi="Arial Nova" w:eastAsia="Arial Nova" w:cs="Arial Nova"/>
          <w:i w:val="1"/>
          <w:iCs w:val="1"/>
          <w:noProof w:val="0"/>
          <w:sz w:val="24"/>
          <w:szCs w:val="24"/>
          <w:lang w:val="en-GB"/>
        </w:rPr>
        <w:t>Review of Urban Conservation Practices in Historic Cities</w:t>
      </w:r>
      <w:r w:rsidRPr="3C57FF4C" w:rsidR="79D8F6A7">
        <w:rPr>
          <w:rFonts w:ascii="Arial Nova" w:hAnsi="Arial Nova" w:eastAsia="Arial Nova" w:cs="Arial Nova"/>
          <w:noProof w:val="0"/>
          <w:sz w:val="24"/>
          <w:szCs w:val="24"/>
          <w:lang w:val="en-GB"/>
        </w:rPr>
        <w:t>.</w:t>
      </w:r>
    </w:p>
    <w:p w:rsidR="79D8F6A7" w:rsidP="3C57FF4C" w:rsidRDefault="79D8F6A7" w14:paraId="4A0ACC5B" w14:textId="6BFF8E19">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Clark, J., &amp; Friedman, B. (2020). Community Advisory Boards: What Works and What </w:t>
      </w:r>
      <w:r w:rsidRPr="3C57FF4C" w:rsidR="79D8F6A7">
        <w:rPr>
          <w:rFonts w:ascii="Arial Nova" w:hAnsi="Arial Nova" w:eastAsia="Arial Nova" w:cs="Arial Nova"/>
          <w:noProof w:val="0"/>
          <w:sz w:val="24"/>
          <w:szCs w:val="24"/>
          <w:lang w:val="en-GB"/>
        </w:rPr>
        <w:t>Doesn’t</w:t>
      </w:r>
      <w:r w:rsidRPr="3C57FF4C" w:rsidR="79D8F6A7">
        <w:rPr>
          <w:rFonts w:ascii="Arial Nova" w:hAnsi="Arial Nova" w:eastAsia="Arial Nova" w:cs="Arial Nova"/>
          <w:noProof w:val="0"/>
          <w:sz w:val="24"/>
          <w:szCs w:val="24"/>
          <w:lang w:val="en-GB"/>
        </w:rPr>
        <w:t xml:space="preserve"> (Lessons from a National Study). </w:t>
      </w:r>
      <w:r w:rsidRPr="3C57FF4C" w:rsidR="79D8F6A7">
        <w:rPr>
          <w:rFonts w:ascii="Arial Nova" w:hAnsi="Arial Nova" w:eastAsia="Arial Nova" w:cs="Arial Nova"/>
          <w:i w:val="1"/>
          <w:iCs w:val="1"/>
          <w:noProof w:val="0"/>
          <w:sz w:val="24"/>
          <w:szCs w:val="24"/>
          <w:lang w:val="en-GB"/>
        </w:rPr>
        <w:t>American Journal of Criminal Law</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47</w:t>
      </w:r>
      <w:r w:rsidRPr="3C57FF4C" w:rsidR="79D8F6A7">
        <w:rPr>
          <w:rFonts w:ascii="Arial Nova" w:hAnsi="Arial Nova" w:eastAsia="Arial Nova" w:cs="Arial Nova"/>
          <w:noProof w:val="0"/>
          <w:sz w:val="24"/>
          <w:szCs w:val="24"/>
          <w:lang w:val="en-GB"/>
        </w:rPr>
        <w:t>, 159.</w:t>
      </w:r>
    </w:p>
    <w:p w:rsidR="79D8F6A7" w:rsidP="3C57FF4C" w:rsidRDefault="79D8F6A7" w14:paraId="023D178F" w14:textId="3522DCF2">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Crew, M. (2020). The Effectiveness of Place-Based Programmes and Campaigns in Improving Outcomes for Children: A Literature Review. A National Literacy Trust Research Report, National Literacy Trust, 2020-Apr. </w:t>
      </w:r>
      <w:r w:rsidRPr="3C57FF4C" w:rsidR="4B2884F8">
        <w:rPr>
          <w:rFonts w:ascii="Arial Nova" w:hAnsi="Arial Nova" w:eastAsia="Arial Nova" w:cs="Arial Nova"/>
          <w:noProof w:val="0"/>
          <w:sz w:val="24"/>
          <w:szCs w:val="24"/>
          <w:lang w:val="en-GB"/>
        </w:rPr>
        <w:t>Available at:</w:t>
      </w:r>
      <w:r w:rsidRPr="3C57FF4C" w:rsidR="79D8F6A7">
        <w:rPr>
          <w:rFonts w:ascii="Arial Nova" w:hAnsi="Arial Nova" w:eastAsia="Arial Nova" w:cs="Arial Nova"/>
          <w:noProof w:val="0"/>
          <w:sz w:val="24"/>
          <w:szCs w:val="24"/>
          <w:lang w:val="en-GB"/>
        </w:rPr>
        <w:t xml:space="preserve"> </w:t>
      </w:r>
      <w:hyperlink r:id="R6770e2a0fd564865">
        <w:r w:rsidRPr="3C57FF4C" w:rsidR="79D8F6A7">
          <w:rPr>
            <w:rStyle w:val="Hyperlink"/>
            <w:rFonts w:ascii="Arial Nova" w:hAnsi="Arial Nova" w:eastAsia="Arial Nova" w:cs="Arial Nova"/>
            <w:noProof w:val="0"/>
            <w:sz w:val="24"/>
            <w:szCs w:val="24"/>
            <w:lang w:val="en-GB"/>
          </w:rPr>
          <w:t>https://eric.ed.gov/?id=ED607978</w:t>
        </w:r>
      </w:hyperlink>
      <w:r w:rsidRPr="3C57FF4C" w:rsidR="7EFA83A3">
        <w:rPr>
          <w:rFonts w:ascii="Arial Nova" w:hAnsi="Arial Nova" w:eastAsia="Arial Nova" w:cs="Arial Nova"/>
          <w:noProof w:val="0"/>
          <w:sz w:val="24"/>
          <w:szCs w:val="24"/>
          <w:lang w:val="en-GB"/>
        </w:rPr>
        <w:t xml:space="preserve"> (Accessed 23 April 2023)</w:t>
      </w:r>
    </w:p>
    <w:p w:rsidR="79D8F6A7" w:rsidP="3C57FF4C" w:rsidRDefault="79D8F6A7" w14:paraId="71708BFB" w14:textId="19E17201">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Garnett, M. (2020). </w:t>
      </w:r>
      <w:r w:rsidRPr="3C57FF4C" w:rsidR="79D8F6A7">
        <w:rPr>
          <w:rFonts w:ascii="Arial Nova" w:hAnsi="Arial Nova" w:eastAsia="Arial Nova" w:cs="Arial Nova"/>
          <w:i w:val="1"/>
          <w:iCs w:val="1"/>
          <w:noProof w:val="0"/>
          <w:sz w:val="24"/>
          <w:szCs w:val="24"/>
          <w:lang w:val="en-GB"/>
        </w:rPr>
        <w:t>The Routledge Handbook of British Politics and Society</w:t>
      </w:r>
      <w:r w:rsidRPr="3C57FF4C" w:rsidR="79D8F6A7">
        <w:rPr>
          <w:rFonts w:ascii="Arial Nova" w:hAnsi="Arial Nova" w:eastAsia="Arial Nova" w:cs="Arial Nova"/>
          <w:noProof w:val="0"/>
          <w:sz w:val="24"/>
          <w:szCs w:val="24"/>
          <w:lang w:val="en-GB"/>
        </w:rPr>
        <w:t>. Routledge.</w:t>
      </w:r>
    </w:p>
    <w:p w:rsidR="79D8F6A7" w:rsidP="3C57FF4C" w:rsidRDefault="79D8F6A7" w14:paraId="71FBF6F9" w14:textId="23BCE07E">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Holtorf, C., &amp; </w:t>
      </w:r>
      <w:r w:rsidRPr="3C57FF4C" w:rsidR="79D8F6A7">
        <w:rPr>
          <w:rFonts w:ascii="Arial Nova" w:hAnsi="Arial Nova" w:eastAsia="Arial Nova" w:cs="Arial Nova"/>
          <w:noProof w:val="0"/>
          <w:sz w:val="24"/>
          <w:szCs w:val="24"/>
          <w:lang w:val="en-GB"/>
        </w:rPr>
        <w:t>Högberg</w:t>
      </w:r>
      <w:r w:rsidRPr="3C57FF4C" w:rsidR="79D8F6A7">
        <w:rPr>
          <w:rFonts w:ascii="Arial Nova" w:hAnsi="Arial Nova" w:eastAsia="Arial Nova" w:cs="Arial Nova"/>
          <w:noProof w:val="0"/>
          <w:sz w:val="24"/>
          <w:szCs w:val="24"/>
          <w:lang w:val="en-GB"/>
        </w:rPr>
        <w:t xml:space="preserve">, A. (2020). </w:t>
      </w:r>
      <w:r w:rsidRPr="3C57FF4C" w:rsidR="79D8F6A7">
        <w:rPr>
          <w:rFonts w:ascii="Arial Nova" w:hAnsi="Arial Nova" w:eastAsia="Arial Nova" w:cs="Arial Nova"/>
          <w:i w:val="1"/>
          <w:iCs w:val="1"/>
          <w:noProof w:val="0"/>
          <w:sz w:val="24"/>
          <w:szCs w:val="24"/>
          <w:lang w:val="en-GB"/>
        </w:rPr>
        <w:t>Cultural Heritage and the Future</w:t>
      </w:r>
      <w:r w:rsidRPr="3C57FF4C" w:rsidR="79D8F6A7">
        <w:rPr>
          <w:rFonts w:ascii="Arial Nova" w:hAnsi="Arial Nova" w:eastAsia="Arial Nova" w:cs="Arial Nova"/>
          <w:noProof w:val="0"/>
          <w:sz w:val="24"/>
          <w:szCs w:val="24"/>
          <w:lang w:val="en-GB"/>
        </w:rPr>
        <w:t>. Routledge.</w:t>
      </w:r>
    </w:p>
    <w:p w:rsidR="79D8F6A7" w:rsidP="3C57FF4C" w:rsidRDefault="79D8F6A7" w14:paraId="43A50484" w14:textId="68793117">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Houston, D., &amp; Zuñiga, M. E. (2019). Put a park on it: How freeway caps are reconnecting and greening divided cities. </w:t>
      </w:r>
      <w:r w:rsidRPr="3C57FF4C" w:rsidR="79D8F6A7">
        <w:rPr>
          <w:rFonts w:ascii="Arial Nova" w:hAnsi="Arial Nova" w:eastAsia="Arial Nova" w:cs="Arial Nova"/>
          <w:i w:val="1"/>
          <w:iCs w:val="1"/>
          <w:noProof w:val="0"/>
          <w:sz w:val="24"/>
          <w:szCs w:val="24"/>
          <w:lang w:val="en-GB"/>
        </w:rPr>
        <w:t>Cities</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85</w:t>
      </w:r>
      <w:r w:rsidRPr="3C57FF4C" w:rsidR="79D8F6A7">
        <w:rPr>
          <w:rFonts w:ascii="Arial Nova" w:hAnsi="Arial Nova" w:eastAsia="Arial Nova" w:cs="Arial Nova"/>
          <w:noProof w:val="0"/>
          <w:sz w:val="24"/>
          <w:szCs w:val="24"/>
          <w:lang w:val="en-GB"/>
        </w:rPr>
        <w:t>, 98–109.</w:t>
      </w:r>
      <w:r w:rsidRPr="3C57FF4C" w:rsidR="11E66414">
        <w:rPr>
          <w:rFonts w:ascii="Arial Nova" w:hAnsi="Arial Nova" w:eastAsia="Arial Nova" w:cs="Arial Nova"/>
          <w:noProof w:val="0"/>
          <w:sz w:val="24"/>
          <w:szCs w:val="24"/>
          <w:lang w:val="en-GB"/>
        </w:rPr>
        <w:t xml:space="preserve"> Available at: </w:t>
      </w:r>
      <w:hyperlink r:id="Rcb460cdb87f74822">
        <w:r w:rsidRPr="3C57FF4C" w:rsidR="79D8F6A7">
          <w:rPr>
            <w:rStyle w:val="Hyperlink"/>
            <w:rFonts w:ascii="Arial Nova" w:hAnsi="Arial Nova" w:eastAsia="Arial Nova" w:cs="Arial Nova"/>
            <w:noProof w:val="0"/>
            <w:sz w:val="24"/>
            <w:szCs w:val="24"/>
            <w:lang w:val="en-GB"/>
          </w:rPr>
          <w:t>https://doi.org/10.1016/j.cities.2018.08.007</w:t>
        </w:r>
      </w:hyperlink>
    </w:p>
    <w:p w:rsidR="79D8F6A7" w:rsidP="3C57FF4C" w:rsidRDefault="79D8F6A7" w14:paraId="2DD05BE0" w14:textId="5D60EF26">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James, P. (2022). </w:t>
      </w:r>
      <w:r w:rsidRPr="3C57FF4C" w:rsidR="79D8F6A7">
        <w:rPr>
          <w:rFonts w:ascii="Arial Nova" w:hAnsi="Arial Nova" w:eastAsia="Arial Nova" w:cs="Arial Nova"/>
          <w:i w:val="1"/>
          <w:iCs w:val="1"/>
          <w:noProof w:val="0"/>
          <w:sz w:val="24"/>
          <w:szCs w:val="24"/>
          <w:lang w:val="en-GB"/>
        </w:rPr>
        <w:t>Urban community gardens and their ability to promote social cohesion amidst gentrification</w:t>
      </w:r>
      <w:r w:rsidRPr="3C57FF4C" w:rsidR="79D8F6A7">
        <w:rPr>
          <w:rFonts w:ascii="Arial Nova" w:hAnsi="Arial Nova" w:eastAsia="Arial Nova" w:cs="Arial Nova"/>
          <w:noProof w:val="0"/>
          <w:sz w:val="24"/>
          <w:szCs w:val="24"/>
          <w:lang w:val="en-GB"/>
        </w:rPr>
        <w:t xml:space="preserve"> (Master Thesis). </w:t>
      </w:r>
      <w:r w:rsidRPr="3C57FF4C" w:rsidR="76F3EE5E">
        <w:rPr>
          <w:rFonts w:ascii="Arial Nova" w:hAnsi="Arial Nova" w:eastAsia="Arial Nova" w:cs="Arial Nova"/>
          <w:noProof w:val="0"/>
          <w:sz w:val="24"/>
          <w:szCs w:val="24"/>
          <w:lang w:val="en-GB"/>
        </w:rPr>
        <w:t>Available at:</w:t>
      </w:r>
      <w:r w:rsidRPr="3C57FF4C" w:rsidR="79D8F6A7">
        <w:rPr>
          <w:rFonts w:ascii="Arial Nova" w:hAnsi="Arial Nova" w:eastAsia="Arial Nova" w:cs="Arial Nova"/>
          <w:noProof w:val="0"/>
          <w:sz w:val="24"/>
          <w:szCs w:val="24"/>
          <w:lang w:val="en-GB"/>
        </w:rPr>
        <w:t xml:space="preserve"> </w:t>
      </w:r>
      <w:hyperlink r:id="R030d2147875e470e">
        <w:r w:rsidRPr="3C57FF4C" w:rsidR="79D8F6A7">
          <w:rPr>
            <w:rStyle w:val="Hyperlink"/>
            <w:rFonts w:ascii="Arial Nova" w:hAnsi="Arial Nova" w:eastAsia="Arial Nova" w:cs="Arial Nova"/>
            <w:noProof w:val="0"/>
            <w:sz w:val="24"/>
            <w:szCs w:val="24"/>
            <w:lang w:val="en-GB"/>
          </w:rPr>
          <w:t>https://studenttheses.uu.nl/handle/20.500.12932/42465</w:t>
        </w:r>
      </w:hyperlink>
    </w:p>
    <w:p w:rsidR="79D8F6A7" w:rsidP="3C57FF4C" w:rsidRDefault="79D8F6A7" w14:paraId="00E712D1" w14:textId="55B2A250">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Journeault</w:t>
      </w:r>
      <w:r w:rsidRPr="3C57FF4C" w:rsidR="79D8F6A7">
        <w:rPr>
          <w:rFonts w:ascii="Arial Nova" w:hAnsi="Arial Nova" w:eastAsia="Arial Nova" w:cs="Arial Nova"/>
          <w:noProof w:val="0"/>
          <w:sz w:val="24"/>
          <w:szCs w:val="24"/>
          <w:lang w:val="en-GB"/>
        </w:rPr>
        <w:t xml:space="preserve">, M., Perron, A., &amp; Vallières, L. (2021). The collaborative roles of stakeholders in supporting the adoption of sustainability in SMEs. </w:t>
      </w:r>
      <w:r w:rsidRPr="3C57FF4C" w:rsidR="79D8F6A7">
        <w:rPr>
          <w:rFonts w:ascii="Arial Nova" w:hAnsi="Arial Nova" w:eastAsia="Arial Nova" w:cs="Arial Nova"/>
          <w:i w:val="1"/>
          <w:iCs w:val="1"/>
          <w:noProof w:val="0"/>
          <w:sz w:val="24"/>
          <w:szCs w:val="24"/>
          <w:lang w:val="en-GB"/>
        </w:rPr>
        <w:t>Journal of Environmental Management</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287</w:t>
      </w:r>
      <w:r w:rsidRPr="3C57FF4C" w:rsidR="79D8F6A7">
        <w:rPr>
          <w:rFonts w:ascii="Arial Nova" w:hAnsi="Arial Nova" w:eastAsia="Arial Nova" w:cs="Arial Nova"/>
          <w:noProof w:val="0"/>
          <w:sz w:val="24"/>
          <w:szCs w:val="24"/>
          <w:lang w:val="en-GB"/>
        </w:rPr>
        <w:t>, 112349.</w:t>
      </w:r>
      <w:r w:rsidRPr="3C57FF4C" w:rsidR="1C480646">
        <w:rPr>
          <w:rFonts w:ascii="Arial Nova" w:hAnsi="Arial Nova" w:eastAsia="Arial Nova" w:cs="Arial Nova"/>
          <w:noProof w:val="0"/>
          <w:sz w:val="24"/>
          <w:szCs w:val="24"/>
          <w:lang w:val="en-GB"/>
        </w:rPr>
        <w:t xml:space="preserve"> Available at: </w:t>
      </w:r>
      <w:hyperlink r:id="R52408d1e9f24469e">
        <w:r w:rsidRPr="3C57FF4C" w:rsidR="79D8F6A7">
          <w:rPr>
            <w:rStyle w:val="Hyperlink"/>
            <w:rFonts w:ascii="Arial Nova" w:hAnsi="Arial Nova" w:eastAsia="Arial Nova" w:cs="Arial Nova"/>
            <w:noProof w:val="0"/>
            <w:sz w:val="24"/>
            <w:szCs w:val="24"/>
            <w:lang w:val="en-GB"/>
          </w:rPr>
          <w:t>https://doi.org/10.1016/j.jenvman.2021.112349</w:t>
        </w:r>
      </w:hyperlink>
    </w:p>
    <w:p w:rsidR="79D8F6A7" w:rsidP="3C57FF4C" w:rsidRDefault="79D8F6A7" w14:paraId="3F941490" w14:textId="62555FB8">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Kondrla</w:t>
      </w:r>
      <w:r w:rsidRPr="3C57FF4C" w:rsidR="79D8F6A7">
        <w:rPr>
          <w:rFonts w:ascii="Arial Nova" w:hAnsi="Arial Nova" w:eastAsia="Arial Nova" w:cs="Arial Nova"/>
          <w:noProof w:val="0"/>
          <w:sz w:val="24"/>
          <w:szCs w:val="24"/>
          <w:lang w:val="en-GB"/>
        </w:rPr>
        <w:t xml:space="preserve">, P., Tvrdoň, M., &amp; Tkáčová, H. (2020). CURRENT CHALLENGES FOR SOCIAL WORK: STEREOTYPING AS AN OBSTACLE TO THE INTEGRATION OF MARGINALIZED GROUPS INTO SOCIETY. </w:t>
      </w:r>
      <w:r w:rsidRPr="3C57FF4C" w:rsidR="79D8F6A7">
        <w:rPr>
          <w:rFonts w:ascii="Arial Nova" w:hAnsi="Arial Nova" w:eastAsia="Arial Nova" w:cs="Arial Nova"/>
          <w:i w:val="1"/>
          <w:iCs w:val="1"/>
          <w:noProof w:val="0"/>
          <w:sz w:val="24"/>
          <w:szCs w:val="24"/>
          <w:lang w:val="en-GB"/>
        </w:rPr>
        <w:t>ICERI2020 Proceedings</w:t>
      </w:r>
      <w:r w:rsidRPr="3C57FF4C" w:rsidR="79D8F6A7">
        <w:rPr>
          <w:rFonts w:ascii="Arial Nova" w:hAnsi="Arial Nova" w:eastAsia="Arial Nova" w:cs="Arial Nova"/>
          <w:noProof w:val="0"/>
          <w:sz w:val="24"/>
          <w:szCs w:val="24"/>
          <w:lang w:val="en-GB"/>
        </w:rPr>
        <w:t xml:space="preserve">, 3837–3843. </w:t>
      </w:r>
      <w:r w:rsidRPr="3C57FF4C" w:rsidR="287590B3">
        <w:rPr>
          <w:rFonts w:ascii="Arial Nova" w:hAnsi="Arial Nova" w:eastAsia="Arial Nova" w:cs="Arial Nova"/>
          <w:noProof w:val="0"/>
          <w:sz w:val="24"/>
          <w:szCs w:val="24"/>
          <w:lang w:val="en-GB"/>
        </w:rPr>
        <w:t xml:space="preserve">Available at: </w:t>
      </w:r>
      <w:hyperlink r:id="R1b868fc1d6974f55">
        <w:r w:rsidRPr="3C57FF4C" w:rsidR="79D8F6A7">
          <w:rPr>
            <w:rStyle w:val="Hyperlink"/>
            <w:rFonts w:ascii="Arial Nova" w:hAnsi="Arial Nova" w:eastAsia="Arial Nova" w:cs="Arial Nova"/>
            <w:noProof w:val="0"/>
            <w:sz w:val="24"/>
            <w:szCs w:val="24"/>
            <w:lang w:val="en-GB"/>
          </w:rPr>
          <w:t>https://doi.org/10.21125/iceri.2020.0870</w:t>
        </w:r>
      </w:hyperlink>
    </w:p>
    <w:p w:rsidR="79D8F6A7" w:rsidP="3C57FF4C" w:rsidRDefault="79D8F6A7" w14:paraId="470739D5" w14:textId="2EC41BEE">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Lemoine, R. (2020). </w:t>
      </w:r>
      <w:r w:rsidRPr="3C57FF4C" w:rsidR="79D8F6A7">
        <w:rPr>
          <w:rFonts w:ascii="Arial Nova" w:hAnsi="Arial Nova" w:eastAsia="Arial Nova" w:cs="Arial Nova"/>
          <w:i w:val="1"/>
          <w:iCs w:val="1"/>
          <w:noProof w:val="0"/>
          <w:sz w:val="24"/>
          <w:szCs w:val="24"/>
          <w:lang w:val="en-GB"/>
        </w:rPr>
        <w:t>Plato’s Caves: The Liberating Sting of Cultural Diversity</w:t>
      </w:r>
      <w:r w:rsidRPr="3C57FF4C" w:rsidR="79D8F6A7">
        <w:rPr>
          <w:rFonts w:ascii="Arial Nova" w:hAnsi="Arial Nova" w:eastAsia="Arial Nova" w:cs="Arial Nova"/>
          <w:noProof w:val="0"/>
          <w:sz w:val="24"/>
          <w:szCs w:val="24"/>
          <w:lang w:val="en-GB"/>
        </w:rPr>
        <w:t>. Oxford University Press.</w:t>
      </w:r>
    </w:p>
    <w:p w:rsidR="79D8F6A7" w:rsidP="3C57FF4C" w:rsidRDefault="79D8F6A7" w14:paraId="3994318E" w14:textId="1E0753B7">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Levine, J. (2021). </w:t>
      </w:r>
      <w:r w:rsidRPr="3C57FF4C" w:rsidR="79D8F6A7">
        <w:rPr>
          <w:rFonts w:ascii="Arial Nova" w:hAnsi="Arial Nova" w:eastAsia="Arial Nova" w:cs="Arial Nova"/>
          <w:i w:val="1"/>
          <w:iCs w:val="1"/>
          <w:noProof w:val="0"/>
          <w:sz w:val="24"/>
          <w:szCs w:val="24"/>
          <w:lang w:val="en-GB"/>
        </w:rPr>
        <w:t>Constructing Community</w:t>
      </w:r>
      <w:r w:rsidRPr="3C57FF4C" w:rsidR="79D8F6A7">
        <w:rPr>
          <w:rFonts w:ascii="Arial Nova" w:hAnsi="Arial Nova" w:eastAsia="Arial Nova" w:cs="Arial Nova"/>
          <w:noProof w:val="0"/>
          <w:sz w:val="24"/>
          <w:szCs w:val="24"/>
          <w:lang w:val="en-GB"/>
        </w:rPr>
        <w:t>. Princeton University Press.</w:t>
      </w:r>
    </w:p>
    <w:p w:rsidR="79D8F6A7" w:rsidP="3C57FF4C" w:rsidRDefault="79D8F6A7" w14:paraId="1E83665D" w14:textId="1D8FCAE5">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Marin, L. (2022). Enactive Principles for the Ethics of User Interactions on Social Media: How to Overcome Systematic Misunderstandings Through Shared Meaning-Making. </w:t>
      </w:r>
      <w:r w:rsidRPr="3C57FF4C" w:rsidR="79D8F6A7">
        <w:rPr>
          <w:rFonts w:ascii="Arial Nova" w:hAnsi="Arial Nova" w:eastAsia="Arial Nova" w:cs="Arial Nova"/>
          <w:i w:val="1"/>
          <w:iCs w:val="1"/>
          <w:noProof w:val="0"/>
          <w:sz w:val="24"/>
          <w:szCs w:val="24"/>
          <w:lang w:val="en-GB"/>
        </w:rPr>
        <w:t>Topoi</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41</w:t>
      </w:r>
      <w:r w:rsidRPr="3C57FF4C" w:rsidR="79D8F6A7">
        <w:rPr>
          <w:rFonts w:ascii="Arial Nova" w:hAnsi="Arial Nova" w:eastAsia="Arial Nova" w:cs="Arial Nova"/>
          <w:noProof w:val="0"/>
          <w:sz w:val="24"/>
          <w:szCs w:val="24"/>
          <w:lang w:val="en-GB"/>
        </w:rPr>
        <w:t>(2), 425–437.</w:t>
      </w:r>
      <w:r w:rsidRPr="3C57FF4C" w:rsidR="0531F808">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556106278b9e4fff">
        <w:r w:rsidRPr="3C57FF4C" w:rsidR="79D8F6A7">
          <w:rPr>
            <w:rStyle w:val="Hyperlink"/>
            <w:rFonts w:ascii="Arial Nova" w:hAnsi="Arial Nova" w:eastAsia="Arial Nova" w:cs="Arial Nova"/>
            <w:noProof w:val="0"/>
            <w:sz w:val="24"/>
            <w:szCs w:val="24"/>
            <w:lang w:val="en-GB"/>
          </w:rPr>
          <w:t>https://doi.org/10.1007/s11245-021-09792-9</w:t>
        </w:r>
      </w:hyperlink>
    </w:p>
    <w:p w:rsidR="79D8F6A7" w:rsidP="3C57FF4C" w:rsidRDefault="79D8F6A7" w14:paraId="5457FFF1" w14:textId="234B8635">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Nicolas, C., Kim, J., &amp; Chi, S. (2020). Quantifying the dynamic effects of smart city development enablers using structural equation </w:t>
      </w:r>
      <w:r w:rsidRPr="3C57FF4C" w:rsidR="79D8F6A7">
        <w:rPr>
          <w:rFonts w:ascii="Arial Nova" w:hAnsi="Arial Nova" w:eastAsia="Arial Nova" w:cs="Arial Nova"/>
          <w:noProof w:val="0"/>
          <w:sz w:val="24"/>
          <w:szCs w:val="24"/>
          <w:lang w:val="en-GB"/>
        </w:rPr>
        <w:t>modeling</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Sustainable Cities and Society</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53</w:t>
      </w:r>
      <w:r w:rsidRPr="3C57FF4C" w:rsidR="79D8F6A7">
        <w:rPr>
          <w:rFonts w:ascii="Arial Nova" w:hAnsi="Arial Nova" w:eastAsia="Arial Nova" w:cs="Arial Nova"/>
          <w:noProof w:val="0"/>
          <w:sz w:val="24"/>
          <w:szCs w:val="24"/>
          <w:lang w:val="en-GB"/>
        </w:rPr>
        <w:t>, 101916.</w:t>
      </w:r>
      <w:r w:rsidRPr="3C57FF4C" w:rsidR="28D0A9F4">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c099e6acd6934abf">
        <w:r w:rsidRPr="3C57FF4C" w:rsidR="79D8F6A7">
          <w:rPr>
            <w:rStyle w:val="Hyperlink"/>
            <w:rFonts w:ascii="Arial Nova" w:hAnsi="Arial Nova" w:eastAsia="Arial Nova" w:cs="Arial Nova"/>
            <w:noProof w:val="0"/>
            <w:sz w:val="24"/>
            <w:szCs w:val="24"/>
            <w:lang w:val="en-GB"/>
          </w:rPr>
          <w:t>https://doi.org/10.1016/j.scs.2019.101916</w:t>
        </w:r>
      </w:hyperlink>
    </w:p>
    <w:p w:rsidR="79D8F6A7" w:rsidP="3C57FF4C" w:rsidRDefault="79D8F6A7" w14:paraId="4401F119" w14:textId="5BF6B537">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Nielson, L., Wiles, J., &amp; Anderson, A. (2019). Social exclusion and community in an urban retirement village. </w:t>
      </w:r>
      <w:r w:rsidRPr="3C57FF4C" w:rsidR="79D8F6A7">
        <w:rPr>
          <w:rFonts w:ascii="Arial Nova" w:hAnsi="Arial Nova" w:eastAsia="Arial Nova" w:cs="Arial Nova"/>
          <w:i w:val="1"/>
          <w:iCs w:val="1"/>
          <w:noProof w:val="0"/>
          <w:sz w:val="24"/>
          <w:szCs w:val="24"/>
          <w:lang w:val="en-GB"/>
        </w:rPr>
        <w:t>Journal of Aging Studies</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49</w:t>
      </w:r>
      <w:r w:rsidRPr="3C57FF4C" w:rsidR="79D8F6A7">
        <w:rPr>
          <w:rFonts w:ascii="Arial Nova" w:hAnsi="Arial Nova" w:eastAsia="Arial Nova" w:cs="Arial Nova"/>
          <w:noProof w:val="0"/>
          <w:sz w:val="24"/>
          <w:szCs w:val="24"/>
          <w:lang w:val="en-GB"/>
        </w:rPr>
        <w:t xml:space="preserve">, 25–30. </w:t>
      </w:r>
      <w:r w:rsidRPr="3C57FF4C" w:rsidR="13538B18">
        <w:rPr>
          <w:rFonts w:ascii="Arial Nova" w:hAnsi="Arial Nova" w:eastAsia="Arial Nova" w:cs="Arial Nova"/>
          <w:noProof w:val="0"/>
          <w:sz w:val="24"/>
          <w:szCs w:val="24"/>
          <w:lang w:val="en-GB"/>
        </w:rPr>
        <w:t xml:space="preserve">Available at: </w:t>
      </w:r>
      <w:hyperlink r:id="Rf777ef75486a4ac0">
        <w:r w:rsidRPr="3C57FF4C" w:rsidR="79D8F6A7">
          <w:rPr>
            <w:rStyle w:val="Hyperlink"/>
            <w:rFonts w:ascii="Arial Nova" w:hAnsi="Arial Nova" w:eastAsia="Arial Nova" w:cs="Arial Nova"/>
            <w:noProof w:val="0"/>
            <w:sz w:val="24"/>
            <w:szCs w:val="24"/>
            <w:lang w:val="en-GB"/>
          </w:rPr>
          <w:t>https://doi.org/10.1016/j.jaging.2019.03.003</w:t>
        </w:r>
      </w:hyperlink>
    </w:p>
    <w:p w:rsidR="79D8F6A7" w:rsidP="3C57FF4C" w:rsidRDefault="79D8F6A7" w14:paraId="48202372" w14:textId="6509B0ED">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Parry-Jones, C. (2019). Wales’s Orthodox Synagogues: Constructing Jewish Communal Places and Spaces. </w:t>
      </w:r>
      <w:r w:rsidRPr="3C57FF4C" w:rsidR="79D8F6A7">
        <w:rPr>
          <w:rFonts w:ascii="Arial Nova" w:hAnsi="Arial Nova" w:eastAsia="Arial Nova" w:cs="Arial Nova"/>
          <w:i w:val="1"/>
          <w:iCs w:val="1"/>
          <w:noProof w:val="0"/>
          <w:sz w:val="24"/>
          <w:szCs w:val="24"/>
          <w:lang w:val="en-GB"/>
        </w:rPr>
        <w:t>Shofar: An Interdisciplinary Journal of Jewish Studies</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37</w:t>
      </w:r>
      <w:r w:rsidRPr="3C57FF4C" w:rsidR="79D8F6A7">
        <w:rPr>
          <w:rFonts w:ascii="Arial Nova" w:hAnsi="Arial Nova" w:eastAsia="Arial Nova" w:cs="Arial Nova"/>
          <w:noProof w:val="0"/>
          <w:sz w:val="24"/>
          <w:szCs w:val="24"/>
          <w:lang w:val="en-GB"/>
        </w:rPr>
        <w:t>(3), 59–94.</w:t>
      </w:r>
      <w:r w:rsidRPr="3C57FF4C" w:rsidR="0401EA67">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486f363097a84429">
        <w:r w:rsidRPr="3C57FF4C" w:rsidR="79D8F6A7">
          <w:rPr>
            <w:rStyle w:val="Hyperlink"/>
            <w:rFonts w:ascii="Arial Nova" w:hAnsi="Arial Nova" w:eastAsia="Arial Nova" w:cs="Arial Nova"/>
            <w:noProof w:val="0"/>
            <w:sz w:val="24"/>
            <w:szCs w:val="24"/>
            <w:lang w:val="en-GB"/>
          </w:rPr>
          <w:t>https://doi.org/10.1353/sho.2019.0030</w:t>
        </w:r>
      </w:hyperlink>
    </w:p>
    <w:p w:rsidR="79D8F6A7" w:rsidP="3C57FF4C" w:rsidRDefault="79D8F6A7" w14:paraId="7FDF299D" w14:textId="2AB72D0E">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Pheonix, U. (2023). Development. Retrieved April 23, 2023, from Phoenix Community Housing website:</w:t>
      </w:r>
      <w:r w:rsidRPr="3C57FF4C" w:rsidR="0AF23552">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ed9c9dc60f0e4713">
        <w:r w:rsidRPr="3C57FF4C" w:rsidR="79D8F6A7">
          <w:rPr>
            <w:rStyle w:val="Hyperlink"/>
            <w:rFonts w:ascii="Arial Nova" w:hAnsi="Arial Nova" w:eastAsia="Arial Nova" w:cs="Arial Nova"/>
            <w:noProof w:val="0"/>
            <w:sz w:val="24"/>
            <w:szCs w:val="24"/>
            <w:lang w:val="en-GB"/>
          </w:rPr>
          <w:t>https://www.phoenixch.org.uk/community/development</w:t>
        </w:r>
      </w:hyperlink>
    </w:p>
    <w:p w:rsidR="79D8F6A7" w:rsidP="3C57FF4C" w:rsidRDefault="79D8F6A7" w14:paraId="6DBF67BC" w14:textId="589268E6">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Price, J. (2020). Journeying with abeyance: A Welsh cultural approach to contemplative connection with the living world—UBC Library Open Collections. </w:t>
      </w:r>
      <w:r w:rsidRPr="3C57FF4C" w:rsidR="45B454CD">
        <w:rPr>
          <w:rFonts w:ascii="Arial Nova" w:hAnsi="Arial Nova" w:eastAsia="Arial Nova" w:cs="Arial Nova"/>
          <w:noProof w:val="0"/>
          <w:sz w:val="24"/>
          <w:szCs w:val="24"/>
          <w:lang w:val="en-GB"/>
        </w:rPr>
        <w:t xml:space="preserve">Available at: </w:t>
      </w:r>
      <w:hyperlink r:id="Rd5431d6e770b4fdd">
        <w:r w:rsidRPr="3C57FF4C" w:rsidR="79D8F6A7">
          <w:rPr>
            <w:rStyle w:val="Hyperlink"/>
            <w:rFonts w:ascii="Arial Nova" w:hAnsi="Arial Nova" w:eastAsia="Arial Nova" w:cs="Arial Nova"/>
            <w:noProof w:val="0"/>
            <w:sz w:val="24"/>
            <w:szCs w:val="24"/>
            <w:lang w:val="en-GB"/>
          </w:rPr>
          <w:t>https://open.library.ubc.ca/soa/cIRcle/collections/ubctheses/24/items/1.0388603</w:t>
        </w:r>
      </w:hyperlink>
      <w:r w:rsidRPr="3C57FF4C" w:rsidR="517C78DF">
        <w:rPr>
          <w:rFonts w:ascii="Arial Nova" w:hAnsi="Arial Nova" w:eastAsia="Arial Nova" w:cs="Arial Nova"/>
          <w:noProof w:val="0"/>
          <w:sz w:val="24"/>
          <w:szCs w:val="24"/>
          <w:lang w:val="en-GB"/>
        </w:rPr>
        <w:t xml:space="preserve"> (Accessed 23 April 2023)</w:t>
      </w:r>
    </w:p>
    <w:p w:rsidR="79D8F6A7" w:rsidP="3C57FF4C" w:rsidRDefault="79D8F6A7" w14:paraId="581C8E03" w14:textId="07E1B21C">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Rogers, A. (2021). Creative Expression and Contemporary Arts Making Among Young Cambodians.</w:t>
      </w:r>
    </w:p>
    <w:p w:rsidR="79D8F6A7" w:rsidP="3C57FF4C" w:rsidRDefault="79D8F6A7" w14:paraId="5D1EDE9B" w14:textId="42818651">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Rouzet</w:t>
      </w:r>
      <w:r w:rsidRPr="3C57FF4C" w:rsidR="79D8F6A7">
        <w:rPr>
          <w:rFonts w:ascii="Arial Nova" w:hAnsi="Arial Nova" w:eastAsia="Arial Nova" w:cs="Arial Nova"/>
          <w:noProof w:val="0"/>
          <w:sz w:val="24"/>
          <w:szCs w:val="24"/>
          <w:lang w:val="en-GB"/>
        </w:rPr>
        <w:t xml:space="preserve">, D., Sánchez, A. C., Renault, T., &amp; Roehn, O. (2019). </w:t>
      </w:r>
      <w:r w:rsidRPr="3C57FF4C" w:rsidR="79D8F6A7">
        <w:rPr>
          <w:rFonts w:ascii="Arial Nova" w:hAnsi="Arial Nova" w:eastAsia="Arial Nova" w:cs="Arial Nova"/>
          <w:i w:val="1"/>
          <w:iCs w:val="1"/>
          <w:noProof w:val="0"/>
          <w:sz w:val="24"/>
          <w:szCs w:val="24"/>
          <w:lang w:val="en-GB"/>
        </w:rPr>
        <w:t>Fiscal challenges and inclusive growth in ageing societies</w:t>
      </w:r>
      <w:r w:rsidRPr="3C57FF4C" w:rsidR="79D8F6A7">
        <w:rPr>
          <w:rFonts w:ascii="Arial Nova" w:hAnsi="Arial Nova" w:eastAsia="Arial Nova" w:cs="Arial Nova"/>
          <w:noProof w:val="0"/>
          <w:sz w:val="24"/>
          <w:szCs w:val="24"/>
          <w:lang w:val="en-GB"/>
        </w:rPr>
        <w:t>. Paris: OECD.</w:t>
      </w:r>
      <w:r w:rsidRPr="3C57FF4C" w:rsidR="15BFC3A9">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4c7b5b8e2a8945a5">
        <w:r w:rsidRPr="3C57FF4C" w:rsidR="79D8F6A7">
          <w:rPr>
            <w:rStyle w:val="Hyperlink"/>
            <w:rFonts w:ascii="Arial Nova" w:hAnsi="Arial Nova" w:eastAsia="Arial Nova" w:cs="Arial Nova"/>
            <w:noProof w:val="0"/>
            <w:sz w:val="24"/>
            <w:szCs w:val="24"/>
            <w:lang w:val="en-GB"/>
          </w:rPr>
          <w:t>https://doi.org/10.1787/c553d8d2-en</w:t>
        </w:r>
      </w:hyperlink>
    </w:p>
    <w:p w:rsidR="79D8F6A7" w:rsidP="3C57FF4C" w:rsidRDefault="79D8F6A7" w14:paraId="40EB2CEA" w14:textId="12D9F142">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Schwartz, J. M., &amp; Ryan, J. R. (2021). Introduction: Photography and the Geographical Imagination | 1 | </w:t>
      </w:r>
      <w:r w:rsidRPr="3C57FF4C" w:rsidR="79D8F6A7">
        <w:rPr>
          <w:rFonts w:ascii="Arial Nova" w:hAnsi="Arial Nova" w:eastAsia="Arial Nova" w:cs="Arial Nova"/>
          <w:noProof w:val="0"/>
          <w:sz w:val="24"/>
          <w:szCs w:val="24"/>
          <w:lang w:val="en-GB"/>
        </w:rPr>
        <w:t>Pictu</w:t>
      </w:r>
      <w:r w:rsidRPr="3C57FF4C" w:rsidR="79D8F6A7">
        <w:rPr>
          <w:rFonts w:ascii="Arial Nova" w:hAnsi="Arial Nova" w:eastAsia="Arial Nova" w:cs="Arial Nova"/>
          <w:noProof w:val="0"/>
          <w:sz w:val="24"/>
          <w:szCs w:val="24"/>
          <w:lang w:val="en-GB"/>
        </w:rPr>
        <w:t xml:space="preserve">. </w:t>
      </w:r>
      <w:r w:rsidRPr="3C57FF4C" w:rsidR="25FAC52D">
        <w:rPr>
          <w:rFonts w:ascii="Arial Nova" w:hAnsi="Arial Nova" w:eastAsia="Arial Nova" w:cs="Arial Nova"/>
          <w:noProof w:val="0"/>
          <w:sz w:val="24"/>
          <w:szCs w:val="24"/>
          <w:lang w:val="en-GB"/>
        </w:rPr>
        <w:t>Available at:</w:t>
      </w:r>
      <w:r w:rsidRPr="3C57FF4C" w:rsidR="79D8F6A7">
        <w:rPr>
          <w:rFonts w:ascii="Arial Nova" w:hAnsi="Arial Nova" w:eastAsia="Arial Nova" w:cs="Arial Nova"/>
          <w:noProof w:val="0"/>
          <w:sz w:val="24"/>
          <w:szCs w:val="24"/>
          <w:lang w:val="en-GB"/>
        </w:rPr>
        <w:t xml:space="preserve"> </w:t>
      </w:r>
      <w:hyperlink r:id="R8353eb75a6624378">
        <w:r w:rsidRPr="3C57FF4C" w:rsidR="79D8F6A7">
          <w:rPr>
            <w:rStyle w:val="Hyperlink"/>
            <w:rFonts w:ascii="Arial Nova" w:hAnsi="Arial Nova" w:eastAsia="Arial Nova" w:cs="Arial Nova"/>
            <w:noProof w:val="0"/>
            <w:sz w:val="24"/>
            <w:szCs w:val="24"/>
            <w:lang w:val="en-GB"/>
          </w:rPr>
          <w:t>https://www.taylorfrancis.com/chapters/edit/10.4324/9781003268260-1/introduction-photography-geographical-imagination-joan-schwartz-james-ryan</w:t>
        </w:r>
      </w:hyperlink>
      <w:r w:rsidRPr="3C57FF4C" w:rsidR="26A107E9">
        <w:rPr>
          <w:rFonts w:ascii="Arial Nova" w:hAnsi="Arial Nova" w:eastAsia="Arial Nova" w:cs="Arial Nova"/>
          <w:noProof w:val="0"/>
          <w:sz w:val="24"/>
          <w:szCs w:val="24"/>
          <w:lang w:val="en-GB"/>
        </w:rPr>
        <w:t xml:space="preserve"> (Accessed 23 April 2023)</w:t>
      </w:r>
    </w:p>
    <w:p w:rsidR="79D8F6A7" w:rsidP="3C57FF4C" w:rsidRDefault="79D8F6A7" w14:paraId="28169F50" w14:textId="30457E66">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 xml:space="preserve">South Wales Fire and Rescue Service. (2023). Phoenix Project. </w:t>
      </w:r>
      <w:r w:rsidRPr="3C57FF4C" w:rsidR="698F754D">
        <w:rPr>
          <w:rFonts w:ascii="Arial Nova" w:hAnsi="Arial Nova" w:eastAsia="Arial Nova" w:cs="Arial Nova"/>
          <w:noProof w:val="0"/>
          <w:sz w:val="24"/>
          <w:szCs w:val="24"/>
          <w:lang w:val="en-GB"/>
        </w:rPr>
        <w:t>Available at:</w:t>
      </w:r>
      <w:r w:rsidRPr="3C57FF4C" w:rsidR="79D8F6A7">
        <w:rPr>
          <w:rFonts w:ascii="Arial Nova" w:hAnsi="Arial Nova" w:eastAsia="Arial Nova" w:cs="Arial Nova"/>
          <w:noProof w:val="0"/>
          <w:sz w:val="24"/>
          <w:szCs w:val="24"/>
          <w:lang w:val="en-GB"/>
        </w:rPr>
        <w:t xml:space="preserve"> from South Wales Fire and Rescue Service website: </w:t>
      </w:r>
      <w:hyperlink r:id="R025b27bb1b094e0c">
        <w:r w:rsidRPr="3C57FF4C" w:rsidR="79D8F6A7">
          <w:rPr>
            <w:rStyle w:val="Hyperlink"/>
            <w:rFonts w:ascii="Arial Nova" w:hAnsi="Arial Nova" w:eastAsia="Arial Nova" w:cs="Arial Nova"/>
            <w:noProof w:val="0"/>
            <w:sz w:val="24"/>
            <w:szCs w:val="24"/>
            <w:lang w:val="en-GB"/>
          </w:rPr>
          <w:t>https://www.southwales-fire.gov.uk/youth-education/youth-interventions/phoenix-project/</w:t>
        </w:r>
      </w:hyperlink>
      <w:r w:rsidRPr="3C57FF4C" w:rsidR="20AAB758">
        <w:rPr>
          <w:rFonts w:ascii="Arial Nova" w:hAnsi="Arial Nova" w:eastAsia="Arial Nova" w:cs="Arial Nova"/>
          <w:noProof w:val="0"/>
          <w:sz w:val="24"/>
          <w:szCs w:val="24"/>
          <w:lang w:val="en-GB"/>
        </w:rPr>
        <w:t xml:space="preserve"> (Accessed 23 April 2023)</w:t>
      </w:r>
    </w:p>
    <w:p w:rsidR="79D8F6A7" w:rsidP="3C57FF4C" w:rsidRDefault="79D8F6A7" w14:paraId="749E5B91" w14:textId="52CE2A1B">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Stratone</w:t>
      </w:r>
      <w:r w:rsidRPr="3C57FF4C" w:rsidR="79D8F6A7">
        <w:rPr>
          <w:rFonts w:ascii="Arial Nova" w:hAnsi="Arial Nova" w:eastAsia="Arial Nova" w:cs="Arial Nova"/>
          <w:noProof w:val="0"/>
          <w:sz w:val="24"/>
          <w:szCs w:val="24"/>
          <w:lang w:val="en-GB"/>
        </w:rPr>
        <w:t xml:space="preserve">, M. E., &amp; Vătămănescu, E.-M. (2019). The Human Capital Dimension within the Organizational Equation. Gliding Between Virtual and Traditional Teams. </w:t>
      </w:r>
      <w:r w:rsidRPr="3C57FF4C" w:rsidR="79D8F6A7">
        <w:rPr>
          <w:rFonts w:ascii="Arial Nova" w:hAnsi="Arial Nova" w:eastAsia="Arial Nova" w:cs="Arial Nova"/>
          <w:i w:val="1"/>
          <w:iCs w:val="1"/>
          <w:noProof w:val="0"/>
          <w:sz w:val="24"/>
          <w:szCs w:val="24"/>
          <w:lang w:val="en-GB"/>
        </w:rPr>
        <w:t>Management Dynamics in the Knowledge Economy</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7</w:t>
      </w:r>
      <w:r w:rsidRPr="3C57FF4C" w:rsidR="79D8F6A7">
        <w:rPr>
          <w:rFonts w:ascii="Arial Nova" w:hAnsi="Arial Nova" w:eastAsia="Arial Nova" w:cs="Arial Nova"/>
          <w:noProof w:val="0"/>
          <w:sz w:val="24"/>
          <w:szCs w:val="24"/>
          <w:lang w:val="en-GB"/>
        </w:rPr>
        <w:t xml:space="preserve">(4), 447–467. </w:t>
      </w:r>
      <w:r w:rsidRPr="3C57FF4C" w:rsidR="6CE8964B">
        <w:rPr>
          <w:rFonts w:ascii="Arial Nova" w:hAnsi="Arial Nova" w:eastAsia="Arial Nova" w:cs="Arial Nova"/>
          <w:noProof w:val="0"/>
          <w:sz w:val="24"/>
          <w:szCs w:val="24"/>
          <w:lang w:val="en-GB"/>
        </w:rPr>
        <w:t xml:space="preserve">Available at: </w:t>
      </w:r>
      <w:hyperlink r:id="Raf98793dbb2c4591">
        <w:r w:rsidRPr="3C57FF4C" w:rsidR="79D8F6A7">
          <w:rPr>
            <w:rStyle w:val="Hyperlink"/>
            <w:rFonts w:ascii="Arial Nova" w:hAnsi="Arial Nova" w:eastAsia="Arial Nova" w:cs="Arial Nova"/>
            <w:noProof w:val="0"/>
            <w:sz w:val="24"/>
            <w:szCs w:val="24"/>
            <w:lang w:val="en-GB"/>
          </w:rPr>
          <w:t>https://doi.org/10.25019/mdke/7.4.01</w:t>
        </w:r>
      </w:hyperlink>
    </w:p>
    <w:p w:rsidR="79D8F6A7" w:rsidP="3C57FF4C" w:rsidRDefault="79D8F6A7" w14:paraId="0A70EE6F" w14:textId="3857EDE6">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Sumaila</w:t>
      </w:r>
      <w:r w:rsidRPr="3C57FF4C" w:rsidR="79D8F6A7">
        <w:rPr>
          <w:rFonts w:ascii="Arial Nova" w:hAnsi="Arial Nova" w:eastAsia="Arial Nova" w:cs="Arial Nova"/>
          <w:noProof w:val="0"/>
          <w:sz w:val="24"/>
          <w:szCs w:val="24"/>
          <w:lang w:val="en-GB"/>
        </w:rPr>
        <w:t xml:space="preserve">, U. R., Walsh, M., Hoareau, K., Cox, A., Teh, L., Abdallah, P., … Zhang, J. (2021). Financing a sustainable ocean economy. </w:t>
      </w:r>
      <w:r w:rsidRPr="3C57FF4C" w:rsidR="79D8F6A7">
        <w:rPr>
          <w:rFonts w:ascii="Arial Nova" w:hAnsi="Arial Nova" w:eastAsia="Arial Nova" w:cs="Arial Nova"/>
          <w:i w:val="1"/>
          <w:iCs w:val="1"/>
          <w:noProof w:val="0"/>
          <w:sz w:val="24"/>
          <w:szCs w:val="24"/>
          <w:lang w:val="en-GB"/>
        </w:rPr>
        <w:t>Nature Communications</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12</w:t>
      </w:r>
      <w:r w:rsidRPr="3C57FF4C" w:rsidR="79D8F6A7">
        <w:rPr>
          <w:rFonts w:ascii="Arial Nova" w:hAnsi="Arial Nova" w:eastAsia="Arial Nova" w:cs="Arial Nova"/>
          <w:noProof w:val="0"/>
          <w:sz w:val="24"/>
          <w:szCs w:val="24"/>
          <w:lang w:val="en-GB"/>
        </w:rPr>
        <w:t>(1), 3259.</w:t>
      </w:r>
      <w:r w:rsidRPr="3C57FF4C" w:rsidR="4DEEBD62">
        <w:rPr>
          <w:rFonts w:ascii="Arial Nova" w:hAnsi="Arial Nova" w:eastAsia="Arial Nova" w:cs="Arial Nova"/>
          <w:noProof w:val="0"/>
          <w:sz w:val="24"/>
          <w:szCs w:val="24"/>
          <w:lang w:val="en-GB"/>
        </w:rPr>
        <w:t xml:space="preserve"> Available at:</w:t>
      </w:r>
      <w:r w:rsidRPr="3C57FF4C" w:rsidR="79D8F6A7">
        <w:rPr>
          <w:rFonts w:ascii="Arial Nova" w:hAnsi="Arial Nova" w:eastAsia="Arial Nova" w:cs="Arial Nova"/>
          <w:noProof w:val="0"/>
          <w:sz w:val="24"/>
          <w:szCs w:val="24"/>
          <w:lang w:val="en-GB"/>
        </w:rPr>
        <w:t xml:space="preserve"> </w:t>
      </w:r>
      <w:hyperlink r:id="R3eaf7777381c4f13">
        <w:r w:rsidRPr="3C57FF4C" w:rsidR="79D8F6A7">
          <w:rPr>
            <w:rStyle w:val="Hyperlink"/>
            <w:rFonts w:ascii="Arial Nova" w:hAnsi="Arial Nova" w:eastAsia="Arial Nova" w:cs="Arial Nova"/>
            <w:noProof w:val="0"/>
            <w:sz w:val="24"/>
            <w:szCs w:val="24"/>
            <w:lang w:val="en-GB"/>
          </w:rPr>
          <w:t>https://doi.org/10.1038/s41467-021-23168-y</w:t>
        </w:r>
      </w:hyperlink>
    </w:p>
    <w:p w:rsidR="79D8F6A7" w:rsidP="3C57FF4C" w:rsidRDefault="79D8F6A7" w14:paraId="667B5825" w14:textId="73A59D4C">
      <w:pPr>
        <w:pStyle w:val="Normal"/>
        <w:keepNext w:val="0"/>
        <w:keepLines w:val="0"/>
        <w:spacing w:line="360" w:lineRule="auto"/>
        <w:ind w:left="0"/>
        <w:jc w:val="left"/>
        <w:rPr>
          <w:rFonts w:ascii="Arial Nova" w:hAnsi="Arial Nova" w:eastAsia="Arial Nova" w:cs="Arial Nova"/>
          <w:noProof w:val="0"/>
          <w:sz w:val="24"/>
          <w:szCs w:val="24"/>
          <w:lang w:val="en-GB"/>
        </w:rPr>
      </w:pPr>
      <w:r w:rsidRPr="3C57FF4C" w:rsidR="79D8F6A7">
        <w:rPr>
          <w:rFonts w:ascii="Arial Nova" w:hAnsi="Arial Nova" w:eastAsia="Arial Nova" w:cs="Arial Nova"/>
          <w:noProof w:val="0"/>
          <w:sz w:val="24"/>
          <w:szCs w:val="24"/>
          <w:lang w:val="en-GB"/>
        </w:rPr>
        <w:t>Warneryd</w:t>
      </w:r>
      <w:r w:rsidRPr="3C57FF4C" w:rsidR="79D8F6A7">
        <w:rPr>
          <w:rFonts w:ascii="Arial Nova" w:hAnsi="Arial Nova" w:eastAsia="Arial Nova" w:cs="Arial Nova"/>
          <w:noProof w:val="0"/>
          <w:sz w:val="24"/>
          <w:szCs w:val="24"/>
          <w:lang w:val="en-GB"/>
        </w:rPr>
        <w:t xml:space="preserve">, M., Håkansson, M., &amp; Karltorp, K. (2020). Unpacking the complexity of community microgrids: A review of institutions’ roles for development of microgrids. </w:t>
      </w:r>
      <w:r w:rsidRPr="3C57FF4C" w:rsidR="79D8F6A7">
        <w:rPr>
          <w:rFonts w:ascii="Arial Nova" w:hAnsi="Arial Nova" w:eastAsia="Arial Nova" w:cs="Arial Nova"/>
          <w:i w:val="1"/>
          <w:iCs w:val="1"/>
          <w:noProof w:val="0"/>
          <w:sz w:val="24"/>
          <w:szCs w:val="24"/>
          <w:lang w:val="en-GB"/>
        </w:rPr>
        <w:t>Renewable and Sustainable Energy Reviews</w:t>
      </w:r>
      <w:r w:rsidRPr="3C57FF4C" w:rsidR="79D8F6A7">
        <w:rPr>
          <w:rFonts w:ascii="Arial Nova" w:hAnsi="Arial Nova" w:eastAsia="Arial Nova" w:cs="Arial Nova"/>
          <w:noProof w:val="0"/>
          <w:sz w:val="24"/>
          <w:szCs w:val="24"/>
          <w:lang w:val="en-GB"/>
        </w:rPr>
        <w:t xml:space="preserve">, </w:t>
      </w:r>
      <w:r w:rsidRPr="3C57FF4C" w:rsidR="79D8F6A7">
        <w:rPr>
          <w:rFonts w:ascii="Arial Nova" w:hAnsi="Arial Nova" w:eastAsia="Arial Nova" w:cs="Arial Nova"/>
          <w:i w:val="1"/>
          <w:iCs w:val="1"/>
          <w:noProof w:val="0"/>
          <w:sz w:val="24"/>
          <w:szCs w:val="24"/>
          <w:lang w:val="en-GB"/>
        </w:rPr>
        <w:t>121</w:t>
      </w:r>
      <w:r w:rsidRPr="3C57FF4C" w:rsidR="79D8F6A7">
        <w:rPr>
          <w:rFonts w:ascii="Arial Nova" w:hAnsi="Arial Nova" w:eastAsia="Arial Nova" w:cs="Arial Nova"/>
          <w:noProof w:val="0"/>
          <w:sz w:val="24"/>
          <w:szCs w:val="24"/>
          <w:lang w:val="en-GB"/>
        </w:rPr>
        <w:t xml:space="preserve">, 109690. </w:t>
      </w:r>
      <w:r w:rsidRPr="3C57FF4C" w:rsidR="055652C5">
        <w:rPr>
          <w:rFonts w:ascii="Arial Nova" w:hAnsi="Arial Nova" w:eastAsia="Arial Nova" w:cs="Arial Nova"/>
          <w:noProof w:val="0"/>
          <w:sz w:val="24"/>
          <w:szCs w:val="24"/>
          <w:lang w:val="en-GB"/>
        </w:rPr>
        <w:t xml:space="preserve">Available at: </w:t>
      </w:r>
      <w:hyperlink r:id="Rfdfe183bc3854f89">
        <w:r w:rsidRPr="3C57FF4C" w:rsidR="79D8F6A7">
          <w:rPr>
            <w:rStyle w:val="Hyperlink"/>
            <w:rFonts w:ascii="Arial Nova" w:hAnsi="Arial Nova" w:eastAsia="Arial Nova" w:cs="Arial Nova"/>
            <w:noProof w:val="0"/>
            <w:sz w:val="24"/>
            <w:szCs w:val="24"/>
            <w:lang w:val="en-GB"/>
          </w:rPr>
          <w:t>https://doi.org/10.1016/j.rser.2019.109690</w:t>
        </w:r>
      </w:hyperlink>
    </w:p>
    <w:p w:rsidR="3C57FF4C" w:rsidP="3C57FF4C" w:rsidRDefault="3C57FF4C" w14:paraId="499BFEFF" w14:textId="6B30689E">
      <w:pPr>
        <w:pStyle w:val="Normal"/>
        <w:jc w:val="left"/>
        <w:rPr>
          <w:rFonts w:ascii="Arial Nova" w:hAnsi="Arial Nova" w:eastAsia="Arial Nova" w:cs="Arial Nova"/>
          <w:noProof w:val="0"/>
          <w:color w:val="0E101A"/>
          <w:sz w:val="24"/>
          <w:szCs w:val="24"/>
          <w:lang w:val="en-GB"/>
        </w:rPr>
      </w:pPr>
    </w:p>
    <w:p w:rsidR="3C57FF4C" w:rsidP="3C57FF4C" w:rsidRDefault="3C57FF4C" w14:paraId="3BD8B88E" w14:textId="0B66DDD3">
      <w:pPr>
        <w:pStyle w:val="Normal"/>
        <w:jc w:val="left"/>
        <w:rPr>
          <w:rFonts w:ascii="Arial Nova" w:hAnsi="Arial Nova" w:eastAsia="Arial Nova" w:cs="Arial Nova"/>
          <w:b w:val="0"/>
          <w:bCs w:val="0"/>
          <w:sz w:val="24"/>
          <w:szCs w:val="24"/>
        </w:rPr>
      </w:pPr>
    </w:p>
    <w:p w:rsidR="3C57FF4C" w:rsidP="3C57FF4C" w:rsidRDefault="3C57FF4C" w14:paraId="349B521A" w14:textId="27CE8914">
      <w:pPr>
        <w:pStyle w:val="Normal"/>
        <w:jc w:val="center"/>
        <w:rPr>
          <w:rFonts w:ascii="Arial Nova" w:hAnsi="Arial Nova" w:eastAsia="Arial Nova" w:cs="Arial Nova"/>
          <w:b w:val="0"/>
          <w:bCs w:val="0"/>
          <w:sz w:val="24"/>
          <w:szCs w:val="24"/>
        </w:rPr>
      </w:pPr>
    </w:p>
    <w:p w:rsidR="3C57FF4C" w:rsidP="3C57FF4C" w:rsidRDefault="3C57FF4C" w14:paraId="5BAFCD42" w14:textId="561E7E08">
      <w:pPr>
        <w:pStyle w:val="Normal"/>
        <w:jc w:val="left"/>
        <w:rPr>
          <w:rFonts w:ascii="Arial Nova" w:hAnsi="Arial Nova" w:eastAsia="Arial Nova" w:cs="Arial Nova"/>
          <w:b w:val="0"/>
          <w:bCs w:val="0"/>
          <w:sz w:val="24"/>
          <w:szCs w:val="24"/>
        </w:rPr>
      </w:pPr>
    </w:p>
    <w:p w:rsidR="3C57FF4C" w:rsidP="3C57FF4C" w:rsidRDefault="3C57FF4C" w14:paraId="63B4508D" w14:textId="18F1C258">
      <w:pPr>
        <w:pStyle w:val="Normal"/>
        <w:jc w:val="center"/>
        <w:rPr>
          <w:rFonts w:ascii="Arial Nova" w:hAnsi="Arial Nova" w:eastAsia="Arial Nova" w:cs="Arial Nova"/>
          <w:b w:val="0"/>
          <w:bCs w:val="0"/>
          <w:sz w:val="24"/>
          <w:szCs w:val="24"/>
        </w:rPr>
      </w:pPr>
    </w:p>
    <w:p w:rsidR="3C57FF4C" w:rsidP="3C57FF4C" w:rsidRDefault="3C57FF4C" w14:paraId="62B5C23A" w14:textId="46661FE2">
      <w:pPr>
        <w:pStyle w:val="Normal"/>
        <w:jc w:val="left"/>
        <w:rPr>
          <w:rFonts w:ascii="Arial Nova" w:hAnsi="Arial Nova" w:eastAsia="Arial Nova" w:cs="Arial Nova"/>
          <w:b w:val="0"/>
          <w:bCs w:val="0"/>
          <w:sz w:val="24"/>
          <w:szCs w:val="24"/>
        </w:rPr>
      </w:pPr>
    </w:p>
    <w:p w:rsidR="3C57FF4C" w:rsidP="3C57FF4C" w:rsidRDefault="3C57FF4C" w14:paraId="089592C0" w14:textId="575AE418">
      <w:pPr>
        <w:pStyle w:val="Normal"/>
        <w:jc w:val="right"/>
        <w:rPr>
          <w:rFonts w:ascii="Arial Nova" w:hAnsi="Arial Nova" w:eastAsia="Arial Nova" w:cs="Arial Nova"/>
          <w:b w:val="1"/>
          <w:bCs w:val="1"/>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0">
    <w:nsid w:val="73e4e0e"/>
    <w:multiLevelType xmlns:w="http://schemas.openxmlformats.org/wordprocessingml/2006/main" w:val="hybridMultilevel"/>
    <w:lvl xmlns:w="http://schemas.openxmlformats.org/wordprocessingml/2006/main" w:ilvl="0">
      <w:start w:val="3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33b67c6"/>
    <w:multiLevelType xmlns:w="http://schemas.openxmlformats.org/wordprocessingml/2006/main" w:val="hybridMultilevel"/>
    <w:lvl xmlns:w="http://schemas.openxmlformats.org/wordprocessingml/2006/main" w:ilvl="0">
      <w:start w:val="2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72dbcdf"/>
    <w:multiLevelType xmlns:w="http://schemas.openxmlformats.org/wordprocessingml/2006/main" w:val="hybridMultilevel"/>
    <w:lvl xmlns:w="http://schemas.openxmlformats.org/wordprocessingml/2006/main" w:ilvl="0">
      <w:start w:val="2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9090d99"/>
    <w:multiLevelType xmlns:w="http://schemas.openxmlformats.org/wordprocessingml/2006/main" w:val="hybridMultilevel"/>
    <w:lvl xmlns:w="http://schemas.openxmlformats.org/wordprocessingml/2006/main" w:ilvl="0">
      <w:start w:val="2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63a8c2c4"/>
    <w:multiLevelType xmlns:w="http://schemas.openxmlformats.org/wordprocessingml/2006/main" w:val="hybridMultilevel"/>
    <w:lvl xmlns:w="http://schemas.openxmlformats.org/wordprocessingml/2006/main" w:ilvl="0">
      <w:start w:val="2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5f387e6"/>
    <w:multiLevelType xmlns:w="http://schemas.openxmlformats.org/wordprocessingml/2006/main" w:val="hybridMultilevel"/>
    <w:lvl xmlns:w="http://schemas.openxmlformats.org/wordprocessingml/2006/main" w:ilvl="0">
      <w:start w:val="2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7687e7a"/>
    <w:multiLevelType xmlns:w="http://schemas.openxmlformats.org/wordprocessingml/2006/main" w:val="hybridMultilevel"/>
    <w:lvl xmlns:w="http://schemas.openxmlformats.org/wordprocessingml/2006/main" w:ilvl="0">
      <w:start w:val="2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bff648c"/>
    <w:multiLevelType xmlns:w="http://schemas.openxmlformats.org/wordprocessingml/2006/main" w:val="hybridMultilevel"/>
    <w:lvl xmlns:w="http://schemas.openxmlformats.org/wordprocessingml/2006/main" w:ilvl="0">
      <w:start w:val="2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e3da77a"/>
    <w:multiLevelType xmlns:w="http://schemas.openxmlformats.org/wordprocessingml/2006/main" w:val="hybridMultilevel"/>
    <w:lvl xmlns:w="http://schemas.openxmlformats.org/wordprocessingml/2006/main" w:ilvl="0">
      <w:start w:val="2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9b32a8c"/>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0eb8fd1"/>
    <w:multiLevelType xmlns:w="http://schemas.openxmlformats.org/wordprocessingml/2006/main" w:val="hybridMultilevel"/>
    <w:lvl xmlns:w="http://schemas.openxmlformats.org/wordprocessingml/2006/main" w:ilvl="0">
      <w:start w:val="2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b6c43af"/>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5a9d720"/>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e652bb7"/>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52d83ab"/>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fe69e38"/>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eebe5ea"/>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0ca4273"/>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97fa19"/>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96f395f"/>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222b6c9"/>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51e7966"/>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f537fc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aa08d7a"/>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524ecc3"/>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477ec9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cd4834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d2a41d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bc540f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be451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83E7C"/>
    <w:rsid w:val="00FBAFA5"/>
    <w:rsid w:val="021BB1A8"/>
    <w:rsid w:val="03B3BF12"/>
    <w:rsid w:val="03B78209"/>
    <w:rsid w:val="0401EA67"/>
    <w:rsid w:val="046EAAFF"/>
    <w:rsid w:val="0478B7D4"/>
    <w:rsid w:val="0531F808"/>
    <w:rsid w:val="0553526A"/>
    <w:rsid w:val="055652C5"/>
    <w:rsid w:val="05C139E6"/>
    <w:rsid w:val="0779E42B"/>
    <w:rsid w:val="079ADDF9"/>
    <w:rsid w:val="08705F71"/>
    <w:rsid w:val="088AF32C"/>
    <w:rsid w:val="0AF23552"/>
    <w:rsid w:val="0C83C9B9"/>
    <w:rsid w:val="0E898587"/>
    <w:rsid w:val="102DD200"/>
    <w:rsid w:val="119D1FE3"/>
    <w:rsid w:val="11E66414"/>
    <w:rsid w:val="1313A99D"/>
    <w:rsid w:val="13538B18"/>
    <w:rsid w:val="13CDA5D3"/>
    <w:rsid w:val="155E56E8"/>
    <w:rsid w:val="15BFC3A9"/>
    <w:rsid w:val="184BBFE0"/>
    <w:rsid w:val="19430E68"/>
    <w:rsid w:val="197BB18C"/>
    <w:rsid w:val="19841F38"/>
    <w:rsid w:val="1C225886"/>
    <w:rsid w:val="1C480646"/>
    <w:rsid w:val="1C646B03"/>
    <w:rsid w:val="1F10587A"/>
    <w:rsid w:val="1FC41119"/>
    <w:rsid w:val="209AC6F3"/>
    <w:rsid w:val="20AAB758"/>
    <w:rsid w:val="2393748D"/>
    <w:rsid w:val="23E3C99D"/>
    <w:rsid w:val="24B67A97"/>
    <w:rsid w:val="2553CB6C"/>
    <w:rsid w:val="25FAC52D"/>
    <w:rsid w:val="26A107E9"/>
    <w:rsid w:val="26EF9BCD"/>
    <w:rsid w:val="271B6A5F"/>
    <w:rsid w:val="287590B3"/>
    <w:rsid w:val="28CA9F4A"/>
    <w:rsid w:val="28D0A9F4"/>
    <w:rsid w:val="28D5819F"/>
    <w:rsid w:val="28D83E7C"/>
    <w:rsid w:val="2B127A84"/>
    <w:rsid w:val="2CE1F617"/>
    <w:rsid w:val="2FA26C7B"/>
    <w:rsid w:val="2FAC4138"/>
    <w:rsid w:val="324A2B68"/>
    <w:rsid w:val="329E4D9D"/>
    <w:rsid w:val="3668072C"/>
    <w:rsid w:val="37240112"/>
    <w:rsid w:val="38141645"/>
    <w:rsid w:val="382EEEA1"/>
    <w:rsid w:val="38E6C355"/>
    <w:rsid w:val="39E37AB2"/>
    <w:rsid w:val="3C57FF4C"/>
    <w:rsid w:val="3CB3CB50"/>
    <w:rsid w:val="3CCE37FA"/>
    <w:rsid w:val="3CE78768"/>
    <w:rsid w:val="3D2AAC5C"/>
    <w:rsid w:val="3E8357C9"/>
    <w:rsid w:val="45B454CD"/>
    <w:rsid w:val="48288525"/>
    <w:rsid w:val="49BCDD14"/>
    <w:rsid w:val="4A8EB63E"/>
    <w:rsid w:val="4B2884F8"/>
    <w:rsid w:val="4B4C6034"/>
    <w:rsid w:val="4C56EB45"/>
    <w:rsid w:val="4C9ECE82"/>
    <w:rsid w:val="4DC65700"/>
    <w:rsid w:val="4DEEBD62"/>
    <w:rsid w:val="5023EA0C"/>
    <w:rsid w:val="50354BF4"/>
    <w:rsid w:val="50FDF7C2"/>
    <w:rsid w:val="517C78DF"/>
    <w:rsid w:val="5299C823"/>
    <w:rsid w:val="53FEDD77"/>
    <w:rsid w:val="5447874C"/>
    <w:rsid w:val="55F352AE"/>
    <w:rsid w:val="570E78E5"/>
    <w:rsid w:val="596FB78E"/>
    <w:rsid w:val="5A021ED7"/>
    <w:rsid w:val="5DD54135"/>
    <w:rsid w:val="5E4328B1"/>
    <w:rsid w:val="5EE1897A"/>
    <w:rsid w:val="5F18CBF3"/>
    <w:rsid w:val="5F8A39F3"/>
    <w:rsid w:val="60F5271B"/>
    <w:rsid w:val="61506334"/>
    <w:rsid w:val="61CE17C2"/>
    <w:rsid w:val="634F7E61"/>
    <w:rsid w:val="644482B9"/>
    <w:rsid w:val="654A18FE"/>
    <w:rsid w:val="67954BD8"/>
    <w:rsid w:val="69271AF7"/>
    <w:rsid w:val="698F754D"/>
    <w:rsid w:val="6C4F949E"/>
    <w:rsid w:val="6CE8964B"/>
    <w:rsid w:val="6D033D52"/>
    <w:rsid w:val="6DD17F14"/>
    <w:rsid w:val="6DEB64FF"/>
    <w:rsid w:val="6FFD0A62"/>
    <w:rsid w:val="7198DAC3"/>
    <w:rsid w:val="74074304"/>
    <w:rsid w:val="75333E43"/>
    <w:rsid w:val="754E6976"/>
    <w:rsid w:val="76F3EE5E"/>
    <w:rsid w:val="7972D4F1"/>
    <w:rsid w:val="79D8F6A7"/>
    <w:rsid w:val="7B89576A"/>
    <w:rsid w:val="7D4F7A19"/>
    <w:rsid w:val="7E09764F"/>
    <w:rsid w:val="7E67297C"/>
    <w:rsid w:val="7EC0F82C"/>
    <w:rsid w:val="7EE410E5"/>
    <w:rsid w:val="7EFA8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83E7C"/>
  <w15:chartTrackingRefBased/>
  <w15:docId w15:val="{C55DCF22-739B-4F6C-A4FE-788C95D1DF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9537325.2021.1931674" TargetMode="External" Id="R63ac7dfd851043af" /><Relationship Type="http://schemas.openxmlformats.org/officeDocument/2006/relationships/hyperlink" Target="https://doi.org/10.4018/IJEPR.20210401.oa8" TargetMode="External" Id="Ra14ce475daf1404c" /><Relationship Type="http://schemas.openxmlformats.org/officeDocument/2006/relationships/hyperlink" Target="https://www.tandfonline.com/doi/abs/10.1080/10714413.2019.1685854?journalCode=gred20" TargetMode="External" Id="Raf1a785d0cfa4ee4" /><Relationship Type="http://schemas.openxmlformats.org/officeDocument/2006/relationships/hyperlink" Target="https://doi.org/10.1016/j.techfore.2019.01.008" TargetMode="External" Id="R87faf24d022040cb" /><Relationship Type="http://schemas.openxmlformats.org/officeDocument/2006/relationships/hyperlink" Target="https://eric.ed.gov/?id=ED607978" TargetMode="External" Id="R6770e2a0fd564865" /><Relationship Type="http://schemas.openxmlformats.org/officeDocument/2006/relationships/hyperlink" Target="https://doi.org/10.1016/j.cities.2018.08.007" TargetMode="External" Id="Rcb460cdb87f74822" /><Relationship Type="http://schemas.openxmlformats.org/officeDocument/2006/relationships/hyperlink" Target="https://studenttheses.uu.nl/handle/20.500.12932/42465" TargetMode="External" Id="R030d2147875e470e" /><Relationship Type="http://schemas.openxmlformats.org/officeDocument/2006/relationships/hyperlink" Target="https://doi.org/10.1016/j.jenvman.2021.112349" TargetMode="External" Id="R52408d1e9f24469e" /><Relationship Type="http://schemas.openxmlformats.org/officeDocument/2006/relationships/hyperlink" Target="https://doi.org/10.21125/iceri.2020.0870" TargetMode="External" Id="R1b868fc1d6974f55" /><Relationship Type="http://schemas.openxmlformats.org/officeDocument/2006/relationships/hyperlink" Target="https://doi.org/10.1007/s11245-021-09792-9" TargetMode="External" Id="R556106278b9e4fff" /><Relationship Type="http://schemas.openxmlformats.org/officeDocument/2006/relationships/hyperlink" Target="https://doi.org/10.1016/j.scs.2019.101916" TargetMode="External" Id="Rc099e6acd6934abf" /><Relationship Type="http://schemas.openxmlformats.org/officeDocument/2006/relationships/hyperlink" Target="https://doi.org/10.1016/j.jaging.2019.03.003" TargetMode="External" Id="Rf777ef75486a4ac0" /><Relationship Type="http://schemas.openxmlformats.org/officeDocument/2006/relationships/hyperlink" Target="https://doi.org/10.1353/sho.2019.0030" TargetMode="External" Id="R486f363097a84429" /><Relationship Type="http://schemas.openxmlformats.org/officeDocument/2006/relationships/hyperlink" Target="https://www.phoenixch.org.uk/community/development" TargetMode="External" Id="Red9c9dc60f0e4713" /><Relationship Type="http://schemas.openxmlformats.org/officeDocument/2006/relationships/hyperlink" Target="https://open.library.ubc.ca/soa/cIRcle/collections/ubctheses/24/items/1.0388603" TargetMode="External" Id="Rd5431d6e770b4fdd" /><Relationship Type="http://schemas.openxmlformats.org/officeDocument/2006/relationships/hyperlink" Target="https://doi.org/10.1787/c553d8d2-en" TargetMode="External" Id="R4c7b5b8e2a8945a5" /><Relationship Type="http://schemas.openxmlformats.org/officeDocument/2006/relationships/hyperlink" Target="https://www.taylorfrancis.com/chapters/edit/10.4324/9781003268260-1/introduction-photography-geographical-imagination-joan-schwartz-james-ryan" TargetMode="External" Id="R8353eb75a6624378" /><Relationship Type="http://schemas.openxmlformats.org/officeDocument/2006/relationships/hyperlink" Target="https://www.southwales-fire.gov.uk/youth-education/youth-interventions/phoenix-project/" TargetMode="External" Id="R025b27bb1b094e0c" /><Relationship Type="http://schemas.openxmlformats.org/officeDocument/2006/relationships/hyperlink" Target="https://doi.org/10.25019/mdke/7.4.01" TargetMode="External" Id="Raf98793dbb2c4591" /><Relationship Type="http://schemas.openxmlformats.org/officeDocument/2006/relationships/hyperlink" Target="https://doi.org/10.1038/s41467-021-23168-y" TargetMode="External" Id="R3eaf7777381c4f13" /><Relationship Type="http://schemas.openxmlformats.org/officeDocument/2006/relationships/hyperlink" Target="https://doi.org/10.1016/j.rser.2019.109690" TargetMode="External" Id="Rfdfe183bc3854f89" /><Relationship Type="http://schemas.openxmlformats.org/officeDocument/2006/relationships/numbering" Target="/word/numbering.xml" Id="Ra3dfda2de45c4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 (2017359)</dc:creator>
  <keywords/>
  <dc:description/>
  <lastModifiedBy>Madalina Neagu (2017359)</lastModifiedBy>
  <revision>2</revision>
  <dcterms:created xsi:type="dcterms:W3CDTF">2023-03-02T13:38:28.9527955Z</dcterms:created>
  <dcterms:modified xsi:type="dcterms:W3CDTF">2023-04-25T11:45:43.7460484Z</dcterms:modified>
</coreProperties>
</file>