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rPr>
          <w:rFonts w:hint="default" w:eastAsiaTheme="minorEastAsia"/>
          <w:lang w:val="en-US" w:eastAsia="zh-CN"/>
        </w:rPr>
      </w:pPr>
      <w:bookmarkStart w:id="0" w:name="_GoBack"/>
      <w:bookmarkEnd w:id="0"/>
      <w:r>
        <w:rPr>
          <w:rFonts w:hint="eastAsia"/>
          <w:lang w:val="en-US" w:eastAsia="zh-CN"/>
        </w:rPr>
        <w:t>Task1：</w:t>
      </w:r>
    </w:p>
    <w:p>
      <w:pPr>
        <w:numPr>
          <w:ilvl w:val="0"/>
          <w:numId w:val="1"/>
        </w:numPr>
        <w:rPr>
          <w:rFonts w:hint="eastAsia"/>
        </w:rPr>
      </w:pPr>
      <w:r>
        <w:rPr>
          <w:rFonts w:hint="eastAsia"/>
        </w:rPr>
        <w:t>Dynamic wireless network security model</w:t>
      </w:r>
    </w:p>
    <w:p>
      <w:pPr>
        <w:numPr>
          <w:ilvl w:val="0"/>
          <w:numId w:val="0"/>
        </w:numPr>
        <w:ind w:firstLine="420" w:firstLineChars="200"/>
        <w:rPr>
          <w:rFonts w:hint="eastAsia"/>
        </w:rPr>
      </w:pPr>
      <w:r>
        <w:rPr>
          <w:rFonts w:hint="eastAsia"/>
        </w:rPr>
        <w:t>The dynamic wireless network security model consists of four main components: security policy, protection, testing, and response.It is a single-line protection device based on the static open-loop control mechanism.</w:t>
      </w:r>
    </w:p>
    <w:p>
      <w:pPr>
        <w:numPr>
          <w:ilvl w:val="0"/>
          <w:numId w:val="0"/>
        </w:numPr>
        <w:ind w:firstLine="420" w:firstLineChars="200"/>
        <w:rPr>
          <w:rFonts w:hint="eastAsia"/>
        </w:rPr>
      </w:pPr>
      <w:r>
        <w:rPr>
          <w:rFonts w:hint="eastAsia"/>
        </w:rPr>
        <w:t>The main feature of the security model is to detect and analyze the packet flow based on security policy through matching data flow detection and flow filtering The security policy realizes the control of response and interaction through ap interactive connection. The improved model can achieve a good self-organizing dynamic security policy, and effectively solve the problem of policy coordination and update between mobile terminals and wireless networks other than access points. On this basis, this paper mainly analyzes the network security model based on improved dynamic wireless network.</w:t>
      </w:r>
    </w:p>
    <w:p>
      <w:pPr>
        <w:numPr>
          <w:ilvl w:val="0"/>
          <w:numId w:val="0"/>
        </w:numPr>
        <w:ind w:firstLine="420" w:firstLineChars="200"/>
        <w:rPr>
          <w:rFonts w:hint="eastAsia"/>
        </w:rPr>
      </w:pPr>
      <w:r>
        <w:rPr>
          <w:rFonts w:hint="eastAsia"/>
        </w:rPr>
        <w:t>Dynamic wireless networks are based on the popularity of network applications and the increasing increase of network-dependent people, but the limitations of traditional networks are increasing.Dynamic wireless network has high flexibility, low-cost network, convenient operation and other advantages, and has obtained more customers.However, at present, the dynamic wireless network security model has defects in initiative defense, risk assessment, security policy generation and other aspects.</w:t>
      </w:r>
    </w:p>
    <w:p>
      <w:pPr>
        <w:numPr>
          <w:ilvl w:val="0"/>
          <w:numId w:val="0"/>
        </w:numPr>
        <w:ind w:firstLine="420" w:firstLineChars="200"/>
        <w:rPr>
          <w:rFonts w:hint="eastAsia"/>
        </w:rPr>
      </w:pPr>
    </w:p>
    <w:p>
      <w:pPr>
        <w:numPr>
          <w:ilvl w:val="0"/>
          <w:numId w:val="0"/>
        </w:numPr>
        <w:ind w:firstLine="420" w:firstLineChars="200"/>
        <w:rPr>
          <w:rFonts w:hint="eastAsia"/>
        </w:rPr>
      </w:pPr>
    </w:p>
    <w:p>
      <w:pPr>
        <w:numPr>
          <w:ilvl w:val="0"/>
          <w:numId w:val="0"/>
        </w:numPr>
        <w:ind w:firstLine="420" w:firstLineChars="200"/>
        <w:rPr>
          <w:rFonts w:hint="eastAsia"/>
        </w:rPr>
      </w:pPr>
    </w:p>
    <w:p>
      <w:pPr>
        <w:numPr>
          <w:ilvl w:val="0"/>
          <w:numId w:val="1"/>
        </w:numPr>
        <w:ind w:left="0" w:leftChars="0" w:firstLine="0" w:firstLineChars="0"/>
        <w:rPr>
          <w:rFonts w:hint="eastAsia"/>
        </w:rPr>
      </w:pPr>
      <w:r>
        <w:rPr>
          <w:rFonts w:hint="eastAsia"/>
        </w:rPr>
        <w:t>Trusted network model based on the BLP model</w:t>
      </w:r>
    </w:p>
    <w:p>
      <w:pPr>
        <w:numPr>
          <w:ilvl w:val="0"/>
          <w:numId w:val="0"/>
        </w:numPr>
        <w:ind w:leftChars="0"/>
        <w:rPr>
          <w:rFonts w:hint="eastAsia"/>
          <w:lang w:val="en-US" w:eastAsia="zh-CN"/>
        </w:rPr>
      </w:pPr>
      <w:r>
        <w:rPr>
          <w:rFonts w:hint="eastAsia"/>
          <w:lang w:val="en-US" w:eastAsia="zh-CN"/>
        </w:rPr>
        <w:t xml:space="preserve">  From the perspective of access control, BLP model studies how to ensure that agents can effectively access objects and how to ensure the security of the system. This is an access control model, which is used to realize multi-level security policy and dynamic security policy in computer system. It protects the security of the system by abiding by the rules of access object and operation permission.</w:t>
      </w:r>
    </w:p>
    <w:p>
      <w:pPr>
        <w:numPr>
          <w:ilvl w:val="0"/>
          <w:numId w:val="0"/>
        </w:numPr>
        <w:ind w:leftChars="0" w:firstLine="420" w:firstLineChars="200"/>
        <w:rPr>
          <w:rFonts w:hint="eastAsia"/>
          <w:lang w:val="en-US" w:eastAsia="zh-CN"/>
        </w:rPr>
      </w:pPr>
      <w:r>
        <w:rPr>
          <w:rFonts w:hint="eastAsia"/>
          <w:lang w:val="en-US" w:eastAsia="zh-CN"/>
        </w:rPr>
        <w:t>BLP model has two security control methods: MAC and DAC. Under the control of BLP model, objects must be accessed through Mac and DAC at the same time.</w:t>
      </w:r>
    </w:p>
    <w:p>
      <w:pPr>
        <w:numPr>
          <w:ilvl w:val="0"/>
          <w:numId w:val="0"/>
        </w:numPr>
        <w:ind w:leftChars="0" w:firstLine="420" w:firstLineChars="200"/>
        <w:rPr>
          <w:rFonts w:hint="eastAsia"/>
          <w:lang w:val="en-US" w:eastAsia="zh-CN"/>
        </w:rPr>
      </w:pPr>
      <w:r>
        <w:rPr>
          <w:rFonts w:hint="eastAsia"/>
          <w:lang w:val="en-US" w:eastAsia="zh-CN"/>
        </w:rPr>
        <w:t>BLP model is essentially a state machine model. It formally defines the transmission system, that is, the system state. It defines the concept of security and develops a set of security features that restrict and restrict the national system and national transfer rules. Its purpose is to prove that the system is safe. If its initial state is safe, all rules are safe.</w:t>
      </w:r>
    </w:p>
    <w:p>
      <w:pPr>
        <w:numPr>
          <w:ilvl w:val="0"/>
          <w:numId w:val="0"/>
        </w:numPr>
        <w:ind w:leftChars="0"/>
        <w:rPr>
          <w:rFonts w:hint="eastAsia"/>
          <w:lang w:val="en-US" w:eastAsia="zh-CN"/>
        </w:rPr>
      </w:pPr>
      <w:r>
        <w:rPr>
          <w:rFonts w:hint="default"/>
          <w:lang w:val="en-US" w:eastAsia="zh-CN"/>
        </w:rPr>
        <w:t>Model response rules</w:t>
      </w:r>
      <w:r>
        <w:rPr>
          <w:rFonts w:hint="eastAsia"/>
          <w:lang w:val="en-US" w:eastAsia="zh-CN"/>
        </w:rPr>
        <w:t>：</w:t>
      </w:r>
    </w:p>
    <w:p>
      <w:pPr>
        <w:numPr>
          <w:ilvl w:val="0"/>
          <w:numId w:val="0"/>
        </w:numPr>
        <w:ind w:leftChars="0" w:firstLine="420" w:firstLineChars="200"/>
        <w:rPr>
          <w:rFonts w:hint="default"/>
          <w:lang w:val="en-US" w:eastAsia="zh-CN"/>
        </w:rPr>
      </w:pPr>
      <w:r>
        <w:rPr>
          <w:rFonts w:hint="default"/>
          <w:lang w:val="en-US" w:eastAsia="zh-CN"/>
        </w:rPr>
        <w:t>For the security of the system, the response of the system to the service request of each user must meet the simple confidentiality, integrity, integrity, availability, legitimacy, simplicity and self security:</w:t>
      </w:r>
    </w:p>
    <w:p>
      <w:pPr>
        <w:numPr>
          <w:ilvl w:val="0"/>
          <w:numId w:val="0"/>
        </w:numPr>
        <w:ind w:leftChars="0"/>
        <w:rPr>
          <w:rFonts w:hint="default"/>
          <w:lang w:val="en-US" w:eastAsia="zh-CN"/>
        </w:rPr>
      </w:pPr>
      <w:r>
        <w:rPr>
          <w:rFonts w:hint="default"/>
          <w:lang w:val="en-US" w:eastAsia="zh-CN"/>
        </w:rPr>
        <w:t>1</w:t>
      </w:r>
      <w:r>
        <w:rPr>
          <w:rFonts w:hint="eastAsia"/>
          <w:lang w:val="en-US" w:eastAsia="zh-CN"/>
        </w:rPr>
        <w:t>.</w:t>
      </w:r>
      <w:r>
        <w:rPr>
          <w:rFonts w:hint="default"/>
          <w:lang w:val="en-US" w:eastAsia="zh-CN"/>
        </w:rPr>
        <w:t>Users can request authentication or obtain the appropriate identity from the default role instance in the system. The system establishes privacy, integrity and access control rules independently based on user identity.</w:t>
      </w:r>
    </w:p>
    <w:p>
      <w:pPr>
        <w:numPr>
          <w:ilvl w:val="0"/>
          <w:numId w:val="0"/>
        </w:numPr>
        <w:ind w:leftChars="0"/>
        <w:rPr>
          <w:rFonts w:hint="default"/>
          <w:lang w:val="en-US" w:eastAsia="zh-CN"/>
        </w:rPr>
      </w:pPr>
      <w:r>
        <w:rPr>
          <w:rFonts w:hint="eastAsia"/>
          <w:lang w:val="en-US" w:eastAsia="zh-CN"/>
        </w:rPr>
        <w:t>2.</w:t>
      </w:r>
      <w:r>
        <w:rPr>
          <w:rFonts w:hint="default"/>
          <w:lang w:val="en-US" w:eastAsia="zh-CN"/>
        </w:rPr>
        <w:t>Only when the security level is higher than or equal to the security level of the object can the user read the request of the object;</w:t>
      </w:r>
    </w:p>
    <w:p>
      <w:pPr>
        <w:numPr>
          <w:ilvl w:val="0"/>
          <w:numId w:val="0"/>
        </w:numPr>
        <w:ind w:leftChars="0"/>
        <w:rPr>
          <w:rFonts w:hint="default"/>
          <w:lang w:val="en-US" w:eastAsia="zh-CN"/>
        </w:rPr>
      </w:pPr>
      <w:r>
        <w:rPr>
          <w:rFonts w:hint="eastAsia"/>
          <w:lang w:val="en-US" w:eastAsia="zh-CN"/>
        </w:rPr>
        <w:t>3.</w:t>
      </w:r>
      <w:r>
        <w:rPr>
          <w:rFonts w:hint="default"/>
          <w:lang w:val="en-US" w:eastAsia="zh-CN"/>
        </w:rPr>
        <w:t>Only when the user's security level is higher than or equal to the security level of the object, the system allows the user to write the request object.</w:t>
      </w:r>
    </w:p>
    <w:p>
      <w:pPr>
        <w:numPr>
          <w:ilvl w:val="0"/>
          <w:numId w:val="0"/>
        </w:numPr>
        <w:ind w:leftChars="0"/>
        <w:rPr>
          <w:rFonts w:hint="default"/>
          <w:lang w:val="en-US" w:eastAsia="zh-CN"/>
        </w:rPr>
      </w:pPr>
      <w:r>
        <w:rPr>
          <w:rFonts w:hint="default"/>
          <w:lang w:val="en-US" w:eastAsia="zh-CN"/>
        </w:rPr>
        <w:t>4. The system allows users to read and write another object, unless the security level of the read object is lower than that of the write object or equal to that of the write object.</w:t>
      </w:r>
    </w:p>
    <w:p>
      <w:pPr>
        <w:numPr>
          <w:ilvl w:val="0"/>
          <w:numId w:val="0"/>
        </w:numPr>
        <w:ind w:leftChars="0"/>
        <w:rPr>
          <w:rFonts w:hint="default"/>
          <w:lang w:val="en-US" w:eastAsia="zh-CN"/>
        </w:rPr>
      </w:pPr>
      <w:r>
        <w:rPr>
          <w:rFonts w:hint="eastAsia"/>
          <w:lang w:val="en-US" w:eastAsia="zh-CN"/>
        </w:rPr>
        <w:t>5.</w:t>
      </w:r>
      <w:r>
        <w:rPr>
          <w:rFonts w:hint="default"/>
          <w:lang w:val="en-US" w:eastAsia="zh-CN"/>
        </w:rPr>
        <w:t>The system allows the user to stop the request unless the object is a program that the user can stop. The system does not allow the user to stop the main program or any other system program directly or indirectly.6. The system allows user execution requests as an object only if the object is a program that the user can execute</w:t>
      </w:r>
      <w:r>
        <w:rPr>
          <w:rFonts w:hint="eastAsia"/>
          <w:lang w:val="en-US" w:eastAsia="zh-CN"/>
        </w:rPr>
        <w:t>.</w:t>
      </w:r>
    </w:p>
    <w:p>
      <w:pPr>
        <w:numPr>
          <w:ilvl w:val="0"/>
          <w:numId w:val="0"/>
        </w:numPr>
        <w:ind w:leftChars="0"/>
        <w:rPr>
          <w:rFonts w:hint="default"/>
          <w:lang w:val="en-US" w:eastAsia="zh-CN"/>
        </w:rPr>
      </w:pPr>
      <w:r>
        <w:rPr>
          <w:rFonts w:hint="eastAsia"/>
          <w:lang w:val="en-US" w:eastAsia="zh-CN"/>
        </w:rPr>
        <w:t>6.</w:t>
      </w:r>
      <w:r>
        <w:rPr>
          <w:rFonts w:hint="default"/>
          <w:lang w:val="en-US" w:eastAsia="zh-CN"/>
        </w:rPr>
        <w:t>The user is allowed to access the object only when the request to access the object complies with the object's access control rules.</w:t>
      </w:r>
    </w:p>
    <w:p>
      <w:pPr>
        <w:numPr>
          <w:ilvl w:val="0"/>
          <w:numId w:val="0"/>
        </w:numPr>
        <w:ind w:leftChars="0"/>
        <w:rPr>
          <w:rFonts w:hint="default"/>
          <w:lang w:val="en-US" w:eastAsia="zh-CN"/>
        </w:rPr>
      </w:pPr>
      <w:r>
        <w:rPr>
          <w:rFonts w:hint="default"/>
          <w:lang w:val="en-US" w:eastAsia="zh-CN"/>
        </w:rPr>
        <w:t>The analysis rules of the model</w:t>
      </w:r>
      <w:r>
        <w:rPr>
          <w:rFonts w:hint="eastAsia"/>
          <w:lang w:val="en-US" w:eastAsia="zh-CN"/>
        </w:rPr>
        <w:t>：</w:t>
      </w:r>
    </w:p>
    <w:p>
      <w:pPr>
        <w:numPr>
          <w:ilvl w:val="0"/>
          <w:numId w:val="0"/>
        </w:numPr>
        <w:ind w:leftChars="0" w:firstLine="420" w:firstLineChars="200"/>
        <w:rPr>
          <w:rFonts w:hint="default"/>
          <w:lang w:val="en-US" w:eastAsia="zh-CN"/>
        </w:rPr>
      </w:pPr>
      <w:r>
        <w:rPr>
          <w:rFonts w:hint="default"/>
          <w:lang w:val="en-US" w:eastAsia="zh-CN"/>
        </w:rPr>
        <w:t>The trusted network model constructs the security system by defining the code of conduct that must be followed. In order to analyze the service log and identify defects and security threats, it is necessary to analyze the system activity rules in the model.</w:t>
      </w:r>
    </w:p>
    <w:p>
      <w:pPr>
        <w:numPr>
          <w:ilvl w:val="0"/>
          <w:numId w:val="0"/>
        </w:numPr>
        <w:ind w:leftChars="0" w:firstLine="420" w:firstLineChars="200"/>
        <w:rPr>
          <w:rFonts w:hint="default"/>
          <w:lang w:val="en-US" w:eastAsia="zh-CN"/>
        </w:rPr>
      </w:pPr>
      <w:r>
        <w:rPr>
          <w:rFonts w:hint="default"/>
          <w:lang w:val="en-US" w:eastAsia="zh-CN"/>
        </w:rPr>
        <w:t>Log analysis in trusted networks is not only used to ensure that the system response to each user's service request meets the security attributes. Security violations in the activities of the United Nations system must be quickly identified, corrected and strengthened.</w:t>
      </w:r>
    </w:p>
    <w:p>
      <w:pPr>
        <w:numPr>
          <w:ilvl w:val="0"/>
          <w:numId w:val="0"/>
        </w:numPr>
        <w:ind w:leftChars="0" w:firstLine="420" w:firstLineChars="200"/>
        <w:rPr>
          <w:rFonts w:hint="default"/>
          <w:lang w:val="en-US" w:eastAsia="zh-CN"/>
        </w:rPr>
      </w:pPr>
      <w:r>
        <w:rPr>
          <w:rFonts w:hint="default"/>
          <w:lang w:val="en-US" w:eastAsia="zh-CN"/>
        </w:rPr>
        <w:t>In our model, whether system activities meet the security characteristics depends on user requests and system responses. In fact, the final execution result of the system responding to the user's request is the basis for determining whether the system activities comply with the system security attributes. It takes the users of network services as the main body, takes the files and data in the computer system as the object, and sets different confidentiality and integrity according to different levels of the main body. And object to map the service request to the user access principal. The security attribute of the model consists of simple confidentiality attribute, integrity, integrity, integrity, availability, legitimacy, security and arbitrariness. The rules controlling the behavior of the system are given, and the pattern analysis of the rules is introduced.</w:t>
      </w:r>
    </w:p>
    <w:p>
      <w:pPr>
        <w:numPr>
          <w:ilvl w:val="0"/>
          <w:numId w:val="0"/>
        </w:numPr>
        <w:rPr>
          <w:rFonts w:hint="default"/>
          <w:lang w:val="en-US" w:eastAsia="zh-CN"/>
        </w:rPr>
      </w:pPr>
      <w:r>
        <w:rPr>
          <w:rFonts w:hint="default"/>
          <w:lang w:val="en-US" w:eastAsia="zh-CN"/>
        </w:rPr>
        <w:t>Its downside is</w:t>
      </w:r>
    </w:p>
    <w:p>
      <w:pPr>
        <w:numPr>
          <w:ilvl w:val="0"/>
          <w:numId w:val="0"/>
        </w:numPr>
        <w:ind w:leftChars="0" w:firstLine="420" w:firstLineChars="200"/>
        <w:rPr>
          <w:rFonts w:hint="default"/>
          <w:lang w:val="en-US" w:eastAsia="zh-CN"/>
        </w:rPr>
      </w:pPr>
      <w:r>
        <w:rPr>
          <w:rFonts w:hint="default"/>
          <w:lang w:val="en-US" w:eastAsia="zh-CN"/>
        </w:rPr>
        <w:t>1 The flow of low security information to high security levels may destroy data integrity in high security objects and be exploited by viruses and hackers.</w:t>
      </w:r>
    </w:p>
    <w:p>
      <w:pPr>
        <w:numPr>
          <w:ilvl w:val="0"/>
          <w:numId w:val="0"/>
        </w:numPr>
        <w:ind w:leftChars="0" w:firstLine="420" w:firstLineChars="200"/>
        <w:rPr>
          <w:rFonts w:hint="default"/>
          <w:lang w:val="en-US" w:eastAsia="zh-CN"/>
        </w:rPr>
      </w:pPr>
      <w:r>
        <w:rPr>
          <w:rFonts w:hint="default"/>
          <w:lang w:val="en-US" w:eastAsia="zh-CN"/>
        </w:rPr>
        <w:t>2 As long as the information flows from low to high is legal (high read low), regardless of the need of work or not, this does not meet the principle of minimum privilege.</w:t>
      </w:r>
    </w:p>
    <w:p>
      <w:pPr>
        <w:numPr>
          <w:ilvl w:val="0"/>
          <w:numId w:val="0"/>
        </w:numPr>
        <w:ind w:leftChars="0" w:firstLine="420" w:firstLineChars="200"/>
        <w:rPr>
          <w:rFonts w:hint="default"/>
          <w:lang w:val="en-US" w:eastAsia="zh-CN"/>
        </w:rPr>
      </w:pPr>
      <w:r>
        <w:rPr>
          <w:rFonts w:hint="default"/>
          <w:lang w:val="en-US" w:eastAsia="zh-CN"/>
        </w:rPr>
        <w:t>3 High-level information is mostly assembled by low-level information, to solve the problem of reasoning control.</w:t>
      </w:r>
    </w:p>
    <w:p>
      <w:pPr>
        <w:numPr>
          <w:ilvl w:val="0"/>
          <w:numId w:val="0"/>
        </w:numPr>
        <w:ind w:leftChars="0" w:firstLine="420" w:firstLineChars="200"/>
        <w:rPr>
          <w:rFonts w:hint="default"/>
          <w:lang w:val="en-US" w:eastAsia="zh-CN"/>
        </w:rPr>
      </w:pPr>
    </w:p>
    <w:p>
      <w:pPr>
        <w:numPr>
          <w:ilvl w:val="0"/>
          <w:numId w:val="0"/>
        </w:numPr>
        <w:ind w:leftChars="0" w:firstLine="420" w:firstLineChars="200"/>
        <w:rPr>
          <w:rFonts w:hint="default"/>
          <w:lang w:val="en-US" w:eastAsia="zh-CN"/>
        </w:rPr>
      </w:pPr>
    </w:p>
    <w:p>
      <w:pPr>
        <w:numPr>
          <w:ilvl w:val="0"/>
          <w:numId w:val="1"/>
        </w:numPr>
        <w:ind w:left="0" w:leftChars="0" w:firstLine="0" w:firstLineChars="0"/>
        <w:rPr>
          <w:rFonts w:hint="default"/>
          <w:lang w:val="en-US" w:eastAsia="zh-CN"/>
        </w:rPr>
      </w:pPr>
      <w:r>
        <w:rPr>
          <w:rFonts w:hint="default"/>
          <w:lang w:val="en-US" w:eastAsia="zh-CN"/>
        </w:rPr>
        <w:t>SKKMigas Enterprise Security framework based on the integration of ISO27000 and SABSA model</w:t>
      </w:r>
    </w:p>
    <w:p>
      <w:pPr>
        <w:numPr>
          <w:ilvl w:val="0"/>
          <w:numId w:val="0"/>
        </w:numPr>
        <w:ind w:leftChars="0" w:firstLine="420" w:firstLineChars="200"/>
        <w:rPr>
          <w:rFonts w:hint="default"/>
          <w:lang w:val="en-US" w:eastAsia="zh-CN"/>
        </w:rPr>
      </w:pPr>
      <w:r>
        <w:rPr>
          <w:rFonts w:hint="default"/>
          <w:lang w:val="en-US" w:eastAsia="zh-CN"/>
        </w:rPr>
        <w:t>The purpose of DoDAF is to make it easier for the Department of defense to develop an architecture that enables managers at all levels to make more effective decisions by referring to any available information. Department The framework provides further guidelines for the development of implementation support structures (focusing on networks).</w:t>
      </w:r>
    </w:p>
    <w:p>
      <w:pPr>
        <w:numPr>
          <w:ilvl w:val="0"/>
          <w:numId w:val="0"/>
        </w:numPr>
        <w:ind w:leftChars="0" w:firstLine="420" w:firstLineChars="200"/>
        <w:rPr>
          <w:rFonts w:hint="default"/>
          <w:lang w:val="en-US" w:eastAsia="zh-CN"/>
        </w:rPr>
      </w:pPr>
      <w:r>
        <w:rPr>
          <w:rFonts w:hint="default"/>
          <w:lang w:val="en-US" w:eastAsia="zh-CN"/>
        </w:rPr>
        <w:t>Togaf is a popular enterprise development framework architecture. The same version of togaf 9.1 was first released in 2011 [5]. The main goal of togaf is to become a method of developing enterprise architecture, especially the architecture based on it. Different from feaf and DoDAF, this framework has high portability. This means that this framework can be implemented in any organization, such as government, or even large or small companies. Federal Enterprise Security and personal privacy framework (fea-spp) is an enterprise framework architecture for analyzing, managing and using inter organizational information technology. United Nations [6]. The finite element analysis system includes five interrelated reference models, namely performance reference model (PRM), business reference model (BRM), service component reference model (SRM) and reference model Data reference model (DRM) Finite element analysis can also determine redundancy, gaps and the possibility of inter agency cooperation.</w:t>
      </w:r>
    </w:p>
    <w:p>
      <w:pPr>
        <w:numPr>
          <w:ilvl w:val="0"/>
          <w:numId w:val="0"/>
        </w:numPr>
        <w:ind w:leftChars="0" w:firstLine="420" w:firstLineChars="200"/>
        <w:rPr>
          <w:rFonts w:hint="eastAsia"/>
          <w:lang w:val="en-US" w:eastAsia="zh-CN"/>
        </w:rPr>
      </w:pPr>
      <w:r>
        <w:rPr>
          <w:rFonts w:hint="default"/>
          <w:lang w:val="en-US" w:eastAsia="zh-CN"/>
        </w:rPr>
        <w:t>Open security architecture (OS4) OSA is a framework developed by the security community, which can be freely accessed on the Internet. OSA provides a unified framework to simplify many widely used standards. OSA mainly focuses on the relationship between some related controls in the security architecture. This is achieved by defining a common pattern in the security architecture design to reduce the security problems in the infrastructure. (3) Sherwood's enterprise application security architecture (saps4) is the framework and method for the development of enterprise security architecture and service management. Sabsa is committed to generating secure infrastructure solutions. Sabsa consists of five main layers</w:t>
      </w:r>
      <w:r>
        <w:rPr>
          <w:rFonts w:hint="eastAsia"/>
          <w:lang w:val="en-US" w:eastAsia="zh-CN"/>
        </w:rPr>
        <w:t>.As shown in Figure 1.</w:t>
      </w:r>
    </w:p>
    <w:p>
      <w:pPr>
        <w:numPr>
          <w:ilvl w:val="0"/>
          <w:numId w:val="0"/>
        </w:numPr>
        <w:ind w:leftChars="0" w:firstLine="420" w:firstLineChars="200"/>
      </w:pPr>
      <w:r>
        <w:drawing>
          <wp:inline distT="0" distB="0" distL="114300" distR="114300">
            <wp:extent cx="4937760" cy="2705100"/>
            <wp:effectExtent l="0" t="0" r="0" b="7620"/>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4"/>
                    <a:stretch>
                      <a:fillRect/>
                    </a:stretch>
                  </pic:blipFill>
                  <pic:spPr>
                    <a:xfrm>
                      <a:off x="0" y="0"/>
                      <a:ext cx="4937760" cy="2705100"/>
                    </a:xfrm>
                    <a:prstGeom prst="rect">
                      <a:avLst/>
                    </a:prstGeom>
                    <a:noFill/>
                    <a:ln>
                      <a:noFill/>
                    </a:ln>
                  </pic:spPr>
                </pic:pic>
              </a:graphicData>
            </a:graphic>
          </wp:inline>
        </w:drawing>
      </w:r>
    </w:p>
    <w:p>
      <w:pPr>
        <w:numPr>
          <w:ilvl w:val="0"/>
          <w:numId w:val="0"/>
        </w:numPr>
        <w:ind w:leftChars="0" w:firstLine="420" w:firstLineChars="200"/>
        <w:rPr>
          <w:rFonts w:hint="default"/>
          <w:lang w:val="en-US" w:eastAsia="zh-CN"/>
        </w:rPr>
      </w:pPr>
      <w:r>
        <w:rPr>
          <w:rFonts w:hint="default"/>
          <w:lang w:val="en-US" w:eastAsia="zh-CN"/>
        </w:rPr>
        <w:t>A main feature of sabsa model is that everything must be analyzed from the perspective of security on the premise of generating business needs, especially if the security function acts as a bridge and helps to create employment opportunities. new.</w:t>
      </w:r>
    </w:p>
    <w:p>
      <w:pPr>
        <w:numPr>
          <w:ilvl w:val="0"/>
          <w:numId w:val="0"/>
        </w:numPr>
        <w:ind w:leftChars="0" w:firstLine="420" w:firstLineChars="200"/>
        <w:rPr>
          <w:rFonts w:hint="default"/>
          <w:lang w:val="en-US" w:eastAsia="zh-CN"/>
        </w:rPr>
      </w:pPr>
      <w:r>
        <w:rPr>
          <w:rFonts w:hint="default"/>
          <w:lang w:val="en-US" w:eastAsia="zh-CN"/>
        </w:rPr>
        <w:t>The information technology and related technology control objectives (COBIT) formulated by the Institute of information technology management (itgi) is the framework for providing services to enterprises, organizations or governments. Manage or manage its assets or information technology resources to achieve organizational objectives [9]. COBIT provides comprehensive services to help government and company information technology managers achieve their initial goals. In COBIT, the safety management of apo13, the continuity management of dss04 and the safety service management of dss05 provide basic guidance for the identification and operation monitoring of the whole safety management system.</w:t>
      </w:r>
    </w:p>
    <w:p>
      <w:pPr>
        <w:numPr>
          <w:ilvl w:val="0"/>
          <w:numId w:val="0"/>
        </w:numPr>
        <w:ind w:leftChars="0" w:firstLine="420" w:firstLineChars="200"/>
        <w:rPr>
          <w:rFonts w:hint="default"/>
          <w:lang w:val="en-US" w:eastAsia="zh-CN"/>
        </w:rPr>
      </w:pPr>
      <w:r>
        <w:rPr>
          <w:rFonts w:hint="default"/>
          <w:lang w:val="en-US" w:eastAsia="zh-CN"/>
        </w:rPr>
        <w:t>ISO 27000 series and ISO / IEC 27000 series, or iso27k series, are composed of information security standards issued by the international organization for Standardization (ISO) and the International Electrotechnical Commission (IEC) [10]. This standard covers a wider range of aspects, not just technical issues. Any size and shape of tissue. Iso27k consists of many other related standards, such as ISO27001, which provides a list of safety requirements, and iso27003 provides the corresponding implementation.</w:t>
      </w:r>
    </w:p>
    <w:p>
      <w:pPr>
        <w:numPr>
          <w:ilvl w:val="0"/>
          <w:numId w:val="0"/>
        </w:numPr>
        <w:ind w:leftChars="0" w:firstLine="420" w:firstLineChars="200"/>
        <w:rPr>
          <w:rFonts w:hint="default"/>
          <w:lang w:val="en-US" w:eastAsia="zh-CN"/>
        </w:rPr>
      </w:pPr>
      <w:r>
        <w:rPr>
          <w:rFonts w:hint="default"/>
          <w:lang w:val="en-US" w:eastAsia="zh-CN"/>
        </w:rPr>
        <w:t>Information Technology Infrastructure Library (ITIL) is a set of concepts and technologies for managing information technology infrastructure owned by the UK government business office (OGC). Information, including development and operation. ITIL provides IT practitioners and business leaders with best practice guidelines to improve work quality and efficiency, so as to achieve reliable IT services.</w:t>
      </w:r>
    </w:p>
    <w:p>
      <w:pPr>
        <w:numPr>
          <w:ilvl w:val="0"/>
          <w:numId w:val="0"/>
        </w:numPr>
        <w:ind w:leftChars="0" w:firstLine="420" w:firstLineChars="200"/>
        <w:rPr>
          <w:rFonts w:hint="default"/>
          <w:lang w:val="en-US" w:eastAsia="zh-CN"/>
        </w:rPr>
      </w:pPr>
      <w:r>
        <w:rPr>
          <w:rFonts w:hint="default"/>
          <w:lang w:val="en-US" w:eastAsia="zh-CN"/>
        </w:rPr>
        <w:t>In this study, there are four steps to develop the social security account model. The first step is to study the basic theory, existing security standards and best practices for the implementation of the global information security framework. The second step is to analyze the security strategy of the existing information security management system (ISMS) in skkmigas, including visibility, messaging, network architecture and application architecture. In order to collect current information, we conducted focus group interviews (FGM), company interviews and a comprehensive study of skmigas isms documents. The next step is to establish a security framework based on the outputs of the first two steps. Generally speaking, the third step is to compile a framework and sabsa model based on ISO 27000 standard, and analyze the current situation of skmigas. The last step is to continue the integration of the framework. At this stage, we designed and implemented a path map to improve the quality of skkmigas information security management system. In this step, skmigas also created many recommended software to improve the quality and keep the business running.</w:t>
      </w:r>
    </w:p>
    <w:p>
      <w:pPr>
        <w:numPr>
          <w:ilvl w:val="0"/>
          <w:numId w:val="0"/>
        </w:numPr>
        <w:ind w:leftChars="0" w:firstLine="420" w:firstLineChars="200"/>
        <w:rPr>
          <w:rFonts w:hint="default"/>
          <w:lang w:val="en-US" w:eastAsia="zh-CN"/>
        </w:rPr>
      </w:pPr>
      <w:r>
        <w:rPr>
          <w:rFonts w:hint="default"/>
          <w:lang w:val="en-US" w:eastAsia="zh-CN"/>
        </w:rPr>
        <w:t>The framework was developed based on two security standards, ISO27000 and SABSA.The development began with evaluating existing information security standards and best practices in an enterprise scale.The next step is to analyze the existing security policies and implementation in SKKMigas regarding Information Security Management Systems (ISMS), and then conduct a gap analysis.The main step is the integrated security framework, designed to improve information security management in SKKMigas.The resulting security framework covers 14 security areas that will be used to control information security management within the organization.</w:t>
      </w:r>
    </w:p>
    <w:p>
      <w:pPr>
        <w:numPr>
          <w:ilvl w:val="0"/>
          <w:numId w:val="0"/>
        </w:numPr>
        <w:ind w:leftChars="0" w:firstLine="420" w:firstLineChars="200"/>
        <w:rPr>
          <w:rFonts w:hint="default"/>
          <w:lang w:val="en-US" w:eastAsia="zh-CN"/>
        </w:rPr>
      </w:pPr>
      <w:r>
        <w:rPr>
          <w:rFonts w:hint="default"/>
          <w:lang w:val="en-US" w:eastAsia="zh-CN"/>
        </w:rPr>
        <w:t>The main difference between ISO27000 and sabsa lies in emphasis and detail. The international organization for Standardization (ISO) standard is an advanced security oriented standard, which makes it easier for organizations with different business processes to implement at all levels. Sabsa pays more attention to business processes and details to guide the processes that must be performed at each level.</w:t>
      </w:r>
    </w:p>
    <w:p>
      <w:pPr>
        <w:numPr>
          <w:ilvl w:val="0"/>
          <w:numId w:val="0"/>
        </w:numPr>
        <w:ind w:leftChars="0" w:firstLine="420" w:firstLineChars="200"/>
        <w:rPr>
          <w:rFonts w:hint="default"/>
          <w:lang w:val="en-US" w:eastAsia="zh-CN"/>
        </w:rPr>
      </w:pPr>
      <w:r>
        <w:rPr>
          <w:rFonts w:hint="default"/>
          <w:lang w:val="en-US" w:eastAsia="zh-CN"/>
        </w:rPr>
        <w:t>The combination of ISO27000 standard and sabsa mode forms a more comprehensive new framework. A series of questions related to each layer of management are verified through SAA.</w:t>
      </w:r>
    </w:p>
    <w:p>
      <w:pPr>
        <w:numPr>
          <w:ilvl w:val="0"/>
          <w:numId w:val="0"/>
        </w:numPr>
        <w:ind w:leftChars="0" w:firstLine="420" w:firstLineChars="200"/>
        <w:rPr>
          <w:rFonts w:hint="default"/>
          <w:lang w:val="en-US" w:eastAsia="zh-CN"/>
        </w:rPr>
      </w:pPr>
      <w:r>
        <w:rPr>
          <w:rFonts w:hint="default"/>
          <w:lang w:val="en-US" w:eastAsia="zh-CN"/>
        </w:rPr>
        <w:t>Sabsa and ISO27000 are prototypes of enterprise security framework. Development includes the following steps. This process begins with an assessment of existing standards and best practices in the field of enterprise wide information security. The next step is to analyze the existing security policies and implement the information security management system (ISMS) in skkmigas. The main step is to establish an integrated security framework to improve the information security management in skmigas.</w:t>
      </w:r>
    </w:p>
    <w:p>
      <w:pPr>
        <w:numPr>
          <w:ilvl w:val="0"/>
          <w:numId w:val="0"/>
        </w:numPr>
        <w:ind w:leftChars="0" w:firstLine="420" w:firstLineChars="200"/>
        <w:rPr>
          <w:rFonts w:hint="default"/>
          <w:lang w:val="en-US" w:eastAsia="zh-CN"/>
        </w:rPr>
      </w:pPr>
      <w:r>
        <w:rPr>
          <w:rFonts w:hint="default"/>
          <w:lang w:val="en-US" w:eastAsia="zh-CN"/>
        </w:rPr>
        <w:t>Many safety ontology standards based on the ISO27000 series have emerged in the literature.However, both researchers or practitioners lack clear readability, as these criteria include different safety policies, practices, processes, and controls.Furthermore, organizations need to conduct comparative studies of these ontologies based on major features such as the lack of security concepts, the ontologies used, the integration of other security standards and best practices, and validation and evaluation, showing their advantages and limitations.The results of this comparison are intended to provide a set of recommendations to help participating users understand the use of such standards in their ontology framework or enable them to develop new ontologies using the ISO27000 series standards to ensure good secure information system compliance.</w:t>
      </w:r>
    </w:p>
    <w:p>
      <w:pPr>
        <w:numPr>
          <w:ilvl w:val="0"/>
          <w:numId w:val="0"/>
        </w:numPr>
        <w:ind w:leftChars="0" w:firstLine="420" w:firstLineChars="200"/>
        <w:rPr>
          <w:rFonts w:hint="default"/>
          <w:lang w:val="en-US" w:eastAsia="zh-CN"/>
        </w:rPr>
      </w:pPr>
      <w:r>
        <w:rPr>
          <w:rFonts w:hint="default"/>
          <w:lang w:val="en-US" w:eastAsia="zh-CN"/>
        </w:rPr>
        <w:t>With the continuous development of science and technology, the network security faces more difficulties and challenges, so the network security models should continue to adapt to solve the latest network security problems.</w:t>
      </w:r>
    </w:p>
    <w:p>
      <w:pPr>
        <w:ind w:firstLine="420" w:firstLineChars="200"/>
        <w:rPr>
          <w:rFonts w:hint="eastAsia"/>
          <w:color w:val="auto"/>
        </w:rPr>
      </w:pPr>
    </w:p>
    <w:p>
      <w:pPr>
        <w:ind w:firstLine="420" w:firstLineChars="200"/>
        <w:rPr>
          <w:rFonts w:hint="eastAsia"/>
          <w:color w:val="auto"/>
        </w:rPr>
      </w:pPr>
    </w:p>
    <w:p>
      <w:pPr>
        <w:ind w:firstLine="420" w:firstLineChars="200"/>
        <w:rPr>
          <w:rFonts w:hint="eastAsia"/>
          <w:color w:val="auto"/>
        </w:rPr>
      </w:pPr>
    </w:p>
    <w:p>
      <w:pPr>
        <w:ind w:firstLine="420" w:firstLineChars="200"/>
        <w:rPr>
          <w:rFonts w:hint="eastAsia"/>
          <w:color w:val="auto"/>
        </w:rPr>
      </w:pPr>
    </w:p>
    <w:p>
      <w:pPr>
        <w:rPr>
          <w:rFonts w:hint="default" w:eastAsiaTheme="minorEastAsia"/>
          <w:color w:val="auto"/>
          <w:lang w:val="en-US" w:eastAsia="zh-CN"/>
        </w:rPr>
      </w:pPr>
      <w:r>
        <w:rPr>
          <w:rFonts w:hint="eastAsia"/>
          <w:color w:val="auto"/>
          <w:lang w:val="en-US" w:eastAsia="zh-CN"/>
        </w:rPr>
        <w:t>Task2：</w:t>
      </w:r>
    </w:p>
    <w:p>
      <w:pPr>
        <w:ind w:firstLine="420" w:firstLineChars="200"/>
        <w:rPr>
          <w:rFonts w:hint="eastAsia"/>
          <w:color w:val="auto"/>
        </w:rPr>
      </w:pPr>
      <w:r>
        <w:rPr>
          <w:rFonts w:hint="eastAsia"/>
          <w:color w:val="auto"/>
        </w:rPr>
        <w:t>I chose the SKKMigas Enterprise Security Framework based on ISO27000 integration with the SABSA model,SKKMigas uses the ISO27000 standard as its guideline for information security governance and management.To match the custom requirements of the SKKMigas, as shown in Table 1.The comprehensive analysis is based on this information security area / chapter.</w:t>
      </w:r>
    </w:p>
    <w:p>
      <w:pPr>
        <w:ind w:firstLine="420" w:firstLineChars="200"/>
        <w:rPr>
          <w:color w:val="auto"/>
        </w:rPr>
      </w:pPr>
      <w:r>
        <w:rPr>
          <w:color w:val="auto"/>
        </w:rPr>
        <w:drawing>
          <wp:inline distT="0" distB="0" distL="114300" distR="114300">
            <wp:extent cx="4953000" cy="3771900"/>
            <wp:effectExtent l="0" t="0" r="0" b="762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5"/>
                    <a:stretch>
                      <a:fillRect/>
                    </a:stretch>
                  </pic:blipFill>
                  <pic:spPr>
                    <a:xfrm>
                      <a:off x="0" y="0"/>
                      <a:ext cx="4953000" cy="3771900"/>
                    </a:xfrm>
                    <a:prstGeom prst="rect">
                      <a:avLst/>
                    </a:prstGeom>
                    <a:noFill/>
                    <a:ln>
                      <a:noFill/>
                    </a:ln>
                  </pic:spPr>
                </pic:pic>
              </a:graphicData>
            </a:graphic>
          </wp:inline>
        </w:drawing>
      </w:r>
    </w:p>
    <w:p>
      <w:pPr>
        <w:ind w:firstLine="420" w:firstLineChars="200"/>
        <w:rPr>
          <w:rFonts w:hint="eastAsia"/>
          <w:color w:val="auto"/>
        </w:rPr>
      </w:pPr>
      <w:r>
        <w:rPr>
          <w:rFonts w:hint="eastAsia"/>
          <w:color w:val="auto"/>
        </w:rPr>
        <w:t>Analysis of potential threats to information technology infrastructure The key elements of risk identification are assets, threat sources and vulnerability. The first step in risk management is to understand the potential risks in the organization.</w:t>
      </w:r>
    </w:p>
    <w:p>
      <w:pPr>
        <w:ind w:firstLine="420" w:firstLineChars="200"/>
        <w:rPr>
          <w:rFonts w:hint="eastAsia"/>
          <w:color w:val="auto"/>
        </w:rPr>
      </w:pPr>
      <w:r>
        <w:rPr>
          <w:rFonts w:hint="eastAsia"/>
          <w:color w:val="auto"/>
        </w:rPr>
        <w:t>In performing risk identification, we used a close approach, which means the asset is the  objectives of the process, providing high quality support and IT resources to improve SKKMigas outcomes.</w:t>
      </w:r>
    </w:p>
    <w:p>
      <w:pPr>
        <w:ind w:firstLine="420" w:firstLineChars="200"/>
        <w:rPr>
          <w:color w:val="auto"/>
        </w:rPr>
      </w:pPr>
      <w:r>
        <w:rPr>
          <w:rFonts w:hint="eastAsia"/>
          <w:color w:val="auto"/>
        </w:rPr>
        <w:t>This analysis is based on the integration of sabsa and ISO27000. Combining ISO27000 with sabsa model enriches the ISO27000 framework previously implemented in skkmigas. We describe the integration of ISO27000 and sabsa in each installation to form a new framework. We point out each configuration in the ISO27000 standard and use the appropriate layer in sabsa.</w:t>
      </w:r>
      <w:r>
        <w:rPr>
          <w:color w:val="auto"/>
        </w:rPr>
        <w:drawing>
          <wp:inline distT="0" distB="0" distL="114300" distR="114300">
            <wp:extent cx="4975860" cy="1066800"/>
            <wp:effectExtent l="0" t="0" r="762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6"/>
                    <a:stretch>
                      <a:fillRect/>
                    </a:stretch>
                  </pic:blipFill>
                  <pic:spPr>
                    <a:xfrm>
                      <a:off x="0" y="0"/>
                      <a:ext cx="4975860" cy="1066800"/>
                    </a:xfrm>
                    <a:prstGeom prst="rect">
                      <a:avLst/>
                    </a:prstGeom>
                    <a:noFill/>
                    <a:ln>
                      <a:noFill/>
                    </a:ln>
                  </pic:spPr>
                </pic:pic>
              </a:graphicData>
            </a:graphic>
          </wp:inline>
        </w:drawing>
      </w:r>
    </w:p>
    <w:p>
      <w:pPr>
        <w:ind w:firstLine="420" w:firstLineChars="200"/>
        <w:rPr>
          <w:rFonts w:hint="eastAsia"/>
          <w:color w:val="auto"/>
        </w:rPr>
      </w:pPr>
      <w:r>
        <w:rPr>
          <w:rFonts w:hint="eastAsia"/>
          <w:color w:val="auto"/>
        </w:rPr>
        <w:t>As shown in Table 2, security policy management means that it can be used to guide and support the execution of business processes in skkmigas. This is achieved through specific rules, international standards and expert reviews focusing on information security. A list of documents used</w:t>
      </w:r>
      <w:r>
        <w:rPr>
          <w:rFonts w:hint="eastAsia"/>
          <w:color w:val="auto"/>
          <w:lang w:val="en-US" w:eastAsia="zh-CN"/>
        </w:rPr>
        <w:t xml:space="preserve"> </w:t>
      </w:r>
      <w:r>
        <w:rPr>
          <w:rFonts w:hint="eastAsia"/>
          <w:color w:val="auto"/>
        </w:rPr>
        <w:t>to measure success.</w:t>
      </w:r>
    </w:p>
    <w:p>
      <w:pPr>
        <w:ind w:firstLine="420" w:firstLineChars="200"/>
        <w:rPr>
          <w:color w:val="auto"/>
        </w:rPr>
      </w:pPr>
      <w:r>
        <w:rPr>
          <w:color w:val="auto"/>
        </w:rPr>
        <w:drawing>
          <wp:inline distT="0" distB="0" distL="114300" distR="114300">
            <wp:extent cx="5029200" cy="1295400"/>
            <wp:effectExtent l="0" t="0" r="0" b="0"/>
            <wp:docPr id="10"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7"/>
                    <pic:cNvPicPr>
                      <a:picLocks noChangeAspect="1"/>
                    </pic:cNvPicPr>
                  </pic:nvPicPr>
                  <pic:blipFill>
                    <a:blip r:embed="rId7"/>
                    <a:stretch>
                      <a:fillRect/>
                    </a:stretch>
                  </pic:blipFill>
                  <pic:spPr>
                    <a:xfrm>
                      <a:off x="0" y="0"/>
                      <a:ext cx="5029200" cy="1295400"/>
                    </a:xfrm>
                    <a:prstGeom prst="rect">
                      <a:avLst/>
                    </a:prstGeom>
                    <a:noFill/>
                    <a:ln>
                      <a:noFill/>
                    </a:ln>
                  </pic:spPr>
                </pic:pic>
              </a:graphicData>
            </a:graphic>
          </wp:inline>
        </w:drawing>
      </w:r>
    </w:p>
    <w:p>
      <w:pPr>
        <w:ind w:firstLine="420" w:firstLineChars="200"/>
        <w:rPr>
          <w:rFonts w:hint="eastAsia"/>
          <w:color w:val="auto"/>
        </w:rPr>
      </w:pPr>
      <w:r>
        <w:rPr>
          <w:rFonts w:hint="eastAsia"/>
          <w:color w:val="auto"/>
        </w:rPr>
        <w:t>Information security organization is the framework for implementing and managing isms, and it is also the guide for mobile devices and remote access in skkmigas. In terms of implementation strategy, skkmigas needs to establish an information security working group to arrange the implementation of SOP and appropriate standards, including management responsibilities and best practices of skkmigas isms. It covers the context, concept and physical layer of sabsa, as shown in Table 3.</w:t>
      </w:r>
    </w:p>
    <w:p>
      <w:pPr>
        <w:ind w:firstLine="420" w:firstLineChars="200"/>
        <w:rPr>
          <w:color w:val="auto"/>
        </w:rPr>
      </w:pPr>
      <w:r>
        <w:rPr>
          <w:color w:val="auto"/>
        </w:rPr>
        <w:drawing>
          <wp:inline distT="0" distB="0" distL="114300" distR="114300">
            <wp:extent cx="5074920" cy="1813560"/>
            <wp:effectExtent l="0" t="0" r="0" b="0"/>
            <wp:docPr id="7"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8"/>
                    <pic:cNvPicPr>
                      <a:picLocks noChangeAspect="1"/>
                    </pic:cNvPicPr>
                  </pic:nvPicPr>
                  <pic:blipFill>
                    <a:blip r:embed="rId8"/>
                    <a:stretch>
                      <a:fillRect/>
                    </a:stretch>
                  </pic:blipFill>
                  <pic:spPr>
                    <a:xfrm>
                      <a:off x="0" y="0"/>
                      <a:ext cx="5074920" cy="1813560"/>
                    </a:xfrm>
                    <a:prstGeom prst="rect">
                      <a:avLst/>
                    </a:prstGeom>
                    <a:noFill/>
                    <a:ln>
                      <a:noFill/>
                    </a:ln>
                  </pic:spPr>
                </pic:pic>
              </a:graphicData>
            </a:graphic>
          </wp:inline>
        </w:drawing>
      </w:r>
    </w:p>
    <w:p>
      <w:pPr>
        <w:ind w:firstLine="420" w:firstLineChars="200"/>
        <w:rPr>
          <w:color w:val="auto"/>
        </w:rPr>
      </w:pPr>
      <w:r>
        <w:rPr>
          <w:rFonts w:hint="eastAsia"/>
          <w:color w:val="auto"/>
        </w:rPr>
        <w:t>As shown in Table 4, the human resources and safety department ensures that skkmigas employees understand their responsibilities and that skkmigas protects the organization by protecting its employees. In order to achieve this integration, skmigas must ensure that its employees are aware of their responsibilities, for example, by signing a confidentiality agreement (NDA). The successful implementation of this comprehensive measure is possible if staff members abuse the law or provide appropriate advice on staff members' rights and responsibilities.</w:t>
      </w:r>
      <w:r>
        <w:rPr>
          <w:color w:val="auto"/>
        </w:rPr>
        <w:drawing>
          <wp:inline distT="0" distB="0" distL="114300" distR="114300">
            <wp:extent cx="5181600" cy="2118360"/>
            <wp:effectExtent l="0" t="0" r="0" b="0"/>
            <wp:docPr id="8"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9"/>
                    <pic:cNvPicPr>
                      <a:picLocks noChangeAspect="1"/>
                    </pic:cNvPicPr>
                  </pic:nvPicPr>
                  <pic:blipFill>
                    <a:blip r:embed="rId9"/>
                    <a:stretch>
                      <a:fillRect/>
                    </a:stretch>
                  </pic:blipFill>
                  <pic:spPr>
                    <a:xfrm>
                      <a:off x="0" y="0"/>
                      <a:ext cx="5181600" cy="2118360"/>
                    </a:xfrm>
                    <a:prstGeom prst="rect">
                      <a:avLst/>
                    </a:prstGeom>
                    <a:noFill/>
                    <a:ln>
                      <a:noFill/>
                    </a:ln>
                  </pic:spPr>
                </pic:pic>
              </a:graphicData>
            </a:graphic>
          </wp:inline>
        </w:drawing>
      </w:r>
    </w:p>
    <w:p>
      <w:pPr>
        <w:ind w:firstLine="420" w:firstLineChars="200"/>
        <w:rPr>
          <w:rFonts w:hint="eastAsia"/>
          <w:color w:val="auto"/>
        </w:rPr>
      </w:pPr>
      <w:r>
        <w:rPr>
          <w:rFonts w:hint="eastAsia"/>
          <w:color w:val="auto"/>
        </w:rPr>
        <w:t>Asset management includes the identification and appropriate protection of the organization's assets against the misuse of asset information.To achieve this, the SKKMigas must periodically update its asset database.As shown in Table 5</w:t>
      </w:r>
      <w:r>
        <w:rPr>
          <w:rFonts w:hint="eastAsia"/>
          <w:color w:val="auto"/>
          <w:lang w:val="en-US" w:eastAsia="zh-CN"/>
        </w:rPr>
        <w:t>.</w:t>
      </w:r>
      <w:r>
        <w:rPr>
          <w:rFonts w:hint="eastAsia"/>
          <w:color w:val="auto"/>
        </w:rPr>
        <w:t>The comprehensive approach covers almost all aspects of sapsa system, which means that asset management must include all hardware and software.</w:t>
      </w:r>
    </w:p>
    <w:p>
      <w:pPr>
        <w:ind w:firstLine="420" w:firstLineChars="200"/>
        <w:rPr>
          <w:color w:val="auto"/>
        </w:rPr>
      </w:pPr>
      <w:r>
        <w:rPr>
          <w:color w:val="auto"/>
        </w:rPr>
        <w:drawing>
          <wp:inline distT="0" distB="0" distL="114300" distR="114300">
            <wp:extent cx="5113020" cy="2758440"/>
            <wp:effectExtent l="0" t="0" r="7620" b="0"/>
            <wp:docPr id="9"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10"/>
                    <pic:cNvPicPr>
                      <a:picLocks noChangeAspect="1"/>
                    </pic:cNvPicPr>
                  </pic:nvPicPr>
                  <pic:blipFill>
                    <a:blip r:embed="rId10"/>
                    <a:stretch>
                      <a:fillRect/>
                    </a:stretch>
                  </pic:blipFill>
                  <pic:spPr>
                    <a:xfrm>
                      <a:off x="0" y="0"/>
                      <a:ext cx="5113020" cy="2758440"/>
                    </a:xfrm>
                    <a:prstGeom prst="rect">
                      <a:avLst/>
                    </a:prstGeom>
                    <a:noFill/>
                    <a:ln>
                      <a:noFill/>
                    </a:ln>
                  </pic:spPr>
                </pic:pic>
              </a:graphicData>
            </a:graphic>
          </wp:inline>
        </w:drawing>
      </w:r>
    </w:p>
    <w:p>
      <w:pPr>
        <w:ind w:firstLine="420" w:firstLineChars="200"/>
        <w:rPr>
          <w:color w:val="auto"/>
        </w:rPr>
      </w:pPr>
      <w:r>
        <w:rPr>
          <w:rFonts w:hint="eastAsia"/>
          <w:color w:val="auto"/>
        </w:rPr>
        <w:t>As shown in Table 6, comprehensive access control is designed to restrict access to specific information and devices. This can be achieved by limiting servers, social media, databases, shared folders, and applications. Skkmigas must also know which external services or applications can be accessed from the IT infrastructure. This overall success can be observed through some form of supervision.</w:t>
      </w:r>
      <w:r>
        <w:rPr>
          <w:color w:val="auto"/>
        </w:rPr>
        <w:drawing>
          <wp:inline distT="0" distB="0" distL="114300" distR="114300">
            <wp:extent cx="4983480" cy="1135380"/>
            <wp:effectExtent l="0" t="0" r="0" b="762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pic:cNvPicPr>
                  </pic:nvPicPr>
                  <pic:blipFill>
                    <a:blip r:embed="rId11"/>
                    <a:stretch>
                      <a:fillRect/>
                    </a:stretch>
                  </pic:blipFill>
                  <pic:spPr>
                    <a:xfrm>
                      <a:off x="0" y="0"/>
                      <a:ext cx="4983480" cy="1135380"/>
                    </a:xfrm>
                    <a:prstGeom prst="rect">
                      <a:avLst/>
                    </a:prstGeom>
                    <a:noFill/>
                    <a:ln>
                      <a:noFill/>
                    </a:ln>
                  </pic:spPr>
                </pic:pic>
              </a:graphicData>
            </a:graphic>
          </wp:inline>
        </w:drawing>
      </w:r>
    </w:p>
    <w:p>
      <w:pPr>
        <w:ind w:firstLine="420" w:firstLineChars="200"/>
        <w:rPr>
          <w:rFonts w:hint="eastAsia"/>
          <w:color w:val="auto"/>
        </w:rPr>
      </w:pPr>
      <w:r>
        <w:rPr>
          <w:rFonts w:hint="eastAsia"/>
          <w:color w:val="auto"/>
        </w:rPr>
        <w:t>The encryption technologies listed in Table 7 ensure the correct and appropriate use of encryption technologies to protect the confidentiality, effectiveness and integrity of information. This can be achieved by executing the appropriate encryption algorithm for each communication channel and the public key infrastructure on skkmiga.</w:t>
      </w:r>
    </w:p>
    <w:p>
      <w:pPr>
        <w:ind w:firstLine="420" w:firstLineChars="200"/>
        <w:rPr>
          <w:color w:val="auto"/>
        </w:rPr>
      </w:pPr>
      <w:r>
        <w:rPr>
          <w:color w:val="auto"/>
        </w:rPr>
        <w:drawing>
          <wp:inline distT="0" distB="0" distL="114300" distR="114300">
            <wp:extent cx="5082540" cy="1165860"/>
            <wp:effectExtent l="0" t="0" r="7620" b="762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a:picLocks noChangeAspect="1"/>
                    </pic:cNvPicPr>
                  </pic:nvPicPr>
                  <pic:blipFill>
                    <a:blip r:embed="rId12"/>
                    <a:stretch>
                      <a:fillRect/>
                    </a:stretch>
                  </pic:blipFill>
                  <pic:spPr>
                    <a:xfrm>
                      <a:off x="0" y="0"/>
                      <a:ext cx="5082540" cy="1165860"/>
                    </a:xfrm>
                    <a:prstGeom prst="rect">
                      <a:avLst/>
                    </a:prstGeom>
                    <a:noFill/>
                    <a:ln>
                      <a:noFill/>
                    </a:ln>
                  </pic:spPr>
                </pic:pic>
              </a:graphicData>
            </a:graphic>
          </wp:inline>
        </w:drawing>
      </w:r>
    </w:p>
    <w:p>
      <w:pPr>
        <w:ind w:firstLine="420" w:firstLineChars="200"/>
        <w:rPr>
          <w:color w:val="auto"/>
        </w:rPr>
      </w:pPr>
      <w:r>
        <w:rPr>
          <w:rFonts w:hint="eastAsia"/>
          <w:color w:val="auto"/>
          <w:lang w:val="en-US" w:eastAsia="zh-CN"/>
        </w:rPr>
        <w:t>As shown in Table 8, physical and environmental security is the concern of the physical layer, which aims to prevent any malicious party from illegally accessing and abusing skkskk's information and equipment, as well as threats to the environment. Therefore, we can avoid any potential harm. This can be achieved by ensuring that skkmiga uses the latest security measures.</w:t>
      </w:r>
      <w:r>
        <w:rPr>
          <w:color w:val="auto"/>
        </w:rPr>
        <w:drawing>
          <wp:inline distT="0" distB="0" distL="114300" distR="114300">
            <wp:extent cx="5036820" cy="2575560"/>
            <wp:effectExtent l="0" t="0" r="762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a:picLocks noChangeAspect="1"/>
                    </pic:cNvPicPr>
                  </pic:nvPicPr>
                  <pic:blipFill>
                    <a:blip r:embed="rId13"/>
                    <a:stretch>
                      <a:fillRect/>
                    </a:stretch>
                  </pic:blipFill>
                  <pic:spPr>
                    <a:xfrm>
                      <a:off x="0" y="0"/>
                      <a:ext cx="5036820" cy="2575560"/>
                    </a:xfrm>
                    <a:prstGeom prst="rect">
                      <a:avLst/>
                    </a:prstGeom>
                    <a:noFill/>
                    <a:ln>
                      <a:noFill/>
                    </a:ln>
                  </pic:spPr>
                </pic:pic>
              </a:graphicData>
            </a:graphic>
          </wp:inline>
        </w:drawing>
      </w:r>
    </w:p>
    <w:p>
      <w:pPr>
        <w:ind w:firstLine="420" w:firstLineChars="200"/>
        <w:rPr>
          <w:rFonts w:hint="eastAsia"/>
          <w:color w:val="auto"/>
          <w:lang w:val="en-US" w:eastAsia="zh-CN"/>
        </w:rPr>
      </w:pPr>
      <w:r>
        <w:rPr>
          <w:rFonts w:hint="eastAsia"/>
          <w:color w:val="auto"/>
          <w:lang w:val="en-US" w:eastAsia="zh-CN"/>
        </w:rPr>
        <w:t>Operational security mainly includes the SABSA physical layer shown in Table 9, ensuring the correct and safe use of the information processing equipment and thus avoiding any physical or non-physical threats.To achieve this, IT managers must know that to update the device to the latest version, and must also perform periodic checks.</w:t>
      </w:r>
    </w:p>
    <w:p>
      <w:pPr>
        <w:ind w:firstLine="420" w:firstLineChars="200"/>
        <w:rPr>
          <w:color w:val="auto"/>
        </w:rPr>
      </w:pPr>
      <w:r>
        <w:rPr>
          <w:color w:val="auto"/>
        </w:rPr>
        <w:drawing>
          <wp:inline distT="0" distB="0" distL="114300" distR="114300">
            <wp:extent cx="4930140" cy="1645920"/>
            <wp:effectExtent l="0" t="0" r="7620" b="0"/>
            <wp:docPr id="20"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14"/>
                    <pic:cNvPicPr>
                      <a:picLocks noChangeAspect="1"/>
                    </pic:cNvPicPr>
                  </pic:nvPicPr>
                  <pic:blipFill>
                    <a:blip r:embed="rId14"/>
                    <a:stretch>
                      <a:fillRect/>
                    </a:stretch>
                  </pic:blipFill>
                  <pic:spPr>
                    <a:xfrm>
                      <a:off x="0" y="0"/>
                      <a:ext cx="4930140" cy="1645920"/>
                    </a:xfrm>
                    <a:prstGeom prst="rect">
                      <a:avLst/>
                    </a:prstGeom>
                    <a:noFill/>
                    <a:ln>
                      <a:noFill/>
                    </a:ln>
                  </pic:spPr>
                </pic:pic>
              </a:graphicData>
            </a:graphic>
          </wp:inline>
        </w:drawing>
      </w:r>
    </w:p>
    <w:p>
      <w:pPr>
        <w:ind w:firstLine="420" w:firstLineChars="200"/>
        <w:rPr>
          <w:rFonts w:hint="eastAsia"/>
          <w:color w:val="auto"/>
          <w:lang w:val="en-US" w:eastAsia="zh-CN"/>
        </w:rPr>
      </w:pPr>
      <w:r>
        <w:rPr>
          <w:rFonts w:hint="eastAsia"/>
          <w:color w:val="auto"/>
          <w:lang w:val="en-US" w:eastAsia="zh-CN"/>
        </w:rPr>
        <w:t>Ensure the security of all available communication lines and prevent any unauthorized access including the physical and logical layers (see Table 10).SKKMigas must ensure that data and information exchange is conducted through secure channels and that the data must be approved by the manager before data exchange.The measure of success can be viewed from the appropriate SOP and secure communication channels.</w:t>
      </w:r>
    </w:p>
    <w:p>
      <w:pPr>
        <w:ind w:firstLine="420" w:firstLineChars="200"/>
        <w:rPr>
          <w:color w:val="auto"/>
        </w:rPr>
      </w:pPr>
      <w:r>
        <w:rPr>
          <w:color w:val="auto"/>
        </w:rPr>
        <w:drawing>
          <wp:inline distT="0" distB="0" distL="114300" distR="114300">
            <wp:extent cx="5143500" cy="2362200"/>
            <wp:effectExtent l="0" t="0" r="7620" b="0"/>
            <wp:docPr id="19"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5"/>
                    <pic:cNvPicPr>
                      <a:picLocks noChangeAspect="1"/>
                    </pic:cNvPicPr>
                  </pic:nvPicPr>
                  <pic:blipFill>
                    <a:blip r:embed="rId15"/>
                    <a:stretch>
                      <a:fillRect/>
                    </a:stretch>
                  </pic:blipFill>
                  <pic:spPr>
                    <a:xfrm>
                      <a:off x="0" y="0"/>
                      <a:ext cx="5143500" cy="2362200"/>
                    </a:xfrm>
                    <a:prstGeom prst="rect">
                      <a:avLst/>
                    </a:prstGeom>
                    <a:noFill/>
                    <a:ln>
                      <a:noFill/>
                    </a:ln>
                  </pic:spPr>
                </pic:pic>
              </a:graphicData>
            </a:graphic>
          </wp:inline>
        </w:drawing>
      </w:r>
    </w:p>
    <w:p>
      <w:pPr>
        <w:ind w:firstLine="420" w:firstLineChars="200"/>
        <w:rPr>
          <w:rFonts w:hint="eastAsia"/>
          <w:color w:val="auto"/>
          <w:lang w:val="en-US" w:eastAsia="zh-CN"/>
        </w:rPr>
      </w:pPr>
      <w:r>
        <w:rPr>
          <w:rFonts w:hint="eastAsia"/>
          <w:color w:val="auto"/>
          <w:lang w:val="en-US" w:eastAsia="zh-CN"/>
        </w:rPr>
        <w:t>In Table 11, the acquisition, development and maintenance system of information security is defined as an integral part of the information life cycle. To this end, the security of all it equipment must be ensured. In addition, in order to ensure the correct life cycle of the system, the development and testing of the system must be carried out in a separate environment. As a measure of success, skmigas can refer to the application development that implements its development framework.</w:t>
      </w:r>
    </w:p>
    <w:p>
      <w:pPr>
        <w:ind w:firstLine="420" w:firstLineChars="200"/>
        <w:rPr>
          <w:color w:val="auto"/>
        </w:rPr>
      </w:pPr>
      <w:r>
        <w:rPr>
          <w:color w:val="auto"/>
        </w:rPr>
        <w:drawing>
          <wp:inline distT="0" distB="0" distL="114300" distR="114300">
            <wp:extent cx="4808220" cy="624840"/>
            <wp:effectExtent l="0" t="0" r="762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16"/>
                    <a:stretch>
                      <a:fillRect/>
                    </a:stretch>
                  </pic:blipFill>
                  <pic:spPr>
                    <a:xfrm>
                      <a:off x="0" y="0"/>
                      <a:ext cx="4808220" cy="624840"/>
                    </a:xfrm>
                    <a:prstGeom prst="rect">
                      <a:avLst/>
                    </a:prstGeom>
                    <a:noFill/>
                    <a:ln>
                      <a:noFill/>
                    </a:ln>
                  </pic:spPr>
                </pic:pic>
              </a:graphicData>
            </a:graphic>
          </wp:inline>
        </w:drawing>
      </w:r>
    </w:p>
    <w:p>
      <w:pPr>
        <w:ind w:firstLine="420" w:firstLineChars="200"/>
        <w:rPr>
          <w:color w:val="auto"/>
        </w:rPr>
      </w:pPr>
      <w:r>
        <w:rPr>
          <w:color w:val="auto"/>
        </w:rPr>
        <w:drawing>
          <wp:inline distT="0" distB="0" distL="114300" distR="114300">
            <wp:extent cx="4815840" cy="96012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17"/>
                    <a:stretch>
                      <a:fillRect/>
                    </a:stretch>
                  </pic:blipFill>
                  <pic:spPr>
                    <a:xfrm>
                      <a:off x="0" y="0"/>
                      <a:ext cx="4815840" cy="960120"/>
                    </a:xfrm>
                    <a:prstGeom prst="rect">
                      <a:avLst/>
                    </a:prstGeom>
                    <a:noFill/>
                    <a:ln>
                      <a:noFill/>
                    </a:ln>
                  </pic:spPr>
                </pic:pic>
              </a:graphicData>
            </a:graphic>
          </wp:inline>
        </w:drawing>
      </w:r>
    </w:p>
    <w:p>
      <w:pPr>
        <w:ind w:firstLine="420" w:firstLineChars="200"/>
        <w:rPr>
          <w:rFonts w:hint="eastAsia"/>
          <w:color w:val="auto"/>
          <w:lang w:val="en-US" w:eastAsia="zh-CN"/>
        </w:rPr>
      </w:pPr>
      <w:r>
        <w:rPr>
          <w:rFonts w:hint="eastAsia"/>
          <w:color w:val="auto"/>
          <w:lang w:val="en-US" w:eastAsia="zh-CN"/>
        </w:rPr>
        <w:t>Supplier relationships protect the organization's assets from any unnecessary access by third parties or suppliers. Therefore, the performance monitoring of third-party suppliers must comply with skmigas supplier rules. The applicability of the cooperation contract between skmigas and third-party suppliers proves the successful implementation of the contract. As shown in Table 12, this synthesis only includes the conceptual and logical layers of sabsa.</w:t>
      </w:r>
    </w:p>
    <w:p>
      <w:pPr>
        <w:ind w:firstLine="420" w:firstLineChars="200"/>
        <w:rPr>
          <w:color w:val="auto"/>
        </w:rPr>
      </w:pPr>
      <w:r>
        <w:rPr>
          <w:color w:val="auto"/>
        </w:rPr>
        <w:drawing>
          <wp:inline distT="0" distB="0" distL="114300" distR="114300">
            <wp:extent cx="5120640" cy="1424940"/>
            <wp:effectExtent l="0" t="0" r="0" b="7620"/>
            <wp:docPr id="15"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8"/>
                    <pic:cNvPicPr>
                      <a:picLocks noChangeAspect="1"/>
                    </pic:cNvPicPr>
                  </pic:nvPicPr>
                  <pic:blipFill>
                    <a:blip r:embed="rId18"/>
                    <a:stretch>
                      <a:fillRect/>
                    </a:stretch>
                  </pic:blipFill>
                  <pic:spPr>
                    <a:xfrm>
                      <a:off x="0" y="0"/>
                      <a:ext cx="5120640" cy="1424940"/>
                    </a:xfrm>
                    <a:prstGeom prst="rect">
                      <a:avLst/>
                    </a:prstGeom>
                    <a:noFill/>
                    <a:ln>
                      <a:noFill/>
                    </a:ln>
                  </pic:spPr>
                </pic:pic>
              </a:graphicData>
            </a:graphic>
          </wp:inline>
        </w:drawing>
      </w:r>
    </w:p>
    <w:p>
      <w:pPr>
        <w:ind w:firstLine="420" w:firstLineChars="200"/>
        <w:rPr>
          <w:color w:val="auto"/>
        </w:rPr>
      </w:pPr>
      <w:r>
        <w:rPr>
          <w:rFonts w:hint="eastAsia"/>
          <w:color w:val="auto"/>
          <w:lang w:val="en-US" w:eastAsia="zh-CN"/>
        </w:rPr>
        <w:t>Information security event management includes the logical and physical layers of sapsa, as shown in table 13. It defines the effectiveness and consistency of information security event protection, and covers security events and security vulnerabilities. Information The strategy for the effective implementation of this integrated measure is related to comprehensive and effective mitigation actions, in particular those related to the office of information technology services.</w:t>
      </w:r>
      <w:r>
        <w:rPr>
          <w:color w:val="auto"/>
        </w:rPr>
        <w:drawing>
          <wp:inline distT="0" distB="0" distL="114300" distR="114300">
            <wp:extent cx="4945380" cy="1402080"/>
            <wp:effectExtent l="0" t="0" r="7620" b="0"/>
            <wp:docPr id="16"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9"/>
                    <pic:cNvPicPr>
                      <a:picLocks noChangeAspect="1"/>
                    </pic:cNvPicPr>
                  </pic:nvPicPr>
                  <pic:blipFill>
                    <a:blip r:embed="rId19"/>
                    <a:stretch>
                      <a:fillRect/>
                    </a:stretch>
                  </pic:blipFill>
                  <pic:spPr>
                    <a:xfrm>
                      <a:off x="0" y="0"/>
                      <a:ext cx="4945380" cy="1402080"/>
                    </a:xfrm>
                    <a:prstGeom prst="rect">
                      <a:avLst/>
                    </a:prstGeom>
                    <a:noFill/>
                    <a:ln>
                      <a:noFill/>
                    </a:ln>
                  </pic:spPr>
                </pic:pic>
              </a:graphicData>
            </a:graphic>
          </wp:inline>
        </w:drawing>
      </w:r>
    </w:p>
    <w:p>
      <w:pPr>
        <w:ind w:firstLine="420" w:firstLineChars="200"/>
        <w:rPr>
          <w:rFonts w:hint="eastAsia"/>
          <w:color w:val="auto"/>
          <w:lang w:val="en-US" w:eastAsia="zh-CN"/>
        </w:rPr>
      </w:pPr>
      <w:r>
        <w:rPr>
          <w:rFonts w:hint="eastAsia"/>
          <w:color w:val="auto"/>
          <w:lang w:val="en-US" w:eastAsia="zh-CN"/>
        </w:rPr>
        <w:t>Information security event management includes physical layer and logical layer, as shown in table 13. It defines the effectiveness and consistency of information security event protection, and covers security events and security vulnerabilities. The information strategy for the effective implementation of this integrated measure is linked to comprehensive and effective mitigation actions, in particular those related to the office of information technology services.</w:t>
      </w:r>
    </w:p>
    <w:p>
      <w:pPr>
        <w:ind w:firstLine="420" w:firstLineChars="200"/>
        <w:rPr>
          <w:color w:val="auto"/>
        </w:rPr>
      </w:pPr>
      <w:r>
        <w:rPr>
          <w:color w:val="auto"/>
        </w:rPr>
        <w:drawing>
          <wp:inline distT="0" distB="0" distL="114300" distR="114300">
            <wp:extent cx="5013960" cy="1402080"/>
            <wp:effectExtent l="0" t="0" r="0" b="0"/>
            <wp:docPr id="17"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20"/>
                    <pic:cNvPicPr>
                      <a:picLocks noChangeAspect="1"/>
                    </pic:cNvPicPr>
                  </pic:nvPicPr>
                  <pic:blipFill>
                    <a:blip r:embed="rId20"/>
                    <a:stretch>
                      <a:fillRect/>
                    </a:stretch>
                  </pic:blipFill>
                  <pic:spPr>
                    <a:xfrm>
                      <a:off x="0" y="0"/>
                      <a:ext cx="5013960" cy="1402080"/>
                    </a:xfrm>
                    <a:prstGeom prst="rect">
                      <a:avLst/>
                    </a:prstGeom>
                    <a:noFill/>
                    <a:ln>
                      <a:noFill/>
                    </a:ln>
                  </pic:spPr>
                </pic:pic>
              </a:graphicData>
            </a:graphic>
          </wp:inline>
        </w:drawing>
      </w:r>
    </w:p>
    <w:p>
      <w:pPr>
        <w:ind w:firstLine="420" w:firstLineChars="200"/>
        <w:rPr>
          <w:rFonts w:hint="eastAsia"/>
          <w:color w:val="auto"/>
          <w:lang w:val="en-US" w:eastAsia="zh-CN"/>
        </w:rPr>
      </w:pPr>
      <w:r>
        <w:rPr>
          <w:rFonts w:hint="eastAsia"/>
          <w:color w:val="auto"/>
          <w:lang w:val="en-US" w:eastAsia="zh-CN"/>
        </w:rPr>
        <w:t>Table 15 illustrates the recent overall efforts of the new framework to implement programmes to prevent the abuse of information security laws, rules and contracts. The synthesis includes the concept, logic and physical layers of BSA.</w:t>
      </w:r>
    </w:p>
    <w:p>
      <w:pPr>
        <w:ind w:firstLine="420" w:firstLineChars="200"/>
        <w:rPr>
          <w:rFonts w:hint="eastAsia"/>
          <w:color w:val="auto"/>
          <w:lang w:val="en-US" w:eastAsia="zh-CN"/>
        </w:rPr>
      </w:pPr>
      <w:r>
        <w:rPr>
          <w:rFonts w:hint="eastAsia"/>
          <w:color w:val="auto"/>
          <w:lang w:val="en-US" w:eastAsia="zh-CN"/>
        </w:rPr>
        <w:t>Manage sales and operations using the enterprise security framework of sabsa and ISO27000 model. The framework includes the following steps. This process begins with an assessment of existing standards and best practices in the field of enterprise wide information security. The next step is to analyze the existing security policies and implement the information security management system (ISMS) in skkmigas. The main step is to establish an integrated security framework to improve the information security management in skmigas. Will be used to control information security management within the organization.</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9B2FABA"/>
    <w:multiLevelType w:val="singleLevel"/>
    <w:tmpl w:val="39B2FABA"/>
    <w:lvl w:ilvl="0" w:tentative="0">
      <w:start w:val="1"/>
      <w:numFmt w:val="upperRoman"/>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76B3E23"/>
    <w:rsid w:val="0BFA04B3"/>
    <w:rsid w:val="18C32EA9"/>
    <w:rsid w:val="26D12991"/>
    <w:rsid w:val="676B3E2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3" Type="http://schemas.openxmlformats.org/officeDocument/2006/relationships/fontTable" Target="fontTable.xml"/><Relationship Id="rId22" Type="http://schemas.openxmlformats.org/officeDocument/2006/relationships/numbering" Target="numbering.xml"/><Relationship Id="rId21" Type="http://schemas.openxmlformats.org/officeDocument/2006/relationships/customXml" Target="../customXml/item1.xml"/><Relationship Id="rId20" Type="http://schemas.openxmlformats.org/officeDocument/2006/relationships/image" Target="media/image17.png"/><Relationship Id="rId2" Type="http://schemas.openxmlformats.org/officeDocument/2006/relationships/settings" Target="settings.xml"/><Relationship Id="rId19" Type="http://schemas.openxmlformats.org/officeDocument/2006/relationships/image" Target="media/image16.png"/><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34</TotalTime>
  <ScaleCrop>false</ScaleCrop>
  <LinksUpToDate>false</LinksUpToDate>
  <CharactersWithSpaces>0</CharactersWithSpaces>
  <Application>WPS Office_11.1.0.11115_F1E327BC-269C-435d-A152-05C5408002CA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2022-01-03T10:37:00Z</dcterms:created>
  <dc:creator>WPS_1544075142</dc:creator>
  <cp:lastModifiedBy>WPS_1544075142</cp:lastModifiedBy>
  <dcterms:modified xsi:type="dcterms:W3CDTF">2022-02-03T06:47:03Z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2052-11.1.0.11115</vt:lpwstr>
  </property>
  <property fmtid="{D5CDD505-2E9C-101B-9397-08002B2CF9AE}" pid="3" name="ICV">
    <vt:lpwstr>AAA479787A3D4B86BC02B8C73035E117</vt:lpwstr>
  </property>
</Properties>
</file>