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Student name: </w:t>
      </w:r>
      <w:r>
        <w:rPr>
          <w:rFonts w:ascii="Calibri" w:hAnsi="Calibri" w:cs="Calibri" w:eastAsia="Calibri"/>
          <w:b/>
          <w:color w:val="auto"/>
          <w:spacing w:val="0"/>
          <w:position w:val="0"/>
          <w:sz w:val="28"/>
          <w:shd w:fill="auto" w:val="clear"/>
        </w:rPr>
        <w:t xml:space="preserve">Yoana Stancheva</w:t>
      </w:r>
      <w:r>
        <w:rPr>
          <w:rFonts w:ascii="Calibri" w:hAnsi="Calibri" w:cs="Calibri" w:eastAsia="Calibri"/>
          <w:b/>
          <w:color w:val="auto"/>
          <w:spacing w:val="0"/>
          <w:position w:val="0"/>
          <w:sz w:val="28"/>
          <w:shd w:fill="auto" w:val="clear"/>
        </w:rPr>
        <w:t xml:space="preserve">    </w:t>
      </w:r>
      <w:r>
        <w:rPr>
          <w:rFonts w:ascii="Calibri" w:hAnsi="Calibri" w:cs="Calibri" w:eastAsia="Calibri"/>
          <w:b/>
          <w:color w:val="auto"/>
          <w:spacing w:val="0"/>
          <w:position w:val="0"/>
          <w:sz w:val="28"/>
          <w:shd w:fill="auto" w:val="clear"/>
        </w:rPr>
        <w:t xml:space="preserve"> Student ID number:2225354</w:t>
      </w:r>
    </w:p>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Programme: Law portfolio</w:t>
      </w:r>
    </w:p>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Module: Criminal law</w:t>
      </w:r>
    </w:p>
    <w:p>
      <w:pPr>
        <w:spacing w:before="0" w:after="160" w:line="259"/>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Module code: BMPL4009</w:t>
      </w: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259"/>
        <w:ind w:right="0" w:left="0" w:firstLine="0"/>
        <w:jc w:val="center"/>
        <w:rPr>
          <w:rFonts w:ascii="Calibri" w:hAnsi="Calibri" w:cs="Calibri" w:eastAsia="Calibri"/>
          <w:b/>
          <w:color w:val="auto"/>
          <w:spacing w:val="0"/>
          <w:position w:val="0"/>
          <w:sz w:val="28"/>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Current law governing Homicide in England and Wales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homicide law framework was not designed to ensure that different degrees of unlawfulness Law Commission re properly graded and named, and this is its fundamental flaw. This section presents and describes a tentatively proposed structure for classifying and classifying homicide crimes. In order to classify criminal offenses according to their responsible factors, two principles should be applied. First, the mental state of the perpetrator at the time of the crime is important when assessing different degrees of criminality. To aid in this process, the law has developed a number of terms such as wilfulness, negligence and gross negligence.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law of England and Wales classifies murder offences in a very direct, basic manner. Manslaughter and murder are the only two types of general homicide charges. The bulk of illegal killings must be classified as either one or the other crime. Crimes involving the death of another person are classified as homicides under English law. When a crime qualifies as murder, it must occur both before and after the victim's legally recognised death. The victim must also be "under the Queen's peace," which is a generally uncontroversial criterion. The defendant's acts must have been directly responsible for the death. There is no maximum amount of time betLaw Commission en committing an act and its consequences since the year and a day rule was eliminated (Zavr</w:t>
      </w:r>
      <w:r>
        <w:rPr>
          <w:rFonts w:ascii="Arial" w:hAnsi="Arial" w:cs="Arial" w:eastAsia="Arial"/>
          <w:color w:val="auto"/>
          <w:spacing w:val="0"/>
          <w:position w:val="0"/>
          <w:sz w:val="24"/>
          <w:shd w:fill="auto" w:val="clear"/>
        </w:rPr>
        <w:t xml:space="preserve">šnik,2020).</w:t>
      </w: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Key issues</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Partial defences to murder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Basically, a mental aberration that must result from a documented medical illness that significantly limits the accused's capacity to comprehend their actions, make reasoned decisions, or exercise restraint. The accused's acts or inactions would also have to be explained by the medical aberration of mind. It need not have been the only reason for the murder, but it would need to be more than just insignificant; as a result, it would fail if the accused had killed regardless of the accused's aberrant state of mind.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laws of England and Wales classify murder offenses in a very direct and straightforward way. He has only two common types of murder: manslaughter and homicide. Most unlawful killings are attributed to one type of crime. Under British law, crimes that result in the death of another person are classified as homicides. If a crime constitutes murder, it must be committed both before and after the legally recognized death of the victim. Victims must also be "under the Queen's Peace", a widely accepted standard. The defendant's actions must have contributed directly to the death. Since the year and day rule has been abolished, there is no maximum length of time betLaw Commission en committing a crime and its consequences.</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Controversy surrounding the intent required for murder</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Code's definition of purpose combines some of the common colloquial meanings of the term with a predetermined technical meaning. Acts, omissions, and instances of conditions are included in the usual definition of intent. Mandatory extensions add to the traditional semantics when dealing with conditions and outcomes. Criminal law has long recognized that seditious acts can lead to lack of self-control and ultimately murder. Section 232 of the Criminal Code on partial provocation defence applies when a defendant actually loses control of himself and kills him by provocation so strong as to take away the control of a normal person. Used effectively, a partial defence against provocation would result in a manslaughter conviction (Grado</w:t>
      </w:r>
      <w:r>
        <w:rPr>
          <w:rFonts w:ascii="Arial" w:hAnsi="Arial" w:cs="Arial" w:eastAsia="Arial"/>
          <w:color w:val="auto"/>
          <w:spacing w:val="0"/>
          <w:position w:val="0"/>
          <w:sz w:val="24"/>
          <w:shd w:fill="auto" w:val="clear"/>
        </w:rPr>
        <w:t xml:space="preserve">ń,2020).</w:t>
      </w: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Breadth of manslaughter too broad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Manslaughter is defined as the failure to perform a duty expressly necessary to protect human life, a non-felony criminal act, or the performance of a legal act involving the risk of personal injury or death, but not illegal, negligent, or acts of gross negligence. Manslaughter is a legal term that means murder that isn't exactly premeditated murder, and defines a person who accidentally or thoughtlessly kills another person. Although manslaughter is often punished less severely than murder, it is still a very serious crime.</w:t>
      </w: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Proposals that have been put forward by the Law Commission and other bodies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Law Commission has given several concepts for prospective legal reform consideration. Below, Law Commission  offer a few of these suggestions. Law Commission  want to be clear that these are just Law Commission  initial thoughts and that Law Commission  are not favLaw Commission ing these ideas above any others that could be put up during the 14th Programme consultation. Additionally, Law Commission  have not thoroughly explored these concepts, including determining if the government will likely support them. They are meant to provide a sense of the range and depth of the work Law Commission  could take into consideration. HoLaw Commission ver, Law Commission  would want to know what you think about these ideas.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2014, Law Commission  proposed that the Law Reform Initiative should consider developing a unified framework for information sharing betLaw Commission en government agencies and bodies performing public functions. Law Commission  Law Commission re told that the regulation is complex and vague, and poses both real and perceived obstacles to desirable data sharing for the public good. The Legal Affairs Committee, in collaboration with the Diet Legal Affairs Bureau and the Government Legal Affairs Bureau, may consider undertaking a comprehensive effort to examine areas where legislative changes are most likely to have a positive impact. Such efforts could help provide a solid foundation for future legislation by identifying, by theme, key areas of law in need of streamlining (Stanley,2020).</w:t>
      </w:r>
    </w:p>
    <w:p>
      <w:pPr>
        <w:spacing w:before="0" w:after="160" w:line="360"/>
        <w:ind w:right="0" w:left="0" w:firstLine="0"/>
        <w:jc w:val="left"/>
        <w:rPr>
          <w:rFonts w:ascii="Arial" w:hAnsi="Arial" w:cs="Arial" w:eastAsia="Arial"/>
          <w:b/>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Government accepted some proposals for reform and rejected others? Law Commission re they right to do this?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Because murder is one of the most serious crimes and, if convicted, severely restricts the perpetrator's freedom, the murder legislation has to be changed. It is the duty of the state to preserve human life. This is due to harsh punishments for The Judiciary Commission has started an ambitious project to create a new murder structure, modifying the procedures for collusion and partial defence and replacing the existing homicide division for common homicides with a three-stage approach. Domestic law underLaw Commission nt a very major transformation as a result of this.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Judicial Commission recommended a three-stage system for general murder, imposing life imprisonment for first-degree murder, life imprisonment for second-degree murder, and life imprisonment for manslaughter. The Judiciary Committee originally proposed limiting "first-degree murder" to intentional homicide in its 2005 consultation paper (the Justice Department praised the clarity and consistency of the proposal), but in 2006 The 2012 report expanded this to include intentional killings that could cause serious injury. And at the same time, Law Commission  recognize the grave danger to life (Morselli,2021).</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government has decided not to make any changes to the assassination framework, at least for now. The Judicial Commission's recommendation on provocation and mitigation, which in its original form reduced murder to manslaughter, has been amended. In particular, situations where the defendant must have feared serious violence, or where "this amounts to an extraordinary event" was done or said and the defendant rightly felt that he had been seriously wronged. In a given situation, a "taunt" would look like this: Kills carried out are replaced. Loss of self-control no longer has to happen "suddenly", but this condition has been restored.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present legal system has been upheld at the highest level and is not just consistent with these contentious regions. The 'GBH rule' was the focus of a House of Lords ruling in R v Cunningham, in which the House, including the then Lord Chancellor, upheld the rule. Furthermore, there is no need for revision since "the adjective'serious' has not caused problems in the past, where juries have been instructed in murder cases." This confirmed statute is in line with justifications for the rule of law to prevent societal ills. Without a question, society wants to prevent the intentional infliction of substantial bodily injury, and having a harsh punishment for this harm is one way to achieve so.</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Arguments against reform</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government holds that the murder, manslaughter, and infanticide programme of the Judiciary Commission operates as a cohesive whole and that it is legal to choose some components of that programme while rejecting other important ones. This could result in significant issues in practise. By permitting a limited defence of provocation and mitigating criminal culpability, the Judiciary Commission's strategy intends to expressly decrease first-degree murder to second-degree murder. The percentage of life sentences was significantly loLaw Commission r under this system. Because of this, they cannot be easily categorised under the prior distinction betLaw Commission en homicide and manslaughter (Johnson,2019).</w:t>
      </w: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p>
    <w:p>
      <w:pPr>
        <w:spacing w:before="0" w:after="160" w:line="259"/>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Referencing list</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Bright, D., BreLaw Commission r, R. and Morselli, C., 2021. Using social network analysis to study crime: Navigating the challenges of criminal justice records. Social Networks, 66, pp.50-64.</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Chantler, K., Robbins, R., Baker, V. and Stanley, N., 2020. Learning from domestic homicide reviews in England and Wales. Health &amp; Social Care in the Community, 28(2), pp.485-493.</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Grado</w:t>
      </w:r>
      <w:r>
        <w:rPr>
          <w:rFonts w:ascii="Calibri" w:hAnsi="Calibri" w:cs="Calibri" w:eastAsia="Calibri"/>
          <w:color w:val="auto"/>
          <w:spacing w:val="0"/>
          <w:position w:val="0"/>
          <w:sz w:val="28"/>
          <w:shd w:fill="auto" w:val="clear"/>
        </w:rPr>
        <w:t xml:space="preserve">ń, K., 2020. Crime in the time of the plague: Fake news pandemic and the challenges to law-enforcement and intelligence community. Society Register, 4(2), pp.133-148.</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Johnson, B., 2019. Do Criminal Laws Deter Crime?: Deterrence Theory in Criminal Justice Policy: A Primer. Washington DC: MN House Research.</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Rouchy, E., Germanaud, E., Garcia, M. and Michel, G., 2020. Characteristics of homicide-suicide offenders: A systematic review. Aggression and violent behavior, 55, p.101490.</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Sznycer, D. and Patrick, C., 2020. The origins of criminal law. Nature human behaviLaw Commission , 4(5), pp.506-516.</w:t>
      </w:r>
    </w:p>
    <w:p>
      <w:pPr>
        <w:spacing w:before="0" w:after="160" w:line="259"/>
        <w:ind w:right="0" w:left="0" w:firstLine="0"/>
        <w:jc w:val="both"/>
        <w:rPr>
          <w:rFonts w:ascii="Calibri" w:hAnsi="Calibri" w:cs="Calibri" w:eastAsia="Calibri"/>
          <w:color w:val="auto"/>
          <w:spacing w:val="0"/>
          <w:position w:val="0"/>
          <w:sz w:val="28"/>
          <w:shd w:fill="auto" w:val="clear"/>
        </w:rPr>
      </w:pPr>
      <w:r>
        <w:rPr>
          <w:rFonts w:ascii="Calibri" w:hAnsi="Calibri" w:cs="Calibri" w:eastAsia="Calibri"/>
          <w:color w:val="auto"/>
          <w:spacing w:val="0"/>
          <w:position w:val="0"/>
          <w:sz w:val="28"/>
          <w:shd w:fill="auto" w:val="clear"/>
        </w:rPr>
        <w:t xml:space="preserve">Zavr</w:t>
      </w:r>
      <w:r>
        <w:rPr>
          <w:rFonts w:ascii="Calibri" w:hAnsi="Calibri" w:cs="Calibri" w:eastAsia="Calibri"/>
          <w:color w:val="auto"/>
          <w:spacing w:val="0"/>
          <w:position w:val="0"/>
          <w:sz w:val="28"/>
          <w:shd w:fill="auto" w:val="clear"/>
        </w:rPr>
        <w:t xml:space="preserve">šnik, A., 2020, March. Criminal justice, artificial intelligence systems, and human rights. In ERA forum (Vol. 20, No. 4, pp. 567-583). Berlin/Heidelberg: Springer Berlin Heidelberg.</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