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AD868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C1705">
              <w:rPr>
                <w:b/>
                <w:color w:val="auto"/>
                <w:sz w:val="32"/>
              </w:rPr>
              <w:t xml:space="preserve">    PC 6877 Suzanne MORGAN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87D32C" w:rsidR="005A1BA3" w:rsidRDefault="008C1705" w:rsidP="00340E9A">
            <w:pPr>
              <w:overflowPunct/>
              <w:autoSpaceDE/>
              <w:autoSpaceDN/>
              <w:adjustRightInd/>
              <w:ind w:right="237"/>
              <w:textAlignment w:val="auto"/>
              <w:rPr>
                <w:b/>
                <w:color w:val="auto"/>
                <w:sz w:val="32"/>
              </w:rPr>
            </w:pPr>
            <w:r>
              <w:rPr>
                <w:b/>
                <w:color w:val="auto"/>
                <w:sz w:val="32"/>
              </w:rPr>
              <w:t xml:space="preserve">                        2023715</w:t>
            </w:r>
            <w:r w:rsidR="005A1BA3">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5122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A80E056" w:rsidR="00AA666E" w:rsidRDefault="00025650" w:rsidP="00340E9A">
      <w:pPr>
        <w:ind w:right="237"/>
        <w:jc w:val="both"/>
        <w:rPr>
          <w:b/>
          <w:sz w:val="24"/>
          <w:szCs w:val="24"/>
        </w:rPr>
      </w:pPr>
      <w:r w:rsidRPr="00025650">
        <w:rPr>
          <w:b/>
          <w:sz w:val="24"/>
          <w:szCs w:val="24"/>
        </w:rPr>
        <w:t>ANSWER:</w:t>
      </w:r>
    </w:p>
    <w:p w14:paraId="1D2B3775" w14:textId="2980D010" w:rsidR="008C1705" w:rsidRDefault="008C1705" w:rsidP="00340E9A">
      <w:pPr>
        <w:ind w:right="237"/>
        <w:jc w:val="both"/>
        <w:rPr>
          <w:b/>
          <w:sz w:val="24"/>
          <w:szCs w:val="24"/>
        </w:rPr>
      </w:pPr>
    </w:p>
    <w:p w14:paraId="623F409E"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Having achieved independent patrol status, in this essay I will reflect on the impact of organisational culture within the police and the effects on wellbeing and resilience. I will further illustrate strategies that I have put in place to help me maintain wellbeing and my resilience, whilst referencing my research and reflecting using the GIBBS model of reflection (Copley,2011)</w:t>
      </w:r>
    </w:p>
    <w:p w14:paraId="2F9ECCA2"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Like the standards set out for police officers in the Code of ethics (College of Policing,2022), organisational culture is more informal and focuses more upon personality, character, values, and shared beliefs within the force.</w:t>
      </w:r>
    </w:p>
    <w:p w14:paraId="7A1D3784"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CMI (2015) describes organisational culture as the way that things are done and how such unwritten rules effect the behaviours and attitudes of the workforce. There have been many models created to demonstrate understanding of Organisational culture and Johnson and Scholes cultural web (Mind Tools,2022) is best to describe the cultures within policing with its six elements. </w:t>
      </w:r>
    </w:p>
    <w:p w14:paraId="4DE7CCE5"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First of the models’ elements is Stories that can be told between work colleagues, Officers discussing their professional successes and moments of bravery (Eve,2022) can be an aid to build morale amongst the team. Such stories can be useful to reiterate understanding to learning situations, to identify strengths or purely as an aid to personally connect with the team (Koenigs et al.,2022).</w:t>
      </w:r>
    </w:p>
    <w:p w14:paraId="50AC5677"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second of the model is the rituals and routines within the force, this can differ between forces but one that most certainly runs through most is the ritual of Cake fines (cake legislator, 2022). A cake fine is issued to members of the emergency services as a mock in force joke, it is punishment for lower lever incompetence or inconvenience caused such as being late, attending training courses, taking home keys, and can be enforced on birthdays. </w:t>
      </w:r>
    </w:p>
    <w:p w14:paraId="7E7DF4E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third of the model is symbols, this can give reference to the uniform in which officers wear and the pride that comes with it, comparisons can also be made towards other departments within the force and the similarities in what is worn in these departments. Forth part of the model is the organisational structure in which can influence officers by emphasis of values within the force. College of Policing (2022) discuss the importance of the public having active participation within policing to build trust and confidence. </w:t>
      </w:r>
    </w:p>
    <w:p w14:paraId="412A6FA2" w14:textId="77777777" w:rsidR="008C1705" w:rsidRPr="008C1705" w:rsidRDefault="008C1705" w:rsidP="008C1705">
      <w:pPr>
        <w:overflowPunct/>
        <w:autoSpaceDE/>
        <w:autoSpaceDN/>
        <w:adjustRightInd/>
        <w:spacing w:after="160" w:line="259" w:lineRule="auto"/>
        <w:textAlignment w:val="auto"/>
        <w:rPr>
          <w:rFonts w:ascii="Calibri" w:hAnsi="Calibri" w:cs="Times New Roman"/>
          <w:b/>
          <w:bCs/>
          <w:color w:val="auto"/>
          <w:sz w:val="22"/>
          <w:szCs w:val="22"/>
          <w:lang w:eastAsia="en-US"/>
        </w:rPr>
      </w:pPr>
      <w:r w:rsidRPr="008C1705">
        <w:rPr>
          <w:rFonts w:ascii="Calibri" w:hAnsi="Calibri" w:cs="Times New Roman"/>
          <w:color w:val="auto"/>
          <w:sz w:val="22"/>
          <w:szCs w:val="22"/>
          <w:lang w:eastAsia="en-US"/>
        </w:rPr>
        <w:lastRenderedPageBreak/>
        <w:t>The fifth and sixth final parts of the model are that of control systems and the power structures within the organisation. Control systems can describe the rewards and financials of a force, although there is no immediate reward system in place for a police officer in our job role, officers are compensated very well in terms of overtime payments when the time arrives that we must work past our shifts. Power structures indicates the importance of leaders and those within the higher rank structures to understand the organisational structures before them to implicate change, encourage ideas and meet objectives without dismissing the values and traditions of those who make up the culture</w:t>
      </w:r>
      <w:r w:rsidRPr="008C1705">
        <w:rPr>
          <w:rFonts w:ascii="Calibri" w:hAnsi="Calibri" w:cs="Times New Roman"/>
          <w:b/>
          <w:bCs/>
          <w:color w:val="auto"/>
          <w:sz w:val="22"/>
          <w:szCs w:val="22"/>
          <w:lang w:eastAsia="en-US"/>
        </w:rPr>
        <w:t xml:space="preserve">. </w:t>
      </w:r>
      <w:r w:rsidRPr="008C1705">
        <w:rPr>
          <w:rFonts w:ascii="Calibri" w:hAnsi="Calibri" w:cs="Times New Roman"/>
          <w:color w:val="auto"/>
          <w:sz w:val="22"/>
          <w:szCs w:val="22"/>
          <w:lang w:eastAsia="en-US"/>
        </w:rPr>
        <w:t>It has been argued that it should be the responsibility of the higher ranks to create the cultures within organisation, for employees to understand the ways in which the organisation work and</w:t>
      </w:r>
      <w:r w:rsidRPr="008C1705">
        <w:rPr>
          <w:rFonts w:ascii="Calibri" w:hAnsi="Calibri" w:cs="Times New Roman"/>
          <w:b/>
          <w:bCs/>
          <w:color w:val="auto"/>
          <w:sz w:val="22"/>
          <w:szCs w:val="22"/>
          <w:lang w:eastAsia="en-US"/>
        </w:rPr>
        <w:t xml:space="preserve"> </w:t>
      </w:r>
      <w:r w:rsidRPr="008C1705">
        <w:rPr>
          <w:rFonts w:ascii="Calibri" w:hAnsi="Calibri" w:cs="Times New Roman"/>
          <w:color w:val="auto"/>
          <w:sz w:val="22"/>
          <w:szCs w:val="22"/>
          <w:lang w:eastAsia="en-US"/>
        </w:rPr>
        <w:t>not to be realigned with (Charman, 2017).</w:t>
      </w:r>
    </w:p>
    <w:p w14:paraId="1409689B"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I will firstly reflect on my own introduction into the team I joined from training and describe the coping strategies that I adopted for me to engage fully into the organisational and subcultures within it (Copley,2011). For new starters to understand and adapt to organisational culture can be a lengthy process and this can all be concluded from the way in which they are introduced into it and the understanding of it. I noted that when joining my team, they were all from differing backgrounds and levels of experience, some still within probation periods, some with long service and some with lengthy service but transferees from such forces as the metropolitan police, in my case my tutor was a transferee from the ‘met’. </w:t>
      </w:r>
    </w:p>
    <w:p w14:paraId="47FEB21D"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At the beginning of a shift, just before the Sargent briefing the team enjoyed cups of tea and coffee together, the job of making the tea would be that of the newest team member and one of the probationers, in this case it was myself. In good humour my tutor also supplied me with a document ‘Tea making for probationers – Met police white notes’ (law, Gladwell, 2008).      </w:t>
      </w:r>
    </w:p>
    <w:p w14:paraId="1103D808"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Although this task seemed very minor, as time went on, I realised the impact that this minor job role had on my wellbeing and the wellbeing of others on the team. Making the tea for my colleagues opened opportunities for conversations and helped me to get to know them. For example, when waiting for the kettle and sorting cups other team members would join me to help and would converse with me, asking how my day was and talking about their experiences of the days or offering advice, As described within the second element of the Cultural Webb (Mind Tools, 2022). This ultimately helped me to build relationships and strengthen my resilience (Indeed, 2022).</w:t>
      </w:r>
    </w:p>
    <w:p w14:paraId="5B83680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Within the evaluation and analysis of my reflection I would like to refer to the ‘The square of Police Learning’ (Charman,2017) whilst comparing to the first and second elements of the Cultural Webb (Mind Tools,2022). The first element of the ‘Cultural Webb’ describes ‘stories’ of experiences to others on the team as morale boosting and informative and secondly the rituals in which an organisation holds, Charman (2017) corroborates this further with her research that identified that new starters are more easily influenced in the early stages by such things as experience of colleagues. This is due to the want of ‘fitting in’, therefore adopting observational style learning techniques. Charman (2017) describes this as Horizontal style learning. Charman identifies six ways of learning from her research on new recruits; from doing, from watching, from mistakes, using common sense, experience and adapting. </w:t>
      </w:r>
    </w:p>
    <w:p w14:paraId="5B3B7697"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It can be argued that although these styles are imperative for some new starters, in such a diverse job role, to gain clarity and understanding these influences from colleagues can also create negative influences (Cooper, 2017). Officers who have lengthy service may influence unethical behaviour and encourage poor decision making, new recruits may be aware of this and although may disagree would still follow or adhere to colleagues’ instruction due to the fear of rejection and the want to maintain some sort of solidarity to new team (Mercier, 1999). </w:t>
      </w:r>
    </w:p>
    <w:p w14:paraId="13415DB8"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lastRenderedPageBreak/>
        <w:t xml:space="preserve">In conclusion the impact of organisational culture on my personal wellbeing and resilience has been mixed. So far, I do not feel like I have been subjected to the negative impact factors of colleague’s bad habits and poor decision making as described above, most of my team are currently still new themselves or young in service and those that have longer are tutors within the team. I have held on to personal values as part of my job role but feel that I am open to ideas and advice from colleagues, by creating a bond with my colleagues over such things as tea making which opens discussion, my wellbeing and resilience is building by talking through situations and not holding feelings in. </w:t>
      </w:r>
    </w:p>
    <w:p w14:paraId="4DBABF77" w14:textId="77777777" w:rsidR="008C1705" w:rsidRPr="00025650" w:rsidRDefault="008C1705" w:rsidP="00340E9A">
      <w:pPr>
        <w:ind w:right="237"/>
        <w:jc w:val="both"/>
        <w:rPr>
          <w:b/>
          <w:sz w:val="24"/>
          <w:szCs w:val="24"/>
        </w:rPr>
      </w:pPr>
    </w:p>
    <w:p w14:paraId="23F218B3"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Word count :1185</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8298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22A2D87" w:rsidR="00450C83" w:rsidRDefault="00450C83" w:rsidP="00242DD7">
      <w:pPr>
        <w:ind w:right="237"/>
        <w:jc w:val="both"/>
        <w:rPr>
          <w:b/>
          <w:sz w:val="24"/>
          <w:szCs w:val="24"/>
        </w:rPr>
      </w:pPr>
      <w:r w:rsidRPr="00450C83">
        <w:rPr>
          <w:b/>
          <w:sz w:val="24"/>
          <w:szCs w:val="24"/>
        </w:rPr>
        <w:t>ANSWER:</w:t>
      </w:r>
    </w:p>
    <w:p w14:paraId="67215BD2" w14:textId="14F9AD75" w:rsidR="008C1705" w:rsidRDefault="008C1705" w:rsidP="00242DD7">
      <w:pPr>
        <w:ind w:right="237"/>
        <w:jc w:val="both"/>
        <w:rPr>
          <w:b/>
          <w:sz w:val="24"/>
          <w:szCs w:val="24"/>
        </w:rPr>
      </w:pPr>
    </w:p>
    <w:p w14:paraId="4980180D" w14:textId="625A5AB9" w:rsidR="008C1705" w:rsidRDefault="008C1705" w:rsidP="00242DD7">
      <w:pPr>
        <w:ind w:right="237"/>
        <w:jc w:val="both"/>
        <w:rPr>
          <w:b/>
          <w:sz w:val="24"/>
          <w:szCs w:val="24"/>
        </w:rPr>
      </w:pPr>
    </w:p>
    <w:p w14:paraId="7C300A0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Throughout this essay I will be reflecting upon an incident where I have made decisions within a complex and unpredictable circumstance using a dynamic risk assessment. The essay will be supported by referenced research and my reflection will be completed by using the Gibbs model of reflection. </w:t>
      </w:r>
    </w:p>
    <w:p w14:paraId="59FE7A8D"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Within my tutorship and since becoming independent I have attended many incidents that have been complex and unpredictable whilst considering the risks before me and having a positive approach to decisions that need to be made in situations of uncertainty (College of Policing, 2022).</w:t>
      </w:r>
    </w:p>
    <w:p w14:paraId="12B0475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incident I am going to describe as part of my reflection is a call to a private youth hostel where a sixteen-year-old female resident has been in possession of a knife and threatened residents and staff. On the initial information of this call, I believed the offence that I would be dealing with to be that of ‘Affray’ (Gov.uk,2022). This is the offence of a person using or threatening to use unlawful violence towards another and a person of reasonable firmness would fear for their own personal safety. The offence was relevant given that the reporting person had described the suspect as having a knife and making threats with the knife towards support workers and another resident. </w:t>
      </w:r>
    </w:p>
    <w:p w14:paraId="0FAEBA5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I was going to this incident single crewed, so I believed it to be imperative that I consider my presence and the expectations upon me to ensure safeguarding of all those involved, myself included. To support me in my decision making and risk assessment of the incident I utilised the National decision-making model (Bryant and Bryant, 2015).</w:t>
      </w:r>
    </w:p>
    <w:p w14:paraId="3D2E6EB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 The national decision-making model is a cyclical risk-based process which is ideal for situations that change and are fast moving, it also aids an officer to ensure that decisions are made whilst adhering </w:t>
      </w:r>
      <w:r w:rsidRPr="008C1705">
        <w:rPr>
          <w:rFonts w:ascii="Calibri" w:hAnsi="Calibri" w:cs="Times New Roman"/>
          <w:color w:val="auto"/>
          <w:sz w:val="22"/>
          <w:szCs w:val="22"/>
          <w:lang w:eastAsia="en-US"/>
        </w:rPr>
        <w:lastRenderedPageBreak/>
        <w:t>to code of ethics (College of Policing, 2022).The mnemonic ‘CIAPOAR’ can be used when utilising the national decision making model , this stands for the following ; Code of ethics – keeps the standards of the officer professional , in line with the principles, Information available to officers and the gathering of it at scene, Assessment – to risk assess and make decisions or strategies, Powers and policies available to the officer – the law, Options available to the officer and any contingencies that can be used, action that needs to be taken and finally the result and reviewing of an incident , what can be learned form the incident and what went well (Bryant and Bryant, 2015).</w:t>
      </w:r>
    </w:p>
    <w:p w14:paraId="395B6D8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Before attendance at scene, I began my initial risk assessment, The female suspect was known to police, I had attended previously to the female myself. I was aware that the female was contained within the property and that all other residents were in their rooms, no persons at scene was hurt. I was aware that the female had mental health issues and had markers for self-harm. From previous incidents that I had attended I was aware that the female was under the care of Child and Adolescent mental health services, CAHMS (Childline, 2022).</w:t>
      </w:r>
    </w:p>
    <w:p w14:paraId="0384B8B8"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The female was the under the care of the home because she was the victim of Adverse childhood experiences, ACEs (NHS, 2022). Young minds (2018) describe Adverse Childhood Experiences as highly stressful and potential traumatic events or situations that occur during childhood or adolescence, such as Physical, sexual, and emotional abuse, exposure to domestic violence, living with someone abusing drugs and alcohol, the list is exhaustive. Bellis et al (2014) reports that almost 46 percent of adults in England reported to have been subjected to at least 1 ACE whereas a lower proportion, 8%, reported more than 4, the female in this incident was subject to the latter.</w:t>
      </w:r>
    </w:p>
    <w:p w14:paraId="15AF2FEE"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On attendance I spoke to the support worker who had reported the incident to the police. The female was no longer in possession of the knife, had calmed down but was extremely upset in her bedroom, at this point there was now concerns for her mental health.</w:t>
      </w:r>
    </w:p>
    <w:p w14:paraId="7CCE831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support workers explained to me that the female’s behaviour had been ‘off ‘all day and that there was conflict between herself and one of the other residents over menial things, such as, arguing over WIFI at the home and cancelling plans to do pre-arranged activities such as go karting. The support workers explained that the female had been looking forward to going Go karting and was extremely upset, workers struggled to comfort her. NHS (2022) reports that exposure to ACEs can impact the ability to manage different emotions, in this case the female was dealing with disappointment. It was further explained that the female had ongoing issues with a specific resident at the hostel, the females were of similar personality and of similar backgrounds, the relationship was erratic especially on this day, once again a person exposed to ACEs are recognised to lack the capacity to make and keep healthy relationships (NHS,2022). These ongoing arguments escalated throughout the day and eventually lead to the females physically fighting, the female suspect was hurt physically and then comments made to her from the second female which has led to the reported female obtaining a knife and using this in a threatening manner mainly towards the staff as the second female had already gone to her bedroom. </w:t>
      </w:r>
    </w:p>
    <w:p w14:paraId="1987199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Given the information at scene and the intelligence that I was already aware of I asked to be able to speak to the female, this was for various reasons, as part of my initial investigation and to check the welfare of the female given the descriptions of her reactions. I considered safe distance and whether there were any potential weapons within the room, the staff had safely locked away the knifes and the knife that had been mentioned in the original report had already been retrieved and put away safely and out of reach of the female. </w:t>
      </w:r>
    </w:p>
    <w:p w14:paraId="6EEC82D9"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lastRenderedPageBreak/>
        <w:t xml:space="preserve">The female engaged well and explained that she had no support, she was sitting her GCSES but was unable to attend school due to her behaviour, this has caused her stress and has made her feel isolated, the female also described school as her ‘safe place’. The female explained to me that she was feeling agitated and chaotic and was hearing voices, this is something that the female has previously disclosed. Mind (2022) suggest that people who hear voices can find them more frequent and louder in times of stress. The female explained that when she hears her voices she tries and distracts herself by keeping busy, but she had found that hard on the day and felt that the staff had no time for her. Previous incidents that I have attended at the care home I have also identified that the staff have difficulty getting the correct support in place for the residents and have identified that the staff have not been provided with the correct training to deal with the complex issues that the female residents have. </w:t>
      </w:r>
    </w:p>
    <w:p w14:paraId="0264C15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With this incident there was a clear indication to safeguard the female and all the other residents within the home and due to the female’s unpredictable behaviour it was not in the best interest for her to stay at the home tonight. It was agreed by me and staff that the female was in a mental health crisis although not presenting in her usual ways. Mind (2022) describe a mental health crisis as a person getting to breaking point, it is of the believe that the females’ actions tonight have shown this. The staff had already phoned ambulance prior to my attendance with this belief. The staff had been advised that an ambulance would arrive to assess and convey the female to hospital for her to get the correct care.</w:t>
      </w:r>
    </w:p>
    <w:p w14:paraId="6E5AAA14"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Within the evaluation and analysis element of my reflection I believe that the decision I made was the correct one. The original report described an offence of ‘Affray’ and upon investigation the female had in fact been in possession of a knife. On initial attendance when information and intelligence suggest an incident of a knife, I would be quick to effect an arrest to safeguard myself and those present. I considered this carefully due to the age of the subject, Arrests can be traumatising, Human impact partner (2022) report that between 75 % and 93% of youths in the juvenile system have already experienced some degree of trauma. </w:t>
      </w:r>
    </w:p>
    <w:p w14:paraId="273BC24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points to prove of the offence are that a person of reasonable firmness believe that they will be victim to unlawful force, the support workers did not believe that this was the case and there was no complaint forthcoming. As a result of my attendance, I completed a public protection notification (BCP,2022), PPN which allows referrals to be made to outside partner agencies when police have concerns for vulnerable people and their welfare. </w:t>
      </w:r>
    </w:p>
    <w:p w14:paraId="3A999FE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In conclusion I am happy with my response to this incident given the fact that I am still considered young in service, I believed that an arrest was not the best action in this incident and that it was more important to get the relevant support for the female in question, all those present were safeguarded an no harm had come to anyone, all parties were happy with my decisions.</w:t>
      </w:r>
    </w:p>
    <w:p w14:paraId="3298F10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p>
    <w:p w14:paraId="67A0758B" w14:textId="4E55BEDA"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Word </w:t>
      </w:r>
      <w:r w:rsidR="00F8298C" w:rsidRPr="008C1705">
        <w:rPr>
          <w:rFonts w:ascii="Calibri" w:hAnsi="Calibri" w:cs="Times New Roman"/>
          <w:color w:val="auto"/>
          <w:sz w:val="22"/>
          <w:szCs w:val="22"/>
          <w:lang w:eastAsia="en-US"/>
        </w:rPr>
        <w:t>count: 1536</w:t>
      </w:r>
      <w:r w:rsidRPr="008C1705">
        <w:rPr>
          <w:rFonts w:ascii="Calibri" w:hAnsi="Calibri" w:cs="Times New Roman"/>
          <w:color w:val="auto"/>
          <w:sz w:val="22"/>
          <w:szCs w:val="22"/>
          <w:lang w:eastAsia="en-US"/>
        </w:rPr>
        <w:t xml:space="preserve"> </w:t>
      </w:r>
    </w:p>
    <w:p w14:paraId="3F57680A" w14:textId="77777777" w:rsidR="008C1705" w:rsidRPr="00450C83" w:rsidRDefault="008C1705"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F8298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14071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40716" w:rsidRPr="00FE5420" w14:paraId="5FB0D50F" w14:textId="77777777" w:rsidTr="00140716">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5EB0462" w14:textId="77777777" w:rsidR="00140716" w:rsidRPr="00270EEB" w:rsidRDefault="00140716" w:rsidP="00140716">
            <w:pPr>
              <w:jc w:val="both"/>
              <w:rPr>
                <w:sz w:val="24"/>
                <w:szCs w:val="24"/>
              </w:rPr>
            </w:pPr>
            <w:r w:rsidRPr="00FE5420">
              <w:rPr>
                <w:sz w:val="22"/>
                <w:szCs w:val="22"/>
                <w:lang w:eastAsia="zh-TW"/>
              </w:rPr>
              <w:t> </w:t>
            </w:r>
            <w:r>
              <w:rPr>
                <w:sz w:val="24"/>
                <w:szCs w:val="24"/>
              </w:rPr>
              <w:t xml:space="preserve">Case files and managing my own workload </w:t>
            </w:r>
          </w:p>
          <w:p w14:paraId="5C20C1CE" w14:textId="04140B29" w:rsidR="00140716" w:rsidRPr="00FE5420" w:rsidRDefault="00140716" w:rsidP="00140716">
            <w:pPr>
              <w:overflowPunct/>
              <w:autoSpaceDE/>
              <w:autoSpaceDN/>
              <w:adjustRightInd/>
              <w:rPr>
                <w:rFonts w:ascii="Times New Roman" w:hAnsi="Times New Roman" w:cs="Times New Roman"/>
                <w:sz w:val="24"/>
                <w:szCs w:val="24"/>
                <w:lang w:eastAsia="zh-TW"/>
              </w:rPr>
            </w:pPr>
          </w:p>
          <w:p w14:paraId="6FB7EF8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CCEC6CF" w14:textId="77777777" w:rsidR="00140716" w:rsidRDefault="00140716" w:rsidP="00140716">
            <w:pPr>
              <w:overflowPunct/>
              <w:autoSpaceDE/>
              <w:autoSpaceDN/>
              <w:adjustRightInd/>
              <w:rPr>
                <w:sz w:val="22"/>
                <w:szCs w:val="22"/>
                <w:lang w:eastAsia="zh-TW"/>
              </w:rPr>
            </w:pPr>
            <w:r w:rsidRPr="00FE5420">
              <w:rPr>
                <w:sz w:val="22"/>
                <w:szCs w:val="22"/>
                <w:lang w:eastAsia="zh-TW"/>
              </w:rPr>
              <w:t>5-7 </w:t>
            </w:r>
          </w:p>
          <w:p w14:paraId="622BF5ED" w14:textId="77777777" w:rsidR="0015122B" w:rsidRDefault="0015122B" w:rsidP="00140716">
            <w:pPr>
              <w:overflowPunct/>
              <w:autoSpaceDE/>
              <w:autoSpaceDN/>
              <w:adjustRightInd/>
              <w:rPr>
                <w:sz w:val="22"/>
                <w:szCs w:val="22"/>
                <w:lang w:eastAsia="zh-TW"/>
              </w:rPr>
            </w:pPr>
          </w:p>
          <w:p w14:paraId="4F4734CC" w14:textId="0B1B1BCB" w:rsidR="0015122B" w:rsidRPr="00FE5420" w:rsidRDefault="0015122B" w:rsidP="00140716">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16C724E" w14:textId="77777777" w:rsidR="0015122B" w:rsidRDefault="00140716" w:rsidP="00140716">
            <w:pPr>
              <w:overflowPunct/>
              <w:autoSpaceDE/>
              <w:autoSpaceDN/>
              <w:adjustRightInd/>
              <w:rPr>
                <w:sz w:val="22"/>
                <w:szCs w:val="22"/>
                <w:lang w:eastAsia="zh-TW"/>
              </w:rPr>
            </w:pPr>
            <w:r w:rsidRPr="00FE5420">
              <w:rPr>
                <w:sz w:val="22"/>
                <w:szCs w:val="22"/>
                <w:lang w:eastAsia="zh-TW"/>
              </w:rPr>
              <w:t>5-7</w:t>
            </w:r>
          </w:p>
          <w:p w14:paraId="146A2CC8" w14:textId="77777777" w:rsidR="0015122B" w:rsidRDefault="0015122B" w:rsidP="00140716">
            <w:pPr>
              <w:overflowPunct/>
              <w:autoSpaceDE/>
              <w:autoSpaceDN/>
              <w:adjustRightInd/>
              <w:rPr>
                <w:sz w:val="22"/>
                <w:szCs w:val="22"/>
                <w:lang w:eastAsia="zh-TW"/>
              </w:rPr>
            </w:pPr>
          </w:p>
          <w:p w14:paraId="0BCB15AA" w14:textId="6F081E97" w:rsidR="00140716" w:rsidRPr="00FE5420" w:rsidRDefault="0015122B" w:rsidP="00140716">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090AC92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6AB3FD" w14:textId="21C899C7" w:rsidR="00140716" w:rsidRDefault="0015122B" w:rsidP="00140716">
            <w:pPr>
              <w:jc w:val="both"/>
              <w:rPr>
                <w:sz w:val="24"/>
                <w:szCs w:val="24"/>
              </w:rPr>
            </w:pPr>
            <w:r>
              <w:rPr>
                <w:sz w:val="24"/>
                <w:szCs w:val="24"/>
              </w:rPr>
              <w:t>I have been making a conscious effort to ensure that I do a bit of my workload every shift to keep on top of workload but need to develop a tighter strategy to update victims.</w:t>
            </w:r>
          </w:p>
          <w:p w14:paraId="27C02C27" w14:textId="126AAB3D" w:rsidR="0015122B" w:rsidRDefault="0015122B" w:rsidP="00140716">
            <w:pPr>
              <w:jc w:val="both"/>
              <w:rPr>
                <w:sz w:val="24"/>
                <w:szCs w:val="24"/>
              </w:rPr>
            </w:pPr>
          </w:p>
          <w:p w14:paraId="2137F930" w14:textId="070B78A1" w:rsidR="0015122B" w:rsidRDefault="0015122B" w:rsidP="00140716">
            <w:pPr>
              <w:jc w:val="both"/>
              <w:rPr>
                <w:sz w:val="24"/>
                <w:szCs w:val="24"/>
              </w:rPr>
            </w:pPr>
            <w:r>
              <w:rPr>
                <w:sz w:val="24"/>
                <w:szCs w:val="24"/>
              </w:rPr>
              <w:t xml:space="preserve">Regular communication between my sergeant and colleagues in relation to workload and ask for help if need be , especially when on annual leave , plan in </w:t>
            </w:r>
            <w:r>
              <w:rPr>
                <w:sz w:val="24"/>
                <w:szCs w:val="24"/>
              </w:rPr>
              <w:lastRenderedPageBreak/>
              <w:t xml:space="preserve">advance for victim contact to possibly be completed before hand or ask for colleague support </w:t>
            </w:r>
          </w:p>
          <w:p w14:paraId="0EFF7EB3" w14:textId="77777777" w:rsidR="0015122B" w:rsidRDefault="0015122B" w:rsidP="00140716">
            <w:pPr>
              <w:overflowPunct/>
              <w:autoSpaceDE/>
              <w:autoSpaceDN/>
              <w:adjustRightInd/>
              <w:rPr>
                <w:sz w:val="24"/>
                <w:szCs w:val="24"/>
              </w:rPr>
            </w:pPr>
          </w:p>
          <w:p w14:paraId="3E396B76" w14:textId="77777777" w:rsidR="0015122B" w:rsidRDefault="0015122B" w:rsidP="00140716">
            <w:pPr>
              <w:overflowPunct/>
              <w:autoSpaceDE/>
              <w:autoSpaceDN/>
              <w:adjustRightInd/>
              <w:rPr>
                <w:sz w:val="24"/>
                <w:szCs w:val="24"/>
              </w:rPr>
            </w:pPr>
          </w:p>
          <w:p w14:paraId="29A2A56B" w14:textId="7AAC4754" w:rsidR="00140716" w:rsidRPr="00FE5420" w:rsidRDefault="00140716" w:rsidP="00140716">
            <w:pPr>
              <w:overflowPunct/>
              <w:autoSpaceDE/>
              <w:autoSpaceDN/>
              <w:adjustRightInd/>
              <w:rPr>
                <w:rFonts w:ascii="Times New Roman" w:hAnsi="Times New Roman" w:cs="Times New Roman"/>
                <w:sz w:val="24"/>
                <w:szCs w:val="24"/>
                <w:lang w:eastAsia="zh-TW"/>
              </w:rPr>
            </w:pPr>
            <w:r>
              <w:rPr>
                <w:sz w:val="24"/>
                <w:szCs w:val="24"/>
              </w:rPr>
              <w:t xml:space="preserve">I think I should see an increase in my experience and knowledge by the time I complete my HUB attachment.  </w:t>
            </w:r>
          </w:p>
        </w:tc>
      </w:tr>
      <w:tr w:rsidR="00140716" w:rsidRPr="00FE5420" w14:paraId="27FB4397" w14:textId="77777777" w:rsidTr="00140716">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C6731CF"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3DEE84ED" w14:textId="1F23DD81"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26E50D1"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D1F17CC"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CE0DDF5"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29AFB940"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5629D65"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433D2107"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B28F49E"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D3D1A88"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40716" w:rsidRPr="00FE5420" w14:paraId="68AF4F86" w14:textId="77777777" w:rsidTr="00140716">
        <w:tc>
          <w:tcPr>
            <w:tcW w:w="2115" w:type="dxa"/>
            <w:tcBorders>
              <w:top w:val="nil"/>
              <w:left w:val="single" w:sz="6" w:space="0" w:color="auto"/>
              <w:bottom w:val="nil"/>
              <w:right w:val="single" w:sz="6" w:space="0" w:color="auto"/>
            </w:tcBorders>
            <w:shd w:val="clear" w:color="auto" w:fill="auto"/>
            <w:hideMark/>
          </w:tcPr>
          <w:p w14:paraId="6D5CC734"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9D1B316"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607362CB" w14:textId="77777777" w:rsidR="00140716" w:rsidRPr="00270EEB" w:rsidRDefault="00140716" w:rsidP="00140716">
            <w:pPr>
              <w:jc w:val="both"/>
              <w:rPr>
                <w:sz w:val="24"/>
                <w:szCs w:val="24"/>
              </w:rPr>
            </w:pPr>
            <w:r w:rsidRPr="00FE5420">
              <w:rPr>
                <w:b/>
                <w:bCs/>
                <w:sz w:val="22"/>
                <w:szCs w:val="22"/>
                <w:lang w:eastAsia="zh-TW"/>
              </w:rPr>
              <w:t> </w:t>
            </w:r>
            <w:r>
              <w:rPr>
                <w:sz w:val="24"/>
                <w:szCs w:val="24"/>
              </w:rPr>
              <w:t xml:space="preserve">Gain confidence in my job role </w:t>
            </w:r>
          </w:p>
          <w:p w14:paraId="45A1F52A" w14:textId="77777777" w:rsidR="00140716" w:rsidRPr="00270EEB" w:rsidRDefault="00140716" w:rsidP="00140716">
            <w:pPr>
              <w:jc w:val="both"/>
              <w:rPr>
                <w:sz w:val="24"/>
                <w:szCs w:val="24"/>
              </w:rPr>
            </w:pPr>
          </w:p>
          <w:p w14:paraId="5CD0476E" w14:textId="714729EA" w:rsidR="00140716" w:rsidRPr="00FE5420" w:rsidRDefault="00140716" w:rsidP="00140716">
            <w:pPr>
              <w:overflowPunct/>
              <w:autoSpaceDE/>
              <w:autoSpaceDN/>
              <w:adjustRightInd/>
              <w:rPr>
                <w:b/>
                <w:bCs/>
                <w:sz w:val="22"/>
                <w:szCs w:val="22"/>
                <w:lang w:eastAsia="zh-TW"/>
              </w:rPr>
            </w:pPr>
          </w:p>
          <w:p w14:paraId="3D512B24"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6DF0D84C"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4BA6BBBE"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67D43A9"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E9989DB"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34A59C6"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662B1C8"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234B2FFC"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67C975D"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44C782D5"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34F2FA20"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687261CF"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nil"/>
              <w:right w:val="single" w:sz="6" w:space="0" w:color="auto"/>
            </w:tcBorders>
            <w:shd w:val="clear" w:color="auto" w:fill="auto"/>
            <w:hideMark/>
          </w:tcPr>
          <w:p w14:paraId="071F2748"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auto"/>
            <w:hideMark/>
          </w:tcPr>
          <w:p w14:paraId="1FACFE5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16E9B5" w14:textId="77777777" w:rsidR="00140716" w:rsidRDefault="00140716" w:rsidP="00140716">
            <w:pPr>
              <w:overflowPunct/>
              <w:autoSpaceDE/>
              <w:autoSpaceDN/>
              <w:adjustRightInd/>
              <w:rPr>
                <w:sz w:val="22"/>
                <w:szCs w:val="22"/>
                <w:lang w:eastAsia="zh-TW"/>
              </w:rPr>
            </w:pPr>
            <w:r w:rsidRPr="00FE5420">
              <w:rPr>
                <w:sz w:val="22"/>
                <w:szCs w:val="22"/>
                <w:lang w:eastAsia="zh-TW"/>
              </w:rPr>
              <w:t>5-7 </w:t>
            </w:r>
          </w:p>
          <w:p w14:paraId="2C8F3D23" w14:textId="77777777" w:rsidR="0015122B" w:rsidRDefault="0015122B" w:rsidP="00140716">
            <w:pPr>
              <w:overflowPunct/>
              <w:autoSpaceDE/>
              <w:autoSpaceDN/>
              <w:adjustRightInd/>
              <w:rPr>
                <w:sz w:val="24"/>
                <w:szCs w:val="24"/>
                <w:lang w:eastAsia="zh-TW"/>
              </w:rPr>
            </w:pPr>
          </w:p>
          <w:p w14:paraId="4AA59636" w14:textId="0E293FAF" w:rsidR="0015122B" w:rsidRPr="00FE5420" w:rsidRDefault="0015122B" w:rsidP="00140716">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nil"/>
              <w:right w:val="single" w:sz="6" w:space="0" w:color="auto"/>
            </w:tcBorders>
            <w:shd w:val="clear" w:color="auto" w:fill="auto"/>
            <w:hideMark/>
          </w:tcPr>
          <w:p w14:paraId="4D806A3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1ED6C8" w14:textId="77777777" w:rsidR="00140716" w:rsidRDefault="00140716" w:rsidP="00140716">
            <w:pPr>
              <w:overflowPunct/>
              <w:autoSpaceDE/>
              <w:autoSpaceDN/>
              <w:adjustRightInd/>
              <w:rPr>
                <w:sz w:val="22"/>
                <w:szCs w:val="22"/>
                <w:lang w:eastAsia="zh-TW"/>
              </w:rPr>
            </w:pPr>
            <w:r w:rsidRPr="00FE5420">
              <w:rPr>
                <w:sz w:val="22"/>
                <w:szCs w:val="22"/>
                <w:lang w:eastAsia="zh-TW"/>
              </w:rPr>
              <w:t>8-10 </w:t>
            </w:r>
          </w:p>
          <w:p w14:paraId="0933311C" w14:textId="77777777" w:rsidR="0015122B" w:rsidRDefault="0015122B" w:rsidP="00140716">
            <w:pPr>
              <w:overflowPunct/>
              <w:autoSpaceDE/>
              <w:autoSpaceDN/>
              <w:adjustRightInd/>
              <w:rPr>
                <w:sz w:val="24"/>
                <w:szCs w:val="24"/>
                <w:lang w:eastAsia="zh-TW"/>
              </w:rPr>
            </w:pPr>
          </w:p>
          <w:p w14:paraId="085A1CD0" w14:textId="77777777" w:rsidR="0015122B" w:rsidRDefault="0015122B" w:rsidP="00140716">
            <w:pPr>
              <w:overflowPunct/>
              <w:autoSpaceDE/>
              <w:autoSpaceDN/>
              <w:adjustRightInd/>
              <w:rPr>
                <w:sz w:val="24"/>
                <w:szCs w:val="24"/>
                <w:lang w:eastAsia="zh-TW"/>
              </w:rPr>
            </w:pPr>
          </w:p>
          <w:p w14:paraId="5277763A" w14:textId="0BEFC4B5" w:rsidR="0015122B" w:rsidRPr="00FE5420" w:rsidRDefault="0015122B" w:rsidP="00140716">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auto"/>
            <w:hideMark/>
          </w:tcPr>
          <w:p w14:paraId="4BFF7C6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auto"/>
            <w:hideMark/>
          </w:tcPr>
          <w:p w14:paraId="642C7C6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B08419" w14:textId="77777777" w:rsidR="0015122B" w:rsidRDefault="00140716" w:rsidP="00140716">
            <w:pPr>
              <w:overflowPunct/>
              <w:autoSpaceDE/>
              <w:autoSpaceDN/>
              <w:adjustRightInd/>
              <w:rPr>
                <w:sz w:val="22"/>
                <w:szCs w:val="22"/>
                <w:lang w:eastAsia="zh-TW"/>
              </w:rPr>
            </w:pPr>
            <w:r w:rsidRPr="00FE5420">
              <w:rPr>
                <w:sz w:val="22"/>
                <w:szCs w:val="22"/>
                <w:lang w:eastAsia="zh-TW"/>
              </w:rPr>
              <w:t>5-7</w:t>
            </w:r>
          </w:p>
          <w:p w14:paraId="6C6DED66" w14:textId="77777777" w:rsidR="0015122B" w:rsidRDefault="0015122B" w:rsidP="00140716">
            <w:pPr>
              <w:overflowPunct/>
              <w:autoSpaceDE/>
              <w:autoSpaceDN/>
              <w:adjustRightInd/>
              <w:rPr>
                <w:sz w:val="22"/>
                <w:szCs w:val="22"/>
                <w:lang w:eastAsia="zh-TW"/>
              </w:rPr>
            </w:pPr>
          </w:p>
          <w:p w14:paraId="44DD0B54" w14:textId="6F085CD8" w:rsidR="0015122B" w:rsidRDefault="0015122B" w:rsidP="00140716">
            <w:pPr>
              <w:overflowPunct/>
              <w:autoSpaceDE/>
              <w:autoSpaceDN/>
              <w:adjustRightInd/>
              <w:rPr>
                <w:sz w:val="22"/>
                <w:szCs w:val="22"/>
                <w:lang w:eastAsia="zh-TW"/>
              </w:rPr>
            </w:pPr>
            <w:r>
              <w:rPr>
                <w:sz w:val="22"/>
                <w:szCs w:val="22"/>
                <w:lang w:eastAsia="zh-TW"/>
              </w:rPr>
              <w:t>7</w:t>
            </w:r>
          </w:p>
          <w:p w14:paraId="19ACC4DF" w14:textId="503964CE"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20" w:type="dxa"/>
            <w:tcBorders>
              <w:top w:val="nil"/>
              <w:left w:val="nil"/>
              <w:bottom w:val="nil"/>
              <w:right w:val="single" w:sz="6" w:space="0" w:color="auto"/>
            </w:tcBorders>
            <w:shd w:val="clear" w:color="auto" w:fill="auto"/>
            <w:hideMark/>
          </w:tcPr>
          <w:p w14:paraId="14096FDD"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nil"/>
              <w:right w:val="single" w:sz="6" w:space="0" w:color="auto"/>
            </w:tcBorders>
            <w:shd w:val="clear" w:color="auto" w:fill="auto"/>
            <w:hideMark/>
          </w:tcPr>
          <w:p w14:paraId="25C5FDE9" w14:textId="0FE05042" w:rsidR="00140716" w:rsidRDefault="00140716" w:rsidP="00140716">
            <w:pPr>
              <w:overflowPunct/>
              <w:autoSpaceDE/>
              <w:autoSpaceDN/>
              <w:adjustRightInd/>
              <w:rPr>
                <w:sz w:val="24"/>
                <w:szCs w:val="24"/>
              </w:rPr>
            </w:pPr>
            <w:r w:rsidRPr="00FE5420">
              <w:rPr>
                <w:sz w:val="22"/>
                <w:szCs w:val="22"/>
                <w:lang w:eastAsia="zh-TW"/>
              </w:rPr>
              <w:t> </w:t>
            </w:r>
            <w:r>
              <w:rPr>
                <w:sz w:val="24"/>
                <w:szCs w:val="24"/>
              </w:rPr>
              <w:t xml:space="preserve">Throughout the PCDA as my experience </w:t>
            </w:r>
            <w:r w:rsidR="0015122B">
              <w:rPr>
                <w:sz w:val="24"/>
                <w:szCs w:val="24"/>
              </w:rPr>
              <w:t>increases,</w:t>
            </w:r>
            <w:r>
              <w:rPr>
                <w:sz w:val="24"/>
                <w:szCs w:val="24"/>
              </w:rPr>
              <w:t xml:space="preserve"> I believe that so will my </w:t>
            </w:r>
            <w:r w:rsidR="0015122B">
              <w:rPr>
                <w:sz w:val="24"/>
                <w:szCs w:val="24"/>
              </w:rPr>
              <w:t>confidence,</w:t>
            </w:r>
            <w:r>
              <w:rPr>
                <w:sz w:val="24"/>
                <w:szCs w:val="24"/>
              </w:rPr>
              <w:t xml:space="preserve"> I also believe that this will come at different stages for different areas such as more popular calls like </w:t>
            </w:r>
            <w:r w:rsidR="0015122B">
              <w:rPr>
                <w:sz w:val="24"/>
                <w:szCs w:val="24"/>
              </w:rPr>
              <w:t>domestic,</w:t>
            </w:r>
            <w:r>
              <w:rPr>
                <w:sz w:val="24"/>
                <w:szCs w:val="24"/>
              </w:rPr>
              <w:t xml:space="preserve"> and MH will give me more practice</w:t>
            </w:r>
            <w:r w:rsidR="0015122B">
              <w:rPr>
                <w:sz w:val="24"/>
                <w:szCs w:val="24"/>
              </w:rPr>
              <w:t>.</w:t>
            </w:r>
          </w:p>
          <w:p w14:paraId="2B73A6DB" w14:textId="0ED4DFDA" w:rsidR="0015122B" w:rsidRDefault="0015122B" w:rsidP="00140716">
            <w:pPr>
              <w:overflowPunct/>
              <w:autoSpaceDE/>
              <w:autoSpaceDN/>
              <w:adjustRightInd/>
              <w:rPr>
                <w:sz w:val="24"/>
                <w:szCs w:val="24"/>
              </w:rPr>
            </w:pPr>
          </w:p>
          <w:p w14:paraId="179C5BD4" w14:textId="1EB9289C" w:rsidR="0015122B" w:rsidRDefault="0015122B" w:rsidP="00140716">
            <w:pPr>
              <w:overflowPunct/>
              <w:autoSpaceDE/>
              <w:autoSpaceDN/>
              <w:adjustRightInd/>
              <w:rPr>
                <w:sz w:val="24"/>
                <w:szCs w:val="24"/>
              </w:rPr>
            </w:pPr>
            <w:r>
              <w:rPr>
                <w:sz w:val="24"/>
                <w:szCs w:val="24"/>
              </w:rPr>
              <w:t xml:space="preserve">I have completed more interviews over the past few months but still need more confidence with solicitors disclosure and third parties attendance such as interpreter </w:t>
            </w:r>
          </w:p>
          <w:p w14:paraId="256A5249" w14:textId="77777777" w:rsidR="0015122B" w:rsidRDefault="0015122B" w:rsidP="00140716">
            <w:pPr>
              <w:overflowPunct/>
              <w:autoSpaceDE/>
              <w:autoSpaceDN/>
              <w:adjustRightInd/>
              <w:rPr>
                <w:sz w:val="24"/>
                <w:szCs w:val="24"/>
              </w:rPr>
            </w:pPr>
          </w:p>
          <w:p w14:paraId="4B21BF28" w14:textId="37AA9030" w:rsidR="0015122B" w:rsidRPr="00FE5420" w:rsidRDefault="0015122B" w:rsidP="00140716">
            <w:pPr>
              <w:overflowPunct/>
              <w:autoSpaceDE/>
              <w:autoSpaceDN/>
              <w:adjustRightInd/>
              <w:rPr>
                <w:rFonts w:ascii="Times New Roman" w:hAnsi="Times New Roman" w:cs="Times New Roman"/>
                <w:sz w:val="24"/>
                <w:szCs w:val="24"/>
                <w:lang w:eastAsia="zh-TW"/>
              </w:rPr>
            </w:pPr>
          </w:p>
        </w:tc>
      </w:tr>
      <w:tr w:rsidR="00140716" w:rsidRPr="00FE5420" w14:paraId="32396723" w14:textId="77777777" w:rsidTr="00140716">
        <w:tc>
          <w:tcPr>
            <w:tcW w:w="2115" w:type="dxa"/>
            <w:tcBorders>
              <w:top w:val="nil"/>
              <w:left w:val="single" w:sz="6" w:space="0" w:color="auto"/>
              <w:bottom w:val="single" w:sz="6" w:space="0" w:color="auto"/>
              <w:right w:val="single" w:sz="6" w:space="0" w:color="auto"/>
            </w:tcBorders>
            <w:shd w:val="clear" w:color="auto" w:fill="auto"/>
          </w:tcPr>
          <w:p w14:paraId="093F0649" w14:textId="77777777" w:rsidR="00140716" w:rsidRPr="00FE5420" w:rsidRDefault="00140716" w:rsidP="00140716">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1E0D118"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8C276DC"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756BA67"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539CB25"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5334074" w14:textId="77777777" w:rsidR="00140716" w:rsidRPr="00FE5420" w:rsidRDefault="00140716" w:rsidP="00140716">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5A3C7F46" w14:textId="77777777" w:rsidR="00140716" w:rsidRPr="00FE5420" w:rsidRDefault="00140716" w:rsidP="00140716">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5DEB982A" w14:textId="77777777" w:rsidR="00140716" w:rsidRPr="00FE5420" w:rsidRDefault="00140716" w:rsidP="00140716">
            <w:pPr>
              <w:overflowPunct/>
              <w:autoSpaceDE/>
              <w:autoSpaceDN/>
              <w:adjustRightInd/>
              <w:rPr>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F90E1B6"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2FE307" w14:textId="5E829F46" w:rsidR="00F8298C" w:rsidRDefault="00F8298C" w:rsidP="00340E9A">
      <w:pPr>
        <w:keepNext/>
        <w:spacing w:before="240" w:after="60"/>
        <w:ind w:right="237"/>
        <w:jc w:val="both"/>
        <w:rPr>
          <w:sz w:val="24"/>
          <w:szCs w:val="24"/>
        </w:rPr>
      </w:pPr>
    </w:p>
    <w:p w14:paraId="4DCD6C56" w14:textId="77777777" w:rsidR="00F8298C" w:rsidRPr="00F8298C" w:rsidRDefault="00F8298C" w:rsidP="00F8298C">
      <w:pPr>
        <w:overflowPunct/>
        <w:autoSpaceDE/>
        <w:autoSpaceDN/>
        <w:adjustRightInd/>
        <w:spacing w:after="160" w:line="259" w:lineRule="auto"/>
        <w:textAlignment w:val="auto"/>
        <w:rPr>
          <w:rFonts w:ascii="proxima-nova" w:hAnsi="proxima-nova" w:cs="Times New Roman"/>
          <w:color w:val="auto"/>
          <w:sz w:val="21"/>
          <w:szCs w:val="21"/>
          <w:shd w:val="clear" w:color="auto" w:fill="FFFFFF"/>
          <w:lang w:eastAsia="en-US"/>
        </w:rPr>
      </w:pPr>
      <w:r w:rsidRPr="00F8298C">
        <w:rPr>
          <w:rFonts w:ascii="proxima-nova" w:hAnsi="proxima-nova" w:cs="Times New Roman"/>
          <w:color w:val="auto"/>
          <w:sz w:val="21"/>
          <w:szCs w:val="21"/>
          <w:shd w:val="clear" w:color="auto" w:fill="FFFFFF"/>
          <w:lang w:eastAsia="en-US"/>
        </w:rPr>
        <w:t>Bellis, M. A., Hughes, K., Leckenby, N., Perkins, C. and Lowey, H. (2014) ‘National Household Survey of adverse childhood experiences and their relationship with resilience to health-harming behaviours in England’. </w:t>
      </w:r>
      <w:r w:rsidRPr="00F8298C">
        <w:rPr>
          <w:rFonts w:ascii="proxima-nova" w:hAnsi="proxima-nova" w:cs="Times New Roman"/>
          <w:i/>
          <w:iCs/>
          <w:color w:val="auto"/>
          <w:sz w:val="21"/>
          <w:szCs w:val="21"/>
          <w:shd w:val="clear" w:color="auto" w:fill="FFFFFF"/>
          <w:lang w:eastAsia="en-US"/>
        </w:rPr>
        <w:t>BMC Medicine.</w:t>
      </w:r>
      <w:r w:rsidRPr="00F8298C">
        <w:rPr>
          <w:rFonts w:ascii="proxima-nova" w:hAnsi="proxima-nova" w:cs="Times New Roman"/>
          <w:color w:val="auto"/>
          <w:sz w:val="21"/>
          <w:szCs w:val="21"/>
          <w:shd w:val="clear" w:color="auto" w:fill="FFFFFF"/>
          <w:lang w:eastAsia="en-US"/>
        </w:rPr>
        <w:t> 12(72).</w:t>
      </w:r>
    </w:p>
    <w:p w14:paraId="5CC1F03E"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BCP 2022)Safeguarding is everyone’s  buisness</w:t>
      </w:r>
      <w:hyperlink r:id="rId26" w:history="1">
        <w:r w:rsidRPr="00F8298C">
          <w:rPr>
            <w:rFonts w:ascii="Calibri" w:hAnsi="Calibri" w:cs="Times New Roman"/>
            <w:color w:val="0000FF"/>
            <w:sz w:val="22"/>
            <w:szCs w:val="22"/>
            <w:u w:val="single"/>
            <w:lang w:eastAsia="en-US"/>
          </w:rPr>
          <w:t>https://www.bcpsafeguardingadultsboard.com/uploads/7/4/8/9/74891967/appendix_2_-_changes_in_dorset_police_since_completion_of_t</w:t>
        </w:r>
      </w:hyperlink>
    </w:p>
    <w:p w14:paraId="172A5291"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r w:rsidRPr="00F8298C">
        <w:rPr>
          <w:rFonts w:ascii="Open Sans" w:hAnsi="Open Sans" w:cs="Open Sans"/>
          <w:b/>
          <w:bCs/>
          <w:color w:val="666666"/>
        </w:rPr>
        <w:t xml:space="preserve">  </w:t>
      </w:r>
      <w:r w:rsidRPr="00F8298C">
        <w:rPr>
          <w:rFonts w:ascii="Open Sans" w:hAnsi="Open Sans" w:cs="Open Sans"/>
          <w:color w:val="666666"/>
        </w:rPr>
        <w:t>Cake legislator (2022)</w:t>
      </w:r>
      <w:r w:rsidRPr="00F8298C">
        <w:rPr>
          <w:rFonts w:ascii="Open Sans" w:hAnsi="Open Sans" w:cs="Open Sans"/>
          <w:i/>
          <w:iCs/>
          <w:color w:val="666666"/>
        </w:rPr>
        <w:t>Police Cakes (Offences) Act 2018</w:t>
      </w:r>
      <w:r w:rsidRPr="00F8298C">
        <w:rPr>
          <w:rFonts w:ascii="Open Sans" w:hAnsi="Open Sans" w:cs="Open Sans"/>
          <w:color w:val="666666"/>
        </w:rPr>
        <w:t>. [online] Available at: &lt;https://cakeoffencesact.uk/police/appendixa.xhtml#:~:text=Cakes%20provided%20must%20be%20to%20a%20level%20that,be%20repaid%20in%20full%20at%20the%20earliest%20opportunity.&gt; [Accessed 14 July 2022].</w:t>
      </w:r>
    </w:p>
    <w:p w14:paraId="4DAE488F"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0000FF"/>
          <w:sz w:val="22"/>
          <w:szCs w:val="22"/>
          <w:u w:val="single"/>
          <w:lang w:eastAsia="en-US"/>
        </w:rPr>
      </w:pPr>
      <w:r w:rsidRPr="00F8298C">
        <w:rPr>
          <w:rFonts w:ascii="Calibri" w:hAnsi="Calibri" w:cs="Times New Roman"/>
          <w:color w:val="auto"/>
          <w:sz w:val="22"/>
          <w:szCs w:val="22"/>
          <w:lang w:eastAsia="en-US"/>
        </w:rPr>
        <w:t xml:space="preserve">CDC (2022) </w:t>
      </w:r>
      <w:hyperlink r:id="rId27" w:history="1">
        <w:r w:rsidRPr="00F8298C">
          <w:rPr>
            <w:rFonts w:ascii="Calibri" w:hAnsi="Calibri" w:cs="Times New Roman"/>
            <w:color w:val="auto"/>
            <w:sz w:val="22"/>
            <w:szCs w:val="22"/>
            <w:u w:val="single"/>
            <w:lang w:eastAsia="en-US"/>
          </w:rPr>
          <w:t>Data and Statistics on Children's Mental Health | CDC</w:t>
        </w:r>
      </w:hyperlink>
      <w:r w:rsidRPr="00F8298C">
        <w:rPr>
          <w:rFonts w:ascii="Calibri" w:hAnsi="Calibri" w:cs="Times New Roman"/>
          <w:color w:val="0000FF"/>
          <w:sz w:val="22"/>
          <w:szCs w:val="22"/>
          <w:u w:val="single"/>
          <w:lang w:eastAsia="en-US"/>
        </w:rPr>
        <w:t xml:space="preserve"> available at </w:t>
      </w:r>
      <w:hyperlink r:id="rId28" w:history="1">
        <w:r w:rsidRPr="00F8298C">
          <w:rPr>
            <w:rFonts w:ascii="Calibri" w:hAnsi="Calibri" w:cs="Times New Roman"/>
            <w:color w:val="0000FF"/>
            <w:sz w:val="22"/>
            <w:szCs w:val="22"/>
            <w:u w:val="single"/>
            <w:lang w:eastAsia="en-US"/>
          </w:rPr>
          <w:t>https://www.cdc.gov/childrensmentalhealth/data.html</w:t>
        </w:r>
      </w:hyperlink>
    </w:p>
    <w:p w14:paraId="32228585"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Childline(2022)Child and adolescent mental health services(CAHMS) available at </w:t>
      </w:r>
      <w:hyperlink r:id="rId29" w:history="1">
        <w:r w:rsidRPr="00F8298C">
          <w:rPr>
            <w:rFonts w:ascii="Calibri" w:hAnsi="Calibri" w:cs="Times New Roman"/>
            <w:color w:val="0000FF"/>
            <w:sz w:val="22"/>
            <w:szCs w:val="22"/>
            <w:u w:val="single"/>
            <w:lang w:eastAsia="en-US"/>
          </w:rPr>
          <w:t>https://www.childline.org.uk/info-advice/your-feelings/mental-health/child-adolescent-mental-health-services</w:t>
        </w:r>
      </w:hyperlink>
    </w:p>
    <w:p w14:paraId="7169048C"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CMI (2015) understanding organisational culture, available at </w:t>
      </w:r>
      <w:hyperlink r:id="rId30" w:history="1">
        <w:r w:rsidRPr="00F8298C">
          <w:rPr>
            <w:rFonts w:ascii="Calibri" w:hAnsi="Calibri" w:cs="Times New Roman"/>
            <w:color w:val="0000FF"/>
            <w:sz w:val="22"/>
            <w:szCs w:val="22"/>
            <w:u w:val="single"/>
            <w:lang w:eastAsia="en-US"/>
          </w:rPr>
          <w:t>https://switcheductaion.com/wp-content/uploads/2017/06/SEB_LYO_orgculturechecklist_cmi.pdf</w:t>
        </w:r>
      </w:hyperlink>
    </w:p>
    <w:p w14:paraId="64E068C4"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College of Policing (2022) Risk assessment, available at </w:t>
      </w:r>
      <w:hyperlink r:id="rId31" w:history="1">
        <w:r w:rsidRPr="00F8298C">
          <w:rPr>
            <w:rFonts w:ascii="Calibri" w:hAnsi="Calibri" w:cs="Times New Roman"/>
            <w:color w:val="0000FF"/>
            <w:sz w:val="22"/>
            <w:szCs w:val="22"/>
            <w:u w:val="single"/>
            <w:lang w:eastAsia="en-US"/>
          </w:rPr>
          <w:t>https://www.college.police.uk/app/civil-emergencies/civil-contingencies/risk</w:t>
        </w:r>
      </w:hyperlink>
    </w:p>
    <w:p w14:paraId="1020156D"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College of Policing (2022) Promoting the right culture available at </w:t>
      </w:r>
      <w:hyperlink r:id="rId32" w:history="1">
        <w:r w:rsidRPr="00F8298C">
          <w:rPr>
            <w:rFonts w:ascii="Calibri" w:hAnsi="Calibri" w:cs="Times New Roman"/>
            <w:color w:val="0000FF"/>
            <w:sz w:val="22"/>
            <w:szCs w:val="22"/>
            <w:u w:val="single"/>
            <w:lang w:eastAsia="en-US"/>
          </w:rPr>
          <w:t>https://www.colleg.police.uk/guidance/neighbourhood-policing/promoting</w:t>
        </w:r>
      </w:hyperlink>
      <w:r w:rsidRPr="00F8298C">
        <w:rPr>
          <w:rFonts w:ascii="Calibri" w:hAnsi="Calibri" w:cs="Times New Roman"/>
          <w:color w:val="auto"/>
          <w:sz w:val="22"/>
          <w:szCs w:val="22"/>
          <w:lang w:eastAsia="en-US"/>
        </w:rPr>
        <w:t xml:space="preserve"> right culture</w:t>
      </w:r>
    </w:p>
    <w:p w14:paraId="39E2B17E" w14:textId="77777777" w:rsidR="00F8298C" w:rsidRPr="00F8298C" w:rsidRDefault="00F8298C" w:rsidP="00F8298C">
      <w:pPr>
        <w:keepNext/>
        <w:overflowPunct/>
        <w:autoSpaceDE/>
        <w:autoSpaceDN/>
        <w:adjustRightInd/>
        <w:spacing w:after="160" w:line="259" w:lineRule="auto"/>
        <w:textAlignment w:val="auto"/>
        <w:rPr>
          <w:rFonts w:ascii="Calibri" w:hAnsi="Calibri" w:cs="Times New Roman"/>
          <w:color w:val="auto"/>
          <w:sz w:val="22"/>
          <w:szCs w:val="22"/>
          <w:shd w:val="clear" w:color="auto" w:fill="FFFFFF"/>
          <w:lang w:eastAsia="en-US"/>
        </w:rPr>
      </w:pPr>
      <w:r w:rsidRPr="00F8298C">
        <w:rPr>
          <w:rFonts w:ascii="Calibri" w:hAnsi="Calibri" w:cs="Times New Roman"/>
          <w:color w:val="auto"/>
          <w:sz w:val="22"/>
          <w:szCs w:val="22"/>
          <w:shd w:val="clear" w:color="auto" w:fill="FFFFFF"/>
          <w:lang w:eastAsia="en-US"/>
        </w:rPr>
        <w:t>(Copley, 2011) Copley, S., 2011. </w:t>
      </w:r>
      <w:r w:rsidRPr="00F8298C">
        <w:rPr>
          <w:rFonts w:ascii="Calibri" w:hAnsi="Calibri" w:cs="Times New Roman"/>
          <w:i/>
          <w:iCs/>
          <w:color w:val="auto"/>
          <w:sz w:val="22"/>
          <w:szCs w:val="22"/>
          <w:shd w:val="clear" w:color="auto" w:fill="FFFFFF"/>
          <w:lang w:eastAsia="en-US"/>
        </w:rPr>
        <w:t>Reflective practice for policing students</w:t>
      </w:r>
      <w:r w:rsidRPr="00F8298C">
        <w:rPr>
          <w:rFonts w:ascii="Calibri" w:hAnsi="Calibri" w:cs="Times New Roman"/>
          <w:color w:val="auto"/>
          <w:sz w:val="22"/>
          <w:szCs w:val="22"/>
          <w:shd w:val="clear" w:color="auto" w:fill="FFFFFF"/>
          <w:lang w:eastAsia="en-US"/>
        </w:rPr>
        <w:t>. Exeter [England]: Learning Matters, pp.49-51.</w:t>
      </w:r>
    </w:p>
    <w:p w14:paraId="48BFFFC5" w14:textId="77777777" w:rsidR="00F8298C" w:rsidRPr="00F8298C" w:rsidRDefault="00F8298C" w:rsidP="00F8298C">
      <w:pPr>
        <w:keepNext/>
        <w:overflowPunct/>
        <w:autoSpaceDE/>
        <w:autoSpaceDN/>
        <w:adjustRightInd/>
        <w:spacing w:after="160" w:line="259" w:lineRule="auto"/>
        <w:textAlignment w:val="auto"/>
        <w:rPr>
          <w:rFonts w:ascii="Calibri" w:hAnsi="Calibri" w:cs="Times New Roman"/>
          <w:color w:val="auto"/>
          <w:sz w:val="22"/>
          <w:szCs w:val="22"/>
          <w:shd w:val="clear" w:color="auto" w:fill="FFFFFF"/>
          <w:lang w:eastAsia="en-US"/>
        </w:rPr>
      </w:pPr>
      <w:r w:rsidRPr="00F8298C">
        <w:rPr>
          <w:rFonts w:ascii="Calibri" w:hAnsi="Calibri" w:cs="Times New Roman"/>
          <w:color w:val="auto"/>
          <w:sz w:val="22"/>
          <w:szCs w:val="22"/>
          <w:lang w:eastAsia="en-US"/>
        </w:rPr>
        <w:t xml:space="preserve">Cooper (2017) just desserts: why organisational justice in policing matters , available at </w:t>
      </w:r>
      <w:hyperlink r:id="rId33" w:history="1">
        <w:r w:rsidRPr="00F8298C">
          <w:rPr>
            <w:rFonts w:ascii="Calibri" w:hAnsi="Calibri" w:cs="Times New Roman"/>
            <w:color w:val="0000FF"/>
            <w:sz w:val="22"/>
            <w:szCs w:val="22"/>
            <w:u w:val="single"/>
            <w:lang w:eastAsia="en-US"/>
          </w:rPr>
          <w:t>www.greymalkinconsulting.com/our-thinking/oorganisational-justice-in-policing</w:t>
        </w:r>
      </w:hyperlink>
    </w:p>
    <w:p w14:paraId="08C40FF9"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r w:rsidRPr="00F8298C">
        <w:rPr>
          <w:rFonts w:ascii="Open Sans" w:hAnsi="Open Sans" w:cs="Open Sans"/>
          <w:color w:val="666666"/>
        </w:rPr>
        <w:t>Eve, C., 2022. </w:t>
      </w:r>
      <w:r w:rsidRPr="00F8298C">
        <w:rPr>
          <w:rFonts w:ascii="Open Sans" w:hAnsi="Open Sans" w:cs="Open Sans"/>
          <w:i/>
          <w:iCs/>
          <w:color w:val="666666"/>
        </w:rPr>
        <w:t>13 incredible stories of police bravery and professionalism</w:t>
      </w:r>
      <w:r w:rsidRPr="00F8298C">
        <w:rPr>
          <w:rFonts w:ascii="Open Sans" w:hAnsi="Open Sans" w:cs="Open Sans"/>
          <w:color w:val="666666"/>
        </w:rPr>
        <w:t>. [online] PlymouthLive. Available at: &lt;https://www.plymouthherald.co.uk/news/plymouth-news/revealed-13-incredible-stories-police-1122634&gt; [Accessed 14 July 2022].</w:t>
      </w:r>
    </w:p>
    <w:p w14:paraId="64A56A0B"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Gov.uk (2022)Public order act 1986,section3 available at </w:t>
      </w:r>
      <w:hyperlink r:id="rId34" w:history="1">
        <w:r w:rsidRPr="00F8298C">
          <w:rPr>
            <w:rFonts w:ascii="Calibri" w:hAnsi="Calibri" w:cs="Times New Roman"/>
            <w:color w:val="0000FF"/>
            <w:sz w:val="22"/>
            <w:szCs w:val="22"/>
            <w:u w:val="single"/>
            <w:lang w:eastAsia="en-US"/>
          </w:rPr>
          <w:t>https://www.legislation.gov.uk/ukpga/1986/64/section/3/enacted?view=extent</w:t>
        </w:r>
      </w:hyperlink>
    </w:p>
    <w:p w14:paraId="38E216BE"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0000FF"/>
          <w:sz w:val="22"/>
          <w:szCs w:val="22"/>
          <w:u w:val="single"/>
          <w:lang w:eastAsia="en-US"/>
        </w:rPr>
      </w:pPr>
      <w:r w:rsidRPr="00F8298C">
        <w:rPr>
          <w:rFonts w:ascii="Calibri" w:hAnsi="Calibri" w:cs="Times New Roman"/>
          <w:color w:val="E7E6E6"/>
          <w:sz w:val="22"/>
          <w:szCs w:val="22"/>
          <w:lang w:eastAsia="en-US"/>
        </w:rPr>
        <w:lastRenderedPageBreak/>
        <w:t xml:space="preserve">Human impact partners (2022) </w:t>
      </w:r>
      <w:hyperlink r:id="rId35" w:history="1">
        <w:r w:rsidRPr="00F8298C">
          <w:rPr>
            <w:rFonts w:ascii="Calibri" w:hAnsi="Calibri" w:cs="Times New Roman"/>
            <w:color w:val="0000FF"/>
            <w:sz w:val="22"/>
            <w:szCs w:val="22"/>
            <w:u w:val="single"/>
            <w:lang w:eastAsia="en-US"/>
          </w:rPr>
          <w:t>Reducing Youth Arrests Keeps Kids Healthy and Successful: A Health Analysis of Youth Arrest in Michigan - Human Impact Partners</w:t>
        </w:r>
      </w:hyperlink>
      <w:r w:rsidRPr="00F8298C">
        <w:rPr>
          <w:rFonts w:ascii="Calibri" w:hAnsi="Calibri" w:cs="Times New Roman"/>
          <w:color w:val="0000FF"/>
          <w:sz w:val="22"/>
          <w:szCs w:val="22"/>
          <w:u w:val="single"/>
          <w:lang w:eastAsia="en-US"/>
        </w:rPr>
        <w:t xml:space="preserve"> available at </w:t>
      </w:r>
      <w:hyperlink r:id="rId36" w:history="1">
        <w:r w:rsidRPr="00F8298C">
          <w:rPr>
            <w:rFonts w:ascii="Calibri" w:hAnsi="Calibri" w:cs="Times New Roman"/>
            <w:color w:val="0000FF"/>
            <w:sz w:val="22"/>
            <w:szCs w:val="22"/>
            <w:u w:val="single"/>
            <w:lang w:eastAsia="en-US"/>
          </w:rPr>
          <w:t>https://humanimpact.org/hipprojects/reducing-youtharrests-keep-kids-healthy-and-successful-a-health-analysis-of-youth-arrest-in-Michigan/</w:t>
        </w:r>
      </w:hyperlink>
    </w:p>
    <w:p w14:paraId="548F3C55"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Indeed (2022) 8 Reasons why its important to build workplace relationships available at </w:t>
      </w:r>
      <w:hyperlink r:id="rId37" w:history="1">
        <w:r w:rsidRPr="00F8298C">
          <w:rPr>
            <w:rFonts w:ascii="Calibri" w:hAnsi="Calibri" w:cs="Times New Roman"/>
            <w:color w:val="0000FF"/>
            <w:sz w:val="22"/>
            <w:szCs w:val="22"/>
            <w:u w:val="single"/>
            <w:lang w:eastAsia="en-US"/>
          </w:rPr>
          <w:t>https://indeed.com/career-development/importance-of-building-relationships</w:t>
        </w:r>
      </w:hyperlink>
    </w:p>
    <w:p w14:paraId="160A6365"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r w:rsidRPr="00F8298C">
        <w:rPr>
          <w:rFonts w:ascii="Open Sans" w:hAnsi="Open Sans" w:cs="Open Sans"/>
          <w:b/>
          <w:bCs/>
          <w:color w:val="666666"/>
        </w:rPr>
        <w:t xml:space="preserve">  </w:t>
      </w:r>
      <w:r w:rsidRPr="00F8298C">
        <w:rPr>
          <w:rFonts w:ascii="Open Sans" w:hAnsi="Open Sans" w:cs="Open Sans"/>
          <w:color w:val="666666"/>
        </w:rPr>
        <w:t>Koenigs, M., Ortega, N., Nod, D., Nod, D. and Nod, D., 2022. </w:t>
      </w:r>
      <w:r w:rsidRPr="00F8298C">
        <w:rPr>
          <w:rFonts w:ascii="Open Sans" w:hAnsi="Open Sans" w:cs="Open Sans"/>
          <w:i/>
          <w:iCs/>
          <w:color w:val="666666"/>
        </w:rPr>
        <w:t>12 Ways to Make a Positive Impact on Colleagues - Influencive</w:t>
      </w:r>
      <w:r w:rsidRPr="00F8298C">
        <w:rPr>
          <w:rFonts w:ascii="Open Sans" w:hAnsi="Open Sans" w:cs="Open Sans"/>
          <w:color w:val="666666"/>
        </w:rPr>
        <w:t>. [online] Influencive.com. Available at: &lt;https://www.influencive.com/12-ways-to-make-a-positive-impact-on-colleagues/&gt; [Accessed 14 July 2022].</w:t>
      </w:r>
    </w:p>
    <w:p w14:paraId="2793DD5A" w14:textId="77777777" w:rsidR="00F8298C" w:rsidRPr="00F8298C" w:rsidRDefault="00F8298C" w:rsidP="00F8298C">
      <w:pPr>
        <w:overflowPunct/>
        <w:autoSpaceDE/>
        <w:autoSpaceDN/>
        <w:adjustRightInd/>
        <w:spacing w:after="160" w:line="259" w:lineRule="auto"/>
        <w:textAlignment w:val="auto"/>
        <w:rPr>
          <w:rFonts w:ascii="Helvetica" w:hAnsi="Helvetica" w:cs="Times New Roman"/>
          <w:color w:val="262626"/>
          <w:sz w:val="18"/>
          <w:szCs w:val="18"/>
          <w:shd w:val="clear" w:color="auto" w:fill="F5F5F5"/>
          <w:lang w:eastAsia="en-US"/>
        </w:rPr>
      </w:pPr>
      <w:r w:rsidRPr="00F8298C">
        <w:rPr>
          <w:rFonts w:ascii="Helvetica" w:hAnsi="Helvetica" w:cs="Times New Roman"/>
          <w:color w:val="262626"/>
          <w:sz w:val="18"/>
          <w:szCs w:val="18"/>
          <w:shd w:val="clear" w:color="auto" w:fill="F5F5F5"/>
          <w:lang w:eastAsia="en-US"/>
        </w:rPr>
        <w:t>Law and Gladwell (2008) tea making for probationers accessed 18/07/2022 http://www.scribd.com/document /193902018/tea-making-for-probationers-Met-Police-White-Notes</w:t>
      </w:r>
    </w:p>
    <w:p w14:paraId="6E9FA05B" w14:textId="77777777" w:rsidR="00F8298C" w:rsidRPr="00F8298C" w:rsidRDefault="00F8298C" w:rsidP="00F8298C">
      <w:pPr>
        <w:overflowPunct/>
        <w:autoSpaceDE/>
        <w:autoSpaceDN/>
        <w:adjustRightInd/>
        <w:spacing w:after="160" w:line="259" w:lineRule="auto"/>
        <w:textAlignment w:val="auto"/>
        <w:rPr>
          <w:rFonts w:ascii="Segoe UI" w:hAnsi="Segoe UI" w:cs="Segoe UI"/>
          <w:color w:val="0000FF"/>
          <w:sz w:val="22"/>
          <w:szCs w:val="22"/>
          <w:u w:val="single"/>
          <w:shd w:val="clear" w:color="auto" w:fill="FCFCFC"/>
          <w:lang w:eastAsia="en-US"/>
        </w:rPr>
      </w:pPr>
      <w:r w:rsidRPr="00F8298C">
        <w:rPr>
          <w:rFonts w:ascii="Segoe UI" w:hAnsi="Segoe UI" w:cs="Segoe UI"/>
          <w:color w:val="333333"/>
          <w:sz w:val="22"/>
          <w:szCs w:val="22"/>
          <w:shd w:val="clear" w:color="auto" w:fill="FCFCFC"/>
          <w:lang w:eastAsia="en-US"/>
        </w:rPr>
        <w:t>Mercier, P.J. Understanding police culture, by John P. Crank. Cincinnati, OH: Anderson Publishing, 1998. </w:t>
      </w:r>
      <w:r w:rsidRPr="00F8298C">
        <w:rPr>
          <w:rFonts w:ascii="Segoe UI" w:hAnsi="Segoe UI" w:cs="Segoe UI"/>
          <w:i/>
          <w:iCs/>
          <w:color w:val="333333"/>
          <w:sz w:val="22"/>
          <w:szCs w:val="22"/>
          <w:shd w:val="clear" w:color="auto" w:fill="FCFCFC"/>
          <w:lang w:eastAsia="en-US"/>
        </w:rPr>
        <w:t>Am J Crim Just</w:t>
      </w:r>
      <w:r w:rsidRPr="00F8298C">
        <w:rPr>
          <w:rFonts w:ascii="Segoe UI" w:hAnsi="Segoe UI" w:cs="Segoe UI"/>
          <w:color w:val="333333"/>
          <w:sz w:val="22"/>
          <w:szCs w:val="22"/>
          <w:shd w:val="clear" w:color="auto" w:fill="FCFCFC"/>
          <w:lang w:eastAsia="en-US"/>
        </w:rPr>
        <w:t> </w:t>
      </w:r>
      <w:r w:rsidRPr="00F8298C">
        <w:rPr>
          <w:rFonts w:ascii="Segoe UI" w:hAnsi="Segoe UI" w:cs="Segoe UI"/>
          <w:b/>
          <w:bCs/>
          <w:color w:val="333333"/>
          <w:sz w:val="22"/>
          <w:szCs w:val="22"/>
          <w:shd w:val="clear" w:color="auto" w:fill="FCFCFC"/>
          <w:lang w:eastAsia="en-US"/>
        </w:rPr>
        <w:t>24, </w:t>
      </w:r>
      <w:r w:rsidRPr="00F8298C">
        <w:rPr>
          <w:rFonts w:ascii="Segoe UI" w:hAnsi="Segoe UI" w:cs="Segoe UI"/>
          <w:color w:val="333333"/>
          <w:sz w:val="22"/>
          <w:szCs w:val="22"/>
          <w:shd w:val="clear" w:color="auto" w:fill="FCFCFC"/>
          <w:lang w:eastAsia="en-US"/>
        </w:rPr>
        <w:t xml:space="preserve">151–154 (1999). </w:t>
      </w:r>
      <w:hyperlink r:id="rId38" w:history="1">
        <w:r w:rsidRPr="00F8298C">
          <w:rPr>
            <w:rFonts w:ascii="Segoe UI" w:hAnsi="Segoe UI" w:cs="Segoe UI"/>
            <w:color w:val="0000FF"/>
            <w:sz w:val="22"/>
            <w:szCs w:val="22"/>
            <w:u w:val="single"/>
            <w:shd w:val="clear" w:color="auto" w:fill="FCFCFC"/>
            <w:lang w:eastAsia="en-US"/>
          </w:rPr>
          <w:t>https://doi.org/10.1007/BF02887623</w:t>
        </w:r>
      </w:hyperlink>
    </w:p>
    <w:p w14:paraId="7CD7BB04"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Mental health foundation (2022) available at </w:t>
      </w:r>
      <w:hyperlink r:id="rId39" w:history="1">
        <w:r w:rsidRPr="00F8298C">
          <w:rPr>
            <w:rFonts w:ascii="Calibri" w:hAnsi="Calibri" w:cs="Times New Roman"/>
            <w:color w:val="0000FF"/>
            <w:sz w:val="22"/>
            <w:szCs w:val="22"/>
            <w:u w:val="single"/>
            <w:lang w:eastAsia="en-US"/>
          </w:rPr>
          <w:t>https://www.mentalhealth.org.uk/explore-mental-health/statistics/children-young-people-statistics</w:t>
        </w:r>
      </w:hyperlink>
    </w:p>
    <w:p w14:paraId="7B2E814F"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Mind (2022) Hearing voices available at </w:t>
      </w:r>
      <w:hyperlink r:id="rId40" w:history="1">
        <w:r w:rsidRPr="00F8298C">
          <w:rPr>
            <w:rFonts w:ascii="Calibri" w:hAnsi="Calibri" w:cs="Times New Roman"/>
            <w:color w:val="0000FF"/>
            <w:sz w:val="22"/>
            <w:szCs w:val="22"/>
            <w:u w:val="single"/>
            <w:lang w:eastAsia="en-US"/>
          </w:rPr>
          <w:t>https://www.mind.org.uk/information-support/types-of-mental-health-problems/hearing-voices/living with voices/</w:t>
        </w:r>
      </w:hyperlink>
    </w:p>
    <w:p w14:paraId="4223B374"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r w:rsidRPr="00F8298C">
        <w:rPr>
          <w:rFonts w:ascii="Calibri" w:hAnsi="Calibri" w:cs="Times New Roman"/>
          <w:color w:val="auto"/>
          <w:sz w:val="22"/>
          <w:szCs w:val="22"/>
          <w:lang w:eastAsia="en-US"/>
        </w:rPr>
        <w:t xml:space="preserve">Mind tools (2022) The cultural web, Aligning your organizations culture with strategy, available at </w:t>
      </w:r>
      <w:hyperlink r:id="rId41" w:history="1">
        <w:r w:rsidRPr="00F8298C">
          <w:rPr>
            <w:rFonts w:ascii="Calibri" w:hAnsi="Calibri" w:cs="Times New Roman"/>
            <w:color w:val="0000FF"/>
            <w:sz w:val="22"/>
            <w:szCs w:val="22"/>
            <w:u w:val="single"/>
            <w:lang w:eastAsia="en-US"/>
          </w:rPr>
          <w:t>https://www.mind</w:t>
        </w:r>
      </w:hyperlink>
      <w:r w:rsidRPr="00F8298C">
        <w:rPr>
          <w:rFonts w:ascii="Calibri" w:hAnsi="Calibri" w:cs="Times New Roman"/>
          <w:color w:val="auto"/>
          <w:sz w:val="22"/>
          <w:szCs w:val="22"/>
          <w:lang w:eastAsia="en-US"/>
        </w:rPr>
        <w:t xml:space="preserve">tools.com/pages/article/new STR_90.htm </w:t>
      </w:r>
    </w:p>
    <w:p w14:paraId="6EA83770"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E7E6E6"/>
          <w:sz w:val="22"/>
          <w:szCs w:val="22"/>
          <w:lang w:eastAsia="en-US"/>
        </w:rPr>
      </w:pPr>
      <w:r w:rsidRPr="00F8298C">
        <w:rPr>
          <w:rFonts w:ascii="Calibri" w:hAnsi="Calibri" w:cs="Times New Roman"/>
          <w:color w:val="auto"/>
          <w:sz w:val="22"/>
          <w:szCs w:val="22"/>
          <w:lang w:eastAsia="en-US"/>
        </w:rPr>
        <w:t xml:space="preserve">NHS(2022) </w:t>
      </w:r>
      <w:hyperlink r:id="rId42" w:history="1">
        <w:r w:rsidRPr="00F8298C">
          <w:rPr>
            <w:rFonts w:ascii="Calibri" w:hAnsi="Calibri" w:cs="Times New Roman"/>
            <w:color w:val="0000FF"/>
            <w:sz w:val="22"/>
            <w:szCs w:val="22"/>
            <w:u w:val="single"/>
            <w:lang w:eastAsia="en-US"/>
          </w:rPr>
          <w:t>Adverse Childhood Experiences (ACEs) and Attachment - Royal Manchester Children's Hospital (mft.nhs.uk)</w:t>
        </w:r>
      </w:hyperlink>
      <w:r w:rsidRPr="00F8298C">
        <w:rPr>
          <w:rFonts w:ascii="Calibri" w:hAnsi="Calibri" w:cs="Times New Roman"/>
          <w:color w:val="E7E6E6"/>
          <w:sz w:val="22"/>
          <w:szCs w:val="22"/>
          <w:u w:val="single"/>
          <w:lang w:eastAsia="en-US"/>
        </w:rPr>
        <w:t xml:space="preserve"> </w:t>
      </w:r>
      <w:r w:rsidRPr="00F8298C">
        <w:rPr>
          <w:rFonts w:ascii="Calibri" w:hAnsi="Calibri" w:cs="Times New Roman"/>
          <w:color w:val="E7E6E6"/>
          <w:sz w:val="22"/>
          <w:szCs w:val="22"/>
          <w:lang w:eastAsia="en-US"/>
        </w:rPr>
        <w:t xml:space="preserve">available at </w:t>
      </w:r>
      <w:hyperlink r:id="rId43" w:history="1">
        <w:r w:rsidRPr="00F8298C">
          <w:rPr>
            <w:rFonts w:ascii="Calibri" w:hAnsi="Calibri" w:cs="Times New Roman"/>
            <w:color w:val="0000FF"/>
            <w:sz w:val="22"/>
            <w:szCs w:val="22"/>
            <w:u w:val="single"/>
            <w:lang w:eastAsia="en-US"/>
          </w:rPr>
          <w:t>https://mft.nhs.uk/rmch/services/cahms/young-people/adverse-childhood-experiences-aces-and-attachment</w:t>
        </w:r>
      </w:hyperlink>
    </w:p>
    <w:p w14:paraId="4663BCC6" w14:textId="77777777" w:rsidR="00F8298C" w:rsidRPr="00F8298C" w:rsidRDefault="00F8298C" w:rsidP="00F8298C">
      <w:pPr>
        <w:overflowPunct/>
        <w:autoSpaceDE/>
        <w:autoSpaceDN/>
        <w:adjustRightInd/>
        <w:spacing w:after="160" w:line="259" w:lineRule="auto"/>
        <w:textAlignment w:val="auto"/>
        <w:rPr>
          <w:rFonts w:ascii="Helvetica" w:hAnsi="Helvetica" w:cs="Times New Roman"/>
          <w:color w:val="262626"/>
          <w:sz w:val="18"/>
          <w:szCs w:val="18"/>
          <w:shd w:val="clear" w:color="auto" w:fill="F5F5F5"/>
          <w:lang w:eastAsia="en-US"/>
        </w:rPr>
      </w:pPr>
      <w:r w:rsidRPr="00F8298C">
        <w:rPr>
          <w:rFonts w:ascii="Helvetica" w:hAnsi="Helvetica" w:cs="Times New Roman"/>
          <w:color w:val="262626"/>
          <w:sz w:val="18"/>
          <w:szCs w:val="18"/>
          <w:shd w:val="clear" w:color="auto" w:fill="F5F5F5"/>
          <w:lang w:eastAsia="en-US"/>
        </w:rPr>
        <w:t>Sarah Charman (2017) </w:t>
      </w:r>
      <w:r w:rsidRPr="00F8298C">
        <w:rPr>
          <w:rFonts w:ascii="Helvetica" w:hAnsi="Helvetica" w:cs="Times New Roman"/>
          <w:i/>
          <w:iCs/>
          <w:color w:val="262626"/>
          <w:sz w:val="18"/>
          <w:szCs w:val="18"/>
          <w:bdr w:val="none" w:sz="0" w:space="0" w:color="auto" w:frame="1"/>
          <w:shd w:val="clear" w:color="auto" w:fill="F5F5F5"/>
          <w:lang w:eastAsia="en-US"/>
        </w:rPr>
        <w:t>Police Socialisation, Identity and Culture : Becoming Blue</w:t>
      </w:r>
      <w:r w:rsidRPr="00F8298C">
        <w:rPr>
          <w:rFonts w:ascii="Helvetica" w:hAnsi="Helvetica" w:cs="Times New Roman"/>
          <w:color w:val="262626"/>
          <w:sz w:val="18"/>
          <w:szCs w:val="18"/>
          <w:shd w:val="clear" w:color="auto" w:fill="F5F5F5"/>
          <w:lang w:eastAsia="en-US"/>
        </w:rPr>
        <w:t>. Cham: Palgrave Macmillan. Available at: https://search-ebscohost-com.ezproxy.uwtsd.ac.uk/login.aspx?direct=true&amp;db=nlebk&amp;AN=1632522&amp;site=ehost-live (Accessed: 19 July 2022).</w:t>
      </w:r>
    </w:p>
    <w:p w14:paraId="7B4DBFC8" w14:textId="77777777" w:rsidR="00F8298C" w:rsidRPr="00F8298C" w:rsidRDefault="00F8298C" w:rsidP="00F8298C">
      <w:pPr>
        <w:overflowPunct/>
        <w:autoSpaceDE/>
        <w:autoSpaceDN/>
        <w:adjustRightInd/>
        <w:spacing w:after="160" w:line="259" w:lineRule="auto"/>
        <w:textAlignment w:val="auto"/>
        <w:rPr>
          <w:rFonts w:ascii="Helvetica" w:hAnsi="Helvetica" w:cs="Times New Roman"/>
          <w:color w:val="262626"/>
          <w:sz w:val="18"/>
          <w:szCs w:val="18"/>
          <w:shd w:val="clear" w:color="auto" w:fill="F5F5F5"/>
          <w:lang w:eastAsia="en-US"/>
        </w:rPr>
      </w:pPr>
      <w:r w:rsidRPr="00F8298C">
        <w:rPr>
          <w:rFonts w:ascii="Open Sans" w:hAnsi="Open Sans" w:cs="Open Sans"/>
          <w:b/>
          <w:bCs/>
          <w:color w:val="666666"/>
          <w:shd w:val="clear" w:color="auto" w:fill="FFFFFF"/>
          <w:lang w:eastAsia="en-US"/>
        </w:rPr>
        <w:t xml:space="preserve">Bryant and Bryant (2015) National decision-making model </w:t>
      </w:r>
      <w:r w:rsidRPr="00F8298C">
        <w:rPr>
          <w:rFonts w:ascii="Open Sans" w:hAnsi="Open Sans" w:cs="Open Sans"/>
          <w:shd w:val="clear" w:color="auto" w:fill="FFFFFF"/>
          <w:lang w:eastAsia="en-US"/>
        </w:rPr>
        <w:t>Bryant, R. and Bryant, S., n.d. </w:t>
      </w:r>
      <w:r w:rsidRPr="00F8298C">
        <w:rPr>
          <w:rFonts w:ascii="Open Sans" w:hAnsi="Open Sans" w:cs="Open Sans"/>
          <w:i/>
          <w:iCs/>
          <w:shd w:val="clear" w:color="auto" w:fill="FFFFFF"/>
          <w:lang w:eastAsia="en-US"/>
        </w:rPr>
        <w:t>Blackstone's handbook for policing students 2015</w:t>
      </w:r>
      <w:r w:rsidRPr="00F8298C">
        <w:rPr>
          <w:rFonts w:ascii="Open Sans" w:hAnsi="Open Sans" w:cs="Open Sans"/>
          <w:shd w:val="clear" w:color="auto" w:fill="FFFFFF"/>
          <w:lang w:eastAsia="en-US"/>
        </w:rPr>
        <w:t>. 10th ed. oxford: Oxford university press, p.94.</w:t>
      </w:r>
    </w:p>
    <w:p w14:paraId="70C36346" w14:textId="77777777" w:rsidR="00F8298C" w:rsidRPr="00F8298C" w:rsidRDefault="00F8298C" w:rsidP="00F8298C">
      <w:pPr>
        <w:overflowPunct/>
        <w:autoSpaceDE/>
        <w:autoSpaceDN/>
        <w:adjustRightInd/>
        <w:spacing w:after="160" w:line="259" w:lineRule="auto"/>
        <w:textAlignment w:val="auto"/>
        <w:rPr>
          <w:rFonts w:ascii="Helvetica" w:hAnsi="Helvetica" w:cs="Times New Roman"/>
          <w:color w:val="262626"/>
          <w:sz w:val="18"/>
          <w:szCs w:val="18"/>
          <w:shd w:val="clear" w:color="auto" w:fill="F5F5F5"/>
          <w:lang w:eastAsia="en-US"/>
        </w:rPr>
      </w:pPr>
    </w:p>
    <w:p w14:paraId="12C46BF2"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E7E6E6"/>
          <w:sz w:val="22"/>
          <w:szCs w:val="22"/>
          <w:lang w:eastAsia="en-US"/>
        </w:rPr>
      </w:pPr>
    </w:p>
    <w:p w14:paraId="146DCB9A"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53289E9F"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585A2522" w14:textId="77777777" w:rsidR="00F8298C" w:rsidRPr="00F8298C" w:rsidRDefault="00F8298C" w:rsidP="00F8298C">
      <w:pPr>
        <w:overflowPunct/>
        <w:autoSpaceDE/>
        <w:autoSpaceDN/>
        <w:adjustRightInd/>
        <w:spacing w:after="160" w:line="259" w:lineRule="auto"/>
        <w:textAlignment w:val="auto"/>
        <w:rPr>
          <w:rFonts w:ascii="Segoe UI" w:hAnsi="Segoe UI" w:cs="Segoe UI"/>
          <w:color w:val="333333"/>
          <w:sz w:val="22"/>
          <w:szCs w:val="22"/>
          <w:shd w:val="clear" w:color="auto" w:fill="FCFCFC"/>
          <w:lang w:eastAsia="en-US"/>
        </w:rPr>
      </w:pPr>
    </w:p>
    <w:p w14:paraId="154F6E5C"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23496D35"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p>
    <w:p w14:paraId="52EF3D0E"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b/>
          <w:bCs/>
          <w:color w:val="666666"/>
        </w:rPr>
      </w:pPr>
      <w:r w:rsidRPr="00F8298C">
        <w:rPr>
          <w:rFonts w:ascii="Open Sans" w:hAnsi="Open Sans" w:cs="Open Sans"/>
          <w:b/>
          <w:bCs/>
          <w:color w:val="666666"/>
        </w:rPr>
        <w:t> </w:t>
      </w:r>
    </w:p>
    <w:p w14:paraId="3F0621C5"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694A5AAE"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0000FF"/>
          <w:sz w:val="22"/>
          <w:szCs w:val="22"/>
          <w:u w:val="single"/>
          <w:lang w:eastAsia="en-US"/>
        </w:rPr>
      </w:pPr>
    </w:p>
    <w:p w14:paraId="6485B66D"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78B45F0B"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p>
    <w:p w14:paraId="3AAF14F8"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b/>
          <w:bCs/>
          <w:color w:val="666666"/>
        </w:rPr>
      </w:pPr>
    </w:p>
    <w:p w14:paraId="69C43E31"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p>
    <w:p w14:paraId="2892BE4F"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209BB4BE"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1071A0E9"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7236D3D9"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54252821" w14:textId="77777777" w:rsidR="00F8298C" w:rsidRPr="00270EEB" w:rsidRDefault="00F8298C" w:rsidP="00340E9A">
      <w:pPr>
        <w:keepNext/>
        <w:spacing w:before="240" w:after="60"/>
        <w:ind w:right="237"/>
        <w:jc w:val="both"/>
        <w:rPr>
          <w:b/>
          <w:sz w:val="24"/>
          <w:szCs w:val="24"/>
        </w:rPr>
      </w:pPr>
    </w:p>
    <w:p w14:paraId="65314E5D" w14:textId="3F434C97" w:rsidR="6A1ACC1F" w:rsidRDefault="6A1ACC1F" w:rsidP="00B459FC"/>
    <w:sectPr w:rsidR="6A1ACC1F" w:rsidSect="00F8298C">
      <w:headerReference w:type="even" r:id="rId44"/>
      <w:headerReference w:type="default" r:id="rId45"/>
      <w:footerReference w:type="even" r:id="rId46"/>
      <w:footerReference w:type="default" r:id="rId47"/>
      <w:headerReference w:type="first" r:id="rId48"/>
      <w:footerReference w:type="first" r:id="rId4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nova">
    <w:altName w:val="Cambria"/>
    <w:panose1 w:val="00000000000000000000"/>
    <w:charset w:val="00"/>
    <w:family w:val="roman"/>
    <w:notTrueType/>
    <w:pitch w:val="default"/>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38C8" w14:textId="71F788AD" w:rsidR="00F8298C" w:rsidRDefault="00F8298C" w:rsidP="00F8298C">
    <w:pPr>
      <w:pStyle w:val="Footer"/>
      <w:rPr>
        <w:sz w:val="17"/>
      </w:rPr>
    </w:pPr>
    <w:bookmarkStart w:id="2" w:name="TITUS1FooterEvenPages"/>
    <w:r w:rsidRPr="00F8298C">
      <w:rPr>
        <w:sz w:val="17"/>
      </w:rPr>
      <w:t> </w:t>
    </w:r>
  </w:p>
  <w:bookmarkEnd w:id="2"/>
  <w:p w14:paraId="09383854" w14:textId="72FDB106"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4CD59E52" w14:textId="77777777" w:rsidR="00F8298C" w:rsidRPr="00BB5EAA" w:rsidRDefault="00F8298C" w:rsidP="00F8298C">
    <w:pPr>
      <w:pStyle w:val="Footer"/>
      <w:ind w:right="360"/>
      <w:jc w:val="center"/>
    </w:pPr>
  </w:p>
  <w:p w14:paraId="68AE62F6" w14:textId="77777777" w:rsidR="00F8298C" w:rsidRDefault="00F829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3CE11" w14:textId="009B087B" w:rsidR="00F8298C" w:rsidRDefault="00F8298C" w:rsidP="00F8298C">
    <w:pPr>
      <w:pStyle w:val="Footer"/>
      <w:rPr>
        <w:sz w:val="17"/>
      </w:rPr>
    </w:pPr>
    <w:bookmarkStart w:id="3" w:name="TITUS1FooterPrimary"/>
    <w:r w:rsidRPr="00F8298C">
      <w:rPr>
        <w:sz w:val="17"/>
      </w:rPr>
      <w:t> </w:t>
    </w:r>
  </w:p>
  <w:bookmarkEnd w:id="3"/>
  <w:p w14:paraId="50521BFA" w14:textId="22D8FA97" w:rsidR="00F6513F" w:rsidRDefault="00F6513F">
    <w:pPr>
      <w:pStyle w:val="Footer"/>
      <w:jc w:val="right"/>
    </w:pPr>
    <w:r>
      <w:fldChar w:fldCharType="begin"/>
    </w:r>
    <w:r>
      <w:instrText xml:space="preserve"> PAGE   \* MERGEFORMAT </w:instrText>
    </w:r>
    <w:r>
      <w:fldChar w:fldCharType="separate"/>
    </w:r>
    <w:r w:rsidR="00F8298C">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5EAF1" w14:textId="4039A3CA" w:rsidR="00F8298C" w:rsidRDefault="00F8298C" w:rsidP="00F8298C">
    <w:pPr>
      <w:pStyle w:val="Footer"/>
      <w:rPr>
        <w:sz w:val="17"/>
      </w:rPr>
    </w:pPr>
    <w:bookmarkStart w:id="5" w:name="TITUS1FooterFirstPage"/>
    <w:r w:rsidRPr="00F8298C">
      <w:rPr>
        <w:sz w:val="17"/>
      </w:rPr>
      <w:t> </w:t>
    </w:r>
  </w:p>
  <w:bookmarkEnd w:id="5"/>
  <w:p w14:paraId="056CAC56" w14:textId="02D7C5A0"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351C0109" w14:textId="77777777" w:rsidR="00F8298C" w:rsidRPr="00BB5EAA" w:rsidRDefault="00F8298C" w:rsidP="00F8298C">
    <w:pPr>
      <w:pStyle w:val="Footer"/>
      <w:ind w:right="360"/>
      <w:jc w:val="center"/>
    </w:pPr>
  </w:p>
  <w:p w14:paraId="276CC294" w14:textId="77777777" w:rsidR="00F8298C" w:rsidRDefault="00F829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A16C9" w14:textId="00C9A31E" w:rsidR="00F8298C" w:rsidRDefault="00F8298C" w:rsidP="00F8298C">
    <w:pPr>
      <w:pStyle w:val="Footer"/>
      <w:rPr>
        <w:sz w:val="17"/>
      </w:rPr>
    </w:pPr>
    <w:bookmarkStart w:id="8" w:name="TITUS2FooterEvenPages"/>
    <w:r w:rsidRPr="00F8298C">
      <w:rPr>
        <w:sz w:val="17"/>
      </w:rPr>
      <w:t> </w:t>
    </w:r>
  </w:p>
  <w:bookmarkEnd w:id="8"/>
  <w:p w14:paraId="7C7C0ECA" w14:textId="77777777" w:rsidR="00F8298C" w:rsidRDefault="00F8298C" w:rsidP="00F8298C">
    <w:pPr>
      <w:pStyle w:val="Footer"/>
      <w:jc w:val="right"/>
    </w:pPr>
  </w:p>
  <w:p w14:paraId="27390D44"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52BEA0ED" w14:textId="77777777" w:rsidR="00F8298C" w:rsidRPr="00BB5EAA" w:rsidRDefault="00F8298C" w:rsidP="00F8298C">
    <w:pPr>
      <w:pStyle w:val="Footer"/>
      <w:ind w:right="360"/>
      <w:jc w:val="center"/>
    </w:pPr>
  </w:p>
  <w:p w14:paraId="763078EA" w14:textId="77777777" w:rsidR="00F8298C" w:rsidRDefault="00F8298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A203C" w14:textId="5E2CE4FF" w:rsidR="00F8298C" w:rsidRDefault="00F8298C" w:rsidP="00F8298C">
    <w:pPr>
      <w:pStyle w:val="Footer"/>
      <w:rPr>
        <w:sz w:val="17"/>
      </w:rPr>
    </w:pPr>
    <w:bookmarkStart w:id="9" w:name="TITUS2FooterPrimary"/>
    <w:r w:rsidRPr="00F8298C">
      <w:rPr>
        <w:sz w:val="17"/>
      </w:rPr>
      <w:t> </w:t>
    </w:r>
  </w:p>
  <w:bookmarkEnd w:id="9"/>
  <w:p w14:paraId="79A8A871" w14:textId="77777777" w:rsidR="00F8298C" w:rsidRDefault="00F8298C">
    <w:pPr>
      <w:pStyle w:val="Footer"/>
      <w:jc w:val="right"/>
    </w:pPr>
  </w:p>
  <w:p w14:paraId="1EE388CC" w14:textId="77777777" w:rsidR="00F8298C" w:rsidRDefault="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1A03BC46" w14:textId="77777777" w:rsidR="00F8298C" w:rsidRPr="00BB5EAA" w:rsidRDefault="00F8298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D9391" w14:textId="19C4A85E" w:rsidR="00F8298C" w:rsidRDefault="00F8298C" w:rsidP="00F8298C">
    <w:pPr>
      <w:pStyle w:val="Footer"/>
      <w:rPr>
        <w:sz w:val="17"/>
      </w:rPr>
    </w:pPr>
    <w:bookmarkStart w:id="11" w:name="TITUS2FooterFirstPage"/>
    <w:r w:rsidRPr="00F8298C">
      <w:rPr>
        <w:sz w:val="17"/>
      </w:rPr>
      <w:t> </w:t>
    </w:r>
  </w:p>
  <w:bookmarkEnd w:id="11"/>
  <w:p w14:paraId="2B46AD3F" w14:textId="77777777" w:rsidR="00F8298C" w:rsidRDefault="00F8298C" w:rsidP="00F8298C">
    <w:pPr>
      <w:pStyle w:val="Footer"/>
      <w:jc w:val="right"/>
    </w:pPr>
  </w:p>
  <w:p w14:paraId="130326FA"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7AFAFDB0" w14:textId="77777777" w:rsidR="00F8298C" w:rsidRPr="00BB5EAA" w:rsidRDefault="00F8298C" w:rsidP="00F8298C">
    <w:pPr>
      <w:pStyle w:val="Footer"/>
      <w:ind w:right="360"/>
      <w:jc w:val="center"/>
    </w:pPr>
  </w:p>
  <w:p w14:paraId="3CEB6FA6" w14:textId="77777777" w:rsidR="00F8298C" w:rsidRDefault="00F8298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0997D" w14:textId="129C09D8" w:rsidR="00F8298C" w:rsidRDefault="00F8298C" w:rsidP="00F8298C">
    <w:pPr>
      <w:pStyle w:val="Footer"/>
      <w:rPr>
        <w:sz w:val="17"/>
      </w:rPr>
    </w:pPr>
    <w:bookmarkStart w:id="14" w:name="TITUS3FooterEvenPages"/>
    <w:r w:rsidRPr="00F8298C">
      <w:rPr>
        <w:sz w:val="17"/>
      </w:rPr>
      <w:t> </w:t>
    </w:r>
  </w:p>
  <w:bookmarkEnd w:id="14"/>
  <w:p w14:paraId="31AEE897" w14:textId="77777777" w:rsidR="00F8298C" w:rsidRDefault="00F8298C" w:rsidP="00F8298C">
    <w:pPr>
      <w:pStyle w:val="Footer"/>
      <w:jc w:val="right"/>
    </w:pPr>
  </w:p>
  <w:p w14:paraId="758D1A70"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413C2636" w14:textId="77777777" w:rsidR="00F8298C" w:rsidRPr="00BB5EAA" w:rsidRDefault="00F8298C" w:rsidP="00F8298C">
    <w:pPr>
      <w:pStyle w:val="Footer"/>
      <w:ind w:right="360"/>
      <w:jc w:val="center"/>
    </w:pPr>
  </w:p>
  <w:p w14:paraId="3B92B245" w14:textId="77777777" w:rsidR="00F8298C" w:rsidRDefault="00F8298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30A74" w14:textId="174540E6" w:rsidR="00F8298C" w:rsidRDefault="00F8298C" w:rsidP="00F8298C">
    <w:pPr>
      <w:pStyle w:val="Footer"/>
      <w:rPr>
        <w:sz w:val="17"/>
      </w:rPr>
    </w:pPr>
    <w:bookmarkStart w:id="15" w:name="TITUS3FooterPrimary"/>
    <w:r w:rsidRPr="00F8298C">
      <w:rPr>
        <w:sz w:val="17"/>
      </w:rPr>
      <w:t> </w:t>
    </w:r>
  </w:p>
  <w:bookmarkEnd w:id="15"/>
  <w:p w14:paraId="289E6461" w14:textId="77777777" w:rsidR="00F8298C" w:rsidRDefault="00F8298C">
    <w:pPr>
      <w:pStyle w:val="Footer"/>
      <w:jc w:val="right"/>
    </w:pPr>
  </w:p>
  <w:p w14:paraId="3884D4FD" w14:textId="77777777" w:rsidR="00F8298C" w:rsidRDefault="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5AEBC760" w14:textId="77777777" w:rsidR="00F8298C" w:rsidRPr="00BB5EAA" w:rsidRDefault="00F8298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1A2B8" w14:textId="4C397AEE" w:rsidR="00F8298C" w:rsidRDefault="00F8298C" w:rsidP="00F8298C">
    <w:pPr>
      <w:pStyle w:val="Footer"/>
      <w:rPr>
        <w:sz w:val="17"/>
      </w:rPr>
    </w:pPr>
    <w:bookmarkStart w:id="17" w:name="TITUS3FooterFirstPage"/>
    <w:r w:rsidRPr="00F8298C">
      <w:rPr>
        <w:sz w:val="17"/>
      </w:rPr>
      <w:t> </w:t>
    </w:r>
  </w:p>
  <w:bookmarkEnd w:id="17"/>
  <w:p w14:paraId="74BAAFBE" w14:textId="77777777" w:rsidR="00F8298C" w:rsidRDefault="00F8298C" w:rsidP="00F8298C">
    <w:pPr>
      <w:pStyle w:val="Footer"/>
      <w:jc w:val="right"/>
    </w:pPr>
  </w:p>
  <w:p w14:paraId="36AC5405"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0C20223B" w14:textId="77777777" w:rsidR="00F8298C" w:rsidRPr="00BB5EAA" w:rsidRDefault="00F8298C" w:rsidP="00F8298C">
    <w:pPr>
      <w:pStyle w:val="Footer"/>
      <w:ind w:right="360"/>
      <w:jc w:val="center"/>
    </w:pPr>
  </w:p>
  <w:p w14:paraId="71124745" w14:textId="77777777" w:rsidR="00F8298C" w:rsidRDefault="00F82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DF1C7" w14:textId="68C51FCF" w:rsidR="00F8298C" w:rsidRDefault="00F8298C" w:rsidP="00F8298C">
    <w:pPr>
      <w:pStyle w:val="Header"/>
      <w:rPr>
        <w:sz w:val="17"/>
      </w:rPr>
    </w:pPr>
    <w:bookmarkStart w:id="0" w:name="TITUS1HeaderEvenPages"/>
    <w:r w:rsidRPr="00F8298C">
      <w:rPr>
        <w:sz w:val="17"/>
      </w:rPr>
      <w:t> </w:t>
    </w:r>
  </w:p>
  <w:bookmarkEnd w:id="0"/>
  <w:p w14:paraId="18E187FD" w14:textId="77777777" w:rsidR="00F8298C" w:rsidRDefault="00F829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025DC" w14:textId="1D90F0B9" w:rsidR="00F8298C" w:rsidRDefault="00F8298C" w:rsidP="00F8298C">
    <w:pPr>
      <w:pStyle w:val="Header"/>
      <w:rPr>
        <w:sz w:val="17"/>
      </w:rPr>
    </w:pPr>
    <w:bookmarkStart w:id="1" w:name="TITUS1HeaderPrimary"/>
    <w:r w:rsidRPr="00F8298C">
      <w:rPr>
        <w:sz w:val="17"/>
      </w:rPr>
      <w:t> </w:t>
    </w:r>
  </w:p>
  <w:bookmarkEnd w:id="1"/>
  <w:p w14:paraId="0B415FD4" w14:textId="77777777" w:rsidR="00F8298C" w:rsidRDefault="00F829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4C004" w14:textId="5E8C4AB6" w:rsidR="00F8298C" w:rsidRDefault="00F8298C" w:rsidP="00F8298C">
    <w:pPr>
      <w:pStyle w:val="Header"/>
      <w:rPr>
        <w:sz w:val="17"/>
      </w:rPr>
    </w:pPr>
    <w:bookmarkStart w:id="4" w:name="TITUS1HeaderFirstPage"/>
    <w:r w:rsidRPr="00F8298C">
      <w:rPr>
        <w:sz w:val="17"/>
      </w:rPr>
      <w:t> </w:t>
    </w:r>
  </w:p>
  <w:bookmarkEnd w:id="4"/>
  <w:p w14:paraId="2B8DAE38" w14:textId="77777777" w:rsidR="00F8298C" w:rsidRDefault="00F8298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4BBCF" w14:textId="5D62ADB7" w:rsidR="00F8298C" w:rsidRDefault="00F8298C" w:rsidP="00F8298C">
    <w:pPr>
      <w:pStyle w:val="Header"/>
      <w:rPr>
        <w:sz w:val="17"/>
      </w:rPr>
    </w:pPr>
    <w:bookmarkStart w:id="6" w:name="TITUS2HeaderEvenPages"/>
    <w:r w:rsidRPr="00F8298C">
      <w:rPr>
        <w:sz w:val="17"/>
      </w:rPr>
      <w:t> </w:t>
    </w:r>
  </w:p>
  <w:bookmarkEnd w:id="6"/>
  <w:p w14:paraId="56003C2B" w14:textId="77777777" w:rsidR="00F8298C" w:rsidRDefault="00F8298C" w:rsidP="00F8298C">
    <w:pPr>
      <w:pStyle w:val="Header"/>
    </w:pPr>
  </w:p>
  <w:p w14:paraId="267D0A89" w14:textId="77777777" w:rsidR="00F8298C" w:rsidRDefault="00F8298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5BED3" w14:textId="6DBF6900" w:rsidR="00F8298C" w:rsidRDefault="00F8298C" w:rsidP="00F8298C">
    <w:pPr>
      <w:pStyle w:val="Header"/>
      <w:rPr>
        <w:sz w:val="17"/>
      </w:rPr>
    </w:pPr>
    <w:bookmarkStart w:id="7" w:name="TITUS2HeaderPrimary"/>
    <w:r w:rsidRPr="00F8298C">
      <w:rPr>
        <w:sz w:val="17"/>
      </w:rPr>
      <w:t> </w:t>
    </w:r>
  </w:p>
  <w:bookmarkEnd w:id="7"/>
  <w:p w14:paraId="10A41192" w14:textId="77777777" w:rsidR="00F8298C" w:rsidRDefault="00F8298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A53D8" w14:textId="6EF1FA99" w:rsidR="00F8298C" w:rsidRDefault="00F8298C" w:rsidP="00F8298C">
    <w:pPr>
      <w:pStyle w:val="Header"/>
      <w:rPr>
        <w:sz w:val="17"/>
      </w:rPr>
    </w:pPr>
    <w:bookmarkStart w:id="10" w:name="TITUS2HeaderFirstPage"/>
    <w:r w:rsidRPr="00F8298C">
      <w:rPr>
        <w:sz w:val="17"/>
      </w:rPr>
      <w:t> </w:t>
    </w:r>
  </w:p>
  <w:bookmarkEnd w:id="10"/>
  <w:p w14:paraId="476FBC80" w14:textId="77777777" w:rsidR="00F8298C" w:rsidRDefault="00F8298C" w:rsidP="00F8298C">
    <w:pPr>
      <w:pStyle w:val="Header"/>
    </w:pPr>
  </w:p>
  <w:p w14:paraId="1476A704" w14:textId="77777777" w:rsidR="00F8298C" w:rsidRDefault="00F8298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43343" w14:textId="2B23BA4E" w:rsidR="00F8298C" w:rsidRDefault="00F8298C" w:rsidP="00F8298C">
    <w:pPr>
      <w:pStyle w:val="Header"/>
      <w:rPr>
        <w:sz w:val="17"/>
      </w:rPr>
    </w:pPr>
    <w:bookmarkStart w:id="12" w:name="TITUS3HeaderEvenPages"/>
    <w:r w:rsidRPr="00F8298C">
      <w:rPr>
        <w:sz w:val="17"/>
      </w:rPr>
      <w:t> </w:t>
    </w:r>
  </w:p>
  <w:bookmarkEnd w:id="12"/>
  <w:p w14:paraId="444873FB" w14:textId="77777777" w:rsidR="00F8298C" w:rsidRDefault="00F8298C" w:rsidP="00F8298C">
    <w:pPr>
      <w:pStyle w:val="Header"/>
    </w:pPr>
  </w:p>
  <w:p w14:paraId="3DEF7F7C" w14:textId="77777777" w:rsidR="00F8298C" w:rsidRDefault="00F8298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CBAD4" w14:textId="0E21EA2A" w:rsidR="00F8298C" w:rsidRDefault="00F8298C" w:rsidP="00F8298C">
    <w:pPr>
      <w:pStyle w:val="Header"/>
      <w:rPr>
        <w:sz w:val="17"/>
      </w:rPr>
    </w:pPr>
    <w:bookmarkStart w:id="13" w:name="TITUS3HeaderPrimary"/>
    <w:r w:rsidRPr="00F8298C">
      <w:rPr>
        <w:sz w:val="17"/>
      </w:rPr>
      <w:t> </w:t>
    </w:r>
  </w:p>
  <w:bookmarkEnd w:id="13"/>
  <w:p w14:paraId="4E3BAF7D" w14:textId="77777777" w:rsidR="00F8298C" w:rsidRDefault="00F8298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94F8B" w14:textId="64619822" w:rsidR="00F8298C" w:rsidRDefault="00F8298C" w:rsidP="00F8298C">
    <w:pPr>
      <w:pStyle w:val="Header"/>
      <w:rPr>
        <w:sz w:val="17"/>
      </w:rPr>
    </w:pPr>
    <w:bookmarkStart w:id="16" w:name="TITUS3HeaderFirstPage"/>
    <w:r w:rsidRPr="00F8298C">
      <w:rPr>
        <w:sz w:val="17"/>
      </w:rPr>
      <w:t> </w:t>
    </w:r>
  </w:p>
  <w:bookmarkEnd w:id="16"/>
  <w:p w14:paraId="60B69F46" w14:textId="77777777" w:rsidR="00F8298C" w:rsidRDefault="00F8298C" w:rsidP="00F8298C">
    <w:pPr>
      <w:pStyle w:val="Header"/>
    </w:pPr>
  </w:p>
  <w:p w14:paraId="49EEF281" w14:textId="77777777" w:rsidR="00F8298C" w:rsidRDefault="00F829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0716"/>
    <w:rsid w:val="001447F6"/>
    <w:rsid w:val="00147DE3"/>
    <w:rsid w:val="00150794"/>
    <w:rsid w:val="0015122B"/>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705"/>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298C"/>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cpsafeguardingadultsboard.com/uploads/7/4/8/9/74891967/appendix_2_-_changes_in_dorset_police_since_completion_of_t" TargetMode="External"/><Relationship Id="rId39" Type="http://schemas.openxmlformats.org/officeDocument/2006/relationships/hyperlink" Target="https://www.mentalhealth.org.uk/explore-mental-health/statistics/children-young-people-statistics" TargetMode="External"/><Relationship Id="rId21" Type="http://schemas.openxmlformats.org/officeDocument/2006/relationships/header" Target="header5.xml"/><Relationship Id="rId34" Type="http://schemas.openxmlformats.org/officeDocument/2006/relationships/hyperlink" Target="https://www.legislation.gov.uk/ukpga/1986/64/section/3/enacted?view=extent" TargetMode="External"/><Relationship Id="rId42" Type="http://schemas.openxmlformats.org/officeDocument/2006/relationships/hyperlink" Target="https://mft.nhs.uk/rmch/services/camhs/young-people/adverse-childhood-experiences-aces-and-attachment/" TargetMode="External"/><Relationship Id="rId47" Type="http://schemas.openxmlformats.org/officeDocument/2006/relationships/footer" Target="footer8.xm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hildline.org.uk/info-advice/your-feelings/mental-health/child-adolescent-mental-health-services"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police.uk/guidance/neighbourhood-policing/promoting" TargetMode="External"/><Relationship Id="rId37" Type="http://schemas.openxmlformats.org/officeDocument/2006/relationships/hyperlink" Target="https://indeed.com/career-development/importance-of-building-relationships" TargetMode="External"/><Relationship Id="rId40" Type="http://schemas.openxmlformats.org/officeDocument/2006/relationships/hyperlink" Target="https://www.mind.org.uk/information-support/types-of-mental-health-problems/hearing-voices/living%20with%20voices/" TargetMode="External"/><Relationship Id="rId45" Type="http://schemas.openxmlformats.org/officeDocument/2006/relationships/header" Target="head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dc.gov/childrensmentalhealth/data.html" TargetMode="External"/><Relationship Id="rId36" Type="http://schemas.openxmlformats.org/officeDocument/2006/relationships/hyperlink" Target="https://humanimpact.org/hipprojects/reducing-youtharrests-keep-kids-healthy-and-successful-a-health-analysis-of-youth-arrest-in-Michigan/" TargetMode="External"/><Relationship Id="rId49"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civil-emergencies/civil-contingencies/risk" TargetMode="External"/><Relationship Id="rId44"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dc.gov/childrensmentalhealth/data.html" TargetMode="External"/><Relationship Id="rId30" Type="http://schemas.openxmlformats.org/officeDocument/2006/relationships/hyperlink" Target="https://switcheductaion.com/wp-content/uploads/2017/06/SEB_LYO_orgculturechecklist_cmi.pdf" TargetMode="External"/><Relationship Id="rId35" Type="http://schemas.openxmlformats.org/officeDocument/2006/relationships/hyperlink" Target="https://humanimpact.org/hipprojects/reducing-youth-arrests-keeps-kids-healthy-and-successful-a-health-analysis-of-youth-arrest-in-michigan/" TargetMode="External"/><Relationship Id="rId43" Type="http://schemas.openxmlformats.org/officeDocument/2006/relationships/hyperlink" Target="https://mft.nhs.uk/rmch/services/cahms/young-people/adverse-childhood-experiences-aces-and-attachment" TargetMode="External"/><Relationship Id="rId48" Type="http://schemas.openxmlformats.org/officeDocument/2006/relationships/header" Target="header9.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www.greymalkinconsulting.com/our-thinking/oorganisational-justice-in-policing" TargetMode="External"/><Relationship Id="rId38" Type="http://schemas.openxmlformats.org/officeDocument/2006/relationships/hyperlink" Target="https://doi.org/10.1007/BF02887623" TargetMode="External"/><Relationship Id="rId46" Type="http://schemas.openxmlformats.org/officeDocument/2006/relationships/footer" Target="footer7.xml"/><Relationship Id="rId20" Type="http://schemas.openxmlformats.org/officeDocument/2006/relationships/header" Target="header4.xml"/><Relationship Id="rId41" Type="http://schemas.openxmlformats.org/officeDocument/2006/relationships/hyperlink" Target="https://www.mind"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7961F137-1AC0-4335-9D27-E1044D78D456}">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20</Pages>
  <Words>5140</Words>
  <Characters>29300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Morgan,Suzanne swp6877</cp:lastModifiedBy>
  <cp:revision>4</cp:revision>
  <cp:lastPrinted>2014-08-26T08:55:00Z</cp:lastPrinted>
  <dcterms:created xsi:type="dcterms:W3CDTF">2022-07-25T17:48:00Z</dcterms:created>
  <dcterms:modified xsi:type="dcterms:W3CDTF">2022-07-25T22:27:00Z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6d1c4515-b2e0-4cad-8184-0a1f1e9fd2ed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2022-07-25T22:27:58Z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bb859da2-6fb7-464d-81ff-94e78dfa1812</vt:lpwstr>
  </property>
  <property fmtid="{D5CDD505-2E9C-101B-9397-08002B2CF9AE}" pid="12" name="MSIP_Label_66cf8fe5-b7b7-4df7-b38d-1c61ac2f6639_ContentBits">
    <vt:lpwstr>0</vt:lpwstr>
  </property>
</Properties>
</file>