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4EC" w:rsidRDefault="00F05B71">
      <w:pPr>
        <w:rPr>
          <w:rFonts w:ascii="Arial" w:hAnsi="Arial" w:cs="Arial"/>
          <w:sz w:val="24"/>
          <w:szCs w:val="24"/>
        </w:rPr>
      </w:pPr>
      <w:r>
        <w:rPr>
          <w:rFonts w:ascii="Arial" w:hAnsi="Arial" w:cs="Arial"/>
          <w:sz w:val="24"/>
          <w:szCs w:val="24"/>
        </w:rPr>
        <w:t xml:space="preserve">In Leo’s case the advice will be that Leo was a lawful visitor according to the Occupiers Liability Act 1957 S2 that defines who is the occupier. </w:t>
      </w:r>
    </w:p>
    <w:p w:rsidR="00F05B71" w:rsidRPr="00817DF1" w:rsidRDefault="00BA226D">
      <w:pPr>
        <w:rPr>
          <w:rFonts w:ascii="Arial" w:hAnsi="Arial" w:cs="Arial"/>
          <w:sz w:val="24"/>
          <w:szCs w:val="24"/>
        </w:rPr>
      </w:pPr>
      <w:r>
        <w:rPr>
          <w:rFonts w:ascii="Arial" w:hAnsi="Arial" w:cs="Arial"/>
          <w:sz w:val="24"/>
          <w:szCs w:val="24"/>
        </w:rPr>
        <w:t xml:space="preserve">According to lord </w:t>
      </w:r>
      <w:r w:rsidR="00C37E9A">
        <w:rPr>
          <w:rFonts w:ascii="Arial" w:hAnsi="Arial" w:cs="Arial"/>
          <w:sz w:val="24"/>
          <w:szCs w:val="24"/>
        </w:rPr>
        <w:t xml:space="preserve">Pearson in </w:t>
      </w:r>
      <w:r w:rsidR="00C37E9A" w:rsidRPr="00C37E9A">
        <w:rPr>
          <w:rFonts w:ascii="Arial" w:hAnsi="Arial" w:cs="Arial"/>
          <w:i/>
          <w:sz w:val="24"/>
          <w:szCs w:val="24"/>
        </w:rPr>
        <w:t xml:space="preserve">Wheat v </w:t>
      </w:r>
      <w:proofErr w:type="spellStart"/>
      <w:r w:rsidR="00C37E9A" w:rsidRPr="00C37E9A">
        <w:rPr>
          <w:rFonts w:ascii="Arial" w:hAnsi="Arial" w:cs="Arial"/>
          <w:i/>
          <w:sz w:val="24"/>
          <w:szCs w:val="24"/>
        </w:rPr>
        <w:t>Lacon</w:t>
      </w:r>
      <w:proofErr w:type="spellEnd"/>
      <w:r w:rsidR="00C37E9A" w:rsidRPr="00C37E9A">
        <w:rPr>
          <w:rFonts w:ascii="Arial" w:hAnsi="Arial" w:cs="Arial"/>
          <w:i/>
          <w:sz w:val="24"/>
          <w:szCs w:val="24"/>
        </w:rPr>
        <w:t xml:space="preserve"> 1966</w:t>
      </w:r>
      <w:r w:rsidR="00C37E9A">
        <w:rPr>
          <w:rFonts w:ascii="Arial" w:hAnsi="Arial" w:cs="Arial"/>
          <w:sz w:val="24"/>
          <w:szCs w:val="24"/>
        </w:rPr>
        <w:t xml:space="preserve"> which proves that there can be more than one occupier but also “The paying guests would have been their invitees and at common law, and were their ‘visitors’ under the act of 1957” Baili.org</w:t>
      </w:r>
    </w:p>
    <w:p w:rsidR="00817DF1" w:rsidRDefault="00C37E9A">
      <w:pPr>
        <w:rPr>
          <w:rFonts w:ascii="Arial" w:hAnsi="Arial" w:cs="Arial"/>
          <w:sz w:val="24"/>
          <w:szCs w:val="24"/>
        </w:rPr>
      </w:pPr>
      <w:r>
        <w:rPr>
          <w:rFonts w:ascii="Arial" w:hAnsi="Arial" w:cs="Arial"/>
          <w:sz w:val="24"/>
          <w:szCs w:val="24"/>
        </w:rPr>
        <w:t xml:space="preserve">This also shows that who owes duty and what kind of a visitor they were, </w:t>
      </w:r>
      <w:r w:rsidR="0002191C">
        <w:rPr>
          <w:rFonts w:ascii="Arial" w:hAnsi="Arial" w:cs="Arial"/>
          <w:sz w:val="24"/>
          <w:szCs w:val="24"/>
        </w:rPr>
        <w:t>it does not state or indicate in the facts that the (parents) did not purchase tickets, so the visitor had the (permission due to a contract) to enter the premises.</w:t>
      </w:r>
    </w:p>
    <w:p w:rsidR="0002191C" w:rsidRDefault="0002191C">
      <w:pPr>
        <w:rPr>
          <w:rFonts w:ascii="Arial" w:hAnsi="Arial" w:cs="Arial"/>
          <w:sz w:val="24"/>
          <w:szCs w:val="24"/>
        </w:rPr>
      </w:pPr>
      <w:r>
        <w:rPr>
          <w:rFonts w:ascii="Arial" w:hAnsi="Arial" w:cs="Arial"/>
          <w:sz w:val="24"/>
          <w:szCs w:val="24"/>
        </w:rPr>
        <w:t xml:space="preserve">What </w:t>
      </w:r>
      <w:proofErr w:type="gramStart"/>
      <w:r>
        <w:rPr>
          <w:rFonts w:ascii="Arial" w:hAnsi="Arial" w:cs="Arial"/>
          <w:sz w:val="24"/>
          <w:szCs w:val="24"/>
        </w:rPr>
        <w:t>is</w:t>
      </w:r>
      <w:proofErr w:type="gramEnd"/>
      <w:r>
        <w:rPr>
          <w:rFonts w:ascii="Arial" w:hAnsi="Arial" w:cs="Arial"/>
          <w:sz w:val="24"/>
          <w:szCs w:val="24"/>
        </w:rPr>
        <w:t xml:space="preserve"> the premises? </w:t>
      </w:r>
    </w:p>
    <w:p w:rsidR="0002191C" w:rsidRDefault="0002191C">
      <w:pPr>
        <w:rPr>
          <w:rFonts w:ascii="Arial" w:hAnsi="Arial" w:cs="Arial"/>
          <w:sz w:val="24"/>
          <w:szCs w:val="24"/>
        </w:rPr>
      </w:pPr>
      <w:r>
        <w:rPr>
          <w:rFonts w:ascii="Arial" w:hAnsi="Arial" w:cs="Arial"/>
          <w:sz w:val="24"/>
          <w:szCs w:val="24"/>
        </w:rPr>
        <w:t xml:space="preserve">According to s1(3)(a) “Any fixed or movable structure, including any vessel and aircraft” </w:t>
      </w:r>
      <w:r w:rsidR="00451B47">
        <w:rPr>
          <w:rFonts w:ascii="Arial" w:hAnsi="Arial" w:cs="Arial"/>
          <w:sz w:val="24"/>
          <w:szCs w:val="24"/>
        </w:rPr>
        <w:t xml:space="preserve">in this case was the theme park a public place, the answer is yes. </w:t>
      </w:r>
    </w:p>
    <w:p w:rsidR="00451B47" w:rsidRDefault="00451B47">
      <w:pPr>
        <w:rPr>
          <w:rFonts w:ascii="Arial" w:hAnsi="Arial" w:cs="Arial"/>
          <w:sz w:val="24"/>
          <w:szCs w:val="24"/>
        </w:rPr>
      </w:pPr>
      <w:r>
        <w:rPr>
          <w:rFonts w:ascii="Arial" w:hAnsi="Arial" w:cs="Arial"/>
          <w:sz w:val="24"/>
          <w:szCs w:val="24"/>
        </w:rPr>
        <w:t>For what kind of damage?</w:t>
      </w:r>
    </w:p>
    <w:p w:rsidR="00451B47" w:rsidRDefault="00451B47">
      <w:pPr>
        <w:rPr>
          <w:rFonts w:ascii="Arial" w:hAnsi="Arial" w:cs="Arial"/>
          <w:sz w:val="24"/>
          <w:szCs w:val="24"/>
        </w:rPr>
      </w:pPr>
      <w:r>
        <w:rPr>
          <w:rFonts w:ascii="Arial" w:hAnsi="Arial" w:cs="Arial"/>
          <w:sz w:val="24"/>
          <w:szCs w:val="24"/>
        </w:rPr>
        <w:t>The damage claimed for was a personal injury and that fractured risk and collarbone.</w:t>
      </w:r>
    </w:p>
    <w:p w:rsidR="00451B47" w:rsidRDefault="00451B47">
      <w:pPr>
        <w:rPr>
          <w:rFonts w:ascii="Arial" w:hAnsi="Arial" w:cs="Arial"/>
          <w:sz w:val="24"/>
          <w:szCs w:val="24"/>
        </w:rPr>
      </w:pPr>
      <w:r>
        <w:rPr>
          <w:rFonts w:ascii="Arial" w:hAnsi="Arial" w:cs="Arial"/>
          <w:sz w:val="24"/>
          <w:szCs w:val="24"/>
        </w:rPr>
        <w:t xml:space="preserve">What and who is the duty owed to? </w:t>
      </w:r>
    </w:p>
    <w:p w:rsidR="00451B47" w:rsidRDefault="00451B47">
      <w:pPr>
        <w:rPr>
          <w:rFonts w:ascii="Arial" w:hAnsi="Arial" w:cs="Arial"/>
          <w:sz w:val="24"/>
          <w:szCs w:val="24"/>
        </w:rPr>
      </w:pPr>
      <w:r>
        <w:rPr>
          <w:rFonts w:ascii="Arial" w:hAnsi="Arial" w:cs="Arial"/>
          <w:sz w:val="24"/>
          <w:szCs w:val="24"/>
        </w:rPr>
        <w:t xml:space="preserve">S2(2) “Occupiers have a duty towards visitors to take such care as it is reasonable to ensure that visitors are reasonably safe”. </w:t>
      </w:r>
    </w:p>
    <w:p w:rsidR="00451B47" w:rsidRPr="00817DF1" w:rsidRDefault="00451B47">
      <w:pPr>
        <w:rPr>
          <w:rFonts w:ascii="Arial" w:hAnsi="Arial" w:cs="Arial"/>
          <w:sz w:val="24"/>
          <w:szCs w:val="24"/>
        </w:rPr>
      </w:pPr>
      <w:r w:rsidRPr="006F0F87">
        <w:rPr>
          <w:rFonts w:ascii="Arial" w:hAnsi="Arial" w:cs="Arial"/>
          <w:i/>
          <w:sz w:val="24"/>
          <w:szCs w:val="24"/>
        </w:rPr>
        <w:t>Cunningham v Reading FC 1992</w:t>
      </w:r>
      <w:r>
        <w:rPr>
          <w:rFonts w:ascii="Arial" w:hAnsi="Arial" w:cs="Arial"/>
          <w:sz w:val="24"/>
          <w:szCs w:val="24"/>
        </w:rPr>
        <w:t xml:space="preserve">: Bristol city fans </w:t>
      </w:r>
      <w:r w:rsidR="005479A6">
        <w:rPr>
          <w:rFonts w:ascii="Arial" w:hAnsi="Arial" w:cs="Arial"/>
          <w:sz w:val="24"/>
          <w:szCs w:val="24"/>
        </w:rPr>
        <w:t xml:space="preserve">threw lumps of concrete at the police which were lying loose in the football ground. This has also occurred four </w:t>
      </w:r>
      <w:proofErr w:type="gramStart"/>
      <w:r w:rsidR="005479A6">
        <w:rPr>
          <w:rFonts w:ascii="Arial" w:hAnsi="Arial" w:cs="Arial"/>
          <w:sz w:val="24"/>
          <w:szCs w:val="24"/>
        </w:rPr>
        <w:t>month</w:t>
      </w:r>
      <w:proofErr w:type="gramEnd"/>
      <w:r w:rsidR="005479A6">
        <w:rPr>
          <w:rFonts w:ascii="Arial" w:hAnsi="Arial" w:cs="Arial"/>
          <w:sz w:val="24"/>
          <w:szCs w:val="24"/>
        </w:rPr>
        <w:t xml:space="preserve"> previously. The defendant was liable to the police officers because “a prudent officer would have realised that the concrete in the ground was dangerous because it might supply a source of missiles and would </w:t>
      </w:r>
      <w:r w:rsidR="00C121C1">
        <w:rPr>
          <w:rFonts w:ascii="Arial" w:hAnsi="Arial" w:cs="Arial"/>
          <w:sz w:val="24"/>
          <w:szCs w:val="24"/>
        </w:rPr>
        <w:t>have taken steps to remove or minimise the risk.</w:t>
      </w:r>
    </w:p>
    <w:p w:rsidR="00817DF1" w:rsidRDefault="00C121C1">
      <w:pPr>
        <w:rPr>
          <w:rFonts w:ascii="Arial" w:hAnsi="Arial" w:cs="Arial"/>
          <w:sz w:val="24"/>
          <w:szCs w:val="24"/>
        </w:rPr>
      </w:pPr>
      <w:r>
        <w:rPr>
          <w:rFonts w:ascii="Arial" w:hAnsi="Arial" w:cs="Arial"/>
          <w:sz w:val="24"/>
          <w:szCs w:val="24"/>
        </w:rPr>
        <w:t>S2(3) “The duty to a child is higher as they do not take care or assess the risk.</w:t>
      </w:r>
    </w:p>
    <w:p w:rsidR="00C121C1" w:rsidRPr="00817DF1" w:rsidRDefault="00C121C1">
      <w:pPr>
        <w:rPr>
          <w:rFonts w:ascii="Arial" w:hAnsi="Arial" w:cs="Arial"/>
          <w:sz w:val="24"/>
          <w:szCs w:val="24"/>
        </w:rPr>
      </w:pPr>
      <w:r w:rsidRPr="006F0F87">
        <w:rPr>
          <w:rFonts w:ascii="Arial" w:hAnsi="Arial" w:cs="Arial"/>
          <w:i/>
          <w:sz w:val="24"/>
          <w:szCs w:val="24"/>
        </w:rPr>
        <w:t>Glasgow corporation v Taylor</w:t>
      </w:r>
      <w:r>
        <w:rPr>
          <w:rFonts w:ascii="Arial" w:hAnsi="Arial" w:cs="Arial"/>
          <w:sz w:val="24"/>
          <w:szCs w:val="24"/>
        </w:rPr>
        <w:t>: Children are more attracted to danger, so occupier should guard against these allurements that place children at risk of harm.</w:t>
      </w:r>
    </w:p>
    <w:p w:rsidR="00817DF1" w:rsidRPr="00817DF1" w:rsidRDefault="00C121C1">
      <w:pPr>
        <w:rPr>
          <w:rFonts w:ascii="Arial" w:hAnsi="Arial" w:cs="Arial"/>
          <w:sz w:val="24"/>
          <w:szCs w:val="24"/>
        </w:rPr>
      </w:pPr>
      <w:r w:rsidRPr="00100150">
        <w:rPr>
          <w:rFonts w:ascii="Arial" w:hAnsi="Arial" w:cs="Arial"/>
          <w:i/>
          <w:sz w:val="24"/>
          <w:szCs w:val="24"/>
        </w:rPr>
        <w:t>Jolley v Sutton</w:t>
      </w:r>
      <w:r w:rsidR="006F0F87">
        <w:rPr>
          <w:rFonts w:ascii="Arial" w:hAnsi="Arial" w:cs="Arial"/>
          <w:sz w:val="24"/>
          <w:szCs w:val="24"/>
        </w:rPr>
        <w:t>: Allurements change in nature depending on the age of child</w:t>
      </w:r>
    </w:p>
    <w:p w:rsidR="00817DF1" w:rsidRDefault="006F0F87">
      <w:pPr>
        <w:rPr>
          <w:rFonts w:ascii="Arial" w:hAnsi="Arial" w:cs="Arial"/>
          <w:sz w:val="24"/>
          <w:szCs w:val="24"/>
        </w:rPr>
      </w:pPr>
      <w:r>
        <w:rPr>
          <w:rFonts w:ascii="Arial" w:hAnsi="Arial" w:cs="Arial"/>
          <w:sz w:val="24"/>
          <w:szCs w:val="24"/>
        </w:rPr>
        <w:t>as it is on this cas</w:t>
      </w:r>
      <w:r w:rsidR="00100150">
        <w:rPr>
          <w:rFonts w:ascii="Arial" w:hAnsi="Arial" w:cs="Arial"/>
          <w:sz w:val="24"/>
          <w:szCs w:val="24"/>
        </w:rPr>
        <w:t>e.</w:t>
      </w:r>
    </w:p>
    <w:p w:rsidR="00100150" w:rsidRDefault="00100150">
      <w:pPr>
        <w:rPr>
          <w:rFonts w:ascii="Arial" w:hAnsi="Arial" w:cs="Arial"/>
          <w:sz w:val="24"/>
          <w:szCs w:val="24"/>
        </w:rPr>
      </w:pPr>
      <w:r w:rsidRPr="00100150">
        <w:rPr>
          <w:rFonts w:ascii="Arial" w:hAnsi="Arial" w:cs="Arial"/>
          <w:i/>
          <w:sz w:val="24"/>
          <w:szCs w:val="24"/>
        </w:rPr>
        <w:t>Maloney v Lambeth</w:t>
      </w:r>
      <w:r>
        <w:rPr>
          <w:rFonts w:ascii="Arial" w:hAnsi="Arial" w:cs="Arial"/>
          <w:sz w:val="24"/>
          <w:szCs w:val="24"/>
        </w:rPr>
        <w:t xml:space="preserve">: things that pose no danger to an </w:t>
      </w:r>
      <w:proofErr w:type="gramStart"/>
      <w:r>
        <w:rPr>
          <w:rFonts w:ascii="Arial" w:hAnsi="Arial" w:cs="Arial"/>
          <w:sz w:val="24"/>
          <w:szCs w:val="24"/>
        </w:rPr>
        <w:t>adults</w:t>
      </w:r>
      <w:proofErr w:type="gramEnd"/>
      <w:r>
        <w:rPr>
          <w:rFonts w:ascii="Arial" w:hAnsi="Arial" w:cs="Arial"/>
          <w:sz w:val="24"/>
          <w:szCs w:val="24"/>
        </w:rPr>
        <w:t xml:space="preserve"> may be dangerous to a child.</w:t>
      </w:r>
    </w:p>
    <w:p w:rsidR="00100150" w:rsidRDefault="00100150">
      <w:pPr>
        <w:rPr>
          <w:rFonts w:ascii="Arial" w:hAnsi="Arial" w:cs="Arial"/>
          <w:sz w:val="24"/>
          <w:szCs w:val="24"/>
        </w:rPr>
      </w:pPr>
      <w:r w:rsidRPr="00100150">
        <w:rPr>
          <w:rFonts w:ascii="Arial" w:hAnsi="Arial" w:cs="Arial"/>
          <w:i/>
          <w:sz w:val="24"/>
          <w:szCs w:val="24"/>
        </w:rPr>
        <w:t>Philip v Rochester</w:t>
      </w:r>
      <w:r>
        <w:rPr>
          <w:rFonts w:ascii="Arial" w:hAnsi="Arial" w:cs="Arial"/>
          <w:sz w:val="24"/>
          <w:szCs w:val="24"/>
        </w:rPr>
        <w:t>: very young children should be under their parent’s supervision.</w:t>
      </w:r>
    </w:p>
    <w:p w:rsidR="00100150" w:rsidRDefault="00100150">
      <w:pPr>
        <w:rPr>
          <w:rFonts w:ascii="Arial" w:hAnsi="Arial" w:cs="Arial"/>
          <w:sz w:val="24"/>
          <w:szCs w:val="24"/>
        </w:rPr>
      </w:pPr>
    </w:p>
    <w:p w:rsidR="00100150" w:rsidRDefault="00100150">
      <w:pPr>
        <w:rPr>
          <w:rFonts w:ascii="Arial" w:hAnsi="Arial" w:cs="Arial"/>
          <w:sz w:val="24"/>
          <w:szCs w:val="24"/>
        </w:rPr>
      </w:pPr>
      <w:r>
        <w:rPr>
          <w:rFonts w:ascii="Arial" w:hAnsi="Arial" w:cs="Arial"/>
          <w:sz w:val="24"/>
          <w:szCs w:val="24"/>
        </w:rPr>
        <w:t>Limitations: there is no need to guard against the unforeseeable as the reasonable man would not.</w:t>
      </w:r>
    </w:p>
    <w:p w:rsidR="00100150" w:rsidRDefault="00100150">
      <w:pPr>
        <w:rPr>
          <w:rFonts w:ascii="Arial" w:hAnsi="Arial" w:cs="Arial"/>
          <w:sz w:val="24"/>
          <w:szCs w:val="24"/>
        </w:rPr>
      </w:pPr>
      <w:proofErr w:type="spellStart"/>
      <w:r>
        <w:rPr>
          <w:rFonts w:ascii="Arial" w:hAnsi="Arial" w:cs="Arial"/>
          <w:sz w:val="24"/>
          <w:szCs w:val="24"/>
        </w:rPr>
        <w:t>Tedstone</w:t>
      </w:r>
      <w:proofErr w:type="spellEnd"/>
      <w:r>
        <w:rPr>
          <w:rFonts w:ascii="Arial" w:hAnsi="Arial" w:cs="Arial"/>
          <w:sz w:val="24"/>
          <w:szCs w:val="24"/>
        </w:rPr>
        <w:t xml:space="preserve"> v Bourne leisure: water came out of a jacuzzi and within a couple of minutes </w:t>
      </w:r>
      <w:r w:rsidR="009729AB">
        <w:rPr>
          <w:rFonts w:ascii="Arial" w:hAnsi="Arial" w:cs="Arial"/>
          <w:sz w:val="24"/>
          <w:szCs w:val="24"/>
        </w:rPr>
        <w:t xml:space="preserve">the claimant slipped and hurt himself, in this case a reasonable occupier could not have removed the danger any quicker and was </w:t>
      </w:r>
      <w:proofErr w:type="spellStart"/>
      <w:r w:rsidR="009729AB">
        <w:rPr>
          <w:rFonts w:ascii="Arial" w:hAnsi="Arial" w:cs="Arial"/>
          <w:sz w:val="24"/>
          <w:szCs w:val="24"/>
        </w:rPr>
        <w:t>therefor</w:t>
      </w:r>
      <w:proofErr w:type="spellEnd"/>
      <w:r w:rsidR="009729AB">
        <w:rPr>
          <w:rFonts w:ascii="Arial" w:hAnsi="Arial" w:cs="Arial"/>
          <w:sz w:val="24"/>
          <w:szCs w:val="24"/>
        </w:rPr>
        <w:t xml:space="preserve"> not liable.</w:t>
      </w:r>
    </w:p>
    <w:p w:rsidR="009729AB" w:rsidRDefault="009729AB">
      <w:pPr>
        <w:rPr>
          <w:rFonts w:ascii="Arial" w:hAnsi="Arial" w:cs="Arial"/>
          <w:sz w:val="24"/>
          <w:szCs w:val="24"/>
        </w:rPr>
      </w:pPr>
      <w:r>
        <w:rPr>
          <w:rFonts w:ascii="Arial" w:hAnsi="Arial" w:cs="Arial"/>
          <w:sz w:val="24"/>
          <w:szCs w:val="24"/>
        </w:rPr>
        <w:lastRenderedPageBreak/>
        <w:t xml:space="preserve">The duty is to keep the lawful visitor safe and not the premises, the question is how does this reply to the fence? </w:t>
      </w:r>
      <w:r w:rsidR="00DA428A">
        <w:rPr>
          <w:rFonts w:ascii="Arial" w:hAnsi="Arial" w:cs="Arial"/>
          <w:sz w:val="24"/>
          <w:szCs w:val="24"/>
        </w:rPr>
        <w:t>Was t</w:t>
      </w:r>
      <w:r>
        <w:rPr>
          <w:rFonts w:ascii="Arial" w:hAnsi="Arial" w:cs="Arial"/>
          <w:sz w:val="24"/>
          <w:szCs w:val="24"/>
        </w:rPr>
        <w:t xml:space="preserve">here is a duty here as the fence was rotten which means that this issue was there for some time without the occupier taking any </w:t>
      </w:r>
      <w:r w:rsidR="00DA428A">
        <w:rPr>
          <w:rFonts w:ascii="Arial" w:hAnsi="Arial" w:cs="Arial"/>
          <w:sz w:val="24"/>
          <w:szCs w:val="24"/>
        </w:rPr>
        <w:t>action to</w:t>
      </w:r>
      <w:r>
        <w:rPr>
          <w:rFonts w:ascii="Arial" w:hAnsi="Arial" w:cs="Arial"/>
          <w:sz w:val="24"/>
          <w:szCs w:val="24"/>
        </w:rPr>
        <w:t xml:space="preserve"> minimise or remove the danger.</w:t>
      </w:r>
    </w:p>
    <w:p w:rsidR="00DA428A" w:rsidRDefault="00DA428A">
      <w:pPr>
        <w:rPr>
          <w:rFonts w:ascii="Arial" w:hAnsi="Arial" w:cs="Arial"/>
          <w:sz w:val="24"/>
          <w:szCs w:val="24"/>
        </w:rPr>
      </w:pPr>
      <w:r>
        <w:rPr>
          <w:rFonts w:ascii="Arial" w:hAnsi="Arial" w:cs="Arial"/>
          <w:sz w:val="24"/>
          <w:szCs w:val="24"/>
        </w:rPr>
        <w:t xml:space="preserve">The duty is only owed if the visitor is carrying out activities authorised within the terms of the visit. Visitors exceeding their permission become trespassers under the OLA 1984 </w:t>
      </w:r>
    </w:p>
    <w:p w:rsidR="009729AB" w:rsidRDefault="00DA428A">
      <w:pPr>
        <w:rPr>
          <w:rFonts w:ascii="Arial" w:hAnsi="Arial" w:cs="Arial"/>
          <w:sz w:val="24"/>
          <w:szCs w:val="24"/>
        </w:rPr>
      </w:pPr>
      <w:proofErr w:type="spellStart"/>
      <w:r>
        <w:rPr>
          <w:rFonts w:ascii="Arial" w:hAnsi="Arial" w:cs="Arial"/>
          <w:sz w:val="24"/>
          <w:szCs w:val="24"/>
        </w:rPr>
        <w:t>Scrutton</w:t>
      </w:r>
      <w:proofErr w:type="spellEnd"/>
      <w:r>
        <w:rPr>
          <w:rFonts w:ascii="Arial" w:hAnsi="Arial" w:cs="Arial"/>
          <w:sz w:val="24"/>
          <w:szCs w:val="24"/>
        </w:rPr>
        <w:t xml:space="preserve"> in the </w:t>
      </w:r>
      <w:proofErr w:type="spellStart"/>
      <w:r>
        <w:rPr>
          <w:rFonts w:ascii="Arial" w:hAnsi="Arial" w:cs="Arial"/>
          <w:sz w:val="24"/>
          <w:szCs w:val="24"/>
        </w:rPr>
        <w:t>Galgarth</w:t>
      </w:r>
      <w:proofErr w:type="spellEnd"/>
      <w:r>
        <w:rPr>
          <w:rFonts w:ascii="Arial" w:hAnsi="Arial" w:cs="Arial"/>
          <w:sz w:val="24"/>
          <w:szCs w:val="24"/>
        </w:rPr>
        <w:t xml:space="preserve"> stated that “when you invite a person in your house to use the stairs, you do not invite him to slide down the banisters”.</w:t>
      </w:r>
    </w:p>
    <w:p w:rsidR="00BA7BDD" w:rsidRDefault="00BA7BDD">
      <w:pPr>
        <w:rPr>
          <w:rFonts w:ascii="Arial" w:hAnsi="Arial" w:cs="Arial"/>
          <w:sz w:val="24"/>
          <w:szCs w:val="24"/>
        </w:rPr>
      </w:pPr>
      <w:r>
        <w:rPr>
          <w:rFonts w:ascii="Arial" w:hAnsi="Arial" w:cs="Arial"/>
          <w:sz w:val="24"/>
          <w:szCs w:val="24"/>
        </w:rPr>
        <w:t xml:space="preserve">Breach </w:t>
      </w:r>
    </w:p>
    <w:p w:rsidR="00DA428A" w:rsidRDefault="00BA7BDD">
      <w:pPr>
        <w:rPr>
          <w:rFonts w:ascii="Arial" w:hAnsi="Arial" w:cs="Arial"/>
          <w:sz w:val="24"/>
          <w:szCs w:val="24"/>
        </w:rPr>
      </w:pPr>
      <w:r>
        <w:rPr>
          <w:rFonts w:ascii="Arial" w:hAnsi="Arial" w:cs="Arial"/>
          <w:sz w:val="24"/>
          <w:szCs w:val="24"/>
        </w:rPr>
        <w:t xml:space="preserve">How likely is the harm? </w:t>
      </w:r>
      <w:r w:rsidRPr="00D801EC">
        <w:rPr>
          <w:rFonts w:ascii="Arial" w:hAnsi="Arial" w:cs="Arial"/>
          <w:i/>
          <w:sz w:val="24"/>
          <w:szCs w:val="24"/>
        </w:rPr>
        <w:t>Hailey v LEC 1965</w:t>
      </w:r>
      <w:r>
        <w:rPr>
          <w:rFonts w:ascii="Arial" w:hAnsi="Arial" w:cs="Arial"/>
          <w:sz w:val="24"/>
          <w:szCs w:val="24"/>
        </w:rPr>
        <w:t xml:space="preserve">: </w:t>
      </w:r>
      <w:r w:rsidR="00D801EC">
        <w:rPr>
          <w:rFonts w:ascii="Arial" w:hAnsi="Arial" w:cs="Arial"/>
          <w:sz w:val="24"/>
          <w:szCs w:val="24"/>
        </w:rPr>
        <w:t>in this case the defendant argued that they have taken enough measures that a reasonable person would be safe, the claimant is blind and the defendant did not consider disabled persons.</w:t>
      </w:r>
    </w:p>
    <w:p w:rsidR="00D801EC" w:rsidRDefault="00D801EC">
      <w:pPr>
        <w:rPr>
          <w:rFonts w:ascii="Arial" w:hAnsi="Arial" w:cs="Arial"/>
          <w:sz w:val="24"/>
          <w:szCs w:val="24"/>
        </w:rPr>
      </w:pPr>
      <w:r w:rsidRPr="00D733AC">
        <w:rPr>
          <w:rFonts w:ascii="Arial" w:hAnsi="Arial" w:cs="Arial"/>
          <w:i/>
          <w:sz w:val="24"/>
          <w:szCs w:val="24"/>
        </w:rPr>
        <w:t>Paris v Stepney Borough Council 1951</w:t>
      </w:r>
      <w:r>
        <w:rPr>
          <w:rFonts w:ascii="Arial" w:hAnsi="Arial" w:cs="Arial"/>
          <w:sz w:val="24"/>
          <w:szCs w:val="24"/>
        </w:rPr>
        <w:t xml:space="preserve">: </w:t>
      </w:r>
      <w:r w:rsidR="00D733AC">
        <w:rPr>
          <w:rFonts w:ascii="Arial" w:hAnsi="Arial" w:cs="Arial"/>
          <w:sz w:val="24"/>
          <w:szCs w:val="24"/>
        </w:rPr>
        <w:t xml:space="preserve">the defendant here </w:t>
      </w:r>
      <w:proofErr w:type="gramStart"/>
      <w:r w:rsidR="00D733AC">
        <w:rPr>
          <w:rFonts w:ascii="Arial" w:hAnsi="Arial" w:cs="Arial"/>
          <w:sz w:val="24"/>
          <w:szCs w:val="24"/>
        </w:rPr>
        <w:t>fail</w:t>
      </w:r>
      <w:proofErr w:type="gramEnd"/>
      <w:r w:rsidR="00D733AC">
        <w:rPr>
          <w:rFonts w:ascii="Arial" w:hAnsi="Arial" w:cs="Arial"/>
          <w:sz w:val="24"/>
          <w:szCs w:val="24"/>
        </w:rPr>
        <w:t xml:space="preserve"> their duty of care to the claimant and not considered their disability.</w:t>
      </w:r>
    </w:p>
    <w:p w:rsidR="00D733AC" w:rsidRDefault="00D733AC">
      <w:pPr>
        <w:rPr>
          <w:rFonts w:ascii="Arial" w:hAnsi="Arial" w:cs="Arial"/>
          <w:sz w:val="24"/>
          <w:szCs w:val="24"/>
        </w:rPr>
      </w:pPr>
      <w:r>
        <w:rPr>
          <w:rFonts w:ascii="Arial" w:hAnsi="Arial" w:cs="Arial"/>
          <w:sz w:val="24"/>
          <w:szCs w:val="24"/>
        </w:rPr>
        <w:t xml:space="preserve">Bolton v Stone1951: here the question is was the cost and practicality of avoiding the risk reasonable. In the PLC case here the risk was not obvious to the visitors </w:t>
      </w:r>
      <w:proofErr w:type="gramStart"/>
      <w:r>
        <w:rPr>
          <w:rFonts w:ascii="Arial" w:hAnsi="Arial" w:cs="Arial"/>
          <w:sz w:val="24"/>
          <w:szCs w:val="24"/>
        </w:rPr>
        <w:t>( the</w:t>
      </w:r>
      <w:proofErr w:type="gramEnd"/>
      <w:r>
        <w:rPr>
          <w:rFonts w:ascii="Arial" w:hAnsi="Arial" w:cs="Arial"/>
          <w:sz w:val="24"/>
          <w:szCs w:val="24"/>
        </w:rPr>
        <w:t xml:space="preserve"> rotten fence).</w:t>
      </w:r>
    </w:p>
    <w:p w:rsidR="00D733AC" w:rsidRDefault="00D733AC">
      <w:pPr>
        <w:rPr>
          <w:rFonts w:ascii="Arial" w:hAnsi="Arial" w:cs="Arial"/>
          <w:sz w:val="24"/>
          <w:szCs w:val="24"/>
        </w:rPr>
      </w:pPr>
      <w:r>
        <w:rPr>
          <w:rFonts w:ascii="Arial" w:hAnsi="Arial" w:cs="Arial"/>
          <w:sz w:val="24"/>
          <w:szCs w:val="24"/>
        </w:rPr>
        <w:t xml:space="preserve">Was the duty breached or discharged? </w:t>
      </w:r>
    </w:p>
    <w:p w:rsidR="00D733AC" w:rsidRDefault="00C51AB5">
      <w:pPr>
        <w:rPr>
          <w:rFonts w:ascii="Arial" w:hAnsi="Arial" w:cs="Arial"/>
          <w:sz w:val="24"/>
          <w:szCs w:val="24"/>
        </w:rPr>
      </w:pPr>
      <w:r>
        <w:rPr>
          <w:rFonts w:ascii="Arial" w:hAnsi="Arial" w:cs="Arial"/>
          <w:sz w:val="24"/>
          <w:szCs w:val="24"/>
        </w:rPr>
        <w:t xml:space="preserve">Damage </w:t>
      </w:r>
    </w:p>
    <w:p w:rsidR="00C51AB5" w:rsidRDefault="00C51AB5">
      <w:pPr>
        <w:rPr>
          <w:rFonts w:ascii="Arial" w:hAnsi="Arial" w:cs="Arial"/>
          <w:sz w:val="24"/>
          <w:szCs w:val="24"/>
        </w:rPr>
      </w:pPr>
      <w:r>
        <w:rPr>
          <w:rFonts w:ascii="Arial" w:hAnsi="Arial" w:cs="Arial"/>
          <w:sz w:val="24"/>
          <w:szCs w:val="24"/>
        </w:rPr>
        <w:t>Usually an obvious issue that won’t need developing thus using simple factual and legal causation.</w:t>
      </w:r>
    </w:p>
    <w:p w:rsidR="00C51AB5" w:rsidRDefault="00C51AB5">
      <w:pPr>
        <w:rPr>
          <w:rFonts w:ascii="Arial" w:hAnsi="Arial" w:cs="Arial"/>
          <w:sz w:val="24"/>
          <w:szCs w:val="24"/>
        </w:rPr>
      </w:pPr>
      <w:r>
        <w:rPr>
          <w:rFonts w:ascii="Arial" w:hAnsi="Arial" w:cs="Arial"/>
          <w:sz w:val="24"/>
          <w:szCs w:val="24"/>
        </w:rPr>
        <w:t>Factual causation: the breach of duty must cause the harm suffered. Factual causation is tested by the (but, for) test which asks ‘but for defendant’s actions, would claimant have suffered any harm?’ Barnet v Kensington and Chelsea hospital 1969.</w:t>
      </w:r>
    </w:p>
    <w:p w:rsidR="00C51AB5" w:rsidRDefault="00C51AB5">
      <w:pPr>
        <w:rPr>
          <w:rFonts w:ascii="Arial" w:hAnsi="Arial" w:cs="Arial"/>
          <w:sz w:val="24"/>
          <w:szCs w:val="24"/>
        </w:rPr>
      </w:pPr>
      <w:r>
        <w:rPr>
          <w:rFonts w:ascii="Arial" w:hAnsi="Arial" w:cs="Arial"/>
          <w:sz w:val="24"/>
          <w:szCs w:val="24"/>
        </w:rPr>
        <w:t xml:space="preserve">Legal causation: what is the type of harm? The loss must have been foreseeable due to </w:t>
      </w:r>
      <w:r w:rsidR="001635AA">
        <w:rPr>
          <w:rFonts w:ascii="Arial" w:hAnsi="Arial" w:cs="Arial"/>
          <w:sz w:val="24"/>
          <w:szCs w:val="24"/>
        </w:rPr>
        <w:t>the breach</w:t>
      </w:r>
      <w:r w:rsidR="00073617">
        <w:rPr>
          <w:rFonts w:ascii="Arial" w:hAnsi="Arial" w:cs="Arial"/>
          <w:sz w:val="24"/>
          <w:szCs w:val="24"/>
        </w:rPr>
        <w:t xml:space="preserve"> tested using the remoteness test, “the type of harm must be foreseeable due to the breach” (Wagon Mound)</w:t>
      </w:r>
      <w:r>
        <w:rPr>
          <w:rFonts w:ascii="Arial" w:hAnsi="Arial" w:cs="Arial"/>
          <w:sz w:val="24"/>
          <w:szCs w:val="24"/>
        </w:rPr>
        <w:t xml:space="preserve"> </w:t>
      </w:r>
      <w:r w:rsidR="00911D31">
        <w:rPr>
          <w:rFonts w:ascii="Arial" w:hAnsi="Arial" w:cs="Arial"/>
          <w:sz w:val="24"/>
          <w:szCs w:val="24"/>
        </w:rPr>
        <w:t>and it does not matter if this happens as an unusual or to an unusual extent (Hughes v LA).</w:t>
      </w:r>
    </w:p>
    <w:p w:rsidR="00911D31" w:rsidRDefault="00911D31">
      <w:pPr>
        <w:rPr>
          <w:rFonts w:ascii="Arial" w:hAnsi="Arial" w:cs="Arial"/>
          <w:sz w:val="24"/>
          <w:szCs w:val="24"/>
        </w:rPr>
      </w:pPr>
      <w:r>
        <w:rPr>
          <w:rFonts w:ascii="Arial" w:hAnsi="Arial" w:cs="Arial"/>
          <w:sz w:val="24"/>
          <w:szCs w:val="24"/>
        </w:rPr>
        <w:t>Were there any intervening acts that broke the chain of causation? (</w:t>
      </w:r>
      <w:r w:rsidRPr="009F2F64">
        <w:rPr>
          <w:rFonts w:ascii="Arial" w:hAnsi="Arial" w:cs="Arial"/>
          <w:i/>
          <w:sz w:val="24"/>
          <w:szCs w:val="24"/>
        </w:rPr>
        <w:t>Scot v Shepard / Smith v Littlewoods</w:t>
      </w:r>
      <w:r>
        <w:rPr>
          <w:rFonts w:ascii="Arial" w:hAnsi="Arial" w:cs="Arial"/>
          <w:sz w:val="24"/>
          <w:szCs w:val="24"/>
        </w:rPr>
        <w:t xml:space="preserve">). </w:t>
      </w:r>
    </w:p>
    <w:p w:rsidR="00911D31" w:rsidRDefault="009F2F64">
      <w:pPr>
        <w:rPr>
          <w:rFonts w:ascii="Arial" w:hAnsi="Arial" w:cs="Arial"/>
          <w:sz w:val="24"/>
          <w:szCs w:val="24"/>
        </w:rPr>
      </w:pPr>
      <w:r>
        <w:rPr>
          <w:rFonts w:ascii="Arial" w:hAnsi="Arial" w:cs="Arial"/>
          <w:sz w:val="24"/>
          <w:szCs w:val="24"/>
        </w:rPr>
        <w:t>According to Lord Parker stated that “</w:t>
      </w:r>
      <w:r w:rsidR="00911D31">
        <w:rPr>
          <w:rFonts w:ascii="Arial" w:hAnsi="Arial" w:cs="Arial"/>
          <w:sz w:val="24"/>
          <w:szCs w:val="24"/>
        </w:rPr>
        <w:t xml:space="preserve">The </w:t>
      </w:r>
      <w:r>
        <w:rPr>
          <w:rFonts w:ascii="Arial" w:hAnsi="Arial" w:cs="Arial"/>
          <w:sz w:val="24"/>
          <w:szCs w:val="24"/>
        </w:rPr>
        <w:t>eggshell</w:t>
      </w:r>
      <w:r w:rsidR="00911D31">
        <w:rPr>
          <w:rFonts w:ascii="Arial" w:hAnsi="Arial" w:cs="Arial"/>
          <w:sz w:val="24"/>
          <w:szCs w:val="24"/>
        </w:rPr>
        <w:t xml:space="preserve"> skull rule </w:t>
      </w:r>
      <w:r>
        <w:rPr>
          <w:rFonts w:ascii="Arial" w:hAnsi="Arial" w:cs="Arial"/>
          <w:sz w:val="24"/>
          <w:szCs w:val="24"/>
        </w:rPr>
        <w:t>and</w:t>
      </w:r>
      <w:r w:rsidR="00911D31">
        <w:rPr>
          <w:rFonts w:ascii="Arial" w:hAnsi="Arial" w:cs="Arial"/>
          <w:sz w:val="24"/>
          <w:szCs w:val="24"/>
        </w:rPr>
        <w:t xml:space="preserve"> tak</w:t>
      </w:r>
      <w:r>
        <w:rPr>
          <w:rFonts w:ascii="Arial" w:hAnsi="Arial" w:cs="Arial"/>
          <w:sz w:val="24"/>
          <w:szCs w:val="24"/>
        </w:rPr>
        <w:t xml:space="preserve">ing the victim as </w:t>
      </w:r>
      <w:r w:rsidR="00911D31">
        <w:rPr>
          <w:rFonts w:ascii="Arial" w:hAnsi="Arial" w:cs="Arial"/>
          <w:sz w:val="24"/>
          <w:szCs w:val="24"/>
        </w:rPr>
        <w:t>you</w:t>
      </w:r>
      <w:r>
        <w:rPr>
          <w:rFonts w:ascii="Arial" w:hAnsi="Arial" w:cs="Arial"/>
          <w:sz w:val="24"/>
          <w:szCs w:val="24"/>
        </w:rPr>
        <w:t xml:space="preserve"> </w:t>
      </w:r>
      <w:r w:rsidR="00911D31">
        <w:rPr>
          <w:rFonts w:ascii="Arial" w:hAnsi="Arial" w:cs="Arial"/>
          <w:sz w:val="24"/>
          <w:szCs w:val="24"/>
        </w:rPr>
        <w:t xml:space="preserve">find them </w:t>
      </w:r>
      <w:r>
        <w:rPr>
          <w:rFonts w:ascii="Arial" w:hAnsi="Arial" w:cs="Arial"/>
          <w:sz w:val="24"/>
          <w:szCs w:val="24"/>
        </w:rPr>
        <w:t xml:space="preserve">has always been the established law and this was not affected by the ruling in Wagon Mound case” </w:t>
      </w:r>
      <w:r w:rsidR="00911D31">
        <w:rPr>
          <w:rFonts w:ascii="Arial" w:hAnsi="Arial" w:cs="Arial"/>
          <w:sz w:val="24"/>
          <w:szCs w:val="24"/>
        </w:rPr>
        <w:t>(</w:t>
      </w:r>
      <w:r w:rsidR="00911D31" w:rsidRPr="009F2F64">
        <w:rPr>
          <w:rFonts w:ascii="Arial" w:hAnsi="Arial" w:cs="Arial"/>
          <w:i/>
          <w:sz w:val="24"/>
          <w:szCs w:val="24"/>
        </w:rPr>
        <w:t>Smith v Leech</w:t>
      </w:r>
      <w:r w:rsidRPr="009F2F64">
        <w:rPr>
          <w:rFonts w:ascii="Arial" w:hAnsi="Arial" w:cs="Arial"/>
          <w:i/>
          <w:sz w:val="24"/>
          <w:szCs w:val="24"/>
        </w:rPr>
        <w:t xml:space="preserve"> </w:t>
      </w:r>
      <w:r w:rsidR="00911D31" w:rsidRPr="009F2F64">
        <w:rPr>
          <w:rFonts w:ascii="Arial" w:hAnsi="Arial" w:cs="Arial"/>
          <w:i/>
          <w:sz w:val="24"/>
          <w:szCs w:val="24"/>
        </w:rPr>
        <w:t>brain</w:t>
      </w:r>
      <w:r w:rsidR="00911D31">
        <w:rPr>
          <w:rFonts w:ascii="Arial" w:hAnsi="Arial" w:cs="Arial"/>
          <w:sz w:val="24"/>
          <w:szCs w:val="24"/>
        </w:rPr>
        <w:t xml:space="preserve">). </w:t>
      </w:r>
    </w:p>
    <w:p w:rsidR="00B94AFD" w:rsidRDefault="00B94AFD">
      <w:pPr>
        <w:rPr>
          <w:rFonts w:ascii="Arial" w:hAnsi="Arial" w:cs="Arial"/>
          <w:sz w:val="24"/>
          <w:szCs w:val="24"/>
        </w:rPr>
      </w:pPr>
      <w:r>
        <w:rPr>
          <w:rFonts w:ascii="Arial" w:hAnsi="Arial" w:cs="Arial"/>
          <w:sz w:val="24"/>
          <w:szCs w:val="24"/>
        </w:rPr>
        <w:t xml:space="preserve">Has the occupier excluded liability? </w:t>
      </w:r>
    </w:p>
    <w:p w:rsidR="00B94AFD" w:rsidRDefault="00B94AFD">
      <w:pPr>
        <w:rPr>
          <w:rFonts w:ascii="Arial" w:hAnsi="Arial" w:cs="Arial"/>
          <w:sz w:val="24"/>
          <w:szCs w:val="24"/>
        </w:rPr>
      </w:pPr>
      <w:r>
        <w:rPr>
          <w:rFonts w:ascii="Arial" w:hAnsi="Arial" w:cs="Arial"/>
          <w:sz w:val="24"/>
          <w:szCs w:val="24"/>
        </w:rPr>
        <w:t xml:space="preserve">S2(1). The occupier can exclude liability to their visitors as long as it is reasonable to do so. However, there are some restrictions to this where there </w:t>
      </w:r>
      <w:proofErr w:type="spellStart"/>
      <w:r>
        <w:rPr>
          <w:rFonts w:ascii="Arial" w:hAnsi="Arial" w:cs="Arial"/>
          <w:sz w:val="24"/>
          <w:szCs w:val="24"/>
        </w:rPr>
        <w:t>can not</w:t>
      </w:r>
      <w:proofErr w:type="spellEnd"/>
      <w:r>
        <w:rPr>
          <w:rFonts w:ascii="Arial" w:hAnsi="Arial" w:cs="Arial"/>
          <w:sz w:val="24"/>
          <w:szCs w:val="24"/>
        </w:rPr>
        <w:t xml:space="preserve"> be exclusion</w:t>
      </w:r>
    </w:p>
    <w:p w:rsidR="00B94AFD" w:rsidRDefault="00B94AFD" w:rsidP="00B94AFD">
      <w:pPr>
        <w:pStyle w:val="ListParagraph"/>
        <w:numPr>
          <w:ilvl w:val="0"/>
          <w:numId w:val="1"/>
        </w:numPr>
        <w:rPr>
          <w:rFonts w:ascii="Arial" w:hAnsi="Arial" w:cs="Arial"/>
          <w:sz w:val="24"/>
          <w:szCs w:val="24"/>
        </w:rPr>
      </w:pPr>
      <w:r>
        <w:rPr>
          <w:rFonts w:ascii="Arial" w:hAnsi="Arial" w:cs="Arial"/>
          <w:sz w:val="24"/>
          <w:szCs w:val="24"/>
        </w:rPr>
        <w:lastRenderedPageBreak/>
        <w:t>To strangers because they will not be able to agree to it</w:t>
      </w:r>
    </w:p>
    <w:p w:rsidR="00B94AFD" w:rsidRDefault="00B94AFD" w:rsidP="00B94AFD">
      <w:pPr>
        <w:pStyle w:val="ListParagraph"/>
        <w:numPr>
          <w:ilvl w:val="0"/>
          <w:numId w:val="1"/>
        </w:numPr>
        <w:rPr>
          <w:rFonts w:ascii="Arial" w:hAnsi="Arial" w:cs="Arial"/>
          <w:sz w:val="24"/>
          <w:szCs w:val="24"/>
        </w:rPr>
      </w:pPr>
      <w:r>
        <w:rPr>
          <w:rFonts w:ascii="Arial" w:hAnsi="Arial" w:cs="Arial"/>
          <w:sz w:val="24"/>
          <w:szCs w:val="24"/>
        </w:rPr>
        <w:t xml:space="preserve">To children who are unable to read or understand the risk or dangers </w:t>
      </w:r>
    </w:p>
    <w:p w:rsidR="00636DA0" w:rsidRDefault="00B94AFD" w:rsidP="00B94AFD">
      <w:pPr>
        <w:pStyle w:val="ListParagraph"/>
        <w:numPr>
          <w:ilvl w:val="0"/>
          <w:numId w:val="1"/>
        </w:numPr>
        <w:rPr>
          <w:rFonts w:ascii="Arial" w:hAnsi="Arial" w:cs="Arial"/>
          <w:sz w:val="24"/>
          <w:szCs w:val="24"/>
        </w:rPr>
      </w:pPr>
      <w:r>
        <w:rPr>
          <w:rFonts w:ascii="Arial" w:hAnsi="Arial" w:cs="Arial"/>
          <w:sz w:val="24"/>
          <w:szCs w:val="24"/>
        </w:rPr>
        <w:t xml:space="preserve">This can not be done to business premises due to the (Unfair Contract Terms </w:t>
      </w:r>
      <w:r w:rsidR="00636DA0">
        <w:rPr>
          <w:rFonts w:ascii="Arial" w:hAnsi="Arial" w:cs="Arial"/>
          <w:sz w:val="24"/>
          <w:szCs w:val="24"/>
        </w:rPr>
        <w:t>A</w:t>
      </w:r>
      <w:r>
        <w:rPr>
          <w:rFonts w:ascii="Arial" w:hAnsi="Arial" w:cs="Arial"/>
          <w:sz w:val="24"/>
          <w:szCs w:val="24"/>
        </w:rPr>
        <w:t>ct</w:t>
      </w:r>
      <w:r w:rsidR="00636DA0">
        <w:rPr>
          <w:rFonts w:ascii="Arial" w:hAnsi="Arial" w:cs="Arial"/>
          <w:sz w:val="24"/>
          <w:szCs w:val="24"/>
        </w:rPr>
        <w:t xml:space="preserve"> 1977) </w:t>
      </w:r>
    </w:p>
    <w:p w:rsidR="00B94AFD" w:rsidRDefault="00636DA0" w:rsidP="00636DA0">
      <w:pPr>
        <w:ind w:left="360"/>
        <w:rPr>
          <w:rFonts w:ascii="Arial" w:hAnsi="Arial" w:cs="Arial"/>
          <w:sz w:val="24"/>
          <w:szCs w:val="24"/>
        </w:rPr>
      </w:pPr>
      <w:r>
        <w:rPr>
          <w:rFonts w:ascii="Arial" w:hAnsi="Arial" w:cs="Arial"/>
          <w:sz w:val="24"/>
          <w:szCs w:val="24"/>
        </w:rPr>
        <w:t>“The occupier could argue they have restricted their liability but there is no evidence of this”.</w:t>
      </w:r>
    </w:p>
    <w:p w:rsidR="00636DA0" w:rsidRDefault="00636DA0" w:rsidP="00636DA0">
      <w:pPr>
        <w:ind w:left="360"/>
        <w:rPr>
          <w:rFonts w:ascii="Arial" w:hAnsi="Arial" w:cs="Arial"/>
          <w:sz w:val="24"/>
          <w:szCs w:val="24"/>
        </w:rPr>
      </w:pPr>
      <w:r>
        <w:rPr>
          <w:rFonts w:ascii="Arial" w:hAnsi="Arial" w:cs="Arial"/>
          <w:sz w:val="24"/>
          <w:szCs w:val="24"/>
        </w:rPr>
        <w:t xml:space="preserve">Millie: Occupiers Liability Act 1984 – Trespassers </w:t>
      </w:r>
    </w:p>
    <w:p w:rsidR="00636DA0" w:rsidRDefault="00636DA0" w:rsidP="00636DA0">
      <w:pPr>
        <w:ind w:left="360"/>
        <w:rPr>
          <w:rFonts w:ascii="Arial" w:hAnsi="Arial" w:cs="Arial"/>
          <w:sz w:val="24"/>
          <w:szCs w:val="24"/>
        </w:rPr>
      </w:pPr>
      <w:r>
        <w:rPr>
          <w:rFonts w:ascii="Arial" w:hAnsi="Arial" w:cs="Arial"/>
          <w:sz w:val="24"/>
          <w:szCs w:val="24"/>
        </w:rPr>
        <w:t xml:space="preserve">Lord Hoffman in Tomlinson v </w:t>
      </w:r>
      <w:proofErr w:type="spellStart"/>
      <w:r>
        <w:rPr>
          <w:rFonts w:ascii="Arial" w:hAnsi="Arial" w:cs="Arial"/>
          <w:sz w:val="24"/>
          <w:szCs w:val="24"/>
        </w:rPr>
        <w:t>Congletion</w:t>
      </w:r>
      <w:proofErr w:type="spellEnd"/>
      <w:r>
        <w:rPr>
          <w:rFonts w:ascii="Arial" w:hAnsi="Arial" w:cs="Arial"/>
          <w:sz w:val="24"/>
          <w:szCs w:val="24"/>
        </w:rPr>
        <w:t xml:space="preserve">: “Parliament has made it clear that in the case of a lawful visitor, one starts from the assumption that there is a duty whereas in the case of a trespasser </w:t>
      </w:r>
      <w:r w:rsidR="00374667">
        <w:rPr>
          <w:rFonts w:ascii="Arial" w:hAnsi="Arial" w:cs="Arial"/>
          <w:sz w:val="24"/>
          <w:szCs w:val="24"/>
        </w:rPr>
        <w:t xml:space="preserve">one starts from the assumption that there is none”. </w:t>
      </w:r>
    </w:p>
    <w:p w:rsidR="00374667" w:rsidRDefault="00374667" w:rsidP="00636DA0">
      <w:pPr>
        <w:ind w:left="360"/>
        <w:rPr>
          <w:rFonts w:ascii="Arial" w:hAnsi="Arial" w:cs="Arial"/>
          <w:sz w:val="24"/>
          <w:szCs w:val="24"/>
        </w:rPr>
      </w:pPr>
      <w:r>
        <w:rPr>
          <w:rFonts w:ascii="Arial" w:hAnsi="Arial" w:cs="Arial"/>
          <w:sz w:val="24"/>
          <w:szCs w:val="24"/>
        </w:rPr>
        <w:t>Who is the occupier? S2.</w:t>
      </w:r>
    </w:p>
    <w:p w:rsidR="00374667" w:rsidRDefault="00374667" w:rsidP="00636DA0">
      <w:pPr>
        <w:ind w:left="360"/>
        <w:rPr>
          <w:rFonts w:ascii="Arial" w:hAnsi="Arial" w:cs="Arial"/>
          <w:sz w:val="24"/>
          <w:szCs w:val="24"/>
        </w:rPr>
      </w:pPr>
      <w:r>
        <w:rPr>
          <w:rFonts w:ascii="Arial" w:hAnsi="Arial" w:cs="Arial"/>
          <w:sz w:val="24"/>
          <w:szCs w:val="24"/>
        </w:rPr>
        <w:t>The Occupier is someone who has sufficient control of the premises (the defendant does not have to be in possession of the property to be an occupier).</w:t>
      </w:r>
    </w:p>
    <w:p w:rsidR="00374667" w:rsidRDefault="00374667" w:rsidP="00636DA0">
      <w:pPr>
        <w:ind w:left="360"/>
        <w:rPr>
          <w:rFonts w:ascii="Arial" w:hAnsi="Arial" w:cs="Arial"/>
          <w:sz w:val="24"/>
          <w:szCs w:val="24"/>
        </w:rPr>
      </w:pPr>
      <w:r>
        <w:rPr>
          <w:rFonts w:ascii="Arial" w:hAnsi="Arial" w:cs="Arial"/>
          <w:sz w:val="24"/>
          <w:szCs w:val="24"/>
        </w:rPr>
        <w:t>That is to say the duty is only owed to trespasser (anyone who is not a visitor).</w:t>
      </w:r>
    </w:p>
    <w:p w:rsidR="00374667" w:rsidRDefault="00374667" w:rsidP="00636DA0">
      <w:pPr>
        <w:ind w:left="360"/>
        <w:rPr>
          <w:rFonts w:ascii="Arial" w:hAnsi="Arial" w:cs="Arial"/>
          <w:sz w:val="24"/>
          <w:szCs w:val="24"/>
        </w:rPr>
      </w:pPr>
      <w:r>
        <w:rPr>
          <w:rFonts w:ascii="Arial" w:hAnsi="Arial" w:cs="Arial"/>
          <w:sz w:val="24"/>
          <w:szCs w:val="24"/>
        </w:rPr>
        <w:t>When is the duty owed? This is subject to three conditions.</w:t>
      </w:r>
    </w:p>
    <w:p w:rsidR="00E354F7" w:rsidRDefault="00F91097" w:rsidP="00636DA0">
      <w:pPr>
        <w:ind w:left="360"/>
        <w:rPr>
          <w:rFonts w:ascii="Arial" w:hAnsi="Arial" w:cs="Arial"/>
          <w:sz w:val="24"/>
          <w:szCs w:val="24"/>
        </w:rPr>
      </w:pPr>
      <w:r>
        <w:rPr>
          <w:rFonts w:ascii="Arial" w:hAnsi="Arial" w:cs="Arial"/>
          <w:sz w:val="24"/>
          <w:szCs w:val="24"/>
        </w:rPr>
        <w:t>S</w:t>
      </w:r>
      <w:r w:rsidR="00E354F7">
        <w:rPr>
          <w:rFonts w:ascii="Arial" w:hAnsi="Arial" w:cs="Arial"/>
          <w:sz w:val="24"/>
          <w:szCs w:val="24"/>
        </w:rPr>
        <w:t>1(3)</w:t>
      </w:r>
      <w:r>
        <w:rPr>
          <w:rFonts w:ascii="Arial" w:hAnsi="Arial" w:cs="Arial"/>
          <w:sz w:val="24"/>
          <w:szCs w:val="24"/>
        </w:rPr>
        <w:t xml:space="preserve"> </w:t>
      </w:r>
      <w:r w:rsidR="00E354F7">
        <w:rPr>
          <w:rFonts w:ascii="Arial" w:hAnsi="Arial" w:cs="Arial"/>
          <w:sz w:val="24"/>
          <w:szCs w:val="24"/>
        </w:rPr>
        <w:t xml:space="preserve">(a) “The occupier is aware of the danger or has reasonable grounds to believe it exits”. </w:t>
      </w:r>
    </w:p>
    <w:p w:rsidR="00374667" w:rsidRPr="00E354F7" w:rsidRDefault="00374667" w:rsidP="00E354F7">
      <w:pPr>
        <w:pStyle w:val="ListParagraph"/>
        <w:numPr>
          <w:ilvl w:val="0"/>
          <w:numId w:val="1"/>
        </w:numPr>
        <w:rPr>
          <w:rFonts w:ascii="Arial" w:hAnsi="Arial" w:cs="Arial"/>
          <w:sz w:val="24"/>
          <w:szCs w:val="24"/>
        </w:rPr>
      </w:pPr>
      <w:r w:rsidRPr="00E354F7">
        <w:rPr>
          <w:rFonts w:ascii="Arial" w:hAnsi="Arial" w:cs="Arial"/>
          <w:sz w:val="24"/>
          <w:szCs w:val="24"/>
        </w:rPr>
        <w:t xml:space="preserve">Subjective test asking whether the occupier knew that </w:t>
      </w:r>
      <w:r w:rsidR="00E354F7">
        <w:rPr>
          <w:rFonts w:ascii="Arial" w:hAnsi="Arial" w:cs="Arial"/>
          <w:sz w:val="24"/>
          <w:szCs w:val="24"/>
        </w:rPr>
        <w:t>some danger exited.</w:t>
      </w:r>
    </w:p>
    <w:p w:rsidR="00E354F7" w:rsidRPr="00B0300D" w:rsidRDefault="00E354F7" w:rsidP="00B0300D">
      <w:pPr>
        <w:ind w:left="360"/>
        <w:rPr>
          <w:rFonts w:ascii="Arial" w:hAnsi="Arial" w:cs="Arial"/>
          <w:sz w:val="24"/>
          <w:szCs w:val="24"/>
        </w:rPr>
      </w:pPr>
      <w:proofErr w:type="spellStart"/>
      <w:r w:rsidRPr="00B0300D">
        <w:rPr>
          <w:rFonts w:ascii="Arial" w:hAnsi="Arial" w:cs="Arial"/>
          <w:sz w:val="24"/>
          <w:szCs w:val="24"/>
        </w:rPr>
        <w:t>Rhind</w:t>
      </w:r>
      <w:proofErr w:type="spellEnd"/>
      <w:r w:rsidRPr="00B0300D">
        <w:rPr>
          <w:rFonts w:ascii="Arial" w:hAnsi="Arial" w:cs="Arial"/>
          <w:sz w:val="24"/>
          <w:szCs w:val="24"/>
        </w:rPr>
        <w:t xml:space="preserve"> v Astbury Park: Claimant ignored a notice stating “private property, </w:t>
      </w:r>
      <w:r w:rsidR="00B0300D" w:rsidRPr="00B0300D">
        <w:rPr>
          <w:rFonts w:ascii="Arial" w:hAnsi="Arial" w:cs="Arial"/>
          <w:sz w:val="24"/>
          <w:szCs w:val="24"/>
        </w:rPr>
        <w:t>strictly</w:t>
      </w:r>
      <w:r w:rsidRPr="00B0300D">
        <w:rPr>
          <w:rFonts w:ascii="Arial" w:hAnsi="Arial" w:cs="Arial"/>
          <w:sz w:val="24"/>
          <w:szCs w:val="24"/>
        </w:rPr>
        <w:t xml:space="preserve"> no swimming” and jumped </w:t>
      </w:r>
      <w:r w:rsidR="00B0300D" w:rsidRPr="00B0300D">
        <w:rPr>
          <w:rFonts w:ascii="Arial" w:hAnsi="Arial" w:cs="Arial"/>
          <w:sz w:val="24"/>
          <w:szCs w:val="24"/>
        </w:rPr>
        <w:t>into a lake, claimant was injured below the surface. The occupier was not liable because he could not have known of such objects.</w:t>
      </w:r>
    </w:p>
    <w:p w:rsidR="00B0300D" w:rsidRDefault="00B0300D" w:rsidP="00B0300D">
      <w:pPr>
        <w:rPr>
          <w:rFonts w:ascii="Arial" w:hAnsi="Arial" w:cs="Arial"/>
          <w:sz w:val="24"/>
          <w:szCs w:val="24"/>
        </w:rPr>
      </w:pPr>
      <w:r>
        <w:rPr>
          <w:rFonts w:ascii="Arial" w:hAnsi="Arial" w:cs="Arial"/>
          <w:sz w:val="24"/>
          <w:szCs w:val="24"/>
        </w:rPr>
        <w:t xml:space="preserve">     </w:t>
      </w:r>
      <w:r w:rsidRPr="00B0300D">
        <w:rPr>
          <w:rFonts w:ascii="Arial" w:hAnsi="Arial" w:cs="Arial"/>
          <w:sz w:val="24"/>
          <w:szCs w:val="24"/>
        </w:rPr>
        <w:t>S1(3)</w:t>
      </w:r>
      <w:r w:rsidR="00F91097">
        <w:rPr>
          <w:rFonts w:ascii="Arial" w:hAnsi="Arial" w:cs="Arial"/>
          <w:sz w:val="24"/>
          <w:szCs w:val="24"/>
        </w:rPr>
        <w:t xml:space="preserve"> </w:t>
      </w:r>
      <w:r w:rsidRPr="00B0300D">
        <w:rPr>
          <w:rFonts w:ascii="Arial" w:hAnsi="Arial" w:cs="Arial"/>
          <w:sz w:val="24"/>
          <w:szCs w:val="24"/>
        </w:rPr>
        <w:t xml:space="preserve">(b) The occupier knows or has reasonable grounds to believe that people </w:t>
      </w:r>
      <w:r>
        <w:rPr>
          <w:rFonts w:ascii="Arial" w:hAnsi="Arial" w:cs="Arial"/>
          <w:sz w:val="24"/>
          <w:szCs w:val="24"/>
        </w:rPr>
        <w:t xml:space="preserve">            are </w:t>
      </w:r>
      <w:r w:rsidRPr="00B0300D">
        <w:rPr>
          <w:rFonts w:ascii="Arial" w:hAnsi="Arial" w:cs="Arial"/>
          <w:sz w:val="24"/>
          <w:szCs w:val="24"/>
        </w:rPr>
        <w:t xml:space="preserve">in the vicinity of danger. </w:t>
      </w:r>
    </w:p>
    <w:p w:rsidR="00B0300D" w:rsidRDefault="00B0300D" w:rsidP="00B0300D">
      <w:pPr>
        <w:rPr>
          <w:rFonts w:ascii="Arial" w:hAnsi="Arial" w:cs="Arial"/>
          <w:sz w:val="24"/>
          <w:szCs w:val="24"/>
        </w:rPr>
      </w:pPr>
      <w:r>
        <w:rPr>
          <w:rFonts w:ascii="Arial" w:hAnsi="Arial" w:cs="Arial"/>
          <w:sz w:val="24"/>
          <w:szCs w:val="24"/>
        </w:rPr>
        <w:t>Subjective test</w:t>
      </w:r>
    </w:p>
    <w:p w:rsidR="00B0300D" w:rsidRDefault="00B0300D" w:rsidP="00B0300D">
      <w:pPr>
        <w:pStyle w:val="ListParagraph"/>
        <w:numPr>
          <w:ilvl w:val="0"/>
          <w:numId w:val="1"/>
        </w:numPr>
        <w:rPr>
          <w:rFonts w:ascii="Arial" w:hAnsi="Arial" w:cs="Arial"/>
          <w:sz w:val="24"/>
          <w:szCs w:val="24"/>
        </w:rPr>
      </w:pPr>
      <w:r>
        <w:rPr>
          <w:rFonts w:ascii="Arial" w:hAnsi="Arial" w:cs="Arial"/>
          <w:sz w:val="24"/>
          <w:szCs w:val="24"/>
        </w:rPr>
        <w:t xml:space="preserve">Swain v </w:t>
      </w:r>
      <w:proofErr w:type="spellStart"/>
      <w:r>
        <w:rPr>
          <w:rFonts w:ascii="Arial" w:hAnsi="Arial" w:cs="Arial"/>
          <w:sz w:val="24"/>
          <w:szCs w:val="24"/>
        </w:rPr>
        <w:t>Natui</w:t>
      </w:r>
      <w:proofErr w:type="spellEnd"/>
      <w:r>
        <w:rPr>
          <w:rFonts w:ascii="Arial" w:hAnsi="Arial" w:cs="Arial"/>
          <w:sz w:val="24"/>
          <w:szCs w:val="24"/>
        </w:rPr>
        <w:t xml:space="preserve"> Ram Pun: Claimant was trespassing on the defendant’s factory roof</w:t>
      </w:r>
      <w:r w:rsidR="00CA4435">
        <w:rPr>
          <w:rFonts w:ascii="Arial" w:hAnsi="Arial" w:cs="Arial"/>
          <w:sz w:val="24"/>
          <w:szCs w:val="24"/>
        </w:rPr>
        <w:t>, fell off and s</w:t>
      </w:r>
      <w:r w:rsidR="00191585">
        <w:rPr>
          <w:rFonts w:ascii="Arial" w:hAnsi="Arial" w:cs="Arial"/>
          <w:sz w:val="24"/>
          <w:szCs w:val="24"/>
        </w:rPr>
        <w:t xml:space="preserve">ustained </w:t>
      </w:r>
      <w:r w:rsidR="00CA4435">
        <w:rPr>
          <w:rFonts w:ascii="Arial" w:hAnsi="Arial" w:cs="Arial"/>
          <w:sz w:val="24"/>
          <w:szCs w:val="24"/>
        </w:rPr>
        <w:t>serious injur</w:t>
      </w:r>
      <w:r w:rsidR="00191585">
        <w:rPr>
          <w:rFonts w:ascii="Arial" w:hAnsi="Arial" w:cs="Arial"/>
          <w:sz w:val="24"/>
          <w:szCs w:val="24"/>
        </w:rPr>
        <w:t>i</w:t>
      </w:r>
      <w:r w:rsidR="00CA4435">
        <w:rPr>
          <w:rFonts w:ascii="Arial" w:hAnsi="Arial" w:cs="Arial"/>
          <w:sz w:val="24"/>
          <w:szCs w:val="24"/>
        </w:rPr>
        <w:t>e</w:t>
      </w:r>
      <w:r w:rsidR="00191585">
        <w:rPr>
          <w:rFonts w:ascii="Arial" w:hAnsi="Arial" w:cs="Arial"/>
          <w:sz w:val="24"/>
          <w:szCs w:val="24"/>
        </w:rPr>
        <w:t>s</w:t>
      </w:r>
      <w:r w:rsidR="00CA4435">
        <w:rPr>
          <w:rFonts w:ascii="Arial" w:hAnsi="Arial" w:cs="Arial"/>
          <w:sz w:val="24"/>
          <w:szCs w:val="24"/>
        </w:rPr>
        <w:t xml:space="preserve">. The factory was </w:t>
      </w:r>
      <w:r w:rsidR="00191585">
        <w:rPr>
          <w:rFonts w:ascii="Arial" w:hAnsi="Arial" w:cs="Arial"/>
          <w:sz w:val="24"/>
          <w:szCs w:val="24"/>
        </w:rPr>
        <w:t xml:space="preserve">fenced all </w:t>
      </w:r>
      <w:proofErr w:type="gramStart"/>
      <w:r w:rsidR="00191585">
        <w:rPr>
          <w:rFonts w:ascii="Arial" w:hAnsi="Arial" w:cs="Arial"/>
          <w:sz w:val="24"/>
          <w:szCs w:val="24"/>
        </w:rPr>
        <w:t xml:space="preserve">around </w:t>
      </w:r>
      <w:r w:rsidR="00CA4435">
        <w:rPr>
          <w:rFonts w:ascii="Arial" w:hAnsi="Arial" w:cs="Arial"/>
          <w:sz w:val="24"/>
          <w:szCs w:val="24"/>
        </w:rPr>
        <w:t xml:space="preserve"> </w:t>
      </w:r>
      <w:r w:rsidR="00191585">
        <w:rPr>
          <w:rFonts w:ascii="Arial" w:hAnsi="Arial" w:cs="Arial"/>
          <w:sz w:val="24"/>
          <w:szCs w:val="24"/>
        </w:rPr>
        <w:t>and</w:t>
      </w:r>
      <w:proofErr w:type="gramEnd"/>
      <w:r w:rsidR="00191585">
        <w:rPr>
          <w:rFonts w:ascii="Arial" w:hAnsi="Arial" w:cs="Arial"/>
          <w:sz w:val="24"/>
          <w:szCs w:val="24"/>
        </w:rPr>
        <w:t xml:space="preserve"> </w:t>
      </w:r>
      <w:r w:rsidR="00CA4435">
        <w:rPr>
          <w:rFonts w:ascii="Arial" w:hAnsi="Arial" w:cs="Arial"/>
          <w:sz w:val="24"/>
          <w:szCs w:val="24"/>
        </w:rPr>
        <w:t xml:space="preserve"> despite </w:t>
      </w:r>
      <w:r w:rsidR="00191585">
        <w:rPr>
          <w:rFonts w:ascii="Arial" w:hAnsi="Arial" w:cs="Arial"/>
          <w:sz w:val="24"/>
          <w:szCs w:val="24"/>
        </w:rPr>
        <w:t xml:space="preserve">there was </w:t>
      </w:r>
      <w:r w:rsidR="00CA4435">
        <w:rPr>
          <w:rFonts w:ascii="Arial" w:hAnsi="Arial" w:cs="Arial"/>
          <w:sz w:val="24"/>
          <w:szCs w:val="24"/>
        </w:rPr>
        <w:t xml:space="preserve">no </w:t>
      </w:r>
      <w:r w:rsidR="00191585">
        <w:rPr>
          <w:rFonts w:ascii="Arial" w:hAnsi="Arial" w:cs="Arial"/>
          <w:sz w:val="24"/>
          <w:szCs w:val="24"/>
        </w:rPr>
        <w:t>incidents of trespassing recorded</w:t>
      </w:r>
      <w:r w:rsidR="00CA4435">
        <w:rPr>
          <w:rFonts w:ascii="Arial" w:hAnsi="Arial" w:cs="Arial"/>
          <w:sz w:val="24"/>
          <w:szCs w:val="24"/>
        </w:rPr>
        <w:t>,</w:t>
      </w:r>
      <w:r w:rsidR="00191585">
        <w:rPr>
          <w:rFonts w:ascii="Arial" w:hAnsi="Arial" w:cs="Arial"/>
          <w:sz w:val="24"/>
          <w:szCs w:val="24"/>
        </w:rPr>
        <w:t xml:space="preserve"> the </w:t>
      </w:r>
      <w:r w:rsidR="00CA4435">
        <w:rPr>
          <w:rFonts w:ascii="Arial" w:hAnsi="Arial" w:cs="Arial"/>
          <w:sz w:val="24"/>
          <w:szCs w:val="24"/>
        </w:rPr>
        <w:t xml:space="preserve"> defendant did not have reasonable grounds to believe that any one was in the vicinity of danger because there was no evidence of previous trespassing and there </w:t>
      </w:r>
      <w:r w:rsidR="00F91097">
        <w:rPr>
          <w:rFonts w:ascii="Arial" w:hAnsi="Arial" w:cs="Arial"/>
          <w:sz w:val="24"/>
          <w:szCs w:val="24"/>
        </w:rPr>
        <w:t>were</w:t>
      </w:r>
      <w:r w:rsidR="00CA4435">
        <w:rPr>
          <w:rFonts w:ascii="Arial" w:hAnsi="Arial" w:cs="Arial"/>
          <w:sz w:val="24"/>
          <w:szCs w:val="24"/>
        </w:rPr>
        <w:t xml:space="preserve"> high fences surrounding the area. </w:t>
      </w:r>
    </w:p>
    <w:p w:rsidR="00F91097" w:rsidRDefault="00F91097" w:rsidP="00F91097">
      <w:pPr>
        <w:pStyle w:val="ListParagraph"/>
        <w:rPr>
          <w:rFonts w:ascii="Arial" w:hAnsi="Arial" w:cs="Arial"/>
          <w:sz w:val="24"/>
          <w:szCs w:val="24"/>
        </w:rPr>
      </w:pPr>
    </w:p>
    <w:p w:rsidR="00F91097" w:rsidRDefault="00F91097" w:rsidP="00F91097">
      <w:pPr>
        <w:pStyle w:val="ListParagraph"/>
        <w:rPr>
          <w:rFonts w:ascii="Arial" w:hAnsi="Arial" w:cs="Arial"/>
          <w:sz w:val="24"/>
          <w:szCs w:val="24"/>
        </w:rPr>
      </w:pPr>
      <w:r>
        <w:rPr>
          <w:rFonts w:ascii="Arial" w:hAnsi="Arial" w:cs="Arial"/>
          <w:sz w:val="24"/>
          <w:szCs w:val="24"/>
        </w:rPr>
        <w:t>S1(3) (c) The risk is one against whish, in all circumstances of the case, the occupier is reasonably expected to offer the other some protection.</w:t>
      </w:r>
    </w:p>
    <w:p w:rsidR="00F91097" w:rsidRDefault="00F91097" w:rsidP="00F91097">
      <w:pPr>
        <w:pStyle w:val="ListParagraph"/>
        <w:numPr>
          <w:ilvl w:val="0"/>
          <w:numId w:val="1"/>
        </w:numPr>
        <w:rPr>
          <w:rFonts w:ascii="Arial" w:hAnsi="Arial" w:cs="Arial"/>
          <w:sz w:val="24"/>
          <w:szCs w:val="24"/>
        </w:rPr>
      </w:pPr>
      <w:r>
        <w:rPr>
          <w:rFonts w:ascii="Arial" w:hAnsi="Arial" w:cs="Arial"/>
          <w:sz w:val="24"/>
          <w:szCs w:val="24"/>
        </w:rPr>
        <w:t>Did the occupier take all other reasonable precautions considering the circumstances?</w:t>
      </w:r>
    </w:p>
    <w:p w:rsidR="00F91097" w:rsidRDefault="00F91097" w:rsidP="00F91097">
      <w:pPr>
        <w:pStyle w:val="ListParagraph"/>
        <w:numPr>
          <w:ilvl w:val="0"/>
          <w:numId w:val="1"/>
        </w:numPr>
        <w:rPr>
          <w:rFonts w:ascii="Arial" w:hAnsi="Arial" w:cs="Arial"/>
          <w:sz w:val="24"/>
          <w:szCs w:val="24"/>
        </w:rPr>
      </w:pPr>
      <w:r>
        <w:rPr>
          <w:rFonts w:ascii="Arial" w:hAnsi="Arial" w:cs="Arial"/>
          <w:sz w:val="24"/>
          <w:szCs w:val="24"/>
        </w:rPr>
        <w:t>Objective and subjective test asking</w:t>
      </w:r>
    </w:p>
    <w:p w:rsidR="00F91097" w:rsidRDefault="00F91097" w:rsidP="00F91097">
      <w:pPr>
        <w:pStyle w:val="ListParagraph"/>
        <w:numPr>
          <w:ilvl w:val="0"/>
          <w:numId w:val="4"/>
        </w:numPr>
        <w:rPr>
          <w:rFonts w:ascii="Arial" w:hAnsi="Arial" w:cs="Arial"/>
          <w:sz w:val="24"/>
          <w:szCs w:val="24"/>
        </w:rPr>
      </w:pPr>
      <w:r>
        <w:rPr>
          <w:rFonts w:ascii="Arial" w:hAnsi="Arial" w:cs="Arial"/>
          <w:sz w:val="24"/>
          <w:szCs w:val="24"/>
        </w:rPr>
        <w:t xml:space="preserve">The purpose of entry </w:t>
      </w:r>
    </w:p>
    <w:p w:rsidR="00F91097" w:rsidRDefault="00F91097" w:rsidP="00F91097">
      <w:pPr>
        <w:pStyle w:val="ListParagraph"/>
        <w:numPr>
          <w:ilvl w:val="0"/>
          <w:numId w:val="4"/>
        </w:numPr>
        <w:rPr>
          <w:rFonts w:ascii="Arial" w:hAnsi="Arial" w:cs="Arial"/>
          <w:sz w:val="24"/>
          <w:szCs w:val="24"/>
        </w:rPr>
      </w:pPr>
      <w:r>
        <w:rPr>
          <w:rFonts w:ascii="Arial" w:hAnsi="Arial" w:cs="Arial"/>
          <w:sz w:val="24"/>
          <w:szCs w:val="24"/>
        </w:rPr>
        <w:t xml:space="preserve">The age and capability </w:t>
      </w:r>
      <w:proofErr w:type="spellStart"/>
      <w:r>
        <w:rPr>
          <w:rFonts w:ascii="Arial" w:hAnsi="Arial" w:cs="Arial"/>
          <w:sz w:val="24"/>
          <w:szCs w:val="24"/>
        </w:rPr>
        <w:t>od</w:t>
      </w:r>
      <w:proofErr w:type="spellEnd"/>
      <w:r>
        <w:rPr>
          <w:rFonts w:ascii="Arial" w:hAnsi="Arial" w:cs="Arial"/>
          <w:sz w:val="24"/>
          <w:szCs w:val="24"/>
        </w:rPr>
        <w:t xml:space="preserve"> the trespasser</w:t>
      </w:r>
    </w:p>
    <w:p w:rsidR="00F91097" w:rsidRDefault="00462226" w:rsidP="00F91097">
      <w:pPr>
        <w:pStyle w:val="ListParagraph"/>
        <w:numPr>
          <w:ilvl w:val="0"/>
          <w:numId w:val="1"/>
        </w:numPr>
        <w:rPr>
          <w:rFonts w:ascii="Arial" w:hAnsi="Arial" w:cs="Arial"/>
          <w:sz w:val="24"/>
          <w:szCs w:val="24"/>
        </w:rPr>
      </w:pPr>
      <w:r>
        <w:rPr>
          <w:rFonts w:ascii="Arial" w:hAnsi="Arial" w:cs="Arial"/>
          <w:sz w:val="24"/>
          <w:szCs w:val="24"/>
        </w:rPr>
        <w:lastRenderedPageBreak/>
        <w:t>Occupiers are not expected to take steps to avoid risks to a “determined and irresponsible minority”.</w:t>
      </w:r>
    </w:p>
    <w:p w:rsidR="00462226" w:rsidRDefault="00462226" w:rsidP="00F91097">
      <w:pPr>
        <w:pStyle w:val="ListParagraph"/>
        <w:numPr>
          <w:ilvl w:val="0"/>
          <w:numId w:val="1"/>
        </w:numPr>
        <w:rPr>
          <w:rFonts w:ascii="Arial" w:hAnsi="Arial" w:cs="Arial"/>
          <w:sz w:val="24"/>
          <w:szCs w:val="24"/>
        </w:rPr>
      </w:pPr>
      <w:r>
        <w:rPr>
          <w:rFonts w:ascii="Arial" w:hAnsi="Arial" w:cs="Arial"/>
          <w:sz w:val="24"/>
          <w:szCs w:val="24"/>
        </w:rPr>
        <w:t xml:space="preserve">In Plat v Liverpool FC: the court stated that it would be impossible to guard against them </w:t>
      </w:r>
    </w:p>
    <w:p w:rsidR="00462226" w:rsidRDefault="00462226" w:rsidP="00462226">
      <w:pPr>
        <w:pStyle w:val="ListParagraph"/>
        <w:rPr>
          <w:rFonts w:ascii="Arial" w:hAnsi="Arial" w:cs="Arial"/>
          <w:sz w:val="24"/>
          <w:szCs w:val="24"/>
        </w:rPr>
      </w:pPr>
      <w:r>
        <w:rPr>
          <w:rFonts w:ascii="Arial" w:hAnsi="Arial" w:cs="Arial"/>
          <w:sz w:val="24"/>
          <w:szCs w:val="24"/>
        </w:rPr>
        <w:t>The financial resources of the occupier to warn against such risks.</w:t>
      </w:r>
    </w:p>
    <w:p w:rsidR="000A74CD" w:rsidRDefault="000A74CD" w:rsidP="00462226">
      <w:pPr>
        <w:pStyle w:val="ListParagraph"/>
        <w:rPr>
          <w:rFonts w:ascii="Arial" w:hAnsi="Arial" w:cs="Arial"/>
          <w:sz w:val="24"/>
          <w:szCs w:val="24"/>
        </w:rPr>
      </w:pPr>
      <w:r>
        <w:rPr>
          <w:rFonts w:ascii="Arial" w:hAnsi="Arial" w:cs="Arial"/>
          <w:sz w:val="24"/>
          <w:szCs w:val="24"/>
        </w:rPr>
        <w:t>In order for the occupier of the premises to discharge their duty to visitors, there are a number of things that they may need to do:</w:t>
      </w:r>
    </w:p>
    <w:p w:rsidR="000A74CD" w:rsidRDefault="00382020" w:rsidP="000A74CD">
      <w:pPr>
        <w:pStyle w:val="ListParagraph"/>
        <w:numPr>
          <w:ilvl w:val="0"/>
          <w:numId w:val="1"/>
        </w:numPr>
        <w:rPr>
          <w:rFonts w:ascii="Arial" w:hAnsi="Arial" w:cs="Arial"/>
          <w:sz w:val="24"/>
          <w:szCs w:val="24"/>
        </w:rPr>
      </w:pPr>
      <w:r>
        <w:rPr>
          <w:rFonts w:ascii="Arial" w:hAnsi="Arial" w:cs="Arial"/>
          <w:sz w:val="24"/>
          <w:szCs w:val="24"/>
        </w:rPr>
        <w:t xml:space="preserve">Carry out regular </w:t>
      </w:r>
      <w:r w:rsidR="000A74CD">
        <w:rPr>
          <w:rFonts w:ascii="Arial" w:hAnsi="Arial" w:cs="Arial"/>
          <w:sz w:val="24"/>
          <w:szCs w:val="24"/>
        </w:rPr>
        <w:t xml:space="preserve">risk assessments </w:t>
      </w:r>
      <w:r>
        <w:rPr>
          <w:rFonts w:ascii="Arial" w:hAnsi="Arial" w:cs="Arial"/>
          <w:sz w:val="24"/>
          <w:szCs w:val="24"/>
        </w:rPr>
        <w:t xml:space="preserve">to eliminate any </w:t>
      </w:r>
      <w:r w:rsidR="000A74CD">
        <w:rPr>
          <w:rFonts w:ascii="Arial" w:hAnsi="Arial" w:cs="Arial"/>
          <w:sz w:val="24"/>
          <w:szCs w:val="24"/>
        </w:rPr>
        <w:t xml:space="preserve">potential risks identified </w:t>
      </w:r>
      <w:proofErr w:type="gramStart"/>
      <w:r w:rsidR="000A74CD">
        <w:rPr>
          <w:rFonts w:ascii="Arial" w:hAnsi="Arial" w:cs="Arial"/>
          <w:sz w:val="24"/>
          <w:szCs w:val="24"/>
        </w:rPr>
        <w:t xml:space="preserve">and </w:t>
      </w:r>
      <w:r>
        <w:rPr>
          <w:rFonts w:ascii="Arial" w:hAnsi="Arial" w:cs="Arial"/>
          <w:sz w:val="24"/>
          <w:szCs w:val="24"/>
        </w:rPr>
        <w:t xml:space="preserve"> work</w:t>
      </w:r>
      <w:proofErr w:type="gramEnd"/>
      <w:r>
        <w:rPr>
          <w:rFonts w:ascii="Arial" w:hAnsi="Arial" w:cs="Arial"/>
          <w:sz w:val="24"/>
          <w:szCs w:val="24"/>
        </w:rPr>
        <w:t xml:space="preserve"> towards minimising and potentially eliminating them</w:t>
      </w:r>
      <w:r w:rsidR="000A74CD">
        <w:rPr>
          <w:rFonts w:ascii="Arial" w:hAnsi="Arial" w:cs="Arial"/>
          <w:sz w:val="24"/>
          <w:szCs w:val="24"/>
        </w:rPr>
        <w:t xml:space="preserve">. </w:t>
      </w:r>
    </w:p>
    <w:p w:rsidR="000A74CD" w:rsidRDefault="000A74CD" w:rsidP="000A74CD">
      <w:pPr>
        <w:pStyle w:val="ListParagraph"/>
        <w:numPr>
          <w:ilvl w:val="0"/>
          <w:numId w:val="1"/>
        </w:numPr>
        <w:rPr>
          <w:rFonts w:ascii="Arial" w:hAnsi="Arial" w:cs="Arial"/>
          <w:sz w:val="24"/>
          <w:szCs w:val="24"/>
        </w:rPr>
      </w:pPr>
      <w:r>
        <w:rPr>
          <w:rFonts w:ascii="Arial" w:hAnsi="Arial" w:cs="Arial"/>
          <w:sz w:val="24"/>
          <w:szCs w:val="24"/>
        </w:rPr>
        <w:t xml:space="preserve">Carry out regular inspection to ensure the integrity of the premises (and, as above the associated plant and equipment) remains reasonably safe. </w:t>
      </w:r>
    </w:p>
    <w:p w:rsidR="000A74CD" w:rsidRDefault="00382020" w:rsidP="000A74CD">
      <w:pPr>
        <w:pStyle w:val="ListParagraph"/>
        <w:numPr>
          <w:ilvl w:val="0"/>
          <w:numId w:val="1"/>
        </w:numPr>
        <w:rPr>
          <w:rFonts w:ascii="Arial" w:hAnsi="Arial" w:cs="Arial"/>
          <w:sz w:val="24"/>
          <w:szCs w:val="24"/>
        </w:rPr>
      </w:pPr>
      <w:r>
        <w:rPr>
          <w:rFonts w:ascii="Arial" w:hAnsi="Arial" w:cs="Arial"/>
          <w:sz w:val="24"/>
          <w:szCs w:val="24"/>
        </w:rPr>
        <w:t xml:space="preserve">When </w:t>
      </w:r>
      <w:r w:rsidR="000A74CD">
        <w:rPr>
          <w:rFonts w:ascii="Arial" w:hAnsi="Arial" w:cs="Arial"/>
          <w:sz w:val="24"/>
          <w:szCs w:val="24"/>
        </w:rPr>
        <w:t xml:space="preserve">hazards </w:t>
      </w:r>
      <w:r>
        <w:rPr>
          <w:rFonts w:ascii="Arial" w:hAnsi="Arial" w:cs="Arial"/>
          <w:sz w:val="24"/>
          <w:szCs w:val="24"/>
        </w:rPr>
        <w:t>are detected, there needs to be a plan in place to work towards tackling them and create a hazard free area</w:t>
      </w:r>
      <w:r w:rsidR="00947245">
        <w:rPr>
          <w:rFonts w:ascii="Arial" w:hAnsi="Arial" w:cs="Arial"/>
          <w:sz w:val="24"/>
          <w:szCs w:val="24"/>
        </w:rPr>
        <w:t>.</w:t>
      </w:r>
    </w:p>
    <w:p w:rsidR="00947245" w:rsidRDefault="00947245" w:rsidP="00947245">
      <w:pPr>
        <w:pStyle w:val="ListParagraph"/>
        <w:rPr>
          <w:rFonts w:ascii="Arial" w:hAnsi="Arial" w:cs="Arial"/>
          <w:sz w:val="24"/>
          <w:szCs w:val="24"/>
        </w:rPr>
      </w:pPr>
      <w:r>
        <w:rPr>
          <w:rFonts w:ascii="Arial" w:hAnsi="Arial" w:cs="Arial"/>
          <w:sz w:val="24"/>
          <w:szCs w:val="24"/>
        </w:rPr>
        <w:t xml:space="preserve">What is the duty? S1(4) </w:t>
      </w:r>
    </w:p>
    <w:p w:rsidR="00947245" w:rsidRDefault="00947245" w:rsidP="00947245">
      <w:pPr>
        <w:pStyle w:val="ListParagraph"/>
        <w:numPr>
          <w:ilvl w:val="0"/>
          <w:numId w:val="1"/>
        </w:numPr>
        <w:rPr>
          <w:rFonts w:ascii="Arial" w:hAnsi="Arial" w:cs="Arial"/>
          <w:sz w:val="24"/>
          <w:szCs w:val="24"/>
        </w:rPr>
      </w:pPr>
      <w:r>
        <w:rPr>
          <w:rFonts w:ascii="Arial" w:hAnsi="Arial" w:cs="Arial"/>
          <w:sz w:val="24"/>
          <w:szCs w:val="24"/>
        </w:rPr>
        <w:t xml:space="preserve">To take </w:t>
      </w:r>
      <w:r w:rsidR="006B5D33">
        <w:rPr>
          <w:rFonts w:ascii="Arial" w:hAnsi="Arial" w:cs="Arial"/>
          <w:sz w:val="24"/>
          <w:szCs w:val="24"/>
        </w:rPr>
        <w:t>measures to avoid injuries to trespassers</w:t>
      </w:r>
      <w:r>
        <w:rPr>
          <w:rFonts w:ascii="Arial" w:hAnsi="Arial" w:cs="Arial"/>
          <w:sz w:val="24"/>
          <w:szCs w:val="24"/>
        </w:rPr>
        <w:t>.</w:t>
      </w:r>
    </w:p>
    <w:p w:rsidR="00947245" w:rsidRDefault="00947245" w:rsidP="00947245">
      <w:pPr>
        <w:pStyle w:val="ListParagraph"/>
        <w:numPr>
          <w:ilvl w:val="0"/>
          <w:numId w:val="1"/>
        </w:numPr>
        <w:rPr>
          <w:rFonts w:ascii="Arial" w:hAnsi="Arial" w:cs="Arial"/>
          <w:sz w:val="24"/>
          <w:szCs w:val="24"/>
        </w:rPr>
      </w:pPr>
      <w:r>
        <w:rPr>
          <w:rFonts w:ascii="Arial" w:hAnsi="Arial" w:cs="Arial"/>
          <w:sz w:val="24"/>
          <w:szCs w:val="24"/>
        </w:rPr>
        <w:t>This is a lower standard compared to Occupier’s Liability Act 1957</w:t>
      </w:r>
    </w:p>
    <w:p w:rsidR="00947245" w:rsidRDefault="00947245" w:rsidP="00947245">
      <w:pPr>
        <w:pStyle w:val="ListParagraph"/>
        <w:numPr>
          <w:ilvl w:val="0"/>
          <w:numId w:val="1"/>
        </w:numPr>
        <w:rPr>
          <w:rFonts w:ascii="Arial" w:hAnsi="Arial" w:cs="Arial"/>
          <w:sz w:val="24"/>
          <w:szCs w:val="24"/>
        </w:rPr>
      </w:pPr>
      <w:r>
        <w:rPr>
          <w:rFonts w:ascii="Arial" w:hAnsi="Arial" w:cs="Arial"/>
          <w:sz w:val="24"/>
          <w:szCs w:val="24"/>
        </w:rPr>
        <w:t xml:space="preserve">“To take such care as is reasonable in the circumstances of the case to see that claimant does not </w:t>
      </w:r>
      <w:r w:rsidR="002B232E">
        <w:rPr>
          <w:rFonts w:ascii="Arial" w:hAnsi="Arial" w:cs="Arial"/>
          <w:sz w:val="24"/>
          <w:szCs w:val="24"/>
        </w:rPr>
        <w:t>suffer injury on the premises by the reason of danger concerned”.</w:t>
      </w:r>
    </w:p>
    <w:p w:rsidR="002B232E" w:rsidRDefault="002B232E" w:rsidP="002B232E">
      <w:pPr>
        <w:pStyle w:val="ListParagraph"/>
        <w:rPr>
          <w:rFonts w:ascii="Arial" w:hAnsi="Arial" w:cs="Arial"/>
          <w:sz w:val="24"/>
          <w:szCs w:val="24"/>
        </w:rPr>
      </w:pPr>
      <w:r>
        <w:rPr>
          <w:rFonts w:ascii="Arial" w:hAnsi="Arial" w:cs="Arial"/>
          <w:sz w:val="24"/>
          <w:szCs w:val="24"/>
        </w:rPr>
        <w:t>Warnings S1(5)</w:t>
      </w:r>
    </w:p>
    <w:p w:rsidR="002B232E" w:rsidRDefault="002B232E" w:rsidP="002B232E">
      <w:pPr>
        <w:pStyle w:val="ListParagraph"/>
        <w:rPr>
          <w:rFonts w:ascii="Arial" w:hAnsi="Arial" w:cs="Arial"/>
          <w:sz w:val="24"/>
          <w:szCs w:val="24"/>
        </w:rPr>
      </w:pPr>
      <w:r>
        <w:rPr>
          <w:rFonts w:ascii="Arial" w:hAnsi="Arial" w:cs="Arial"/>
          <w:sz w:val="24"/>
          <w:szCs w:val="24"/>
        </w:rPr>
        <w:t>Occupiers can discharge their duty by taking reasonable steps to give a warning to discourage people from incurring the risk – there was no warning here in the case of CPL as they were not aware of it.</w:t>
      </w:r>
    </w:p>
    <w:p w:rsidR="002B232E" w:rsidRDefault="002B232E" w:rsidP="002B232E">
      <w:pPr>
        <w:pStyle w:val="ListParagraph"/>
        <w:rPr>
          <w:rFonts w:ascii="Arial" w:hAnsi="Arial" w:cs="Arial"/>
          <w:sz w:val="24"/>
          <w:szCs w:val="24"/>
        </w:rPr>
      </w:pPr>
      <w:r>
        <w:rPr>
          <w:rFonts w:ascii="Arial" w:hAnsi="Arial" w:cs="Arial"/>
          <w:sz w:val="24"/>
          <w:szCs w:val="24"/>
        </w:rPr>
        <w:t xml:space="preserve">Has the Occupier excluded liability? </w:t>
      </w:r>
    </w:p>
    <w:p w:rsidR="001A2627" w:rsidRDefault="001A2627" w:rsidP="002B232E">
      <w:pPr>
        <w:pStyle w:val="ListParagraph"/>
        <w:rPr>
          <w:rFonts w:ascii="Arial" w:hAnsi="Arial" w:cs="Arial"/>
          <w:sz w:val="24"/>
          <w:szCs w:val="24"/>
        </w:rPr>
      </w:pPr>
      <w:r>
        <w:rPr>
          <w:rFonts w:ascii="Arial" w:hAnsi="Arial" w:cs="Arial"/>
          <w:sz w:val="24"/>
          <w:szCs w:val="24"/>
        </w:rPr>
        <w:t>Considering the risk factors above, there was no breach for the following defence:</w:t>
      </w:r>
    </w:p>
    <w:p w:rsidR="001A2627" w:rsidRDefault="001A2627" w:rsidP="001A2627">
      <w:pPr>
        <w:pStyle w:val="ListParagraph"/>
        <w:numPr>
          <w:ilvl w:val="0"/>
          <w:numId w:val="1"/>
        </w:numPr>
        <w:rPr>
          <w:rFonts w:ascii="Arial" w:hAnsi="Arial" w:cs="Arial"/>
          <w:sz w:val="24"/>
          <w:szCs w:val="24"/>
        </w:rPr>
      </w:pPr>
      <w:r>
        <w:rPr>
          <w:rFonts w:ascii="Arial" w:hAnsi="Arial" w:cs="Arial"/>
          <w:sz w:val="24"/>
          <w:szCs w:val="24"/>
        </w:rPr>
        <w:t xml:space="preserve">Mainly Contributory Negligence under the Law Reform Act 1945, it </w:t>
      </w:r>
      <w:r w:rsidR="006B5D33">
        <w:rPr>
          <w:rFonts w:ascii="Arial" w:hAnsi="Arial" w:cs="Arial"/>
          <w:sz w:val="24"/>
          <w:szCs w:val="24"/>
        </w:rPr>
        <w:t xml:space="preserve">minimises the amount of payment and putting some responsibility on the </w:t>
      </w:r>
      <w:r>
        <w:rPr>
          <w:rFonts w:ascii="Arial" w:hAnsi="Arial" w:cs="Arial"/>
          <w:sz w:val="24"/>
          <w:szCs w:val="24"/>
        </w:rPr>
        <w:t>claimant, there are two ways in which the claimant can contribute.</w:t>
      </w:r>
    </w:p>
    <w:p w:rsidR="001A2627" w:rsidRDefault="001A2627" w:rsidP="001A2627">
      <w:pPr>
        <w:pStyle w:val="ListParagraph"/>
        <w:numPr>
          <w:ilvl w:val="0"/>
          <w:numId w:val="1"/>
        </w:numPr>
        <w:rPr>
          <w:rFonts w:ascii="Arial" w:hAnsi="Arial" w:cs="Arial"/>
          <w:sz w:val="24"/>
          <w:szCs w:val="24"/>
        </w:rPr>
      </w:pPr>
      <w:r>
        <w:rPr>
          <w:rFonts w:ascii="Arial" w:hAnsi="Arial" w:cs="Arial"/>
          <w:sz w:val="24"/>
          <w:szCs w:val="24"/>
        </w:rPr>
        <w:t xml:space="preserve">The claimant is partially responsible for the accident </w:t>
      </w:r>
    </w:p>
    <w:p w:rsidR="001A2627" w:rsidRDefault="001A2627" w:rsidP="001A2627">
      <w:pPr>
        <w:pStyle w:val="ListParagraph"/>
        <w:numPr>
          <w:ilvl w:val="0"/>
          <w:numId w:val="1"/>
        </w:numPr>
        <w:rPr>
          <w:rFonts w:ascii="Arial" w:hAnsi="Arial" w:cs="Arial"/>
          <w:sz w:val="24"/>
          <w:szCs w:val="24"/>
        </w:rPr>
      </w:pPr>
      <w:r>
        <w:rPr>
          <w:rFonts w:ascii="Arial" w:hAnsi="Arial" w:cs="Arial"/>
          <w:sz w:val="24"/>
          <w:szCs w:val="24"/>
        </w:rPr>
        <w:t xml:space="preserve">The claimant is not responsible for the accident but does not make their injuries worse </w:t>
      </w:r>
    </w:p>
    <w:p w:rsidR="001A2627" w:rsidRPr="00F91097" w:rsidRDefault="001A2627" w:rsidP="001A2627">
      <w:pPr>
        <w:pStyle w:val="ListParagraph"/>
        <w:rPr>
          <w:rFonts w:ascii="Arial" w:hAnsi="Arial" w:cs="Arial"/>
          <w:sz w:val="24"/>
          <w:szCs w:val="24"/>
        </w:rPr>
      </w:pPr>
    </w:p>
    <w:p w:rsidR="004E56E1" w:rsidRDefault="001A2627" w:rsidP="00374667">
      <w:pPr>
        <w:pStyle w:val="ListParagraph"/>
        <w:rPr>
          <w:rFonts w:ascii="Arial" w:hAnsi="Arial" w:cs="Arial"/>
          <w:sz w:val="24"/>
          <w:szCs w:val="24"/>
        </w:rPr>
      </w:pPr>
      <w:r>
        <w:rPr>
          <w:rFonts w:ascii="Arial" w:hAnsi="Arial" w:cs="Arial"/>
          <w:sz w:val="24"/>
          <w:szCs w:val="24"/>
        </w:rPr>
        <w:t>Consent</w:t>
      </w:r>
      <w:r w:rsidR="0021729D">
        <w:rPr>
          <w:rFonts w:ascii="Arial" w:hAnsi="Arial" w:cs="Arial"/>
          <w:sz w:val="24"/>
          <w:szCs w:val="24"/>
        </w:rPr>
        <w:t xml:space="preserve">: </w:t>
      </w:r>
      <w:proofErr w:type="spellStart"/>
      <w:r w:rsidR="0021729D">
        <w:rPr>
          <w:rFonts w:ascii="Arial" w:hAnsi="Arial" w:cs="Arial"/>
          <w:sz w:val="24"/>
          <w:szCs w:val="24"/>
        </w:rPr>
        <w:t>V</w:t>
      </w:r>
      <w:r w:rsidR="00DA26F9">
        <w:rPr>
          <w:rFonts w:ascii="Arial" w:hAnsi="Arial" w:cs="Arial"/>
          <w:sz w:val="24"/>
          <w:szCs w:val="24"/>
        </w:rPr>
        <w:t>olenti</w:t>
      </w:r>
      <w:proofErr w:type="spellEnd"/>
      <w:r w:rsidR="00DA26F9">
        <w:rPr>
          <w:rFonts w:ascii="Arial" w:hAnsi="Arial" w:cs="Arial"/>
          <w:sz w:val="24"/>
          <w:szCs w:val="24"/>
        </w:rPr>
        <w:t xml:space="preserve"> </w:t>
      </w:r>
      <w:r w:rsidR="004E56E1">
        <w:rPr>
          <w:rFonts w:ascii="Arial" w:hAnsi="Arial" w:cs="Arial"/>
          <w:sz w:val="24"/>
          <w:szCs w:val="24"/>
        </w:rPr>
        <w:t xml:space="preserve">non-fit injuria </w:t>
      </w:r>
    </w:p>
    <w:p w:rsidR="00374667" w:rsidRDefault="004E56E1" w:rsidP="004E56E1">
      <w:pPr>
        <w:pStyle w:val="ListParagraph"/>
        <w:numPr>
          <w:ilvl w:val="0"/>
          <w:numId w:val="1"/>
        </w:numPr>
        <w:rPr>
          <w:rFonts w:ascii="Arial" w:hAnsi="Arial" w:cs="Arial"/>
          <w:sz w:val="24"/>
          <w:szCs w:val="24"/>
        </w:rPr>
      </w:pPr>
      <w:r w:rsidRPr="004E56E1">
        <w:rPr>
          <w:rFonts w:ascii="Arial" w:hAnsi="Arial" w:cs="Arial"/>
          <w:sz w:val="24"/>
          <w:szCs w:val="24"/>
        </w:rPr>
        <w:t>Where the claimant willingly accepts the risk, but the risk must be fully understood by the by the visitor under s1(6)</w:t>
      </w:r>
      <w:r>
        <w:rPr>
          <w:rFonts w:ascii="Arial" w:hAnsi="Arial" w:cs="Arial"/>
          <w:sz w:val="24"/>
          <w:szCs w:val="24"/>
        </w:rPr>
        <w:t>.</w:t>
      </w:r>
    </w:p>
    <w:p w:rsidR="004E56E1" w:rsidRDefault="004E56E1" w:rsidP="004E56E1">
      <w:pPr>
        <w:pStyle w:val="ListParagraph"/>
        <w:numPr>
          <w:ilvl w:val="0"/>
          <w:numId w:val="1"/>
        </w:numPr>
        <w:rPr>
          <w:rFonts w:ascii="Arial" w:hAnsi="Arial" w:cs="Arial"/>
          <w:sz w:val="24"/>
          <w:szCs w:val="24"/>
        </w:rPr>
      </w:pPr>
      <w:r w:rsidRPr="004E56E1">
        <w:rPr>
          <w:rFonts w:ascii="Arial" w:hAnsi="Arial" w:cs="Arial"/>
          <w:i/>
          <w:sz w:val="24"/>
          <w:szCs w:val="24"/>
        </w:rPr>
        <w:t>Ratcliffe v McConnel</w:t>
      </w:r>
      <w:r>
        <w:rPr>
          <w:rFonts w:ascii="Arial" w:hAnsi="Arial" w:cs="Arial"/>
          <w:sz w:val="24"/>
          <w:szCs w:val="24"/>
        </w:rPr>
        <w:t xml:space="preserve">: the claimant climbed over a gate and dived into a swimming pool which was particularly deep. The claimant drowned but warning notices were displayed and the obvious risks of diving into water of unknown depth meant that the claimant accepted the risk. </w:t>
      </w:r>
    </w:p>
    <w:p w:rsidR="00604286" w:rsidRDefault="00604286" w:rsidP="00604286">
      <w:pPr>
        <w:ind w:left="360"/>
        <w:rPr>
          <w:rFonts w:ascii="Arial" w:hAnsi="Arial" w:cs="Arial"/>
          <w:sz w:val="24"/>
          <w:szCs w:val="24"/>
        </w:rPr>
      </w:pPr>
      <w:r>
        <w:rPr>
          <w:rFonts w:ascii="Arial" w:hAnsi="Arial" w:cs="Arial"/>
          <w:sz w:val="24"/>
          <w:szCs w:val="24"/>
        </w:rPr>
        <w:t xml:space="preserve">Nia and Owen </w:t>
      </w:r>
    </w:p>
    <w:p w:rsidR="00604286" w:rsidRDefault="00604286" w:rsidP="00604286">
      <w:pPr>
        <w:ind w:left="360"/>
        <w:rPr>
          <w:rFonts w:ascii="Arial" w:hAnsi="Arial" w:cs="Arial"/>
          <w:sz w:val="24"/>
          <w:szCs w:val="24"/>
        </w:rPr>
      </w:pPr>
      <w:r>
        <w:rPr>
          <w:rFonts w:ascii="Arial" w:hAnsi="Arial" w:cs="Arial"/>
          <w:sz w:val="24"/>
          <w:szCs w:val="24"/>
        </w:rPr>
        <w:t>Was there a psychiatric harm as a result of the traumatic event?</w:t>
      </w:r>
    </w:p>
    <w:p w:rsidR="00604286" w:rsidRDefault="00604286" w:rsidP="00604286">
      <w:pPr>
        <w:pStyle w:val="ListParagraph"/>
        <w:numPr>
          <w:ilvl w:val="0"/>
          <w:numId w:val="1"/>
        </w:numPr>
        <w:rPr>
          <w:rFonts w:ascii="Arial" w:hAnsi="Arial" w:cs="Arial"/>
          <w:sz w:val="24"/>
          <w:szCs w:val="24"/>
        </w:rPr>
      </w:pPr>
      <w:r>
        <w:rPr>
          <w:rFonts w:ascii="Arial" w:hAnsi="Arial" w:cs="Arial"/>
          <w:sz w:val="24"/>
          <w:szCs w:val="24"/>
        </w:rPr>
        <w:lastRenderedPageBreak/>
        <w:t>To prove there is a psychiatric harm, it must be recognised media condition that resulted from the shock of the incident and must have long term effect upon the claimant.</w:t>
      </w:r>
    </w:p>
    <w:p w:rsidR="00604286" w:rsidRDefault="00604286" w:rsidP="00604286">
      <w:pPr>
        <w:pStyle w:val="ListParagraph"/>
        <w:numPr>
          <w:ilvl w:val="0"/>
          <w:numId w:val="1"/>
        </w:numPr>
        <w:rPr>
          <w:rFonts w:ascii="Arial" w:hAnsi="Arial" w:cs="Arial"/>
          <w:sz w:val="24"/>
          <w:szCs w:val="24"/>
        </w:rPr>
      </w:pPr>
      <w:r>
        <w:rPr>
          <w:rFonts w:ascii="Arial" w:hAnsi="Arial" w:cs="Arial"/>
          <w:sz w:val="24"/>
          <w:szCs w:val="24"/>
        </w:rPr>
        <w:t>Vernon v Basely: there was no harm, as severe grief is not an actual medical condition,</w:t>
      </w:r>
    </w:p>
    <w:p w:rsidR="00604286" w:rsidRDefault="00604286" w:rsidP="00604286">
      <w:pPr>
        <w:pStyle w:val="ListParagraph"/>
        <w:numPr>
          <w:ilvl w:val="0"/>
          <w:numId w:val="1"/>
        </w:numPr>
        <w:rPr>
          <w:rFonts w:ascii="Arial" w:hAnsi="Arial" w:cs="Arial"/>
          <w:sz w:val="24"/>
          <w:szCs w:val="24"/>
        </w:rPr>
      </w:pPr>
      <w:r>
        <w:rPr>
          <w:rFonts w:ascii="Arial" w:hAnsi="Arial" w:cs="Arial"/>
          <w:sz w:val="24"/>
          <w:szCs w:val="24"/>
        </w:rPr>
        <w:t xml:space="preserve">Reilly: Claustrophobia was not long term and not actually caused by the </w:t>
      </w:r>
      <w:r w:rsidR="00A012B4">
        <w:rPr>
          <w:rFonts w:ascii="Arial" w:hAnsi="Arial" w:cs="Arial"/>
          <w:sz w:val="24"/>
          <w:szCs w:val="24"/>
        </w:rPr>
        <w:t xml:space="preserve">event </w:t>
      </w:r>
      <w:r>
        <w:rPr>
          <w:rFonts w:ascii="Arial" w:hAnsi="Arial" w:cs="Arial"/>
          <w:sz w:val="24"/>
          <w:szCs w:val="24"/>
        </w:rPr>
        <w:t xml:space="preserve">  </w:t>
      </w:r>
    </w:p>
    <w:p w:rsidR="00A012B4" w:rsidRDefault="00A012B4" w:rsidP="00A012B4">
      <w:pPr>
        <w:pStyle w:val="ListParagraph"/>
        <w:rPr>
          <w:rFonts w:ascii="Arial" w:hAnsi="Arial" w:cs="Arial"/>
          <w:sz w:val="24"/>
          <w:szCs w:val="24"/>
        </w:rPr>
      </w:pPr>
      <w:r>
        <w:rPr>
          <w:rFonts w:ascii="Arial" w:hAnsi="Arial" w:cs="Arial"/>
          <w:sz w:val="24"/>
          <w:szCs w:val="24"/>
        </w:rPr>
        <w:t xml:space="preserve">Nia suffered PSTD and Owen Depression </w:t>
      </w:r>
    </w:p>
    <w:p w:rsidR="00A012B4" w:rsidRDefault="00A012B4" w:rsidP="00A012B4">
      <w:pPr>
        <w:pStyle w:val="ListParagraph"/>
        <w:rPr>
          <w:rFonts w:ascii="Arial" w:hAnsi="Arial" w:cs="Arial"/>
          <w:sz w:val="24"/>
          <w:szCs w:val="24"/>
        </w:rPr>
      </w:pPr>
      <w:r>
        <w:rPr>
          <w:rFonts w:ascii="Arial" w:hAnsi="Arial" w:cs="Arial"/>
          <w:sz w:val="24"/>
          <w:szCs w:val="24"/>
        </w:rPr>
        <w:t>S2a: Was the claimant primary or secondary victim</w:t>
      </w:r>
    </w:p>
    <w:p w:rsidR="00A012B4" w:rsidRDefault="00A012B4" w:rsidP="00A012B4">
      <w:pPr>
        <w:pStyle w:val="ListParagraph"/>
        <w:numPr>
          <w:ilvl w:val="0"/>
          <w:numId w:val="1"/>
        </w:numPr>
        <w:rPr>
          <w:rFonts w:ascii="Arial" w:hAnsi="Arial" w:cs="Arial"/>
          <w:sz w:val="24"/>
          <w:szCs w:val="24"/>
        </w:rPr>
      </w:pPr>
      <w:r>
        <w:rPr>
          <w:rFonts w:ascii="Arial" w:hAnsi="Arial" w:cs="Arial"/>
          <w:sz w:val="24"/>
          <w:szCs w:val="24"/>
        </w:rPr>
        <w:t>A primary victim is one who is in the range of foreseeable physical harm in this case it is Nia.</w:t>
      </w:r>
    </w:p>
    <w:p w:rsidR="00A012B4" w:rsidRDefault="00A012B4" w:rsidP="00A012B4">
      <w:pPr>
        <w:pStyle w:val="ListParagraph"/>
        <w:numPr>
          <w:ilvl w:val="0"/>
          <w:numId w:val="1"/>
        </w:numPr>
        <w:rPr>
          <w:rFonts w:ascii="Arial" w:hAnsi="Arial" w:cs="Arial"/>
          <w:sz w:val="24"/>
          <w:szCs w:val="24"/>
        </w:rPr>
      </w:pPr>
      <w:r>
        <w:rPr>
          <w:rFonts w:ascii="Arial" w:hAnsi="Arial" w:cs="Arial"/>
          <w:sz w:val="24"/>
          <w:szCs w:val="24"/>
        </w:rPr>
        <w:t xml:space="preserve">A secondary victim is one who suffers nervous shock but is not in the range of foreseeable physical harm (Page v Smith) in this instant it is </w:t>
      </w:r>
      <w:r w:rsidR="00E45BBE">
        <w:rPr>
          <w:rFonts w:ascii="Arial" w:hAnsi="Arial" w:cs="Arial"/>
          <w:sz w:val="24"/>
          <w:szCs w:val="24"/>
        </w:rPr>
        <w:t>O</w:t>
      </w:r>
      <w:r>
        <w:rPr>
          <w:rFonts w:ascii="Arial" w:hAnsi="Arial" w:cs="Arial"/>
          <w:sz w:val="24"/>
          <w:szCs w:val="24"/>
        </w:rPr>
        <w:t xml:space="preserve">wen. </w:t>
      </w:r>
    </w:p>
    <w:p w:rsidR="00E45BBE" w:rsidRDefault="00E45BBE" w:rsidP="00E45BBE">
      <w:pPr>
        <w:pStyle w:val="ListParagraph"/>
        <w:rPr>
          <w:rFonts w:ascii="Arial" w:hAnsi="Arial" w:cs="Arial"/>
          <w:sz w:val="24"/>
          <w:szCs w:val="24"/>
        </w:rPr>
      </w:pPr>
      <w:r>
        <w:rPr>
          <w:rFonts w:ascii="Arial" w:hAnsi="Arial" w:cs="Arial"/>
          <w:sz w:val="24"/>
          <w:szCs w:val="24"/>
        </w:rPr>
        <w:t>Chadwick v BRB (rescuers): Here the claimant was a primary victim, but there is a debate as to how he acted and what was the motive, would a reasonable person do the same?</w:t>
      </w:r>
    </w:p>
    <w:p w:rsidR="00E45BBE" w:rsidRDefault="00144B15" w:rsidP="00E45BBE">
      <w:pPr>
        <w:pStyle w:val="ListParagraph"/>
        <w:rPr>
          <w:rFonts w:ascii="Arial" w:hAnsi="Arial" w:cs="Arial"/>
          <w:sz w:val="24"/>
          <w:szCs w:val="24"/>
        </w:rPr>
      </w:pPr>
      <w:r>
        <w:rPr>
          <w:rFonts w:ascii="Arial" w:hAnsi="Arial" w:cs="Arial"/>
          <w:sz w:val="24"/>
          <w:szCs w:val="24"/>
        </w:rPr>
        <w:t>If the claimant was the primary victim then carry out the negligence test.</w:t>
      </w:r>
    </w:p>
    <w:p w:rsidR="008F49E2" w:rsidRDefault="00144B15" w:rsidP="00E45BBE">
      <w:pPr>
        <w:pStyle w:val="ListParagraph"/>
        <w:rPr>
          <w:rFonts w:ascii="Arial" w:hAnsi="Arial" w:cs="Arial"/>
          <w:sz w:val="24"/>
          <w:szCs w:val="24"/>
        </w:rPr>
      </w:pPr>
      <w:r>
        <w:rPr>
          <w:rFonts w:ascii="Arial" w:hAnsi="Arial" w:cs="Arial"/>
          <w:sz w:val="24"/>
          <w:szCs w:val="24"/>
        </w:rPr>
        <w:t xml:space="preserve">S2(b) </w:t>
      </w:r>
      <w:r w:rsidR="006B5D33">
        <w:rPr>
          <w:rFonts w:ascii="Arial" w:hAnsi="Arial" w:cs="Arial"/>
          <w:sz w:val="24"/>
          <w:szCs w:val="24"/>
        </w:rPr>
        <w:t>was the psychiatric harm foreseeable in the case the claimant was a secondary victim</w:t>
      </w:r>
      <w:r w:rsidR="00191585">
        <w:rPr>
          <w:rFonts w:ascii="Arial" w:hAnsi="Arial" w:cs="Arial"/>
          <w:sz w:val="24"/>
          <w:szCs w:val="24"/>
        </w:rPr>
        <w:t xml:space="preserve"> </w:t>
      </w:r>
      <w:r w:rsidR="006B5D33">
        <w:rPr>
          <w:rFonts w:ascii="Arial" w:hAnsi="Arial" w:cs="Arial"/>
          <w:sz w:val="24"/>
          <w:szCs w:val="24"/>
        </w:rPr>
        <w:t xml:space="preserve">and is classed as a </w:t>
      </w:r>
      <w:r w:rsidR="00191585">
        <w:rPr>
          <w:rFonts w:ascii="Arial" w:hAnsi="Arial" w:cs="Arial"/>
          <w:sz w:val="24"/>
          <w:szCs w:val="24"/>
        </w:rPr>
        <w:t>normal person</w:t>
      </w:r>
      <w:r>
        <w:rPr>
          <w:rFonts w:ascii="Arial" w:hAnsi="Arial" w:cs="Arial"/>
          <w:sz w:val="24"/>
          <w:szCs w:val="24"/>
        </w:rPr>
        <w:t xml:space="preserve">?  </w:t>
      </w:r>
    </w:p>
    <w:p w:rsidR="008F49E2" w:rsidRDefault="008F49E2" w:rsidP="008F49E2">
      <w:pPr>
        <w:pStyle w:val="ListParagraph"/>
        <w:numPr>
          <w:ilvl w:val="0"/>
          <w:numId w:val="1"/>
        </w:numPr>
        <w:rPr>
          <w:rFonts w:ascii="Arial" w:hAnsi="Arial" w:cs="Arial"/>
          <w:sz w:val="24"/>
          <w:szCs w:val="24"/>
        </w:rPr>
      </w:pPr>
      <w:r>
        <w:rPr>
          <w:rFonts w:ascii="Arial" w:hAnsi="Arial" w:cs="Arial"/>
          <w:sz w:val="24"/>
          <w:szCs w:val="24"/>
        </w:rPr>
        <w:t xml:space="preserve">Courts ask this as claimant will be compared to a person of normal mental strength </w:t>
      </w:r>
    </w:p>
    <w:p w:rsidR="00144B15" w:rsidRDefault="008F49E2" w:rsidP="008F49E2">
      <w:pPr>
        <w:pStyle w:val="ListParagraph"/>
        <w:numPr>
          <w:ilvl w:val="0"/>
          <w:numId w:val="1"/>
        </w:numPr>
        <w:rPr>
          <w:rFonts w:ascii="Arial" w:hAnsi="Arial" w:cs="Arial"/>
          <w:sz w:val="24"/>
          <w:szCs w:val="24"/>
        </w:rPr>
      </w:pPr>
      <w:r>
        <w:rPr>
          <w:rFonts w:ascii="Arial" w:hAnsi="Arial" w:cs="Arial"/>
          <w:sz w:val="24"/>
          <w:szCs w:val="24"/>
        </w:rPr>
        <w:t>They will be specifically looking at the foreseeability of psychiatric harm rather than just some harm.</w:t>
      </w:r>
      <w:r w:rsidR="00144B15">
        <w:rPr>
          <w:rFonts w:ascii="Arial" w:hAnsi="Arial" w:cs="Arial"/>
          <w:sz w:val="24"/>
          <w:szCs w:val="24"/>
        </w:rPr>
        <w:t xml:space="preserve"> </w:t>
      </w:r>
    </w:p>
    <w:p w:rsidR="008F49E2" w:rsidRDefault="008F49E2" w:rsidP="008F49E2">
      <w:pPr>
        <w:pStyle w:val="ListParagraph"/>
        <w:rPr>
          <w:rFonts w:ascii="Arial" w:hAnsi="Arial" w:cs="Arial"/>
          <w:sz w:val="24"/>
          <w:szCs w:val="24"/>
        </w:rPr>
      </w:pPr>
      <w:r>
        <w:rPr>
          <w:rFonts w:ascii="Arial" w:hAnsi="Arial" w:cs="Arial"/>
          <w:sz w:val="24"/>
          <w:szCs w:val="24"/>
        </w:rPr>
        <w:t xml:space="preserve">Proximity </w:t>
      </w:r>
    </w:p>
    <w:p w:rsidR="008F49E2" w:rsidRDefault="008F49E2" w:rsidP="008F49E2">
      <w:pPr>
        <w:pStyle w:val="ListParagraph"/>
        <w:rPr>
          <w:rFonts w:ascii="Arial" w:hAnsi="Arial" w:cs="Arial"/>
          <w:sz w:val="24"/>
          <w:szCs w:val="24"/>
        </w:rPr>
      </w:pPr>
      <w:r>
        <w:rPr>
          <w:rFonts w:ascii="Arial" w:hAnsi="Arial" w:cs="Arial"/>
          <w:sz w:val="24"/>
          <w:szCs w:val="24"/>
        </w:rPr>
        <w:t>Psychiatric harm must be foreseeable due to close ties of love and affection (Dearness)</w:t>
      </w:r>
      <w:r w:rsidR="00052000">
        <w:rPr>
          <w:rFonts w:ascii="Arial" w:hAnsi="Arial" w:cs="Arial"/>
          <w:sz w:val="24"/>
          <w:szCs w:val="24"/>
        </w:rPr>
        <w:t>.</w:t>
      </w:r>
    </w:p>
    <w:p w:rsidR="00052000" w:rsidRDefault="00052000" w:rsidP="00052000">
      <w:pPr>
        <w:pStyle w:val="ListParagraph"/>
        <w:numPr>
          <w:ilvl w:val="0"/>
          <w:numId w:val="1"/>
        </w:numPr>
        <w:rPr>
          <w:rFonts w:ascii="Arial" w:hAnsi="Arial" w:cs="Arial"/>
          <w:sz w:val="24"/>
          <w:szCs w:val="24"/>
        </w:rPr>
      </w:pPr>
      <w:proofErr w:type="spellStart"/>
      <w:r>
        <w:rPr>
          <w:rFonts w:ascii="Arial" w:hAnsi="Arial" w:cs="Arial"/>
          <w:sz w:val="24"/>
          <w:szCs w:val="24"/>
        </w:rPr>
        <w:t>Alcock</w:t>
      </w:r>
      <w:proofErr w:type="spellEnd"/>
      <w:r>
        <w:rPr>
          <w:rFonts w:ascii="Arial" w:hAnsi="Arial" w:cs="Arial"/>
          <w:sz w:val="24"/>
          <w:szCs w:val="24"/>
        </w:rPr>
        <w:t xml:space="preserve">: informs us that some people are automatically classed as having close ties, such as: parents to children and spouses, </w:t>
      </w:r>
      <w:r w:rsidR="00755B7E">
        <w:rPr>
          <w:rFonts w:ascii="Arial" w:hAnsi="Arial" w:cs="Arial"/>
          <w:sz w:val="24"/>
          <w:szCs w:val="24"/>
        </w:rPr>
        <w:t>NOT</w:t>
      </w:r>
      <w:r>
        <w:rPr>
          <w:rFonts w:ascii="Arial" w:hAnsi="Arial" w:cs="Arial"/>
          <w:sz w:val="24"/>
          <w:szCs w:val="24"/>
        </w:rPr>
        <w:t xml:space="preserve"> siblings </w:t>
      </w:r>
      <w:r w:rsidR="00755B7E">
        <w:rPr>
          <w:rFonts w:ascii="Arial" w:hAnsi="Arial" w:cs="Arial"/>
          <w:sz w:val="24"/>
          <w:szCs w:val="24"/>
        </w:rPr>
        <w:t>(Owen), based on the facts of the case.</w:t>
      </w:r>
    </w:p>
    <w:p w:rsidR="00755B7E" w:rsidRDefault="00755B7E" w:rsidP="00052000">
      <w:pPr>
        <w:pStyle w:val="ListParagraph"/>
        <w:numPr>
          <w:ilvl w:val="0"/>
          <w:numId w:val="1"/>
        </w:numPr>
        <w:rPr>
          <w:rFonts w:ascii="Arial" w:hAnsi="Arial" w:cs="Arial"/>
          <w:sz w:val="24"/>
          <w:szCs w:val="24"/>
        </w:rPr>
      </w:pPr>
      <w:r>
        <w:rPr>
          <w:rFonts w:ascii="Arial" w:hAnsi="Arial" w:cs="Arial"/>
          <w:sz w:val="24"/>
          <w:szCs w:val="24"/>
        </w:rPr>
        <w:t>McLaughlin: states that other people must prove close ties ‘not merely in relationship but care’- Owen could try to prove that he has a very close relationship with Nia in court.</w:t>
      </w:r>
    </w:p>
    <w:p w:rsidR="00755B7E" w:rsidRDefault="00755B7E" w:rsidP="00755B7E">
      <w:pPr>
        <w:pStyle w:val="ListParagraph"/>
        <w:rPr>
          <w:rFonts w:ascii="Arial" w:hAnsi="Arial" w:cs="Arial"/>
          <w:sz w:val="24"/>
          <w:szCs w:val="24"/>
        </w:rPr>
      </w:pPr>
      <w:r>
        <w:rPr>
          <w:rFonts w:ascii="Arial" w:hAnsi="Arial" w:cs="Arial"/>
          <w:sz w:val="24"/>
          <w:szCs w:val="24"/>
        </w:rPr>
        <w:t xml:space="preserve">Was the claimant present at the immediate aftermath? (Nearness) </w:t>
      </w:r>
    </w:p>
    <w:p w:rsidR="00755B7E" w:rsidRDefault="00755B7E" w:rsidP="00755B7E">
      <w:pPr>
        <w:pStyle w:val="ListParagraph"/>
        <w:numPr>
          <w:ilvl w:val="0"/>
          <w:numId w:val="1"/>
        </w:numPr>
        <w:rPr>
          <w:rFonts w:ascii="Arial" w:hAnsi="Arial" w:cs="Arial"/>
          <w:sz w:val="24"/>
          <w:szCs w:val="24"/>
        </w:rPr>
      </w:pPr>
      <w:r>
        <w:rPr>
          <w:rFonts w:ascii="Arial" w:hAnsi="Arial" w:cs="Arial"/>
          <w:sz w:val="24"/>
          <w:szCs w:val="24"/>
        </w:rPr>
        <w:t>There is no clear test as to what is meant by the immediate aftermath</w:t>
      </w:r>
      <w:r w:rsidR="00FF724B">
        <w:rPr>
          <w:rFonts w:ascii="Arial" w:hAnsi="Arial" w:cs="Arial"/>
          <w:sz w:val="24"/>
          <w:szCs w:val="24"/>
        </w:rPr>
        <w:t>, however courts may take three things into consideration and this will be applied to Owen.</w:t>
      </w:r>
    </w:p>
    <w:p w:rsidR="00FF724B" w:rsidRDefault="00FF724B" w:rsidP="00FF724B">
      <w:pPr>
        <w:pStyle w:val="ListParagraph"/>
        <w:numPr>
          <w:ilvl w:val="0"/>
          <w:numId w:val="5"/>
        </w:numPr>
        <w:ind w:left="1800"/>
        <w:rPr>
          <w:rFonts w:ascii="Arial" w:hAnsi="Arial" w:cs="Arial"/>
          <w:sz w:val="24"/>
          <w:szCs w:val="24"/>
        </w:rPr>
      </w:pPr>
      <w:r>
        <w:rPr>
          <w:rFonts w:ascii="Arial" w:hAnsi="Arial" w:cs="Arial"/>
          <w:sz w:val="24"/>
          <w:szCs w:val="24"/>
        </w:rPr>
        <w:t>Period of time between two hours (McLaughlin) and (</w:t>
      </w:r>
      <w:proofErr w:type="spellStart"/>
      <w:r>
        <w:rPr>
          <w:rFonts w:ascii="Arial" w:hAnsi="Arial" w:cs="Arial"/>
          <w:sz w:val="24"/>
          <w:szCs w:val="24"/>
        </w:rPr>
        <w:t>Alcock</w:t>
      </w:r>
      <w:proofErr w:type="spellEnd"/>
      <w:r>
        <w:rPr>
          <w:rFonts w:ascii="Arial" w:hAnsi="Arial" w:cs="Arial"/>
          <w:sz w:val="24"/>
          <w:szCs w:val="24"/>
        </w:rPr>
        <w:t>) eight hours.</w:t>
      </w:r>
    </w:p>
    <w:p w:rsidR="00FF724B" w:rsidRDefault="00FF724B" w:rsidP="00FF724B">
      <w:pPr>
        <w:pStyle w:val="ListParagraph"/>
        <w:numPr>
          <w:ilvl w:val="0"/>
          <w:numId w:val="5"/>
        </w:numPr>
        <w:ind w:left="1800"/>
        <w:rPr>
          <w:rFonts w:ascii="Arial" w:hAnsi="Arial" w:cs="Arial"/>
          <w:sz w:val="24"/>
          <w:szCs w:val="24"/>
        </w:rPr>
      </w:pPr>
      <w:r>
        <w:rPr>
          <w:rFonts w:ascii="Arial" w:hAnsi="Arial" w:cs="Arial"/>
          <w:sz w:val="24"/>
          <w:szCs w:val="24"/>
        </w:rPr>
        <w:t>Purpose of visit. Must be for identification of a body only (</w:t>
      </w:r>
      <w:proofErr w:type="spellStart"/>
      <w:r>
        <w:rPr>
          <w:rFonts w:ascii="Arial" w:hAnsi="Arial" w:cs="Arial"/>
          <w:sz w:val="24"/>
          <w:szCs w:val="24"/>
        </w:rPr>
        <w:t>Alcock</w:t>
      </w:r>
      <w:proofErr w:type="spellEnd"/>
      <w:r>
        <w:rPr>
          <w:rFonts w:ascii="Arial" w:hAnsi="Arial" w:cs="Arial"/>
          <w:sz w:val="24"/>
          <w:szCs w:val="24"/>
        </w:rPr>
        <w:t xml:space="preserve">) but it can be for caring and comforting (McLaughlin) </w:t>
      </w:r>
    </w:p>
    <w:p w:rsidR="00FF724B" w:rsidRDefault="00FF724B" w:rsidP="00FF724B">
      <w:pPr>
        <w:pStyle w:val="ListParagraph"/>
        <w:numPr>
          <w:ilvl w:val="0"/>
          <w:numId w:val="5"/>
        </w:numPr>
        <w:ind w:left="1800"/>
        <w:rPr>
          <w:rFonts w:ascii="Arial" w:hAnsi="Arial" w:cs="Arial"/>
          <w:sz w:val="24"/>
          <w:szCs w:val="24"/>
        </w:rPr>
      </w:pPr>
      <w:r>
        <w:rPr>
          <w:rFonts w:ascii="Arial" w:hAnsi="Arial" w:cs="Arial"/>
          <w:sz w:val="24"/>
          <w:szCs w:val="24"/>
        </w:rPr>
        <w:t>Presentation (Atkinson). What kind of state was the loved one in?</w:t>
      </w:r>
    </w:p>
    <w:p w:rsidR="00391D6F" w:rsidRDefault="00391D6F" w:rsidP="00391D6F">
      <w:pPr>
        <w:rPr>
          <w:rFonts w:ascii="Arial" w:hAnsi="Arial" w:cs="Arial"/>
          <w:sz w:val="24"/>
          <w:szCs w:val="24"/>
        </w:rPr>
      </w:pPr>
      <w:r>
        <w:rPr>
          <w:rFonts w:ascii="Arial" w:hAnsi="Arial" w:cs="Arial"/>
          <w:sz w:val="24"/>
          <w:szCs w:val="24"/>
        </w:rPr>
        <w:t xml:space="preserve">            Did the claimant witness the event with their own unaided sense? (Harness) </w:t>
      </w:r>
    </w:p>
    <w:p w:rsidR="00391D6F" w:rsidRDefault="00391D6F" w:rsidP="00391D6F">
      <w:pPr>
        <w:rPr>
          <w:rFonts w:ascii="Arial" w:hAnsi="Arial" w:cs="Arial"/>
          <w:sz w:val="24"/>
          <w:szCs w:val="24"/>
        </w:rPr>
      </w:pPr>
      <w:r>
        <w:rPr>
          <w:rFonts w:ascii="Arial" w:hAnsi="Arial" w:cs="Arial"/>
          <w:sz w:val="24"/>
          <w:szCs w:val="24"/>
        </w:rPr>
        <w:t xml:space="preserve">            The court requires that the shock is caused by witnessing the event first hand</w:t>
      </w:r>
    </w:p>
    <w:p w:rsidR="00391D6F" w:rsidRDefault="00391D6F" w:rsidP="00391D6F">
      <w:pPr>
        <w:rPr>
          <w:rFonts w:ascii="Arial" w:hAnsi="Arial" w:cs="Arial"/>
          <w:sz w:val="24"/>
          <w:szCs w:val="24"/>
        </w:rPr>
      </w:pPr>
      <w:r>
        <w:rPr>
          <w:rFonts w:ascii="Arial" w:hAnsi="Arial" w:cs="Arial"/>
          <w:sz w:val="24"/>
          <w:szCs w:val="24"/>
        </w:rPr>
        <w:t>Boylan v Keegan: shows that hearing things on the telephone and watching events would not account as psychiatric harm.</w:t>
      </w:r>
    </w:p>
    <w:p w:rsidR="00D43016" w:rsidRDefault="00391D6F" w:rsidP="00391D6F">
      <w:pPr>
        <w:rPr>
          <w:rFonts w:ascii="Arial" w:hAnsi="Arial" w:cs="Arial"/>
          <w:sz w:val="24"/>
          <w:szCs w:val="24"/>
        </w:rPr>
      </w:pPr>
      <w:r>
        <w:rPr>
          <w:rFonts w:ascii="Arial" w:hAnsi="Arial" w:cs="Arial"/>
          <w:sz w:val="24"/>
          <w:szCs w:val="24"/>
        </w:rPr>
        <w:lastRenderedPageBreak/>
        <w:t xml:space="preserve">If the above is proved, then it </w:t>
      </w:r>
      <w:r w:rsidR="00D43016">
        <w:rPr>
          <w:rFonts w:ascii="Arial" w:hAnsi="Arial" w:cs="Arial"/>
          <w:sz w:val="24"/>
          <w:szCs w:val="24"/>
        </w:rPr>
        <w:t>would normally</w:t>
      </w:r>
      <w:r>
        <w:rPr>
          <w:rFonts w:ascii="Arial" w:hAnsi="Arial" w:cs="Arial"/>
          <w:sz w:val="24"/>
          <w:szCs w:val="24"/>
        </w:rPr>
        <w:t xml:space="preserve"> be fair, </w:t>
      </w:r>
      <w:r w:rsidR="00D43016">
        <w:rPr>
          <w:rFonts w:ascii="Arial" w:hAnsi="Arial" w:cs="Arial"/>
          <w:sz w:val="24"/>
          <w:szCs w:val="24"/>
        </w:rPr>
        <w:t>just and reasonable to impose a duty upon the defendant.</w:t>
      </w:r>
    </w:p>
    <w:p w:rsidR="00D43016" w:rsidRDefault="00D43016" w:rsidP="00D43016">
      <w:pPr>
        <w:pStyle w:val="ListParagraph"/>
        <w:rPr>
          <w:rFonts w:ascii="Arial" w:hAnsi="Arial" w:cs="Arial"/>
          <w:sz w:val="24"/>
          <w:szCs w:val="24"/>
        </w:rPr>
      </w:pPr>
      <w:r>
        <w:rPr>
          <w:rFonts w:ascii="Arial" w:hAnsi="Arial" w:cs="Arial"/>
          <w:sz w:val="24"/>
          <w:szCs w:val="24"/>
        </w:rPr>
        <w:t>Defendant must breach their duty for that to happen.</w:t>
      </w:r>
    </w:p>
    <w:p w:rsidR="00D43016" w:rsidRDefault="00D43016" w:rsidP="00D43016">
      <w:pPr>
        <w:pStyle w:val="ListParagraph"/>
        <w:rPr>
          <w:rFonts w:ascii="Arial" w:hAnsi="Arial" w:cs="Arial"/>
          <w:sz w:val="24"/>
          <w:szCs w:val="24"/>
        </w:rPr>
      </w:pPr>
      <w:r>
        <w:rPr>
          <w:rFonts w:ascii="Arial" w:hAnsi="Arial" w:cs="Arial"/>
          <w:sz w:val="24"/>
          <w:szCs w:val="24"/>
        </w:rPr>
        <w:t>Blyth v Birmingham Waterworks: If the defendant has fallen below the standard of a reasonable man preforming the same task, there has been a breach.</w:t>
      </w:r>
    </w:p>
    <w:p w:rsidR="00D43016" w:rsidRDefault="00D43016" w:rsidP="00D43016">
      <w:pPr>
        <w:pStyle w:val="ListParagraph"/>
        <w:rPr>
          <w:rFonts w:ascii="Arial" w:hAnsi="Arial" w:cs="Arial"/>
          <w:sz w:val="24"/>
          <w:szCs w:val="24"/>
        </w:rPr>
      </w:pPr>
      <w:r>
        <w:rPr>
          <w:rFonts w:ascii="Arial" w:hAnsi="Arial" w:cs="Arial"/>
          <w:sz w:val="24"/>
          <w:szCs w:val="24"/>
        </w:rPr>
        <w:t xml:space="preserve">Risk factors </w:t>
      </w:r>
    </w:p>
    <w:p w:rsidR="00D43016" w:rsidRDefault="00D43016" w:rsidP="00D43016">
      <w:pPr>
        <w:pStyle w:val="ListParagraph"/>
        <w:numPr>
          <w:ilvl w:val="0"/>
          <w:numId w:val="1"/>
        </w:numPr>
        <w:rPr>
          <w:rFonts w:ascii="Arial" w:hAnsi="Arial" w:cs="Arial"/>
          <w:sz w:val="24"/>
          <w:szCs w:val="24"/>
        </w:rPr>
      </w:pPr>
      <w:r>
        <w:rPr>
          <w:rFonts w:ascii="Arial" w:hAnsi="Arial" w:cs="Arial"/>
          <w:sz w:val="24"/>
          <w:szCs w:val="24"/>
        </w:rPr>
        <w:t>The harm was likely as in Hailey v LEC</w:t>
      </w:r>
    </w:p>
    <w:p w:rsidR="00D43016" w:rsidRDefault="00D43016" w:rsidP="00D43016">
      <w:pPr>
        <w:pStyle w:val="ListParagraph"/>
        <w:numPr>
          <w:ilvl w:val="0"/>
          <w:numId w:val="1"/>
        </w:numPr>
        <w:rPr>
          <w:rFonts w:ascii="Arial" w:hAnsi="Arial" w:cs="Arial"/>
          <w:sz w:val="24"/>
          <w:szCs w:val="24"/>
        </w:rPr>
      </w:pPr>
      <w:r>
        <w:rPr>
          <w:rFonts w:ascii="Arial" w:hAnsi="Arial" w:cs="Arial"/>
          <w:sz w:val="24"/>
          <w:szCs w:val="24"/>
        </w:rPr>
        <w:t>The potential harm was serious as in Paris v Stepney Council</w:t>
      </w:r>
    </w:p>
    <w:p w:rsidR="00D545DA" w:rsidRDefault="00D43016" w:rsidP="00D43016">
      <w:pPr>
        <w:pStyle w:val="ListParagraph"/>
        <w:numPr>
          <w:ilvl w:val="0"/>
          <w:numId w:val="1"/>
        </w:numPr>
        <w:rPr>
          <w:rFonts w:ascii="Arial" w:hAnsi="Arial" w:cs="Arial"/>
          <w:sz w:val="24"/>
          <w:szCs w:val="24"/>
        </w:rPr>
      </w:pPr>
      <w:r>
        <w:rPr>
          <w:rFonts w:ascii="Arial" w:hAnsi="Arial" w:cs="Arial"/>
          <w:sz w:val="24"/>
          <w:szCs w:val="24"/>
        </w:rPr>
        <w:t xml:space="preserve">Defendant could have easily avoided the risk by (cost and practicality) as in </w:t>
      </w:r>
      <w:r w:rsidR="00D545DA">
        <w:rPr>
          <w:rFonts w:ascii="Arial" w:hAnsi="Arial" w:cs="Arial"/>
          <w:sz w:val="24"/>
          <w:szCs w:val="24"/>
        </w:rPr>
        <w:t>Bolton v Stone</w:t>
      </w:r>
    </w:p>
    <w:p w:rsidR="00D545DA" w:rsidRDefault="00D545DA" w:rsidP="00D43016">
      <w:pPr>
        <w:pStyle w:val="ListParagraph"/>
        <w:numPr>
          <w:ilvl w:val="0"/>
          <w:numId w:val="1"/>
        </w:numPr>
        <w:rPr>
          <w:rFonts w:ascii="Arial" w:hAnsi="Arial" w:cs="Arial"/>
          <w:sz w:val="24"/>
          <w:szCs w:val="24"/>
        </w:rPr>
      </w:pPr>
      <w:r>
        <w:rPr>
          <w:rFonts w:ascii="Arial" w:hAnsi="Arial" w:cs="Arial"/>
          <w:sz w:val="24"/>
          <w:szCs w:val="24"/>
        </w:rPr>
        <w:t xml:space="preserve">There was or was no public benefit as in Watt v Herts CC </w:t>
      </w:r>
    </w:p>
    <w:p w:rsidR="00D545DA" w:rsidRDefault="00D545DA" w:rsidP="00D545DA">
      <w:pPr>
        <w:pStyle w:val="ListParagraph"/>
        <w:rPr>
          <w:rFonts w:ascii="Arial" w:hAnsi="Arial" w:cs="Arial"/>
          <w:sz w:val="24"/>
          <w:szCs w:val="24"/>
        </w:rPr>
      </w:pPr>
      <w:r>
        <w:rPr>
          <w:rFonts w:ascii="Arial" w:hAnsi="Arial" w:cs="Arial"/>
          <w:sz w:val="24"/>
          <w:szCs w:val="24"/>
        </w:rPr>
        <w:t>That means there must be a damage as a result.</w:t>
      </w:r>
    </w:p>
    <w:p w:rsidR="00382020" w:rsidRDefault="00382020" w:rsidP="00D545DA">
      <w:pPr>
        <w:pStyle w:val="ListParagraph"/>
        <w:rPr>
          <w:rFonts w:ascii="Arial" w:hAnsi="Arial" w:cs="Arial"/>
          <w:sz w:val="24"/>
          <w:szCs w:val="24"/>
        </w:rPr>
      </w:pPr>
    </w:p>
    <w:p w:rsidR="00382020" w:rsidRDefault="00382020" w:rsidP="00D545DA">
      <w:pPr>
        <w:pStyle w:val="ListParagraph"/>
        <w:rPr>
          <w:rFonts w:ascii="Arial" w:hAnsi="Arial" w:cs="Arial"/>
          <w:sz w:val="24"/>
          <w:szCs w:val="24"/>
        </w:rPr>
      </w:pPr>
      <w:r>
        <w:rPr>
          <w:rFonts w:ascii="Arial" w:hAnsi="Arial" w:cs="Arial"/>
          <w:sz w:val="24"/>
          <w:szCs w:val="24"/>
        </w:rPr>
        <w:t>If sufficient precautions are not</w:t>
      </w:r>
      <w:r w:rsidR="00460539">
        <w:rPr>
          <w:rFonts w:ascii="Arial" w:hAnsi="Arial" w:cs="Arial"/>
          <w:sz w:val="24"/>
          <w:szCs w:val="24"/>
        </w:rPr>
        <w:t xml:space="preserve"> put</w:t>
      </w:r>
      <w:r>
        <w:rPr>
          <w:rFonts w:ascii="Arial" w:hAnsi="Arial" w:cs="Arial"/>
          <w:sz w:val="24"/>
          <w:szCs w:val="24"/>
        </w:rPr>
        <w:t xml:space="preserve"> in place</w:t>
      </w:r>
      <w:r w:rsidR="00460539">
        <w:rPr>
          <w:rFonts w:ascii="Arial" w:hAnsi="Arial" w:cs="Arial"/>
          <w:sz w:val="24"/>
          <w:szCs w:val="24"/>
        </w:rPr>
        <w:t xml:space="preserve"> by the defendant, they fail to meet the standard of care of the reasonable man. Have precaution been established? </w:t>
      </w:r>
      <w:bookmarkStart w:id="0" w:name="_GoBack"/>
      <w:bookmarkEnd w:id="0"/>
      <w:r>
        <w:rPr>
          <w:rFonts w:ascii="Arial" w:hAnsi="Arial" w:cs="Arial"/>
          <w:sz w:val="24"/>
          <w:szCs w:val="24"/>
        </w:rPr>
        <w:t xml:space="preserve"> </w:t>
      </w:r>
    </w:p>
    <w:p w:rsidR="00D545DA" w:rsidRDefault="00D545DA" w:rsidP="00D545DA">
      <w:pPr>
        <w:pStyle w:val="ListParagraph"/>
        <w:rPr>
          <w:rFonts w:ascii="Arial" w:hAnsi="Arial" w:cs="Arial"/>
          <w:sz w:val="24"/>
          <w:szCs w:val="24"/>
        </w:rPr>
      </w:pPr>
    </w:p>
    <w:p w:rsidR="00D43016" w:rsidRPr="00D43016" w:rsidRDefault="00D43016" w:rsidP="00D545DA">
      <w:pPr>
        <w:pStyle w:val="ListParagraph"/>
        <w:rPr>
          <w:rFonts w:ascii="Arial" w:hAnsi="Arial" w:cs="Arial"/>
          <w:sz w:val="24"/>
          <w:szCs w:val="24"/>
        </w:rPr>
      </w:pPr>
      <w:r>
        <w:rPr>
          <w:rFonts w:ascii="Arial" w:hAnsi="Arial" w:cs="Arial"/>
          <w:sz w:val="24"/>
          <w:szCs w:val="24"/>
        </w:rPr>
        <w:t xml:space="preserve"> </w:t>
      </w:r>
    </w:p>
    <w:p w:rsidR="00391D6F" w:rsidRPr="00D43016" w:rsidRDefault="00391D6F" w:rsidP="00D43016">
      <w:pPr>
        <w:pStyle w:val="ListParagraph"/>
        <w:rPr>
          <w:rFonts w:ascii="Arial" w:hAnsi="Arial" w:cs="Arial"/>
          <w:sz w:val="24"/>
          <w:szCs w:val="24"/>
        </w:rPr>
      </w:pPr>
      <w:r w:rsidRPr="00D43016">
        <w:rPr>
          <w:rFonts w:ascii="Arial" w:hAnsi="Arial" w:cs="Arial"/>
          <w:sz w:val="24"/>
          <w:szCs w:val="24"/>
        </w:rPr>
        <w:t xml:space="preserve"> </w:t>
      </w:r>
    </w:p>
    <w:p w:rsidR="00391D6F" w:rsidRDefault="00391D6F" w:rsidP="00391D6F">
      <w:pPr>
        <w:rPr>
          <w:rFonts w:ascii="Arial" w:hAnsi="Arial" w:cs="Arial"/>
          <w:sz w:val="24"/>
          <w:szCs w:val="24"/>
        </w:rPr>
      </w:pPr>
    </w:p>
    <w:p w:rsidR="00391D6F" w:rsidRPr="00391D6F" w:rsidRDefault="00391D6F" w:rsidP="00391D6F">
      <w:pPr>
        <w:rPr>
          <w:rFonts w:ascii="Arial" w:hAnsi="Arial" w:cs="Arial"/>
          <w:sz w:val="24"/>
          <w:szCs w:val="24"/>
        </w:rPr>
      </w:pPr>
      <w:r>
        <w:rPr>
          <w:rFonts w:ascii="Arial" w:hAnsi="Arial" w:cs="Arial"/>
          <w:sz w:val="24"/>
          <w:szCs w:val="24"/>
        </w:rPr>
        <w:t xml:space="preserve"> </w:t>
      </w:r>
    </w:p>
    <w:p w:rsidR="00D801EC" w:rsidRPr="00817DF1" w:rsidRDefault="00D801EC">
      <w:pPr>
        <w:rPr>
          <w:rFonts w:ascii="Arial" w:hAnsi="Arial" w:cs="Arial"/>
          <w:sz w:val="24"/>
          <w:szCs w:val="24"/>
        </w:rPr>
      </w:pPr>
    </w:p>
    <w:p w:rsidR="00817DF1" w:rsidRPr="00817DF1" w:rsidRDefault="00D801EC">
      <w:pPr>
        <w:rPr>
          <w:rFonts w:ascii="Arial" w:hAnsi="Arial" w:cs="Arial"/>
          <w:sz w:val="24"/>
          <w:szCs w:val="24"/>
        </w:rPr>
      </w:pPr>
      <w:r>
        <w:rPr>
          <w:rFonts w:ascii="Arial" w:hAnsi="Arial" w:cs="Arial"/>
          <w:sz w:val="24"/>
          <w:szCs w:val="24"/>
        </w:rPr>
        <w:t xml:space="preserve">  </w:t>
      </w:r>
    </w:p>
    <w:p w:rsidR="00817DF1" w:rsidRPr="00817DF1" w:rsidRDefault="00817DF1">
      <w:pPr>
        <w:rPr>
          <w:rFonts w:ascii="Arial" w:hAnsi="Arial" w:cs="Arial"/>
          <w:sz w:val="24"/>
          <w:szCs w:val="24"/>
        </w:rPr>
      </w:pPr>
    </w:p>
    <w:p w:rsidR="00817DF1" w:rsidRDefault="00817DF1">
      <w:pPr>
        <w:rPr>
          <w:rFonts w:ascii="Arial" w:hAnsi="Arial" w:cs="Arial"/>
          <w:sz w:val="24"/>
          <w:szCs w:val="24"/>
        </w:rPr>
      </w:pPr>
    </w:p>
    <w:p w:rsidR="0027306C" w:rsidRDefault="0027306C">
      <w:pPr>
        <w:rPr>
          <w:rFonts w:ascii="Arial" w:hAnsi="Arial" w:cs="Arial"/>
          <w:sz w:val="24"/>
          <w:szCs w:val="24"/>
        </w:rPr>
      </w:pPr>
    </w:p>
    <w:p w:rsidR="0027306C" w:rsidRDefault="0027306C">
      <w:pPr>
        <w:rPr>
          <w:rFonts w:ascii="Arial" w:hAnsi="Arial" w:cs="Arial"/>
          <w:sz w:val="24"/>
          <w:szCs w:val="24"/>
        </w:rPr>
      </w:pPr>
    </w:p>
    <w:p w:rsidR="0027306C" w:rsidRPr="00817DF1" w:rsidRDefault="0027306C">
      <w:pPr>
        <w:rPr>
          <w:rFonts w:ascii="Arial" w:hAnsi="Arial" w:cs="Arial"/>
          <w:sz w:val="24"/>
          <w:szCs w:val="24"/>
        </w:rPr>
      </w:pPr>
    </w:p>
    <w:p w:rsidR="00817DF1" w:rsidRPr="00817DF1" w:rsidRDefault="00817DF1">
      <w:pPr>
        <w:rPr>
          <w:rFonts w:ascii="Arial" w:hAnsi="Arial" w:cs="Arial"/>
          <w:sz w:val="24"/>
          <w:szCs w:val="24"/>
        </w:rPr>
      </w:pPr>
    </w:p>
    <w:p w:rsidR="00817DF1" w:rsidRPr="00817DF1" w:rsidRDefault="00817DF1">
      <w:pPr>
        <w:rPr>
          <w:rFonts w:ascii="Arial" w:hAnsi="Arial" w:cs="Arial"/>
          <w:sz w:val="24"/>
          <w:szCs w:val="24"/>
        </w:rPr>
      </w:pPr>
    </w:p>
    <w:p w:rsidR="00817DF1" w:rsidRPr="00817DF1" w:rsidRDefault="00817DF1">
      <w:pPr>
        <w:rPr>
          <w:rFonts w:ascii="Arial" w:hAnsi="Arial" w:cs="Arial"/>
          <w:sz w:val="24"/>
          <w:szCs w:val="24"/>
        </w:rPr>
      </w:pPr>
    </w:p>
    <w:p w:rsidR="00817DF1" w:rsidRPr="00817DF1" w:rsidRDefault="00817DF1">
      <w:pPr>
        <w:rPr>
          <w:rFonts w:ascii="Arial" w:hAnsi="Arial" w:cs="Arial"/>
          <w:sz w:val="24"/>
          <w:szCs w:val="24"/>
        </w:rPr>
      </w:pPr>
    </w:p>
    <w:p w:rsidR="00817DF1" w:rsidRDefault="00817DF1">
      <w:pPr>
        <w:rPr>
          <w:rFonts w:ascii="Arial" w:hAnsi="Arial" w:cs="Arial"/>
          <w:sz w:val="24"/>
          <w:szCs w:val="24"/>
        </w:rPr>
      </w:pPr>
    </w:p>
    <w:p w:rsidR="0027306C" w:rsidRDefault="0027306C">
      <w:pPr>
        <w:rPr>
          <w:rFonts w:ascii="Arial" w:hAnsi="Arial" w:cs="Arial"/>
          <w:sz w:val="24"/>
          <w:szCs w:val="24"/>
        </w:rPr>
      </w:pPr>
    </w:p>
    <w:p w:rsidR="0027306C" w:rsidRDefault="0027306C">
      <w:pPr>
        <w:rPr>
          <w:rFonts w:ascii="Arial" w:hAnsi="Arial" w:cs="Arial"/>
          <w:sz w:val="24"/>
          <w:szCs w:val="24"/>
        </w:rPr>
      </w:pPr>
    </w:p>
    <w:p w:rsidR="0027306C" w:rsidRDefault="0027306C">
      <w:pPr>
        <w:rPr>
          <w:rFonts w:ascii="Arial" w:hAnsi="Arial" w:cs="Arial"/>
          <w:sz w:val="24"/>
          <w:szCs w:val="24"/>
        </w:rPr>
      </w:pPr>
    </w:p>
    <w:p w:rsidR="0027306C" w:rsidRDefault="0027306C">
      <w:pPr>
        <w:rPr>
          <w:rFonts w:ascii="Arial" w:hAnsi="Arial" w:cs="Arial"/>
          <w:sz w:val="24"/>
          <w:szCs w:val="24"/>
        </w:rPr>
      </w:pPr>
    </w:p>
    <w:p w:rsidR="0027306C" w:rsidRPr="00817DF1" w:rsidRDefault="0027306C">
      <w:pPr>
        <w:rPr>
          <w:rFonts w:ascii="Arial" w:hAnsi="Arial" w:cs="Arial"/>
          <w:sz w:val="24"/>
          <w:szCs w:val="24"/>
        </w:rPr>
      </w:pPr>
    </w:p>
    <w:p w:rsidR="00817DF1" w:rsidRPr="00817DF1" w:rsidRDefault="00817DF1">
      <w:pPr>
        <w:rPr>
          <w:rFonts w:ascii="Arial" w:hAnsi="Arial" w:cs="Arial"/>
          <w:sz w:val="24"/>
          <w:szCs w:val="24"/>
        </w:rPr>
      </w:pPr>
    </w:p>
    <w:p w:rsidR="00C37E9A" w:rsidRPr="0027306C" w:rsidRDefault="00817DF1">
      <w:pPr>
        <w:rPr>
          <w:rFonts w:ascii="Arial" w:hAnsi="Arial" w:cs="Arial"/>
          <w:b/>
          <w:sz w:val="28"/>
          <w:szCs w:val="28"/>
        </w:rPr>
      </w:pPr>
      <w:r w:rsidRPr="0027306C">
        <w:rPr>
          <w:rFonts w:ascii="Arial" w:hAnsi="Arial" w:cs="Arial"/>
          <w:b/>
          <w:sz w:val="28"/>
          <w:szCs w:val="28"/>
        </w:rPr>
        <w:t>References</w:t>
      </w:r>
    </w:p>
    <w:p w:rsidR="00817DF1" w:rsidRDefault="00817DF1">
      <w:pPr>
        <w:rPr>
          <w:rStyle w:val="Hyperlink"/>
        </w:rPr>
      </w:pPr>
      <w:r w:rsidRPr="00817DF1">
        <w:rPr>
          <w:rFonts w:ascii="Arial" w:hAnsi="Arial" w:cs="Arial"/>
          <w:sz w:val="24"/>
          <w:szCs w:val="24"/>
        </w:rPr>
        <w:t xml:space="preserve"> </w:t>
      </w:r>
      <w:hyperlink r:id="rId5" w:history="1">
        <w:r w:rsidR="00C37E9A">
          <w:rPr>
            <w:rStyle w:val="Hyperlink"/>
          </w:rPr>
          <w:t xml:space="preserve">Wheat v E </w:t>
        </w:r>
        <w:proofErr w:type="spellStart"/>
        <w:r w:rsidR="00C37E9A">
          <w:rPr>
            <w:rStyle w:val="Hyperlink"/>
          </w:rPr>
          <w:t>Lacon</w:t>
        </w:r>
        <w:proofErr w:type="spellEnd"/>
        <w:r w:rsidR="00C37E9A">
          <w:rPr>
            <w:rStyle w:val="Hyperlink"/>
          </w:rPr>
          <w:t xml:space="preserve"> &amp; Co Ltd [1966] UKHL 1 (15 February 1966) (bailii.org)</w:t>
        </w:r>
      </w:hyperlink>
    </w:p>
    <w:p w:rsidR="00382020" w:rsidRDefault="00382020">
      <w:pPr>
        <w:rPr>
          <w:rFonts w:ascii="Arial" w:hAnsi="Arial" w:cs="Arial"/>
          <w:sz w:val="24"/>
          <w:szCs w:val="24"/>
        </w:rPr>
      </w:pPr>
      <w:hyperlink r:id="rId6" w:history="1">
        <w:r w:rsidRPr="00591328">
          <w:rPr>
            <w:rStyle w:val="Hyperlink"/>
            <w:rFonts w:ascii="Arial" w:hAnsi="Arial" w:cs="Arial"/>
            <w:sz w:val="24"/>
            <w:szCs w:val="24"/>
          </w:rPr>
          <w:t>www.legislation.gov.uk</w:t>
        </w:r>
      </w:hyperlink>
      <w:r>
        <w:rPr>
          <w:rFonts w:ascii="Arial" w:hAnsi="Arial" w:cs="Arial"/>
          <w:sz w:val="24"/>
          <w:szCs w:val="24"/>
        </w:rPr>
        <w:t xml:space="preserve"> </w:t>
      </w:r>
    </w:p>
    <w:p w:rsidR="00C37E9A" w:rsidRDefault="0027306C">
      <w:pPr>
        <w:rPr>
          <w:color w:val="0563C1" w:themeColor="hyperlink"/>
          <w:sz w:val="24"/>
          <w:szCs w:val="24"/>
          <w:u w:val="single"/>
        </w:rPr>
      </w:pPr>
      <w:hyperlink r:id="rId7" w:history="1">
        <w:r w:rsidRPr="0027306C">
          <w:rPr>
            <w:color w:val="0563C1" w:themeColor="hyperlink"/>
            <w:sz w:val="24"/>
            <w:szCs w:val="24"/>
            <w:u w:val="single"/>
          </w:rPr>
          <w:t>https://www.penningtonslaw.com/news-publications/latest-news/2016/bringing-group-claims-for-injuries-arising-out-of-accidents-in-public-places</w:t>
        </w:r>
      </w:hyperlink>
    </w:p>
    <w:p w:rsidR="0027306C" w:rsidRDefault="0027306C">
      <w:pPr>
        <w:rPr>
          <w:rFonts w:ascii="Arial" w:hAnsi="Arial" w:cs="Arial"/>
          <w:sz w:val="24"/>
          <w:szCs w:val="24"/>
        </w:rPr>
      </w:pPr>
      <w:hyperlink r:id="rId8" w:history="1">
        <w:r w:rsidRPr="00591328">
          <w:rPr>
            <w:rStyle w:val="Hyperlink"/>
            <w:rFonts w:ascii="Arial" w:hAnsi="Arial" w:cs="Arial"/>
            <w:sz w:val="24"/>
            <w:szCs w:val="24"/>
          </w:rPr>
          <w:t>http://www.pibriefupdate.com</w:t>
        </w:r>
      </w:hyperlink>
      <w:r>
        <w:rPr>
          <w:rFonts w:ascii="Arial" w:hAnsi="Arial" w:cs="Arial"/>
          <w:sz w:val="24"/>
          <w:szCs w:val="24"/>
        </w:rPr>
        <w:t xml:space="preserve"> </w:t>
      </w:r>
    </w:p>
    <w:p w:rsidR="0027306C" w:rsidRPr="00817DF1" w:rsidRDefault="0027306C">
      <w:pPr>
        <w:rPr>
          <w:rFonts w:ascii="Arial" w:hAnsi="Arial" w:cs="Arial"/>
          <w:sz w:val="24"/>
          <w:szCs w:val="24"/>
        </w:rPr>
      </w:pPr>
    </w:p>
    <w:sectPr w:rsidR="0027306C" w:rsidRPr="00817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201AB"/>
    <w:multiLevelType w:val="hybridMultilevel"/>
    <w:tmpl w:val="A75ADB02"/>
    <w:lvl w:ilvl="0" w:tplc="AE9867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1448EA"/>
    <w:multiLevelType w:val="hybridMultilevel"/>
    <w:tmpl w:val="F0B4E1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27D22"/>
    <w:multiLevelType w:val="hybridMultilevel"/>
    <w:tmpl w:val="E93C30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B4FD1"/>
    <w:multiLevelType w:val="hybridMultilevel"/>
    <w:tmpl w:val="2AAC6080"/>
    <w:lvl w:ilvl="0" w:tplc="C822520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E4991"/>
    <w:multiLevelType w:val="hybridMultilevel"/>
    <w:tmpl w:val="E828EE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DF1"/>
    <w:rsid w:val="0002191C"/>
    <w:rsid w:val="00052000"/>
    <w:rsid w:val="00073617"/>
    <w:rsid w:val="000A74CD"/>
    <w:rsid w:val="00100150"/>
    <w:rsid w:val="001064EC"/>
    <w:rsid w:val="00144B15"/>
    <w:rsid w:val="001635AA"/>
    <w:rsid w:val="00191585"/>
    <w:rsid w:val="001A2627"/>
    <w:rsid w:val="0021729D"/>
    <w:rsid w:val="0027306C"/>
    <w:rsid w:val="002B232E"/>
    <w:rsid w:val="00374667"/>
    <w:rsid w:val="00382020"/>
    <w:rsid w:val="00391D6F"/>
    <w:rsid w:val="00451B47"/>
    <w:rsid w:val="00460539"/>
    <w:rsid w:val="00462226"/>
    <w:rsid w:val="004E56E1"/>
    <w:rsid w:val="005479A6"/>
    <w:rsid w:val="00604286"/>
    <w:rsid w:val="00636DA0"/>
    <w:rsid w:val="006B5D33"/>
    <w:rsid w:val="006F0F87"/>
    <w:rsid w:val="00755B7E"/>
    <w:rsid w:val="00817DF1"/>
    <w:rsid w:val="008F49E2"/>
    <w:rsid w:val="00911D31"/>
    <w:rsid w:val="00947245"/>
    <w:rsid w:val="009729AB"/>
    <w:rsid w:val="009F2F64"/>
    <w:rsid w:val="00A012B4"/>
    <w:rsid w:val="00B0300D"/>
    <w:rsid w:val="00B94AFD"/>
    <w:rsid w:val="00BA226D"/>
    <w:rsid w:val="00BA7BDD"/>
    <w:rsid w:val="00C121C1"/>
    <w:rsid w:val="00C37E9A"/>
    <w:rsid w:val="00C51AB5"/>
    <w:rsid w:val="00CA4435"/>
    <w:rsid w:val="00D43016"/>
    <w:rsid w:val="00D545DA"/>
    <w:rsid w:val="00D733AC"/>
    <w:rsid w:val="00D801EC"/>
    <w:rsid w:val="00DA26F9"/>
    <w:rsid w:val="00DA428A"/>
    <w:rsid w:val="00E354F7"/>
    <w:rsid w:val="00E45BBE"/>
    <w:rsid w:val="00F05B71"/>
    <w:rsid w:val="00F91097"/>
    <w:rsid w:val="00FF7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F00AE"/>
  <w15:chartTrackingRefBased/>
  <w15:docId w15:val="{E8D89727-7E3C-457C-BD42-F02D0717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E9A"/>
    <w:rPr>
      <w:color w:val="0000FF"/>
      <w:u w:val="single"/>
    </w:rPr>
  </w:style>
  <w:style w:type="paragraph" w:styleId="ListParagraph">
    <w:name w:val="List Paragraph"/>
    <w:basedOn w:val="Normal"/>
    <w:uiPriority w:val="34"/>
    <w:qFormat/>
    <w:rsid w:val="00B94AFD"/>
    <w:pPr>
      <w:ind w:left="720"/>
      <w:contextualSpacing/>
    </w:pPr>
  </w:style>
  <w:style w:type="character" w:styleId="UnresolvedMention">
    <w:name w:val="Unresolved Mention"/>
    <w:basedOn w:val="DefaultParagraphFont"/>
    <w:uiPriority w:val="99"/>
    <w:semiHidden/>
    <w:unhideWhenUsed/>
    <w:rsid w:val="00273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briefupdate.com" TargetMode="External"/><Relationship Id="rId3" Type="http://schemas.openxmlformats.org/officeDocument/2006/relationships/settings" Target="settings.xml"/><Relationship Id="rId7" Type="http://schemas.openxmlformats.org/officeDocument/2006/relationships/hyperlink" Target="https://www.penningtonslaw.com/news-publications/latest-news/2016/bringing-group-claims-for-injuries-arising-out-of-accidents-in-public-pla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 TargetMode="External"/><Relationship Id="rId5" Type="http://schemas.openxmlformats.org/officeDocument/2006/relationships/hyperlink" Target="https://www.bailii.org/cgi-bin/format.cgi?doc=/uk/cases/UKHL/1966/1.html&amp;query=(Wheat)+AND+(v)+AND+(Lac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7</Pages>
  <Words>1979</Words>
  <Characters>11283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2022-01-07T11:11:00Z</dcterms:created>
  <dcterms:modified xsi:type="dcterms:W3CDTF">2022-01-07T23:30:00Z</dcterms:modified>
</cp:coreProperties>
</file>