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CF7" w:rsidRPr="009F3D3F" w:rsidRDefault="00E54E11" w:rsidP="009F3D3F">
      <w:pPr>
        <w:pStyle w:val="Quote"/>
        <w:spacing w:line="480" w:lineRule="auto"/>
        <w:rPr>
          <w:rFonts w:ascii="Arial" w:hAnsi="Arial" w:cs="Arial"/>
          <w:i w:val="0"/>
          <w:sz w:val="24"/>
          <w:szCs w:val="24"/>
          <w:u w:val="single"/>
        </w:rPr>
      </w:pPr>
      <w:r w:rsidRPr="009F3D3F">
        <w:rPr>
          <w:rFonts w:ascii="Arial" w:hAnsi="Arial" w:cs="Arial"/>
          <w:i w:val="0"/>
          <w:sz w:val="24"/>
          <w:szCs w:val="24"/>
          <w:u w:val="single"/>
        </w:rPr>
        <w:t>Assignment1</w:t>
      </w:r>
      <w:r w:rsidR="00346CF7" w:rsidRPr="009F3D3F">
        <w:rPr>
          <w:rFonts w:ascii="Arial" w:hAnsi="Arial" w:cs="Arial"/>
          <w:i w:val="0"/>
          <w:sz w:val="24"/>
          <w:szCs w:val="24"/>
          <w:u w:val="single"/>
        </w:rPr>
        <w:t xml:space="preserve">3 - </w:t>
      </w:r>
      <w:r w:rsidR="004323E7" w:rsidRPr="009F3D3F">
        <w:rPr>
          <w:rFonts w:ascii="Arial" w:hAnsi="Arial" w:cs="Arial"/>
          <w:i w:val="0"/>
          <w:sz w:val="24"/>
          <w:szCs w:val="24"/>
          <w:u w:val="single"/>
        </w:rPr>
        <w:t>Critically explore the social reproduction of inequality associated with Meritocracy and Social Mobility</w:t>
      </w:r>
      <w:r w:rsidR="00006148">
        <w:rPr>
          <w:rFonts w:ascii="Arial" w:hAnsi="Arial" w:cs="Arial"/>
          <w:i w:val="0"/>
          <w:sz w:val="24"/>
          <w:szCs w:val="24"/>
          <w:u w:val="single"/>
        </w:rPr>
        <w:t xml:space="preserve"> </w:t>
      </w:r>
    </w:p>
    <w:p w:rsidR="00655B06" w:rsidRPr="009F3D3F" w:rsidRDefault="00A87987" w:rsidP="009F3D3F">
      <w:pPr>
        <w:spacing w:line="480" w:lineRule="auto"/>
        <w:jc w:val="both"/>
        <w:rPr>
          <w:rFonts w:ascii="Arial" w:hAnsi="Arial" w:cs="Arial"/>
          <w:sz w:val="24"/>
          <w:szCs w:val="24"/>
        </w:rPr>
      </w:pPr>
      <w:r w:rsidRPr="009F3D3F">
        <w:rPr>
          <w:rFonts w:ascii="Arial" w:hAnsi="Arial" w:cs="Arial"/>
          <w:sz w:val="24"/>
          <w:szCs w:val="24"/>
        </w:rPr>
        <w:t>Inequality can be reproduce</w:t>
      </w:r>
      <w:r w:rsidR="00170B61" w:rsidRPr="009F3D3F">
        <w:rPr>
          <w:rFonts w:ascii="Arial" w:hAnsi="Arial" w:cs="Arial"/>
          <w:sz w:val="24"/>
          <w:szCs w:val="24"/>
        </w:rPr>
        <w:t xml:space="preserve"> in different societies but for this specific</w:t>
      </w:r>
      <w:r w:rsidRPr="009F3D3F">
        <w:rPr>
          <w:rFonts w:ascii="Arial" w:hAnsi="Arial" w:cs="Arial"/>
          <w:sz w:val="24"/>
          <w:szCs w:val="24"/>
        </w:rPr>
        <w:t xml:space="preserve"> piece of work </w:t>
      </w:r>
      <w:r w:rsidR="00170B61" w:rsidRPr="009F3D3F">
        <w:rPr>
          <w:rFonts w:ascii="Arial" w:hAnsi="Arial" w:cs="Arial"/>
          <w:sz w:val="24"/>
          <w:szCs w:val="24"/>
        </w:rPr>
        <w:t>the author will be focusing</w:t>
      </w:r>
      <w:r w:rsidRPr="009F3D3F">
        <w:rPr>
          <w:rFonts w:ascii="Arial" w:hAnsi="Arial" w:cs="Arial"/>
          <w:sz w:val="24"/>
          <w:szCs w:val="24"/>
        </w:rPr>
        <w:t xml:space="preserve"> on vulnerable young people, looking </w:t>
      </w:r>
      <w:bookmarkStart w:id="0" w:name="_GoBack"/>
      <w:bookmarkEnd w:id="0"/>
      <w:r w:rsidRPr="009F3D3F">
        <w:rPr>
          <w:rFonts w:ascii="Arial" w:hAnsi="Arial" w:cs="Arial"/>
          <w:sz w:val="24"/>
          <w:szCs w:val="24"/>
        </w:rPr>
        <w:t>closely at young people who are care experienced, those suffering from mental health</w:t>
      </w:r>
      <w:r w:rsidR="00170B61" w:rsidRPr="009F3D3F">
        <w:rPr>
          <w:rFonts w:ascii="Arial" w:hAnsi="Arial" w:cs="Arial"/>
          <w:sz w:val="24"/>
          <w:szCs w:val="24"/>
        </w:rPr>
        <w:t xml:space="preserve"> difficulties</w:t>
      </w:r>
      <w:r w:rsidRPr="009F3D3F">
        <w:rPr>
          <w:rFonts w:ascii="Arial" w:hAnsi="Arial" w:cs="Arial"/>
          <w:sz w:val="24"/>
          <w:szCs w:val="24"/>
        </w:rPr>
        <w:t xml:space="preserve"> and young people who are currently not in education training or employment (NEET).</w:t>
      </w:r>
      <w:r w:rsidR="00CF1971" w:rsidRPr="009F3D3F">
        <w:rPr>
          <w:rFonts w:ascii="Arial" w:hAnsi="Arial" w:cs="Arial"/>
          <w:sz w:val="24"/>
          <w:szCs w:val="24"/>
        </w:rPr>
        <w:t xml:space="preserve"> T</w:t>
      </w:r>
      <w:r w:rsidR="00191882" w:rsidRPr="009F3D3F">
        <w:rPr>
          <w:rFonts w:ascii="Arial" w:hAnsi="Arial" w:cs="Arial"/>
          <w:sz w:val="24"/>
          <w:szCs w:val="24"/>
        </w:rPr>
        <w:t>he writer is a youth work</w:t>
      </w:r>
      <w:r w:rsidR="00170B61" w:rsidRPr="009F3D3F">
        <w:rPr>
          <w:rFonts w:ascii="Arial" w:hAnsi="Arial" w:cs="Arial"/>
          <w:sz w:val="24"/>
          <w:szCs w:val="24"/>
        </w:rPr>
        <w:t>er</w:t>
      </w:r>
      <w:r w:rsidR="00191882" w:rsidRPr="009F3D3F">
        <w:rPr>
          <w:rFonts w:ascii="Arial" w:hAnsi="Arial" w:cs="Arial"/>
          <w:sz w:val="24"/>
          <w:szCs w:val="24"/>
        </w:rPr>
        <w:t xml:space="preserve"> who focuses their work with sixteen to twenty five year old young people who need support overcoming barriers preventing them from going into education, employment and training</w:t>
      </w:r>
      <w:r w:rsidR="00BE2068" w:rsidRPr="009F3D3F">
        <w:rPr>
          <w:rFonts w:ascii="Arial" w:hAnsi="Arial" w:cs="Arial"/>
          <w:sz w:val="24"/>
          <w:szCs w:val="24"/>
        </w:rPr>
        <w:t xml:space="preserve"> (ETE)</w:t>
      </w:r>
      <w:r w:rsidR="00191882" w:rsidRPr="009F3D3F">
        <w:rPr>
          <w:rFonts w:ascii="Arial" w:hAnsi="Arial" w:cs="Arial"/>
          <w:sz w:val="24"/>
          <w:szCs w:val="24"/>
        </w:rPr>
        <w:t xml:space="preserve">. </w:t>
      </w:r>
      <w:r w:rsidR="00D3487A" w:rsidRPr="009F3D3F">
        <w:rPr>
          <w:rFonts w:ascii="Arial" w:hAnsi="Arial" w:cs="Arial"/>
          <w:sz w:val="24"/>
          <w:szCs w:val="24"/>
        </w:rPr>
        <w:t xml:space="preserve">In a recent </w:t>
      </w:r>
      <w:r w:rsidR="00BE2068" w:rsidRPr="009F3D3F">
        <w:rPr>
          <w:rFonts w:ascii="Arial" w:hAnsi="Arial" w:cs="Arial"/>
          <w:sz w:val="24"/>
          <w:szCs w:val="24"/>
        </w:rPr>
        <w:t>report,</w:t>
      </w:r>
      <w:r w:rsidR="00D3487A" w:rsidRPr="009F3D3F">
        <w:rPr>
          <w:rFonts w:ascii="Arial" w:hAnsi="Arial" w:cs="Arial"/>
          <w:sz w:val="24"/>
          <w:szCs w:val="24"/>
        </w:rPr>
        <w:t xml:space="preserve"> it was found that </w:t>
      </w:r>
      <w:r w:rsidR="00170B61" w:rsidRPr="009F3D3F">
        <w:rPr>
          <w:rFonts w:ascii="Arial" w:hAnsi="Arial" w:cs="Arial"/>
          <w:sz w:val="24"/>
          <w:szCs w:val="24"/>
        </w:rPr>
        <w:t>728,000</w:t>
      </w:r>
      <w:r w:rsidR="00D3487A" w:rsidRPr="009F3D3F">
        <w:rPr>
          <w:rFonts w:ascii="Arial" w:hAnsi="Arial" w:cs="Arial"/>
          <w:sz w:val="24"/>
          <w:szCs w:val="24"/>
        </w:rPr>
        <w:t xml:space="preserve"> young people between the ages sixteen and </w:t>
      </w:r>
      <w:r w:rsidR="000174F4" w:rsidRPr="009F3D3F">
        <w:rPr>
          <w:rFonts w:ascii="Arial" w:hAnsi="Arial" w:cs="Arial"/>
          <w:sz w:val="24"/>
          <w:szCs w:val="24"/>
        </w:rPr>
        <w:t>twenty-four</w:t>
      </w:r>
      <w:r w:rsidR="00D3487A" w:rsidRPr="009F3D3F">
        <w:rPr>
          <w:rFonts w:ascii="Arial" w:hAnsi="Arial" w:cs="Arial"/>
          <w:sz w:val="24"/>
          <w:szCs w:val="24"/>
        </w:rPr>
        <w:t xml:space="preserve"> were NEET in January to March 2021, which is reported as lower than the previous years (Powell, 2021). However, it can be </w:t>
      </w:r>
      <w:r w:rsidR="00170B61" w:rsidRPr="009F3D3F">
        <w:rPr>
          <w:rFonts w:ascii="Arial" w:hAnsi="Arial" w:cs="Arial"/>
          <w:sz w:val="24"/>
          <w:szCs w:val="24"/>
        </w:rPr>
        <w:t>argued that although the</w:t>
      </w:r>
      <w:r w:rsidR="00D3487A" w:rsidRPr="009F3D3F">
        <w:rPr>
          <w:rFonts w:ascii="Arial" w:hAnsi="Arial" w:cs="Arial"/>
          <w:sz w:val="24"/>
          <w:szCs w:val="24"/>
        </w:rPr>
        <w:t>r</w:t>
      </w:r>
      <w:r w:rsidR="00170B61" w:rsidRPr="009F3D3F">
        <w:rPr>
          <w:rFonts w:ascii="Arial" w:hAnsi="Arial" w:cs="Arial"/>
          <w:sz w:val="24"/>
          <w:szCs w:val="24"/>
        </w:rPr>
        <w:t>e</w:t>
      </w:r>
      <w:r w:rsidR="00D3487A" w:rsidRPr="009F3D3F">
        <w:rPr>
          <w:rFonts w:ascii="Arial" w:hAnsi="Arial" w:cs="Arial"/>
          <w:sz w:val="24"/>
          <w:szCs w:val="24"/>
        </w:rPr>
        <w:t xml:space="preserve"> has been a decrease </w:t>
      </w:r>
      <w:r w:rsidR="00170B61" w:rsidRPr="009F3D3F">
        <w:rPr>
          <w:rFonts w:ascii="Arial" w:hAnsi="Arial" w:cs="Arial"/>
          <w:sz w:val="24"/>
          <w:szCs w:val="24"/>
        </w:rPr>
        <w:t xml:space="preserve">in </w:t>
      </w:r>
      <w:r w:rsidR="00D3487A" w:rsidRPr="009F3D3F">
        <w:rPr>
          <w:rFonts w:ascii="Arial" w:hAnsi="Arial" w:cs="Arial"/>
          <w:sz w:val="24"/>
          <w:szCs w:val="24"/>
        </w:rPr>
        <w:t xml:space="preserve">the number </w:t>
      </w:r>
      <w:r w:rsidR="00170B61" w:rsidRPr="009F3D3F">
        <w:rPr>
          <w:rFonts w:ascii="Arial" w:hAnsi="Arial" w:cs="Arial"/>
          <w:sz w:val="24"/>
          <w:szCs w:val="24"/>
        </w:rPr>
        <w:t xml:space="preserve">of NEET young people </w:t>
      </w:r>
      <w:r w:rsidR="000527C9" w:rsidRPr="009F3D3F">
        <w:rPr>
          <w:rFonts w:ascii="Arial" w:hAnsi="Arial" w:cs="Arial"/>
          <w:sz w:val="24"/>
          <w:szCs w:val="24"/>
        </w:rPr>
        <w:t xml:space="preserve">is still an area that requires a lot of focus amongst young people services. </w:t>
      </w:r>
      <w:r w:rsidR="006255A6" w:rsidRPr="009F3D3F">
        <w:rPr>
          <w:rFonts w:ascii="Arial" w:hAnsi="Arial" w:cs="Arial"/>
          <w:sz w:val="24"/>
          <w:szCs w:val="24"/>
        </w:rPr>
        <w:t>As Stewart, Anwuzia and Rajaprakasam (</w:t>
      </w:r>
      <w:r w:rsidR="00BE2068" w:rsidRPr="009F3D3F">
        <w:rPr>
          <w:rFonts w:ascii="Arial" w:hAnsi="Arial" w:cs="Arial"/>
          <w:sz w:val="24"/>
          <w:szCs w:val="24"/>
        </w:rPr>
        <w:t>2022</w:t>
      </w:r>
      <w:r w:rsidR="006255A6" w:rsidRPr="009F3D3F">
        <w:rPr>
          <w:rFonts w:ascii="Arial" w:hAnsi="Arial" w:cs="Arial"/>
          <w:sz w:val="24"/>
          <w:szCs w:val="24"/>
        </w:rPr>
        <w:t xml:space="preserve">) states those young people who are classed at NEET can struggle with a wide range of barriers preventing them for accessing education and employment providers and there are targeted interventions set out for this specific group of young people. These barriers can vary from education attainment to personal health and well-being. </w:t>
      </w:r>
    </w:p>
    <w:p w:rsidR="00BE2068" w:rsidRPr="009F3D3F" w:rsidRDefault="00BE2068" w:rsidP="009F3D3F">
      <w:pPr>
        <w:spacing w:line="480" w:lineRule="auto"/>
        <w:jc w:val="both"/>
        <w:rPr>
          <w:rFonts w:ascii="Arial" w:hAnsi="Arial" w:cs="Arial"/>
          <w:sz w:val="24"/>
          <w:szCs w:val="24"/>
        </w:rPr>
      </w:pPr>
      <w:r w:rsidRPr="009F3D3F">
        <w:rPr>
          <w:rFonts w:ascii="Arial" w:hAnsi="Arial" w:cs="Arial"/>
          <w:sz w:val="24"/>
          <w:szCs w:val="24"/>
        </w:rPr>
        <w:t xml:space="preserve">Identifying and breaking down young people’s barriers </w:t>
      </w:r>
      <w:r w:rsidR="00374E74" w:rsidRPr="009F3D3F">
        <w:rPr>
          <w:rFonts w:ascii="Arial" w:hAnsi="Arial" w:cs="Arial"/>
          <w:sz w:val="24"/>
          <w:szCs w:val="24"/>
        </w:rPr>
        <w:t xml:space="preserve">that are preventing them from going into </w:t>
      </w:r>
      <w:r w:rsidRPr="009F3D3F">
        <w:rPr>
          <w:rFonts w:ascii="Arial" w:hAnsi="Arial" w:cs="Arial"/>
          <w:sz w:val="24"/>
          <w:szCs w:val="24"/>
        </w:rPr>
        <w:t>ETE will</w:t>
      </w:r>
      <w:r w:rsidR="00374E74" w:rsidRPr="009F3D3F">
        <w:rPr>
          <w:rFonts w:ascii="Arial" w:hAnsi="Arial" w:cs="Arial"/>
          <w:sz w:val="24"/>
          <w:szCs w:val="24"/>
        </w:rPr>
        <w:t xml:space="preserve"> later</w:t>
      </w:r>
      <w:r w:rsidRPr="009F3D3F">
        <w:rPr>
          <w:rFonts w:ascii="Arial" w:hAnsi="Arial" w:cs="Arial"/>
          <w:sz w:val="24"/>
          <w:szCs w:val="24"/>
        </w:rPr>
        <w:t xml:space="preserve"> reduce the number of young people who are NEET. </w:t>
      </w:r>
      <w:r w:rsidR="00E3046E" w:rsidRPr="009F3D3F">
        <w:rPr>
          <w:rFonts w:ascii="Arial" w:hAnsi="Arial" w:cs="Arial"/>
          <w:sz w:val="24"/>
          <w:szCs w:val="24"/>
        </w:rPr>
        <w:t>Wareing (2022) recognises this as he</w:t>
      </w:r>
      <w:r w:rsidR="00CF1DE4" w:rsidRPr="009F3D3F">
        <w:rPr>
          <w:rFonts w:ascii="Arial" w:hAnsi="Arial" w:cs="Arial"/>
          <w:sz w:val="24"/>
          <w:szCs w:val="24"/>
        </w:rPr>
        <w:t xml:space="preserve"> has </w:t>
      </w:r>
      <w:r w:rsidR="008940C8" w:rsidRPr="009F3D3F">
        <w:rPr>
          <w:rFonts w:ascii="Arial" w:hAnsi="Arial" w:cs="Arial"/>
          <w:sz w:val="24"/>
          <w:szCs w:val="24"/>
        </w:rPr>
        <w:t>stated</w:t>
      </w:r>
      <w:r w:rsidR="00CF1DE4" w:rsidRPr="009F3D3F">
        <w:rPr>
          <w:rFonts w:ascii="Arial" w:hAnsi="Arial" w:cs="Arial"/>
          <w:sz w:val="24"/>
          <w:szCs w:val="24"/>
        </w:rPr>
        <w:t xml:space="preserve"> </w:t>
      </w:r>
      <w:r w:rsidR="008940C8" w:rsidRPr="009F3D3F">
        <w:rPr>
          <w:rFonts w:ascii="Arial" w:hAnsi="Arial" w:cs="Arial"/>
          <w:sz w:val="24"/>
          <w:szCs w:val="24"/>
        </w:rPr>
        <w:t xml:space="preserve">that there are interventions and targeted provisions that aim to break down barriers for young people and reducing those numbers of NEET young people. </w:t>
      </w:r>
      <w:r w:rsidR="005C5DDC" w:rsidRPr="009F3D3F">
        <w:rPr>
          <w:rFonts w:ascii="Arial" w:hAnsi="Arial" w:cs="Arial"/>
          <w:sz w:val="24"/>
          <w:szCs w:val="24"/>
        </w:rPr>
        <w:tab/>
        <w:t xml:space="preserve">Many young people can experience difficulties completing general everyday tasks that can later develop into barriers when </w:t>
      </w:r>
      <w:r w:rsidR="005C5DDC" w:rsidRPr="009F3D3F">
        <w:rPr>
          <w:rFonts w:ascii="Arial" w:hAnsi="Arial" w:cs="Arial"/>
          <w:sz w:val="24"/>
          <w:szCs w:val="24"/>
        </w:rPr>
        <w:lastRenderedPageBreak/>
        <w:t>transitioning into adulthood. Several journal articles have been written that identify that the transitioning into adulthood can be difficult, especially specific groups of young people. Within an article by</w:t>
      </w:r>
      <w:r w:rsidR="00A04140" w:rsidRPr="009F3D3F">
        <w:rPr>
          <w:rFonts w:ascii="Arial" w:hAnsi="Arial" w:cs="Arial"/>
          <w:sz w:val="24"/>
          <w:szCs w:val="24"/>
        </w:rPr>
        <w:t xml:space="preserve"> Jivanjee, Kruzich, Gordan </w:t>
      </w:r>
      <w:r w:rsidR="005C5DDC" w:rsidRPr="009F3D3F">
        <w:rPr>
          <w:rFonts w:ascii="Arial" w:hAnsi="Arial" w:cs="Arial"/>
          <w:sz w:val="24"/>
          <w:szCs w:val="24"/>
        </w:rPr>
        <w:t>(</w:t>
      </w:r>
      <w:r w:rsidR="00A04140" w:rsidRPr="009F3D3F">
        <w:rPr>
          <w:rFonts w:ascii="Arial" w:hAnsi="Arial" w:cs="Arial"/>
          <w:sz w:val="24"/>
          <w:szCs w:val="24"/>
        </w:rPr>
        <w:t>2009</w:t>
      </w:r>
      <w:r w:rsidR="005C5DDC" w:rsidRPr="009F3D3F">
        <w:rPr>
          <w:rFonts w:ascii="Arial" w:hAnsi="Arial" w:cs="Arial"/>
          <w:sz w:val="24"/>
          <w:szCs w:val="24"/>
        </w:rPr>
        <w:t xml:space="preserve">) </w:t>
      </w:r>
      <w:r w:rsidR="00AC36F0" w:rsidRPr="009F3D3F">
        <w:rPr>
          <w:rFonts w:ascii="Arial" w:hAnsi="Arial" w:cs="Arial"/>
          <w:sz w:val="24"/>
          <w:szCs w:val="24"/>
        </w:rPr>
        <w:t xml:space="preserve">they have stated that for young people aged sixteen to </w:t>
      </w:r>
      <w:r w:rsidR="000174F4" w:rsidRPr="009F3D3F">
        <w:rPr>
          <w:rFonts w:ascii="Arial" w:hAnsi="Arial" w:cs="Arial"/>
          <w:sz w:val="24"/>
          <w:szCs w:val="24"/>
        </w:rPr>
        <w:t>twenty-five</w:t>
      </w:r>
      <w:r w:rsidR="00AC36F0" w:rsidRPr="009F3D3F">
        <w:rPr>
          <w:rFonts w:ascii="Arial" w:hAnsi="Arial" w:cs="Arial"/>
          <w:sz w:val="24"/>
          <w:szCs w:val="24"/>
        </w:rPr>
        <w:t xml:space="preserve"> the transition to adulthood can be deemed as challenging due to the number of changes they will experience. However, they recognises that this transition for young people experience mental health difficulties is deemed as more difficult for that young person and their support network. </w:t>
      </w:r>
      <w:r w:rsidR="00E41ADD" w:rsidRPr="009F3D3F">
        <w:rPr>
          <w:rFonts w:ascii="Arial" w:hAnsi="Arial" w:cs="Arial"/>
          <w:sz w:val="24"/>
          <w:szCs w:val="24"/>
        </w:rPr>
        <w:t xml:space="preserve">Therefore, this agrees that mental health is not only a barrier for transitioning into adulthood </w:t>
      </w:r>
      <w:r w:rsidR="000174F4" w:rsidRPr="009F3D3F">
        <w:rPr>
          <w:rFonts w:ascii="Arial" w:hAnsi="Arial" w:cs="Arial"/>
          <w:sz w:val="24"/>
          <w:szCs w:val="24"/>
        </w:rPr>
        <w:t>but also</w:t>
      </w:r>
      <w:r w:rsidR="00E41ADD" w:rsidRPr="009F3D3F">
        <w:rPr>
          <w:rFonts w:ascii="Arial" w:hAnsi="Arial" w:cs="Arial"/>
          <w:sz w:val="24"/>
          <w:szCs w:val="24"/>
        </w:rPr>
        <w:t xml:space="preserve"> </w:t>
      </w:r>
      <w:r w:rsidR="000174F4" w:rsidRPr="009F3D3F">
        <w:rPr>
          <w:rFonts w:ascii="Arial" w:hAnsi="Arial" w:cs="Arial"/>
          <w:sz w:val="24"/>
          <w:szCs w:val="24"/>
        </w:rPr>
        <w:t>an</w:t>
      </w:r>
      <w:r w:rsidR="00E41ADD" w:rsidRPr="009F3D3F">
        <w:rPr>
          <w:rFonts w:ascii="Arial" w:hAnsi="Arial" w:cs="Arial"/>
          <w:sz w:val="24"/>
          <w:szCs w:val="24"/>
        </w:rPr>
        <w:t xml:space="preserve"> ETE barrier for young people. An</w:t>
      </w:r>
      <w:r w:rsidR="00CA1C21" w:rsidRPr="009F3D3F">
        <w:rPr>
          <w:rFonts w:ascii="Arial" w:hAnsi="Arial" w:cs="Arial"/>
          <w:sz w:val="24"/>
          <w:szCs w:val="24"/>
        </w:rPr>
        <w:t xml:space="preserve"> article by Sulimani-Aidan </w:t>
      </w:r>
      <w:r w:rsidR="00633878" w:rsidRPr="009F3D3F">
        <w:rPr>
          <w:rFonts w:ascii="Arial" w:hAnsi="Arial" w:cs="Arial"/>
          <w:sz w:val="24"/>
          <w:szCs w:val="24"/>
        </w:rPr>
        <w:t>(</w:t>
      </w:r>
      <w:r w:rsidR="00CA1C21" w:rsidRPr="009F3D3F">
        <w:rPr>
          <w:rFonts w:ascii="Arial" w:hAnsi="Arial" w:cs="Arial"/>
          <w:sz w:val="24"/>
          <w:szCs w:val="24"/>
        </w:rPr>
        <w:t>2017</w:t>
      </w:r>
      <w:r w:rsidR="00633878" w:rsidRPr="009F3D3F">
        <w:rPr>
          <w:rFonts w:ascii="Arial" w:hAnsi="Arial" w:cs="Arial"/>
          <w:sz w:val="24"/>
          <w:szCs w:val="24"/>
        </w:rPr>
        <w:t xml:space="preserve">) also has an understanding that there are barriers that young people are facing that is </w:t>
      </w:r>
      <w:r w:rsidR="0087376F" w:rsidRPr="009F3D3F">
        <w:rPr>
          <w:rFonts w:ascii="Arial" w:hAnsi="Arial" w:cs="Arial"/>
          <w:sz w:val="24"/>
          <w:szCs w:val="24"/>
        </w:rPr>
        <w:t xml:space="preserve">having an effect on aspects of adult life. </w:t>
      </w:r>
      <w:r w:rsidR="00CA1C21" w:rsidRPr="009F3D3F">
        <w:rPr>
          <w:rFonts w:ascii="Arial" w:hAnsi="Arial" w:cs="Arial"/>
          <w:sz w:val="24"/>
          <w:szCs w:val="24"/>
        </w:rPr>
        <w:t xml:space="preserve">Sulimani-Aidan </w:t>
      </w:r>
      <w:r w:rsidR="0087376F" w:rsidRPr="009F3D3F">
        <w:rPr>
          <w:rFonts w:ascii="Arial" w:hAnsi="Arial" w:cs="Arial"/>
          <w:sz w:val="24"/>
          <w:szCs w:val="24"/>
        </w:rPr>
        <w:t>(</w:t>
      </w:r>
      <w:r w:rsidR="00CA1C21" w:rsidRPr="009F3D3F">
        <w:rPr>
          <w:rFonts w:ascii="Arial" w:hAnsi="Arial" w:cs="Arial"/>
          <w:sz w:val="24"/>
          <w:szCs w:val="24"/>
        </w:rPr>
        <w:t>2017</w:t>
      </w:r>
      <w:r w:rsidR="0087376F" w:rsidRPr="009F3D3F">
        <w:rPr>
          <w:rFonts w:ascii="Arial" w:hAnsi="Arial" w:cs="Arial"/>
          <w:sz w:val="24"/>
          <w:szCs w:val="24"/>
        </w:rPr>
        <w:t>) identifies that ‘at risk young people’ will</w:t>
      </w:r>
      <w:r w:rsidR="00AD522C" w:rsidRPr="009F3D3F">
        <w:rPr>
          <w:rFonts w:ascii="Arial" w:hAnsi="Arial" w:cs="Arial"/>
          <w:sz w:val="24"/>
          <w:szCs w:val="24"/>
        </w:rPr>
        <w:t xml:space="preserve"> also face additional challenges due to their underlining adverse childhood experiences. </w:t>
      </w:r>
      <w:r w:rsidR="00CA1C21" w:rsidRPr="009F3D3F">
        <w:rPr>
          <w:rFonts w:ascii="Arial" w:hAnsi="Arial" w:cs="Arial"/>
          <w:sz w:val="24"/>
          <w:szCs w:val="24"/>
        </w:rPr>
        <w:t xml:space="preserve">This would involve young people with care experiences. Within the Youth Work in Wales: Principles and Purposes </w:t>
      </w:r>
      <w:r w:rsidR="00CA1C21" w:rsidRPr="009B1790">
        <w:rPr>
          <w:rFonts w:ascii="Arial" w:hAnsi="Arial" w:cs="Arial"/>
          <w:sz w:val="24"/>
          <w:szCs w:val="24"/>
        </w:rPr>
        <w:t>(CWVYS, 2022)</w:t>
      </w:r>
      <w:r w:rsidR="00CA1C21" w:rsidRPr="009F3D3F">
        <w:rPr>
          <w:rFonts w:ascii="Arial" w:hAnsi="Arial" w:cs="Arial"/>
          <w:sz w:val="24"/>
          <w:szCs w:val="24"/>
        </w:rPr>
        <w:t xml:space="preserve"> it defines what youth work is and its principles and purposes is, it also states the five pillars to youth work. ‘Youth work has a value base which is grounded in respect for young people and in principle of inclusion and equal opportunity’ (CWVYS, 2022</w:t>
      </w:r>
      <w:r w:rsidR="00B47B70" w:rsidRPr="009F3D3F">
        <w:rPr>
          <w:rFonts w:ascii="Arial" w:hAnsi="Arial" w:cs="Arial"/>
          <w:sz w:val="24"/>
          <w:szCs w:val="24"/>
        </w:rPr>
        <w:t>, P.8</w:t>
      </w:r>
      <w:r w:rsidR="00CA1C21" w:rsidRPr="009F3D3F">
        <w:rPr>
          <w:rFonts w:ascii="Arial" w:hAnsi="Arial" w:cs="Arial"/>
          <w:sz w:val="24"/>
          <w:szCs w:val="24"/>
        </w:rPr>
        <w:t xml:space="preserve">). Therefore, the five pillars of youth work stated in the principles booklet are educative, expressive, participative, inclusive and empowering. A common similarity between </w:t>
      </w:r>
      <w:r w:rsidR="00B47B70" w:rsidRPr="009F3D3F">
        <w:rPr>
          <w:rFonts w:ascii="Arial" w:hAnsi="Arial" w:cs="Arial"/>
          <w:sz w:val="24"/>
          <w:szCs w:val="24"/>
        </w:rPr>
        <w:t>literatures</w:t>
      </w:r>
      <w:r w:rsidR="00CA1C21" w:rsidRPr="009F3D3F">
        <w:rPr>
          <w:rFonts w:ascii="Arial" w:hAnsi="Arial" w:cs="Arial"/>
          <w:sz w:val="24"/>
          <w:szCs w:val="24"/>
        </w:rPr>
        <w:t xml:space="preserve"> around barriers facing young people is the emphasis on support services available for young people. (ADD BACKING QUOTES). Youth work</w:t>
      </w:r>
      <w:r w:rsidR="00B47B70" w:rsidRPr="009F3D3F">
        <w:rPr>
          <w:rFonts w:ascii="Arial" w:hAnsi="Arial" w:cs="Arial"/>
          <w:sz w:val="24"/>
          <w:szCs w:val="24"/>
        </w:rPr>
        <w:t xml:space="preserve"> can be argued as a valued support netw</w:t>
      </w:r>
      <w:r w:rsidR="000174F4">
        <w:rPr>
          <w:rFonts w:ascii="Arial" w:hAnsi="Arial" w:cs="Arial"/>
          <w:sz w:val="24"/>
          <w:szCs w:val="24"/>
        </w:rPr>
        <w:t>ork for these young people as ‘y</w:t>
      </w:r>
      <w:r w:rsidR="00B47B70" w:rsidRPr="009F3D3F">
        <w:rPr>
          <w:rFonts w:ascii="Arial" w:hAnsi="Arial" w:cs="Arial"/>
          <w:sz w:val="24"/>
          <w:szCs w:val="24"/>
        </w:rPr>
        <w:t>outh work starts at whatever point young people in their lives, regardless of circumstances, and recognises their potential’ (CWVYS, 2022, p.6).</w:t>
      </w:r>
    </w:p>
    <w:p w:rsidR="006472C2" w:rsidRDefault="002A25A9" w:rsidP="009F3D3F">
      <w:pPr>
        <w:spacing w:line="480" w:lineRule="auto"/>
        <w:jc w:val="both"/>
        <w:rPr>
          <w:rFonts w:ascii="Arial" w:hAnsi="Arial" w:cs="Arial"/>
          <w:sz w:val="24"/>
        </w:rPr>
      </w:pPr>
      <w:r w:rsidRPr="009F3D3F">
        <w:rPr>
          <w:rFonts w:ascii="Arial" w:hAnsi="Arial" w:cs="Arial"/>
          <w:sz w:val="24"/>
          <w:szCs w:val="24"/>
        </w:rPr>
        <w:lastRenderedPageBreak/>
        <w:t xml:space="preserve">Definitions of inequality can </w:t>
      </w:r>
      <w:r w:rsidR="00CF0839" w:rsidRPr="009F3D3F">
        <w:rPr>
          <w:rFonts w:ascii="Arial" w:hAnsi="Arial" w:cs="Arial"/>
          <w:sz w:val="24"/>
          <w:szCs w:val="24"/>
        </w:rPr>
        <w:t>vary</w:t>
      </w:r>
      <w:r w:rsidRPr="009F3D3F">
        <w:rPr>
          <w:rFonts w:ascii="Arial" w:hAnsi="Arial" w:cs="Arial"/>
          <w:sz w:val="24"/>
          <w:szCs w:val="24"/>
        </w:rPr>
        <w:t xml:space="preserve"> between different sources. </w:t>
      </w:r>
      <w:r w:rsidR="006472C2" w:rsidRPr="009F3D3F">
        <w:rPr>
          <w:rFonts w:ascii="Arial" w:hAnsi="Arial" w:cs="Arial"/>
          <w:sz w:val="24"/>
          <w:szCs w:val="24"/>
        </w:rPr>
        <w:t xml:space="preserve">One definition given by Osberg (2001, p.7371) is that inequality is the ‘differences among people in their command over social and economic resources’. </w:t>
      </w:r>
      <w:r w:rsidR="00CD6B6C">
        <w:rPr>
          <w:rFonts w:ascii="Arial" w:hAnsi="Arial" w:cs="Arial"/>
          <w:sz w:val="24"/>
          <w:szCs w:val="24"/>
        </w:rPr>
        <w:t>Another definition of inequality by Koh (2020, p.269) is that ‘</w:t>
      </w:r>
      <w:r w:rsidR="00CD6B6C" w:rsidRPr="00CD6B6C">
        <w:rPr>
          <w:rFonts w:ascii="Arial" w:hAnsi="Arial" w:cs="Arial"/>
          <w:sz w:val="24"/>
        </w:rPr>
        <w:t>inequality refers to the phenomenon of</w:t>
      </w:r>
      <w:r w:rsidR="00CD6B6C">
        <w:rPr>
          <w:rFonts w:ascii="Arial" w:hAnsi="Arial" w:cs="Arial"/>
          <w:sz w:val="24"/>
        </w:rPr>
        <w:t xml:space="preserve"> unequal and/or unjust distribu</w:t>
      </w:r>
      <w:r w:rsidR="00CD6B6C" w:rsidRPr="00CD6B6C">
        <w:rPr>
          <w:rFonts w:ascii="Arial" w:hAnsi="Arial" w:cs="Arial"/>
          <w:sz w:val="24"/>
        </w:rPr>
        <w:t>tion of resources and opportunities among members of a given society’.</w:t>
      </w:r>
      <w:r w:rsidR="00CD6B6C">
        <w:rPr>
          <w:rFonts w:ascii="Arial" w:hAnsi="Arial" w:cs="Arial"/>
          <w:sz w:val="24"/>
        </w:rPr>
        <w:t xml:space="preserve"> The author agrees with both these definitions of inequality and believes inequality is when one is treated unfairly and is not subjective to equal opportunities.</w:t>
      </w:r>
      <w:r w:rsidR="00240C22">
        <w:rPr>
          <w:rFonts w:ascii="Arial" w:hAnsi="Arial" w:cs="Arial"/>
          <w:sz w:val="24"/>
        </w:rPr>
        <w:t xml:space="preserve"> </w:t>
      </w:r>
      <w:r w:rsidR="000174F4">
        <w:rPr>
          <w:rFonts w:ascii="Arial" w:hAnsi="Arial" w:cs="Arial"/>
          <w:sz w:val="24"/>
        </w:rPr>
        <w:t>Their</w:t>
      </w:r>
      <w:r w:rsidR="00240C22">
        <w:rPr>
          <w:rFonts w:ascii="Arial" w:hAnsi="Arial" w:cs="Arial"/>
          <w:sz w:val="24"/>
        </w:rPr>
        <w:t xml:space="preserve"> variety</w:t>
      </w:r>
      <w:r w:rsidR="002F4686">
        <w:rPr>
          <w:rFonts w:ascii="Arial" w:hAnsi="Arial" w:cs="Arial"/>
          <w:sz w:val="24"/>
        </w:rPr>
        <w:t xml:space="preserve"> of inequality examples in society. One inequality example according to Panades (2023) is the income inequality and the wage differences between CEO’s and the workers. Another example is young people having access to basic education when wealthier household are able to pay their children to access private schools. Another two examples are racial inequality and deprived neighbourhoods experience lack of unequal resources and facilities.</w:t>
      </w:r>
    </w:p>
    <w:p w:rsidR="008D6554" w:rsidRPr="008D6554" w:rsidRDefault="00006148" w:rsidP="009F3D3F">
      <w:pPr>
        <w:spacing w:line="480" w:lineRule="auto"/>
        <w:jc w:val="both"/>
        <w:rPr>
          <w:rFonts w:ascii="Arial" w:hAnsi="Arial" w:cs="Arial"/>
          <w:sz w:val="24"/>
        </w:rPr>
      </w:pPr>
      <w:r>
        <w:rPr>
          <w:rFonts w:ascii="Arial" w:hAnsi="Arial" w:cs="Arial"/>
          <w:sz w:val="24"/>
        </w:rPr>
        <w:t xml:space="preserve">For young people who are NEET being faced with times of inequality can become very common. Rios (2020) identifies a clear link between NEET young people and those young people with low academic attainment and those young people </w:t>
      </w:r>
      <w:r w:rsidR="000174F4">
        <w:rPr>
          <w:rFonts w:ascii="Arial" w:hAnsi="Arial" w:cs="Arial"/>
          <w:sz w:val="24"/>
        </w:rPr>
        <w:t>living</w:t>
      </w:r>
      <w:r>
        <w:rPr>
          <w:rFonts w:ascii="Arial" w:hAnsi="Arial" w:cs="Arial"/>
          <w:sz w:val="24"/>
        </w:rPr>
        <w:t xml:space="preserve"> in poverty. These areas can be classed an inequalities. </w:t>
      </w:r>
      <w:r w:rsidR="008D6554">
        <w:rPr>
          <w:rFonts w:ascii="Arial" w:hAnsi="Arial" w:cs="Arial"/>
          <w:sz w:val="24"/>
        </w:rPr>
        <w:t>According to Public Health Scotland (2023) ‘c</w:t>
      </w:r>
      <w:r w:rsidR="008D6554" w:rsidRPr="008D6554">
        <w:rPr>
          <w:rFonts w:ascii="Arial" w:hAnsi="Arial" w:cs="Arial"/>
          <w:color w:val="333333"/>
          <w:sz w:val="24"/>
          <w:szCs w:val="30"/>
          <w:shd w:val="clear" w:color="auto" w:fill="FFFFFF"/>
        </w:rPr>
        <w:t>hildren and families living and growing up in poverty and low-income households experience many disadvantages. These can have negative health and social consequences during childhood and into adulthood</w:t>
      </w:r>
      <w:r w:rsidR="008D6554">
        <w:rPr>
          <w:rFonts w:ascii="Arial" w:hAnsi="Arial" w:cs="Arial"/>
          <w:color w:val="333333"/>
          <w:sz w:val="24"/>
          <w:szCs w:val="30"/>
          <w:shd w:val="clear" w:color="auto" w:fill="FFFFFF"/>
        </w:rPr>
        <w:t xml:space="preserve">’. </w:t>
      </w:r>
      <w:r w:rsidR="008C280C">
        <w:rPr>
          <w:rFonts w:ascii="Arial" w:hAnsi="Arial" w:cs="Arial"/>
          <w:color w:val="333333"/>
          <w:sz w:val="24"/>
          <w:szCs w:val="30"/>
          <w:shd w:val="clear" w:color="auto" w:fill="FFFFFF"/>
        </w:rPr>
        <w:t xml:space="preserve">When a young person is a low achiever </w:t>
      </w:r>
      <w:r w:rsidR="003E0DCE">
        <w:rPr>
          <w:rFonts w:ascii="Arial" w:hAnsi="Arial" w:cs="Arial"/>
          <w:color w:val="333333"/>
          <w:sz w:val="24"/>
          <w:szCs w:val="30"/>
          <w:shd w:val="clear" w:color="auto" w:fill="FFFFFF"/>
        </w:rPr>
        <w:t>academically,</w:t>
      </w:r>
      <w:r w:rsidR="008C280C">
        <w:rPr>
          <w:rFonts w:ascii="Arial" w:hAnsi="Arial" w:cs="Arial"/>
          <w:color w:val="333333"/>
          <w:sz w:val="24"/>
          <w:szCs w:val="30"/>
          <w:shd w:val="clear" w:color="auto" w:fill="FFFFFF"/>
        </w:rPr>
        <w:t xml:space="preserve"> their aspiration to </w:t>
      </w:r>
      <w:r w:rsidR="003E0DCE">
        <w:rPr>
          <w:rFonts w:ascii="Arial" w:hAnsi="Arial" w:cs="Arial"/>
          <w:color w:val="333333"/>
          <w:sz w:val="24"/>
          <w:szCs w:val="30"/>
          <w:shd w:val="clear" w:color="auto" w:fill="FFFFFF"/>
        </w:rPr>
        <w:t>pursue</w:t>
      </w:r>
      <w:r w:rsidR="008C280C">
        <w:rPr>
          <w:rFonts w:ascii="Arial" w:hAnsi="Arial" w:cs="Arial"/>
          <w:color w:val="333333"/>
          <w:sz w:val="24"/>
          <w:szCs w:val="30"/>
          <w:shd w:val="clear" w:color="auto" w:fill="FFFFFF"/>
        </w:rPr>
        <w:t xml:space="preserve"> higher education or high paid/ skilled careers can be slim. </w:t>
      </w:r>
      <w:r w:rsidR="003E0DCE">
        <w:rPr>
          <w:rFonts w:ascii="Arial" w:hAnsi="Arial" w:cs="Arial"/>
          <w:color w:val="333333"/>
          <w:sz w:val="24"/>
          <w:szCs w:val="30"/>
          <w:shd w:val="clear" w:color="auto" w:fill="FFFFFF"/>
        </w:rPr>
        <w:t>Tahir</w:t>
      </w:r>
      <w:r w:rsidR="008C280C">
        <w:rPr>
          <w:rFonts w:ascii="Arial" w:hAnsi="Arial" w:cs="Arial"/>
          <w:color w:val="333333"/>
          <w:sz w:val="24"/>
          <w:szCs w:val="30"/>
          <w:shd w:val="clear" w:color="auto" w:fill="FFFFFF"/>
        </w:rPr>
        <w:t xml:space="preserve"> (</w:t>
      </w:r>
      <w:r w:rsidR="003E0DCE">
        <w:rPr>
          <w:rFonts w:ascii="Arial" w:hAnsi="Arial" w:cs="Arial"/>
          <w:color w:val="333333"/>
          <w:sz w:val="24"/>
          <w:szCs w:val="30"/>
          <w:shd w:val="clear" w:color="auto" w:fill="FFFFFF"/>
        </w:rPr>
        <w:t>2022</w:t>
      </w:r>
      <w:r w:rsidR="008C280C">
        <w:rPr>
          <w:rFonts w:ascii="Arial" w:hAnsi="Arial" w:cs="Arial"/>
          <w:color w:val="333333"/>
          <w:sz w:val="24"/>
          <w:szCs w:val="30"/>
          <w:shd w:val="clear" w:color="auto" w:fill="FFFFFF"/>
        </w:rPr>
        <w:t xml:space="preserve">) recognises how effective attending higher education is in </w:t>
      </w:r>
      <w:r w:rsidR="003E0DCE">
        <w:rPr>
          <w:rFonts w:ascii="Arial" w:hAnsi="Arial" w:cs="Arial"/>
          <w:color w:val="333333"/>
          <w:sz w:val="24"/>
          <w:szCs w:val="30"/>
          <w:shd w:val="clear" w:color="auto" w:fill="FFFFFF"/>
        </w:rPr>
        <w:t xml:space="preserve">determining one’s future successes. Tahir (2022) also claims that education systems is failing to tackle the inequalities in the system. They identify that </w:t>
      </w:r>
      <w:r w:rsidR="003E0DCE">
        <w:rPr>
          <w:rFonts w:ascii="Arial" w:hAnsi="Arial" w:cs="Arial"/>
          <w:color w:val="333333"/>
          <w:sz w:val="24"/>
          <w:szCs w:val="30"/>
          <w:shd w:val="clear" w:color="auto" w:fill="FFFFFF"/>
        </w:rPr>
        <w:lastRenderedPageBreak/>
        <w:t xml:space="preserve">young people from disadvantage backgrounds tend to do worse in school and are less likely to </w:t>
      </w:r>
      <w:r w:rsidR="000174F4">
        <w:rPr>
          <w:rFonts w:ascii="Arial" w:hAnsi="Arial" w:cs="Arial"/>
          <w:color w:val="333333"/>
          <w:sz w:val="24"/>
          <w:szCs w:val="30"/>
          <w:shd w:val="clear" w:color="auto" w:fill="FFFFFF"/>
        </w:rPr>
        <w:t>move</w:t>
      </w:r>
      <w:r w:rsidR="003E0DCE">
        <w:rPr>
          <w:rFonts w:ascii="Arial" w:hAnsi="Arial" w:cs="Arial"/>
          <w:color w:val="333333"/>
          <w:sz w:val="24"/>
          <w:szCs w:val="30"/>
          <w:shd w:val="clear" w:color="auto" w:fill="FFFFFF"/>
        </w:rPr>
        <w:t xml:space="preserve"> onto higher education. </w:t>
      </w:r>
    </w:p>
    <w:p w:rsidR="00750A8C" w:rsidRDefault="00750A8C" w:rsidP="009F3D3F">
      <w:pPr>
        <w:spacing w:line="480" w:lineRule="auto"/>
        <w:jc w:val="both"/>
        <w:rPr>
          <w:rFonts w:ascii="Arial" w:hAnsi="Arial" w:cs="Arial"/>
          <w:sz w:val="24"/>
        </w:rPr>
      </w:pPr>
      <w:r>
        <w:rPr>
          <w:rFonts w:ascii="Arial" w:hAnsi="Arial" w:cs="Arial"/>
          <w:sz w:val="24"/>
          <w:szCs w:val="24"/>
        </w:rPr>
        <w:t>According to</w:t>
      </w:r>
      <w:r w:rsidR="00D05CD9">
        <w:rPr>
          <w:rFonts w:ascii="Arial" w:hAnsi="Arial" w:cs="Arial"/>
          <w:sz w:val="24"/>
          <w:szCs w:val="24"/>
        </w:rPr>
        <w:t xml:space="preserve"> Kim and Choi</w:t>
      </w:r>
      <w:r>
        <w:rPr>
          <w:rFonts w:ascii="Arial" w:hAnsi="Arial" w:cs="Arial"/>
          <w:sz w:val="24"/>
          <w:szCs w:val="24"/>
        </w:rPr>
        <w:t xml:space="preserve"> </w:t>
      </w:r>
      <w:r w:rsidR="00D05CD9">
        <w:rPr>
          <w:rFonts w:ascii="Arial" w:hAnsi="Arial" w:cs="Arial"/>
          <w:sz w:val="24"/>
          <w:szCs w:val="24"/>
        </w:rPr>
        <w:t>(2017, p.112) ‘</w:t>
      </w:r>
      <w:r w:rsidRPr="00D05CD9">
        <w:rPr>
          <w:rFonts w:ascii="Arial" w:hAnsi="Arial" w:cs="Arial"/>
          <w:sz w:val="24"/>
        </w:rPr>
        <w:t>Meritocracy is a social system in which advancement in society is based on an individual’s capabilities and merits rather than on the basis of family, wealth, or social background</w:t>
      </w:r>
      <w:r w:rsidR="00D05CD9">
        <w:rPr>
          <w:rFonts w:ascii="Arial" w:hAnsi="Arial" w:cs="Arial"/>
          <w:sz w:val="24"/>
        </w:rPr>
        <w:t xml:space="preserve">’. </w:t>
      </w:r>
      <w:r w:rsidR="000174F4">
        <w:rPr>
          <w:rFonts w:ascii="Arial" w:hAnsi="Arial" w:cs="Arial"/>
          <w:sz w:val="24"/>
        </w:rPr>
        <w:t>Michael Young (Kim &amp; Choi, 2017) and people’s idea introduced the term meritocracy in 1958</w:t>
      </w:r>
      <w:r w:rsidR="00D05CD9">
        <w:rPr>
          <w:rFonts w:ascii="Arial" w:hAnsi="Arial" w:cs="Arial"/>
          <w:sz w:val="24"/>
        </w:rPr>
        <w:t xml:space="preserve"> and beliefs around this term have wavered in </w:t>
      </w:r>
      <w:r w:rsidR="000174F4">
        <w:rPr>
          <w:rFonts w:ascii="Arial" w:hAnsi="Arial" w:cs="Arial"/>
          <w:sz w:val="24"/>
        </w:rPr>
        <w:t>years that are more recent</w:t>
      </w:r>
      <w:r w:rsidR="00D05CD9">
        <w:rPr>
          <w:rFonts w:ascii="Arial" w:hAnsi="Arial" w:cs="Arial"/>
          <w:sz w:val="24"/>
        </w:rPr>
        <w:t xml:space="preserve">. </w:t>
      </w:r>
    </w:p>
    <w:p w:rsidR="00044002" w:rsidRDefault="00044002" w:rsidP="00044002">
      <w:pPr>
        <w:spacing w:line="480" w:lineRule="auto"/>
        <w:ind w:left="720"/>
        <w:jc w:val="both"/>
        <w:rPr>
          <w:rFonts w:ascii="Arial" w:hAnsi="Arial" w:cs="Arial"/>
          <w:i/>
          <w:color w:val="000000"/>
          <w:sz w:val="24"/>
          <w:szCs w:val="24"/>
          <w:shd w:val="clear" w:color="auto" w:fill="FFFFFF"/>
        </w:rPr>
      </w:pPr>
      <w:r w:rsidRPr="00044002">
        <w:rPr>
          <w:rFonts w:ascii="Arial" w:hAnsi="Arial" w:cs="Arial"/>
          <w:i/>
          <w:color w:val="000000"/>
          <w:sz w:val="24"/>
          <w:szCs w:val="24"/>
          <w:shd w:val="clear" w:color="auto" w:fill="FFFFFF"/>
        </w:rPr>
        <w:t xml:space="preserve">Back in 2016, Theresa May gave a speech at the British Academy in which she said that a new wave of grammar schools would give every child the opportunity to receive a good education and create a </w:t>
      </w:r>
      <w:hyperlink r:id="rId7" w:history="1">
        <w:r w:rsidRPr="00044002">
          <w:rPr>
            <w:rStyle w:val="Hyperlink"/>
            <w:rFonts w:ascii="Arial" w:hAnsi="Arial" w:cs="Arial"/>
            <w:i/>
            <w:color w:val="000000"/>
            <w:sz w:val="24"/>
            <w:szCs w:val="24"/>
            <w:u w:val="none"/>
            <w:shd w:val="clear" w:color="auto" w:fill="FFFFFF"/>
          </w:rPr>
          <w:t>truly meritocratic Britain</w:t>
        </w:r>
      </w:hyperlink>
      <w:r w:rsidRPr="00044002">
        <w:rPr>
          <w:rFonts w:ascii="Arial" w:hAnsi="Arial" w:cs="Arial"/>
          <w:i/>
          <w:color w:val="000000"/>
          <w:sz w:val="24"/>
          <w:szCs w:val="24"/>
          <w:shd w:val="clear" w:color="auto" w:fill="FFFFFF"/>
        </w:rPr>
        <w:t>.</w:t>
      </w:r>
    </w:p>
    <w:p w:rsidR="00044002" w:rsidRDefault="00044002" w:rsidP="00044002">
      <w:pPr>
        <w:spacing w:line="480" w:lineRule="auto"/>
        <w:ind w:left="720"/>
        <w:jc w:val="right"/>
        <w:rPr>
          <w:rFonts w:ascii="Arial" w:hAnsi="Arial" w:cs="Arial"/>
          <w:color w:val="000000"/>
          <w:sz w:val="24"/>
          <w:szCs w:val="24"/>
          <w:shd w:val="clear" w:color="auto" w:fill="FFFFFF"/>
        </w:rPr>
      </w:pPr>
      <w:r>
        <w:rPr>
          <w:rFonts w:ascii="Arial" w:hAnsi="Arial" w:cs="Arial"/>
          <w:color w:val="000000"/>
          <w:sz w:val="24"/>
          <w:szCs w:val="24"/>
          <w:shd w:val="clear" w:color="auto" w:fill="FFFFFF"/>
        </w:rPr>
        <w:t>(Murphy, 2019)</w:t>
      </w:r>
    </w:p>
    <w:p w:rsidR="00044002" w:rsidRDefault="00044002" w:rsidP="00044002">
      <w:pPr>
        <w:spacing w:line="48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Therefore, the term meritocracy introduced by Michael Young in the 1950s is still recognised today. </w:t>
      </w:r>
    </w:p>
    <w:p w:rsidR="00044002" w:rsidRDefault="00044002" w:rsidP="00044002">
      <w:pPr>
        <w:spacing w:line="480" w:lineRule="auto"/>
        <w:ind w:left="720"/>
        <w:rPr>
          <w:rFonts w:ascii="Arial" w:hAnsi="Arial" w:cs="Arial"/>
          <w:i/>
          <w:sz w:val="24"/>
        </w:rPr>
      </w:pPr>
      <w:r w:rsidRPr="00044002">
        <w:rPr>
          <w:rFonts w:ascii="Arial" w:hAnsi="Arial" w:cs="Arial"/>
          <w:i/>
          <w:sz w:val="24"/>
        </w:rPr>
        <w:t xml:space="preserve">Social mobility describes the movement or opportunities for movement between different social groups, and the advantages and disadvantages that go with this in terms of income, security of employment, opportunities for advancement </w:t>
      </w:r>
      <w:r w:rsidR="000174F4" w:rsidRPr="00044002">
        <w:rPr>
          <w:rFonts w:ascii="Arial" w:hAnsi="Arial" w:cs="Arial"/>
          <w:i/>
          <w:sz w:val="24"/>
        </w:rPr>
        <w:t>etc.</w:t>
      </w:r>
    </w:p>
    <w:p w:rsidR="00044002" w:rsidRDefault="00044002" w:rsidP="00044002">
      <w:pPr>
        <w:spacing w:line="480" w:lineRule="auto"/>
        <w:ind w:left="720"/>
        <w:jc w:val="right"/>
        <w:rPr>
          <w:rFonts w:ascii="Arial" w:hAnsi="Arial" w:cs="Arial"/>
          <w:sz w:val="24"/>
        </w:rPr>
      </w:pPr>
      <w:r>
        <w:rPr>
          <w:rFonts w:ascii="Arial" w:hAnsi="Arial" w:cs="Arial"/>
          <w:sz w:val="24"/>
        </w:rPr>
        <w:t>(Aldridge, 2001.p.1)</w:t>
      </w:r>
    </w:p>
    <w:p w:rsidR="00866ABE" w:rsidRPr="00044002" w:rsidRDefault="00866ABE" w:rsidP="00866ABE">
      <w:pPr>
        <w:spacing w:line="480" w:lineRule="auto"/>
        <w:rPr>
          <w:rFonts w:ascii="Arial" w:hAnsi="Arial" w:cs="Arial"/>
          <w:color w:val="000000"/>
          <w:sz w:val="28"/>
          <w:szCs w:val="24"/>
          <w:shd w:val="clear" w:color="auto" w:fill="FFFFFF"/>
        </w:rPr>
      </w:pPr>
      <w:r>
        <w:rPr>
          <w:rFonts w:ascii="Arial" w:hAnsi="Arial" w:cs="Arial"/>
          <w:sz w:val="24"/>
        </w:rPr>
        <w:t>Inequality and meritocracy are terms very much linked to one’s social mobility.</w:t>
      </w:r>
      <w:r w:rsidR="00FF1057">
        <w:rPr>
          <w:rFonts w:ascii="Arial" w:hAnsi="Arial" w:cs="Arial"/>
          <w:sz w:val="24"/>
        </w:rPr>
        <w:t xml:space="preserve"> OECD (2018) identifies a clear link between these </w:t>
      </w:r>
      <w:r w:rsidR="000174F4">
        <w:rPr>
          <w:rFonts w:ascii="Arial" w:hAnsi="Arial" w:cs="Arial"/>
          <w:sz w:val="24"/>
        </w:rPr>
        <w:t>terms, claims that if one lacks social mobility at the start of an increased inequality income or opportunity can result in that individual’s talents are missed,</w:t>
      </w:r>
      <w:r w:rsidR="00FF1057">
        <w:rPr>
          <w:rFonts w:ascii="Arial" w:hAnsi="Arial" w:cs="Arial"/>
          <w:sz w:val="24"/>
        </w:rPr>
        <w:t xml:space="preserve"> and their development </w:t>
      </w:r>
      <w:r w:rsidR="000174F4">
        <w:rPr>
          <w:rFonts w:ascii="Arial" w:hAnsi="Arial" w:cs="Arial"/>
          <w:sz w:val="24"/>
        </w:rPr>
        <w:t>is not</w:t>
      </w:r>
      <w:r w:rsidR="00FF1057">
        <w:rPr>
          <w:rFonts w:ascii="Arial" w:hAnsi="Arial" w:cs="Arial"/>
          <w:sz w:val="24"/>
        </w:rPr>
        <w:t xml:space="preserve"> supported. Social mobility and meritocracy is important for t</w:t>
      </w:r>
      <w:r w:rsidR="00000228">
        <w:rPr>
          <w:rFonts w:ascii="Arial" w:hAnsi="Arial" w:cs="Arial"/>
          <w:sz w:val="24"/>
        </w:rPr>
        <w:t>he development of young people. Banta</w:t>
      </w:r>
      <w:r w:rsidR="00FF1057">
        <w:rPr>
          <w:rFonts w:ascii="Arial" w:hAnsi="Arial" w:cs="Arial"/>
          <w:sz w:val="24"/>
        </w:rPr>
        <w:t xml:space="preserve"> </w:t>
      </w:r>
      <w:r w:rsidR="00FF1057">
        <w:rPr>
          <w:rFonts w:ascii="Arial" w:hAnsi="Arial" w:cs="Arial"/>
          <w:sz w:val="24"/>
        </w:rPr>
        <w:lastRenderedPageBreak/>
        <w:t>(</w:t>
      </w:r>
      <w:r w:rsidR="00000228">
        <w:rPr>
          <w:rFonts w:ascii="Arial" w:hAnsi="Arial" w:cs="Arial"/>
          <w:sz w:val="24"/>
        </w:rPr>
        <w:t>no date</w:t>
      </w:r>
      <w:r w:rsidR="00FF1057">
        <w:rPr>
          <w:rFonts w:ascii="Arial" w:hAnsi="Arial" w:cs="Arial"/>
          <w:sz w:val="24"/>
        </w:rPr>
        <w:t xml:space="preserve">) claims that those young people who are seen to be </w:t>
      </w:r>
      <w:r w:rsidR="00000228">
        <w:rPr>
          <w:rFonts w:ascii="Arial" w:hAnsi="Arial" w:cs="Arial"/>
          <w:sz w:val="24"/>
        </w:rPr>
        <w:t xml:space="preserve">underprivileged are given less opportunities </w:t>
      </w:r>
      <w:r w:rsidR="000174F4">
        <w:rPr>
          <w:rFonts w:ascii="Arial" w:hAnsi="Arial" w:cs="Arial"/>
          <w:sz w:val="24"/>
        </w:rPr>
        <w:t>that will</w:t>
      </w:r>
      <w:r w:rsidR="00000228">
        <w:rPr>
          <w:rFonts w:ascii="Arial" w:hAnsi="Arial" w:cs="Arial"/>
          <w:sz w:val="24"/>
        </w:rPr>
        <w:t xml:space="preserve"> lead them onto high paying and successful career paths. The author will now look at social theories that can affect how young people can reproduce in today’s society. </w:t>
      </w:r>
    </w:p>
    <w:p w:rsidR="00103E16" w:rsidRPr="009F3D3F" w:rsidRDefault="00454B88" w:rsidP="009F3D3F">
      <w:pPr>
        <w:spacing w:line="480" w:lineRule="auto"/>
        <w:jc w:val="both"/>
        <w:rPr>
          <w:rFonts w:ascii="Arial" w:hAnsi="Arial" w:cs="Arial"/>
          <w:sz w:val="24"/>
          <w:szCs w:val="24"/>
        </w:rPr>
      </w:pPr>
      <w:r w:rsidRPr="009F3D3F">
        <w:rPr>
          <w:rFonts w:ascii="Arial" w:hAnsi="Arial" w:cs="Arial"/>
          <w:sz w:val="24"/>
          <w:szCs w:val="24"/>
        </w:rPr>
        <w:t>Th</w:t>
      </w:r>
      <w:r w:rsidR="00DD2AE6" w:rsidRPr="009F3D3F">
        <w:rPr>
          <w:rFonts w:ascii="Arial" w:hAnsi="Arial" w:cs="Arial"/>
          <w:sz w:val="24"/>
          <w:szCs w:val="24"/>
        </w:rPr>
        <w:t xml:space="preserve">ere are several theories that look at social reproduction and due to this </w:t>
      </w:r>
      <w:r w:rsidR="000174F4" w:rsidRPr="009F3D3F">
        <w:rPr>
          <w:rFonts w:ascii="Arial" w:hAnsi="Arial" w:cs="Arial"/>
          <w:sz w:val="24"/>
          <w:szCs w:val="24"/>
        </w:rPr>
        <w:t>academic piece</w:t>
      </w:r>
      <w:r w:rsidR="00DD2AE6" w:rsidRPr="009F3D3F">
        <w:rPr>
          <w:rFonts w:ascii="Arial" w:hAnsi="Arial" w:cs="Arial"/>
          <w:sz w:val="24"/>
          <w:szCs w:val="24"/>
        </w:rPr>
        <w:t xml:space="preserve"> being focussed around vulnerable young people; the writer will look at theories related to symbolic </w:t>
      </w:r>
      <w:r w:rsidR="000550F9" w:rsidRPr="009F3D3F">
        <w:rPr>
          <w:rFonts w:ascii="Arial" w:hAnsi="Arial" w:cs="Arial"/>
          <w:sz w:val="24"/>
          <w:szCs w:val="24"/>
        </w:rPr>
        <w:t>interaction</w:t>
      </w:r>
      <w:r w:rsidR="00DD2AE6" w:rsidRPr="009F3D3F">
        <w:rPr>
          <w:rFonts w:ascii="Arial" w:hAnsi="Arial" w:cs="Arial"/>
          <w:sz w:val="24"/>
          <w:szCs w:val="24"/>
        </w:rPr>
        <w:t xml:space="preserve">ism. </w:t>
      </w:r>
      <w:r w:rsidR="007066A1" w:rsidRPr="009F3D3F">
        <w:rPr>
          <w:rFonts w:ascii="Arial" w:hAnsi="Arial" w:cs="Arial"/>
          <w:sz w:val="24"/>
          <w:szCs w:val="24"/>
        </w:rPr>
        <w:t>Herbert Blumer first introduced symbolic interactionism</w:t>
      </w:r>
      <w:r w:rsidR="008928D6" w:rsidRPr="009F3D3F">
        <w:rPr>
          <w:rFonts w:ascii="Arial" w:hAnsi="Arial" w:cs="Arial"/>
          <w:sz w:val="24"/>
          <w:szCs w:val="24"/>
        </w:rPr>
        <w:t>.</w:t>
      </w:r>
      <w:r w:rsidR="007066A1" w:rsidRPr="009F3D3F">
        <w:rPr>
          <w:rFonts w:ascii="Arial" w:hAnsi="Arial" w:cs="Arial"/>
          <w:sz w:val="24"/>
          <w:szCs w:val="24"/>
        </w:rPr>
        <w:t xml:space="preserve"> According to Fink (</w:t>
      </w:r>
      <w:r w:rsidR="000174F4" w:rsidRPr="009F3D3F">
        <w:rPr>
          <w:rFonts w:ascii="Arial" w:hAnsi="Arial" w:cs="Arial"/>
          <w:sz w:val="24"/>
          <w:szCs w:val="24"/>
        </w:rPr>
        <w:t>2015),</w:t>
      </w:r>
      <w:r w:rsidR="007066A1" w:rsidRPr="009F3D3F">
        <w:rPr>
          <w:rFonts w:ascii="Arial" w:hAnsi="Arial" w:cs="Arial"/>
          <w:sz w:val="24"/>
          <w:szCs w:val="24"/>
        </w:rPr>
        <w:t xml:space="preserve"> Herbert Blumer was able to reproduce his symbolic interactionism theory uses the work of George Herbert Mead and Herbert gave Mead great recognition in his theory. Aksan, Kisac, </w:t>
      </w:r>
      <w:r w:rsidR="007066A1" w:rsidRPr="009F3D3F">
        <w:rPr>
          <w:rFonts w:ascii="Arial" w:hAnsi="Arial" w:cs="Arial"/>
          <w:i/>
          <w:sz w:val="24"/>
          <w:szCs w:val="24"/>
        </w:rPr>
        <w:t>et all</w:t>
      </w:r>
      <w:r w:rsidR="007066A1" w:rsidRPr="009F3D3F">
        <w:rPr>
          <w:rFonts w:ascii="Arial" w:hAnsi="Arial" w:cs="Arial"/>
          <w:sz w:val="24"/>
          <w:szCs w:val="24"/>
        </w:rPr>
        <w:t xml:space="preserve"> (2009)</w:t>
      </w:r>
      <w:r w:rsidR="00D03C71" w:rsidRPr="009F3D3F">
        <w:rPr>
          <w:rFonts w:ascii="Arial" w:hAnsi="Arial" w:cs="Arial"/>
          <w:sz w:val="24"/>
          <w:szCs w:val="24"/>
        </w:rPr>
        <w:t xml:space="preserve"> states that symbolic interactionism is based on examining the meanings behind how someone interprets them and this will then determine how that person will act towards them. These meaning are the product of social interaction between individuals. </w:t>
      </w:r>
      <w:r w:rsidR="00103E16" w:rsidRPr="009F3D3F">
        <w:rPr>
          <w:rFonts w:ascii="Arial" w:hAnsi="Arial" w:cs="Arial"/>
          <w:sz w:val="24"/>
          <w:szCs w:val="24"/>
        </w:rPr>
        <w:t>As</w:t>
      </w:r>
      <w:r w:rsidR="002F134B">
        <w:rPr>
          <w:rFonts w:ascii="Arial" w:hAnsi="Arial" w:cs="Arial"/>
          <w:sz w:val="24"/>
          <w:szCs w:val="24"/>
        </w:rPr>
        <w:t xml:space="preserve"> Betts</w:t>
      </w:r>
      <w:r w:rsidR="00103E16" w:rsidRPr="009F3D3F">
        <w:rPr>
          <w:rFonts w:ascii="Arial" w:hAnsi="Arial" w:cs="Arial"/>
          <w:sz w:val="24"/>
          <w:szCs w:val="24"/>
        </w:rPr>
        <w:t xml:space="preserve"> (2020) claims that symbolic interactionism is based on ones experiences and how they attached subjective meanings with symbols and letters to these experiences. An example Betts (2020) gives is related to have symbolic interactionism can play a role in </w:t>
      </w:r>
      <w:r w:rsidR="00FD6C48" w:rsidRPr="009F3D3F">
        <w:rPr>
          <w:rFonts w:ascii="Arial" w:hAnsi="Arial" w:cs="Arial"/>
          <w:sz w:val="24"/>
          <w:szCs w:val="24"/>
        </w:rPr>
        <w:t>relationships</w:t>
      </w:r>
      <w:r w:rsidR="00103E16" w:rsidRPr="009F3D3F">
        <w:rPr>
          <w:rFonts w:ascii="Arial" w:hAnsi="Arial" w:cs="Arial"/>
          <w:sz w:val="24"/>
          <w:szCs w:val="24"/>
        </w:rPr>
        <w:t xml:space="preserve"> and how ones understanding of a wor</w:t>
      </w:r>
      <w:r w:rsidR="00FD6C48" w:rsidRPr="009F3D3F">
        <w:rPr>
          <w:rFonts w:ascii="Arial" w:hAnsi="Arial" w:cs="Arial"/>
          <w:sz w:val="24"/>
          <w:szCs w:val="24"/>
        </w:rPr>
        <w:t>d or events can cause that indivi</w:t>
      </w:r>
      <w:r w:rsidR="00103E16" w:rsidRPr="009F3D3F">
        <w:rPr>
          <w:rFonts w:ascii="Arial" w:hAnsi="Arial" w:cs="Arial"/>
          <w:sz w:val="24"/>
          <w:szCs w:val="24"/>
        </w:rPr>
        <w:t>dual to interact</w:t>
      </w:r>
      <w:r w:rsidR="00FD6C48" w:rsidRPr="009F3D3F">
        <w:rPr>
          <w:rFonts w:ascii="Arial" w:hAnsi="Arial" w:cs="Arial"/>
          <w:sz w:val="24"/>
          <w:szCs w:val="24"/>
        </w:rPr>
        <w:t xml:space="preserve"> based on how that event or word has made them feel. </w:t>
      </w:r>
    </w:p>
    <w:p w:rsidR="00DD2AE6" w:rsidRDefault="007F77CE" w:rsidP="009F3D3F">
      <w:pPr>
        <w:spacing w:line="480" w:lineRule="auto"/>
        <w:jc w:val="both"/>
        <w:rPr>
          <w:rFonts w:ascii="Arial" w:hAnsi="Arial" w:cs="Arial"/>
          <w:sz w:val="24"/>
          <w:szCs w:val="24"/>
        </w:rPr>
      </w:pPr>
      <w:r w:rsidRPr="009F3D3F">
        <w:rPr>
          <w:rFonts w:ascii="Arial" w:hAnsi="Arial" w:cs="Arial"/>
          <w:sz w:val="24"/>
          <w:szCs w:val="24"/>
        </w:rPr>
        <w:t xml:space="preserve">The first theory the author will explore is the looking glass </w:t>
      </w:r>
      <w:r w:rsidR="000174F4" w:rsidRPr="009F3D3F">
        <w:rPr>
          <w:rFonts w:ascii="Arial" w:hAnsi="Arial" w:cs="Arial"/>
          <w:sz w:val="24"/>
          <w:szCs w:val="24"/>
        </w:rPr>
        <w:t>self-theory</w:t>
      </w:r>
      <w:r w:rsidRPr="009F3D3F">
        <w:rPr>
          <w:rFonts w:ascii="Arial" w:hAnsi="Arial" w:cs="Arial"/>
          <w:sz w:val="24"/>
          <w:szCs w:val="24"/>
        </w:rPr>
        <w:t xml:space="preserve"> by Charles Horton Cooley. </w:t>
      </w:r>
      <w:r w:rsidR="008C195C">
        <w:rPr>
          <w:rFonts w:ascii="Arial" w:hAnsi="Arial" w:cs="Arial"/>
          <w:sz w:val="24"/>
          <w:szCs w:val="24"/>
        </w:rPr>
        <w:t xml:space="preserve">According to Rousseau (2002, p.1) </w:t>
      </w:r>
      <w:r w:rsidR="008C195C" w:rsidRPr="008C195C">
        <w:rPr>
          <w:rFonts w:ascii="Arial" w:hAnsi="Arial" w:cs="Arial"/>
          <w:sz w:val="24"/>
          <w:szCs w:val="24"/>
        </w:rPr>
        <w:t>‘the concept of the looking glass self demonstrates that self-relation, or how one views oneself is not a solitary phenomenon, but rather includes others’.</w:t>
      </w:r>
      <w:r w:rsidR="00B67142">
        <w:rPr>
          <w:rFonts w:ascii="Arial" w:hAnsi="Arial" w:cs="Arial"/>
          <w:sz w:val="24"/>
          <w:szCs w:val="24"/>
        </w:rPr>
        <w:t xml:space="preserve"> </w:t>
      </w:r>
      <w:r w:rsidR="00A670BF">
        <w:rPr>
          <w:rFonts w:ascii="Arial" w:hAnsi="Arial" w:cs="Arial"/>
          <w:sz w:val="24"/>
          <w:szCs w:val="24"/>
        </w:rPr>
        <w:t>There are elements within Cooley’s looking g</w:t>
      </w:r>
      <w:r w:rsidR="00750A8C">
        <w:rPr>
          <w:rFonts w:ascii="Arial" w:hAnsi="Arial" w:cs="Arial"/>
          <w:sz w:val="24"/>
          <w:szCs w:val="24"/>
        </w:rPr>
        <w:t xml:space="preserve">lass </w:t>
      </w:r>
      <w:r w:rsidR="000174F4">
        <w:rPr>
          <w:rFonts w:ascii="Arial" w:hAnsi="Arial" w:cs="Arial"/>
          <w:sz w:val="24"/>
          <w:szCs w:val="24"/>
        </w:rPr>
        <w:t>self-theory</w:t>
      </w:r>
      <w:r w:rsidR="00750A8C">
        <w:rPr>
          <w:rFonts w:ascii="Arial" w:hAnsi="Arial" w:cs="Arial"/>
          <w:sz w:val="24"/>
          <w:szCs w:val="24"/>
        </w:rPr>
        <w:t xml:space="preserve"> according to McNair</w:t>
      </w:r>
      <w:r w:rsidR="00A670BF">
        <w:rPr>
          <w:rFonts w:ascii="Arial" w:hAnsi="Arial" w:cs="Arial"/>
          <w:sz w:val="24"/>
          <w:szCs w:val="24"/>
        </w:rPr>
        <w:t xml:space="preserve"> (</w:t>
      </w:r>
      <w:r w:rsidR="00750A8C">
        <w:rPr>
          <w:rFonts w:ascii="Arial" w:hAnsi="Arial" w:cs="Arial"/>
          <w:sz w:val="24"/>
          <w:szCs w:val="24"/>
        </w:rPr>
        <w:t>2004</w:t>
      </w:r>
      <w:r w:rsidR="00A670BF">
        <w:rPr>
          <w:rFonts w:ascii="Arial" w:hAnsi="Arial" w:cs="Arial"/>
          <w:sz w:val="24"/>
          <w:szCs w:val="24"/>
        </w:rPr>
        <w:t>). T</w:t>
      </w:r>
      <w:r w:rsidR="00750A8C">
        <w:rPr>
          <w:rFonts w:ascii="Arial" w:hAnsi="Arial" w:cs="Arial"/>
          <w:sz w:val="24"/>
          <w:szCs w:val="24"/>
        </w:rPr>
        <w:t>hese</w:t>
      </w:r>
      <w:r w:rsidR="00A670BF">
        <w:rPr>
          <w:rFonts w:ascii="Arial" w:hAnsi="Arial" w:cs="Arial"/>
          <w:sz w:val="24"/>
          <w:szCs w:val="24"/>
        </w:rPr>
        <w:t xml:space="preserve"> are:</w:t>
      </w:r>
    </w:p>
    <w:p w:rsidR="00A670BF" w:rsidRDefault="00A670BF" w:rsidP="00A670BF">
      <w:pPr>
        <w:pStyle w:val="ListParagraph"/>
        <w:numPr>
          <w:ilvl w:val="0"/>
          <w:numId w:val="2"/>
        </w:numPr>
        <w:spacing w:line="480" w:lineRule="auto"/>
        <w:jc w:val="both"/>
        <w:rPr>
          <w:rFonts w:ascii="Arial" w:hAnsi="Arial" w:cs="Arial"/>
          <w:sz w:val="24"/>
          <w:szCs w:val="24"/>
        </w:rPr>
      </w:pPr>
      <w:r>
        <w:rPr>
          <w:rFonts w:ascii="Arial" w:hAnsi="Arial" w:cs="Arial"/>
          <w:sz w:val="24"/>
          <w:szCs w:val="24"/>
        </w:rPr>
        <w:lastRenderedPageBreak/>
        <w:t xml:space="preserve">The response given through how one displays their body language or what words they used towards themselves and others. </w:t>
      </w:r>
    </w:p>
    <w:p w:rsidR="00750A8C" w:rsidRDefault="00750A8C" w:rsidP="00A670BF">
      <w:pPr>
        <w:pStyle w:val="ListParagraph"/>
        <w:numPr>
          <w:ilvl w:val="0"/>
          <w:numId w:val="2"/>
        </w:numPr>
        <w:spacing w:line="480" w:lineRule="auto"/>
        <w:jc w:val="both"/>
        <w:rPr>
          <w:rFonts w:ascii="Arial" w:hAnsi="Arial" w:cs="Arial"/>
          <w:sz w:val="24"/>
          <w:szCs w:val="24"/>
        </w:rPr>
      </w:pPr>
      <w:r>
        <w:rPr>
          <w:rFonts w:ascii="Arial" w:hAnsi="Arial" w:cs="Arial"/>
          <w:sz w:val="24"/>
          <w:szCs w:val="24"/>
        </w:rPr>
        <w:t>The response from within. This is the ‘subjective interpretation of the response (McNair, 2004, p.28).</w:t>
      </w:r>
    </w:p>
    <w:p w:rsidR="00750A8C" w:rsidRDefault="00750A8C" w:rsidP="00A670BF">
      <w:pPr>
        <w:pStyle w:val="ListParagraph"/>
        <w:numPr>
          <w:ilvl w:val="0"/>
          <w:numId w:val="2"/>
        </w:numPr>
        <w:spacing w:line="480" w:lineRule="auto"/>
        <w:jc w:val="both"/>
        <w:rPr>
          <w:rFonts w:ascii="Arial" w:hAnsi="Arial" w:cs="Arial"/>
          <w:sz w:val="24"/>
          <w:szCs w:val="24"/>
        </w:rPr>
      </w:pPr>
      <w:r>
        <w:rPr>
          <w:rFonts w:ascii="Arial" w:hAnsi="Arial" w:cs="Arial"/>
          <w:sz w:val="24"/>
          <w:szCs w:val="24"/>
        </w:rPr>
        <w:t xml:space="preserve">The conclusion on what has just happened. </w:t>
      </w:r>
    </w:p>
    <w:p w:rsidR="00750A8C" w:rsidRPr="00750A8C" w:rsidRDefault="00750A8C" w:rsidP="00750A8C">
      <w:pPr>
        <w:spacing w:line="480" w:lineRule="auto"/>
        <w:jc w:val="both"/>
        <w:rPr>
          <w:rFonts w:ascii="Arial" w:hAnsi="Arial" w:cs="Arial"/>
          <w:sz w:val="24"/>
          <w:szCs w:val="24"/>
        </w:rPr>
      </w:pPr>
      <w:r>
        <w:rPr>
          <w:rFonts w:ascii="Arial" w:hAnsi="Arial" w:cs="Arial"/>
          <w:sz w:val="24"/>
          <w:szCs w:val="24"/>
        </w:rPr>
        <w:t>Therefore, this theory is based around how an individual’s sense of self is dependent through how they interact with others.</w:t>
      </w:r>
      <w:r w:rsidR="009B1790">
        <w:rPr>
          <w:rFonts w:ascii="Arial" w:hAnsi="Arial" w:cs="Arial"/>
          <w:sz w:val="24"/>
          <w:szCs w:val="24"/>
        </w:rPr>
        <w:t xml:space="preserve"> For NEET young people the looking glass self-theory can help individuals understand why the process of going into education, training and employment is more difficult than just doing it. A</w:t>
      </w:r>
      <w:r w:rsidR="002F134B">
        <w:rPr>
          <w:rFonts w:ascii="Arial" w:hAnsi="Arial" w:cs="Arial"/>
          <w:sz w:val="24"/>
          <w:szCs w:val="24"/>
        </w:rPr>
        <w:t>ccording to Scott</w:t>
      </w:r>
      <w:r w:rsidR="009B1790">
        <w:rPr>
          <w:rFonts w:ascii="Arial" w:hAnsi="Arial" w:cs="Arial"/>
          <w:sz w:val="24"/>
          <w:szCs w:val="24"/>
        </w:rPr>
        <w:t xml:space="preserve"> (</w:t>
      </w:r>
      <w:r w:rsidR="000174F4">
        <w:rPr>
          <w:rFonts w:ascii="Arial" w:hAnsi="Arial" w:cs="Arial"/>
          <w:sz w:val="24"/>
          <w:szCs w:val="24"/>
        </w:rPr>
        <w:t>2017),</w:t>
      </w:r>
      <w:r w:rsidR="009B1790">
        <w:rPr>
          <w:rFonts w:ascii="Arial" w:hAnsi="Arial" w:cs="Arial"/>
          <w:sz w:val="24"/>
          <w:szCs w:val="24"/>
        </w:rPr>
        <w:t xml:space="preserve"> young people are desperate to fit in and this is down to their social brain. Young people experience endless peer pressure and battling of </w:t>
      </w:r>
      <w:r w:rsidR="002F134B">
        <w:rPr>
          <w:rFonts w:ascii="Arial" w:hAnsi="Arial" w:cs="Arial"/>
          <w:sz w:val="24"/>
          <w:szCs w:val="24"/>
        </w:rPr>
        <w:t>popularity, which</w:t>
      </w:r>
      <w:r w:rsidR="009B1790">
        <w:rPr>
          <w:rFonts w:ascii="Arial" w:hAnsi="Arial" w:cs="Arial"/>
          <w:sz w:val="24"/>
          <w:szCs w:val="24"/>
        </w:rPr>
        <w:t xml:space="preserve"> influences the </w:t>
      </w:r>
      <w:r w:rsidR="000174F4">
        <w:rPr>
          <w:rFonts w:ascii="Arial" w:hAnsi="Arial" w:cs="Arial"/>
          <w:sz w:val="24"/>
          <w:szCs w:val="24"/>
        </w:rPr>
        <w:t>very</w:t>
      </w:r>
      <w:r w:rsidR="009B1790">
        <w:rPr>
          <w:rFonts w:ascii="Arial" w:hAnsi="Arial" w:cs="Arial"/>
          <w:sz w:val="24"/>
          <w:szCs w:val="24"/>
        </w:rPr>
        <w:t xml:space="preserve"> young people display themselves. </w:t>
      </w:r>
      <w:r w:rsidR="002F134B">
        <w:rPr>
          <w:rFonts w:ascii="Arial" w:hAnsi="Arial" w:cs="Arial"/>
          <w:sz w:val="24"/>
          <w:szCs w:val="24"/>
        </w:rPr>
        <w:t xml:space="preserve">The looking glass self is an effective example of a sociogical theory that relates to young people facing social situation. </w:t>
      </w:r>
    </w:p>
    <w:p w:rsidR="005B5441" w:rsidRPr="009F3D3F" w:rsidRDefault="00962C36" w:rsidP="009F3D3F">
      <w:pPr>
        <w:spacing w:line="480" w:lineRule="auto"/>
        <w:jc w:val="both"/>
        <w:rPr>
          <w:rFonts w:ascii="Arial" w:hAnsi="Arial" w:cs="Arial"/>
          <w:sz w:val="24"/>
          <w:szCs w:val="24"/>
        </w:rPr>
      </w:pPr>
      <w:r w:rsidRPr="009F3D3F">
        <w:rPr>
          <w:rFonts w:ascii="Arial" w:hAnsi="Arial" w:cs="Arial"/>
          <w:sz w:val="24"/>
          <w:szCs w:val="24"/>
        </w:rPr>
        <w:t xml:space="preserve">Howard Becker’s labelling theory is another well-known theory linked to symbolic </w:t>
      </w:r>
      <w:r w:rsidR="008C280C" w:rsidRPr="009F3D3F">
        <w:rPr>
          <w:rFonts w:ascii="Arial" w:hAnsi="Arial" w:cs="Arial"/>
          <w:sz w:val="24"/>
          <w:szCs w:val="24"/>
        </w:rPr>
        <w:t>interactionism</w:t>
      </w:r>
      <w:r w:rsidRPr="009F3D3F">
        <w:rPr>
          <w:rFonts w:ascii="Arial" w:hAnsi="Arial" w:cs="Arial"/>
          <w:sz w:val="24"/>
          <w:szCs w:val="24"/>
        </w:rPr>
        <w:t>. The Labelling theory, according to</w:t>
      </w:r>
      <w:r w:rsidR="008928D6" w:rsidRPr="009F3D3F">
        <w:rPr>
          <w:rFonts w:ascii="Arial" w:hAnsi="Arial" w:cs="Arial"/>
          <w:sz w:val="24"/>
          <w:szCs w:val="24"/>
        </w:rPr>
        <w:t xml:space="preserve"> Bernburg</w:t>
      </w:r>
      <w:r w:rsidRPr="009F3D3F">
        <w:rPr>
          <w:rFonts w:ascii="Arial" w:hAnsi="Arial" w:cs="Arial"/>
          <w:sz w:val="24"/>
          <w:szCs w:val="24"/>
        </w:rPr>
        <w:t xml:space="preserve"> (</w:t>
      </w:r>
      <w:r w:rsidR="008928D6" w:rsidRPr="009F3D3F">
        <w:rPr>
          <w:rFonts w:ascii="Arial" w:hAnsi="Arial" w:cs="Arial"/>
          <w:sz w:val="24"/>
          <w:szCs w:val="24"/>
        </w:rPr>
        <w:t>2009, p.1</w:t>
      </w:r>
      <w:r w:rsidRPr="009F3D3F">
        <w:rPr>
          <w:rFonts w:ascii="Arial" w:hAnsi="Arial" w:cs="Arial"/>
          <w:sz w:val="24"/>
          <w:szCs w:val="24"/>
        </w:rPr>
        <w:t xml:space="preserve">) </w:t>
      </w:r>
      <w:r w:rsidR="008928D6" w:rsidRPr="009F3D3F">
        <w:rPr>
          <w:rFonts w:ascii="Arial" w:hAnsi="Arial" w:cs="Arial"/>
          <w:sz w:val="24"/>
          <w:szCs w:val="24"/>
        </w:rPr>
        <w:t xml:space="preserve">‘provides a distinctively sociological approach that focuses on the role of social labelling in the development of crime and deviance’ and it came more widely accepted in the 1960s. </w:t>
      </w:r>
      <w:r w:rsidR="009F6AC4" w:rsidRPr="009F3D3F">
        <w:rPr>
          <w:rFonts w:ascii="Arial" w:hAnsi="Arial" w:cs="Arial"/>
          <w:sz w:val="24"/>
          <w:szCs w:val="24"/>
        </w:rPr>
        <w:t xml:space="preserve">Gruevska-Drakulevski (2018, p.3) claims that this theory became more </w:t>
      </w:r>
      <w:proofErr w:type="gramStart"/>
      <w:r w:rsidR="008125A9" w:rsidRPr="009F3D3F">
        <w:rPr>
          <w:rFonts w:ascii="Arial" w:hAnsi="Arial" w:cs="Arial"/>
          <w:sz w:val="24"/>
          <w:szCs w:val="24"/>
        </w:rPr>
        <w:t>well-known</w:t>
      </w:r>
      <w:proofErr w:type="gramEnd"/>
      <w:r w:rsidR="009F6AC4" w:rsidRPr="009F3D3F">
        <w:rPr>
          <w:rFonts w:ascii="Arial" w:hAnsi="Arial" w:cs="Arial"/>
          <w:sz w:val="24"/>
          <w:szCs w:val="24"/>
        </w:rPr>
        <w:t xml:space="preserve"> due to the ‘prompt development of the west sociological and social pathology’. Within Becker’[s labelling theory the term stigma is widely used and is widely recognised in </w:t>
      </w:r>
      <w:r w:rsidR="000174F4" w:rsidRPr="009F3D3F">
        <w:rPr>
          <w:rFonts w:ascii="Arial" w:hAnsi="Arial" w:cs="Arial"/>
          <w:sz w:val="24"/>
          <w:szCs w:val="24"/>
        </w:rPr>
        <w:t>today’s</w:t>
      </w:r>
      <w:r w:rsidR="009F6AC4" w:rsidRPr="009F3D3F">
        <w:rPr>
          <w:rFonts w:ascii="Arial" w:hAnsi="Arial" w:cs="Arial"/>
          <w:sz w:val="24"/>
          <w:szCs w:val="24"/>
        </w:rPr>
        <w:t xml:space="preserve"> generation</w:t>
      </w:r>
      <w:r w:rsidR="005B5441" w:rsidRPr="009F3D3F">
        <w:rPr>
          <w:rFonts w:ascii="Arial" w:hAnsi="Arial" w:cs="Arial"/>
          <w:sz w:val="24"/>
          <w:szCs w:val="24"/>
        </w:rPr>
        <w:t xml:space="preserve"> alongside other social labels</w:t>
      </w:r>
      <w:r w:rsidR="00A670BF">
        <w:rPr>
          <w:rFonts w:ascii="Arial" w:hAnsi="Arial" w:cs="Arial"/>
          <w:sz w:val="24"/>
          <w:szCs w:val="24"/>
        </w:rPr>
        <w:t>.</w:t>
      </w:r>
    </w:p>
    <w:p w:rsidR="005B5441" w:rsidRPr="009F3D3F" w:rsidRDefault="005B5441" w:rsidP="009F3D3F">
      <w:pPr>
        <w:spacing w:line="480" w:lineRule="auto"/>
        <w:ind w:left="720"/>
        <w:jc w:val="both"/>
        <w:rPr>
          <w:rFonts w:ascii="Arial" w:hAnsi="Arial" w:cs="Arial"/>
          <w:i/>
          <w:sz w:val="24"/>
          <w:szCs w:val="24"/>
        </w:rPr>
      </w:pPr>
      <w:r w:rsidRPr="009F3D3F">
        <w:rPr>
          <w:rFonts w:ascii="Arial" w:hAnsi="Arial" w:cs="Arial"/>
          <w:i/>
          <w:sz w:val="24"/>
          <w:szCs w:val="24"/>
        </w:rPr>
        <w:t xml:space="preserve">Social labels generally constitute a part of the cultural framework that people use to define and categorize the social </w:t>
      </w:r>
      <w:r w:rsidR="000174F4" w:rsidRPr="009F3D3F">
        <w:rPr>
          <w:rFonts w:ascii="Arial" w:hAnsi="Arial" w:cs="Arial"/>
          <w:i/>
          <w:sz w:val="24"/>
          <w:szCs w:val="24"/>
        </w:rPr>
        <w:t>world;</w:t>
      </w:r>
      <w:r w:rsidRPr="009F3D3F">
        <w:rPr>
          <w:rFonts w:ascii="Arial" w:hAnsi="Arial" w:cs="Arial"/>
          <w:i/>
          <w:sz w:val="24"/>
          <w:szCs w:val="24"/>
        </w:rPr>
        <w:t xml:space="preserve"> deviant labels are special in that they are stigmatizing labels or markers. This assumption is fundamental to </w:t>
      </w:r>
      <w:r w:rsidRPr="009F3D3F">
        <w:rPr>
          <w:rFonts w:ascii="Arial" w:hAnsi="Arial" w:cs="Arial"/>
          <w:i/>
          <w:sz w:val="24"/>
          <w:szCs w:val="24"/>
        </w:rPr>
        <w:lastRenderedPageBreak/>
        <w:t>labeling theory. Deviant labels, criminal labels in particular, are associated with stigma, which means that the mainstream culture has attached specific, negative images or stereotypes to deviant labels</w:t>
      </w:r>
    </w:p>
    <w:p w:rsidR="00000E8C" w:rsidRPr="009F3D3F" w:rsidRDefault="005B5441" w:rsidP="009F3D3F">
      <w:pPr>
        <w:spacing w:line="480" w:lineRule="auto"/>
        <w:ind w:left="720"/>
        <w:jc w:val="right"/>
        <w:rPr>
          <w:rFonts w:ascii="Arial" w:hAnsi="Arial" w:cs="Arial"/>
          <w:sz w:val="24"/>
          <w:szCs w:val="24"/>
        </w:rPr>
      </w:pPr>
      <w:r w:rsidRPr="009F3D3F">
        <w:rPr>
          <w:rFonts w:ascii="Arial" w:hAnsi="Arial" w:cs="Arial"/>
          <w:sz w:val="24"/>
          <w:szCs w:val="24"/>
        </w:rPr>
        <w:t>(</w:t>
      </w:r>
      <w:r w:rsidR="00000E8C" w:rsidRPr="009F3D3F">
        <w:rPr>
          <w:rFonts w:ascii="Arial" w:hAnsi="Arial" w:cs="Arial"/>
          <w:sz w:val="24"/>
          <w:szCs w:val="24"/>
        </w:rPr>
        <w:t>Bernburg, 2009, p.2</w:t>
      </w:r>
      <w:r w:rsidRPr="009F3D3F">
        <w:rPr>
          <w:rFonts w:ascii="Arial" w:hAnsi="Arial" w:cs="Arial"/>
          <w:sz w:val="24"/>
          <w:szCs w:val="24"/>
        </w:rPr>
        <w:t>).</w:t>
      </w:r>
    </w:p>
    <w:p w:rsidR="0017540D" w:rsidRPr="009F3D3F" w:rsidRDefault="00000E8C" w:rsidP="009F3D3F">
      <w:pPr>
        <w:spacing w:line="480" w:lineRule="auto"/>
        <w:rPr>
          <w:rFonts w:ascii="Arial" w:hAnsi="Arial" w:cs="Arial"/>
          <w:sz w:val="24"/>
          <w:szCs w:val="24"/>
        </w:rPr>
      </w:pPr>
      <w:r w:rsidRPr="009F3D3F">
        <w:rPr>
          <w:rFonts w:ascii="Arial" w:hAnsi="Arial" w:cs="Arial"/>
          <w:sz w:val="24"/>
          <w:szCs w:val="24"/>
        </w:rPr>
        <w:t>Another term used in Becker’s labelling theory is informal and formal labelling.</w:t>
      </w:r>
      <w:r w:rsidR="00585BBD" w:rsidRPr="009F3D3F">
        <w:rPr>
          <w:rFonts w:ascii="Arial" w:hAnsi="Arial" w:cs="Arial"/>
          <w:sz w:val="24"/>
          <w:szCs w:val="24"/>
        </w:rPr>
        <w:t xml:space="preserve"> According to</w:t>
      </w:r>
      <w:r w:rsidR="00FB50FA" w:rsidRPr="009F3D3F">
        <w:rPr>
          <w:rFonts w:ascii="Arial" w:hAnsi="Arial" w:cs="Arial"/>
          <w:sz w:val="24"/>
          <w:szCs w:val="24"/>
        </w:rPr>
        <w:t xml:space="preserve"> Mitchell</w:t>
      </w:r>
      <w:r w:rsidR="00585BBD" w:rsidRPr="009F3D3F">
        <w:rPr>
          <w:rFonts w:ascii="Arial" w:hAnsi="Arial" w:cs="Arial"/>
          <w:sz w:val="24"/>
          <w:szCs w:val="24"/>
        </w:rPr>
        <w:t xml:space="preserve"> (</w:t>
      </w:r>
      <w:r w:rsidR="000174F4" w:rsidRPr="009F3D3F">
        <w:rPr>
          <w:rFonts w:ascii="Arial" w:hAnsi="Arial" w:cs="Arial"/>
          <w:sz w:val="24"/>
          <w:szCs w:val="24"/>
        </w:rPr>
        <w:t>2011),</w:t>
      </w:r>
      <w:r w:rsidR="00FC4422" w:rsidRPr="009F3D3F">
        <w:rPr>
          <w:rFonts w:ascii="Arial" w:hAnsi="Arial" w:cs="Arial"/>
          <w:sz w:val="24"/>
          <w:szCs w:val="24"/>
        </w:rPr>
        <w:t xml:space="preserve"> formal labelling involves a label that is applied by someone in a juvenile system, such as the police. Whereas informal labelling is the labelling </w:t>
      </w:r>
      <w:r w:rsidR="000174F4" w:rsidRPr="009F3D3F">
        <w:rPr>
          <w:rFonts w:ascii="Arial" w:hAnsi="Arial" w:cs="Arial"/>
          <w:sz w:val="24"/>
          <w:szCs w:val="24"/>
        </w:rPr>
        <w:t>one,</w:t>
      </w:r>
      <w:r w:rsidR="00FC4422" w:rsidRPr="009F3D3F">
        <w:rPr>
          <w:rFonts w:ascii="Arial" w:hAnsi="Arial" w:cs="Arial"/>
          <w:sz w:val="24"/>
          <w:szCs w:val="24"/>
        </w:rPr>
        <w:t xml:space="preserve"> will experiences from people outside the juvenile system, such as friends and family. Being labelled can have a huge</w:t>
      </w:r>
      <w:r w:rsidR="00FB50FA" w:rsidRPr="009F3D3F">
        <w:rPr>
          <w:rFonts w:ascii="Arial" w:hAnsi="Arial" w:cs="Arial"/>
          <w:sz w:val="24"/>
          <w:szCs w:val="24"/>
        </w:rPr>
        <w:t xml:space="preserve"> impact on an individual socially and emotionally.</w:t>
      </w:r>
      <w:r w:rsidR="0017540D" w:rsidRPr="009F3D3F">
        <w:rPr>
          <w:rFonts w:ascii="Arial" w:hAnsi="Arial" w:cs="Arial"/>
          <w:sz w:val="24"/>
          <w:szCs w:val="24"/>
        </w:rPr>
        <w:t xml:space="preserve"> A</w:t>
      </w:r>
      <w:r w:rsidR="009F3D3F" w:rsidRPr="009F3D3F">
        <w:rPr>
          <w:rFonts w:ascii="Arial" w:hAnsi="Arial" w:cs="Arial"/>
          <w:sz w:val="24"/>
          <w:szCs w:val="24"/>
        </w:rPr>
        <w:t xml:space="preserve">s Besemer, Farrington and Bijleved </w:t>
      </w:r>
      <w:r w:rsidR="0017540D" w:rsidRPr="009F3D3F">
        <w:rPr>
          <w:rFonts w:ascii="Arial" w:hAnsi="Arial" w:cs="Arial"/>
          <w:sz w:val="24"/>
          <w:szCs w:val="24"/>
        </w:rPr>
        <w:t>(</w:t>
      </w:r>
      <w:r w:rsidR="009F3D3F" w:rsidRPr="009F3D3F">
        <w:rPr>
          <w:rFonts w:ascii="Arial" w:hAnsi="Arial" w:cs="Arial"/>
          <w:sz w:val="24"/>
          <w:szCs w:val="24"/>
        </w:rPr>
        <w:t>2017</w:t>
      </w:r>
      <w:r w:rsidR="0017540D" w:rsidRPr="009F3D3F">
        <w:rPr>
          <w:rFonts w:ascii="Arial" w:hAnsi="Arial" w:cs="Arial"/>
          <w:sz w:val="24"/>
          <w:szCs w:val="24"/>
        </w:rPr>
        <w:t xml:space="preserve">) claims the labelling theory outlines how </w:t>
      </w:r>
      <w:r w:rsidR="000174F4" w:rsidRPr="009F3D3F">
        <w:rPr>
          <w:rFonts w:ascii="Arial" w:hAnsi="Arial" w:cs="Arial"/>
          <w:sz w:val="24"/>
          <w:szCs w:val="24"/>
        </w:rPr>
        <w:t>what label affects a person behaviour</w:t>
      </w:r>
      <w:r w:rsidR="0017540D" w:rsidRPr="009F3D3F">
        <w:rPr>
          <w:rFonts w:ascii="Arial" w:hAnsi="Arial" w:cs="Arial"/>
          <w:sz w:val="24"/>
          <w:szCs w:val="24"/>
        </w:rPr>
        <w:t xml:space="preserve"> society has given them. Therefore, if society labels someone as </w:t>
      </w:r>
      <w:r w:rsidR="009F3D3F" w:rsidRPr="009F3D3F">
        <w:rPr>
          <w:rFonts w:ascii="Arial" w:hAnsi="Arial" w:cs="Arial"/>
          <w:sz w:val="24"/>
          <w:szCs w:val="24"/>
        </w:rPr>
        <w:t>bad person, they are more likely to participate in bad behaviour because that is what society believes in them.</w:t>
      </w:r>
      <w:r w:rsidR="00541711">
        <w:rPr>
          <w:rFonts w:ascii="Arial" w:hAnsi="Arial" w:cs="Arial"/>
          <w:sz w:val="24"/>
          <w:szCs w:val="24"/>
        </w:rPr>
        <w:t xml:space="preserve"> </w:t>
      </w:r>
      <w:r w:rsidR="009B1790">
        <w:rPr>
          <w:rFonts w:ascii="Arial" w:hAnsi="Arial" w:cs="Arial"/>
          <w:sz w:val="24"/>
          <w:szCs w:val="24"/>
        </w:rPr>
        <w:t xml:space="preserve">For young people involved in previous criminal activity that overhanging label can make rehabilitation for that young person extremely difficult. Labelling any young person despite if they have been involve in the law can make that young person individual development difficult. </w:t>
      </w:r>
    </w:p>
    <w:p w:rsidR="00845AE5" w:rsidRPr="009F3D3F" w:rsidRDefault="00401875" w:rsidP="009F3D3F">
      <w:pPr>
        <w:spacing w:line="480" w:lineRule="auto"/>
        <w:jc w:val="both"/>
        <w:rPr>
          <w:rFonts w:ascii="Arial" w:hAnsi="Arial" w:cs="Arial"/>
          <w:sz w:val="24"/>
          <w:szCs w:val="24"/>
        </w:rPr>
      </w:pPr>
      <w:r w:rsidRPr="009F3D3F">
        <w:rPr>
          <w:rFonts w:ascii="Arial" w:hAnsi="Arial" w:cs="Arial"/>
          <w:sz w:val="24"/>
          <w:szCs w:val="24"/>
        </w:rPr>
        <w:t xml:space="preserve">Another sociological theory is the presentation of self in everyday life by Goffman 1956. This theory explores how we interact with people in different types of social settings. Goffman (1956, p.1) states that ‘when an individual enters the presence of others, they commonly seek to acquire information about him or to bring into play information about him already possessed’. Goffman expresses that we react how we do depending on the environment and people we are </w:t>
      </w:r>
      <w:r w:rsidR="00FA3BB9" w:rsidRPr="009F3D3F">
        <w:rPr>
          <w:rFonts w:ascii="Arial" w:hAnsi="Arial" w:cs="Arial"/>
          <w:sz w:val="24"/>
          <w:szCs w:val="24"/>
        </w:rPr>
        <w:t>with:</w:t>
      </w:r>
      <w:r w:rsidRPr="009F3D3F">
        <w:rPr>
          <w:rFonts w:ascii="Arial" w:hAnsi="Arial" w:cs="Arial"/>
          <w:sz w:val="24"/>
          <w:szCs w:val="24"/>
        </w:rPr>
        <w:t xml:space="preserve"> </w:t>
      </w:r>
    </w:p>
    <w:p w:rsidR="00FA3BB9" w:rsidRPr="009F3D3F" w:rsidRDefault="00401875" w:rsidP="009F3D3F">
      <w:pPr>
        <w:spacing w:line="480" w:lineRule="auto"/>
        <w:ind w:left="720"/>
        <w:jc w:val="both"/>
        <w:rPr>
          <w:rFonts w:ascii="Arial" w:hAnsi="Arial" w:cs="Arial"/>
          <w:i/>
          <w:sz w:val="24"/>
          <w:szCs w:val="24"/>
        </w:rPr>
      </w:pPr>
      <w:r w:rsidRPr="009F3D3F">
        <w:rPr>
          <w:rFonts w:ascii="Arial" w:hAnsi="Arial" w:cs="Arial"/>
          <w:i/>
          <w:sz w:val="24"/>
          <w:szCs w:val="24"/>
        </w:rPr>
        <w:lastRenderedPageBreak/>
        <w:t xml:space="preserve">During the period in which the individual is in the immediate </w:t>
      </w:r>
      <w:r w:rsidR="000174F4" w:rsidRPr="009F3D3F">
        <w:rPr>
          <w:rFonts w:ascii="Arial" w:hAnsi="Arial" w:cs="Arial"/>
          <w:i/>
          <w:sz w:val="24"/>
          <w:szCs w:val="24"/>
        </w:rPr>
        <w:t>presence</w:t>
      </w:r>
      <w:r w:rsidRPr="009F3D3F">
        <w:rPr>
          <w:rFonts w:ascii="Arial" w:hAnsi="Arial" w:cs="Arial"/>
          <w:i/>
          <w:sz w:val="24"/>
          <w:szCs w:val="24"/>
        </w:rPr>
        <w:t xml:space="preserve"> of the others, few events may occur</w:t>
      </w:r>
      <w:r w:rsidR="00FA3BB9" w:rsidRPr="009F3D3F">
        <w:rPr>
          <w:rFonts w:ascii="Arial" w:hAnsi="Arial" w:cs="Arial"/>
          <w:i/>
          <w:sz w:val="24"/>
          <w:szCs w:val="24"/>
        </w:rPr>
        <w:t xml:space="preserve"> which directly provide the others with the conclusive information they will need if they are to direct wisely on their own activity. </w:t>
      </w:r>
    </w:p>
    <w:p w:rsidR="00FA3BB9" w:rsidRPr="009F3D3F" w:rsidRDefault="00FA3BB9" w:rsidP="009F3D3F">
      <w:pPr>
        <w:spacing w:line="480" w:lineRule="auto"/>
        <w:ind w:left="720"/>
        <w:jc w:val="right"/>
        <w:rPr>
          <w:rFonts w:ascii="Arial" w:hAnsi="Arial" w:cs="Arial"/>
          <w:sz w:val="24"/>
          <w:szCs w:val="24"/>
        </w:rPr>
      </w:pPr>
      <w:r w:rsidRPr="009F3D3F">
        <w:rPr>
          <w:rFonts w:ascii="Arial" w:hAnsi="Arial" w:cs="Arial"/>
          <w:sz w:val="24"/>
          <w:szCs w:val="24"/>
        </w:rPr>
        <w:t>(Goffman, 1956, p.1)</w:t>
      </w:r>
    </w:p>
    <w:p w:rsidR="00FA3BB9" w:rsidRDefault="00FA3BB9" w:rsidP="009F3D3F">
      <w:pPr>
        <w:spacing w:line="480" w:lineRule="auto"/>
        <w:jc w:val="both"/>
        <w:rPr>
          <w:rFonts w:ascii="Arial" w:hAnsi="Arial" w:cs="Arial"/>
          <w:sz w:val="24"/>
          <w:szCs w:val="24"/>
        </w:rPr>
      </w:pPr>
      <w:r w:rsidRPr="009F3D3F">
        <w:rPr>
          <w:rFonts w:ascii="Arial" w:hAnsi="Arial" w:cs="Arial"/>
          <w:sz w:val="24"/>
          <w:szCs w:val="24"/>
        </w:rPr>
        <w:t>It is also linked to how we want other people to perceive ourselves and that this will have a massive impact on how one presents themselves according to Goffman (1956). Within Goffman’s theory the terms frontstage and backstage is used often and how people social life is grounded between how they display themselves in front of people and how they display themselves when on their own (Artino, 2019).</w:t>
      </w:r>
      <w:r w:rsidR="00962C36" w:rsidRPr="009F3D3F">
        <w:rPr>
          <w:rFonts w:ascii="Arial" w:hAnsi="Arial" w:cs="Arial"/>
          <w:sz w:val="24"/>
          <w:szCs w:val="24"/>
        </w:rPr>
        <w:t xml:space="preserve"> Goffman (1956, p.152) refers to frontstage and backstage to a performance and how a person controls these displays in order to prevent others seeing backstage and to ‘prevent outsiders from coming into a performance that is not addressed to them’. </w:t>
      </w:r>
      <w:r w:rsidR="002F134B">
        <w:rPr>
          <w:rFonts w:ascii="Arial" w:hAnsi="Arial" w:cs="Arial"/>
          <w:sz w:val="24"/>
          <w:szCs w:val="24"/>
        </w:rPr>
        <w:t>This theory can be seen as very relatable within young people and specific social groups as young people often act different in front of friends to what they would at home. As</w:t>
      </w:r>
      <w:r w:rsidR="000174F4">
        <w:rPr>
          <w:rFonts w:ascii="Arial" w:hAnsi="Arial" w:cs="Arial"/>
          <w:sz w:val="24"/>
          <w:szCs w:val="24"/>
        </w:rPr>
        <w:t xml:space="preserve"> Beinwal</w:t>
      </w:r>
      <w:r w:rsidR="002F134B">
        <w:rPr>
          <w:rFonts w:ascii="Arial" w:hAnsi="Arial" w:cs="Arial"/>
          <w:sz w:val="24"/>
          <w:szCs w:val="24"/>
        </w:rPr>
        <w:t xml:space="preserve"> (</w:t>
      </w:r>
      <w:r w:rsidR="000174F4">
        <w:rPr>
          <w:rFonts w:ascii="Arial" w:hAnsi="Arial" w:cs="Arial"/>
          <w:sz w:val="24"/>
          <w:szCs w:val="24"/>
        </w:rPr>
        <w:t>2017)</w:t>
      </w:r>
      <w:r w:rsidR="002F134B">
        <w:rPr>
          <w:rFonts w:ascii="Arial" w:hAnsi="Arial" w:cs="Arial"/>
          <w:sz w:val="24"/>
          <w:szCs w:val="24"/>
        </w:rPr>
        <w:t xml:space="preserve"> states young people can be influenced easily </w:t>
      </w:r>
      <w:r w:rsidR="000174F4">
        <w:rPr>
          <w:rFonts w:ascii="Arial" w:hAnsi="Arial" w:cs="Arial"/>
          <w:sz w:val="24"/>
          <w:szCs w:val="24"/>
        </w:rPr>
        <w:t>by,</w:t>
      </w:r>
      <w:r w:rsidR="002F134B">
        <w:rPr>
          <w:rFonts w:ascii="Arial" w:hAnsi="Arial" w:cs="Arial"/>
          <w:sz w:val="24"/>
          <w:szCs w:val="24"/>
        </w:rPr>
        <w:t xml:space="preserve"> their </w:t>
      </w:r>
      <w:r w:rsidR="000174F4">
        <w:rPr>
          <w:rFonts w:ascii="Arial" w:hAnsi="Arial" w:cs="Arial"/>
          <w:sz w:val="24"/>
          <w:szCs w:val="24"/>
        </w:rPr>
        <w:t>peers, which can result in young people,</w:t>
      </w:r>
      <w:r w:rsidR="002F134B">
        <w:rPr>
          <w:rFonts w:ascii="Arial" w:hAnsi="Arial" w:cs="Arial"/>
          <w:sz w:val="24"/>
          <w:szCs w:val="24"/>
        </w:rPr>
        <w:t xml:space="preserve"> be subject to peer pressure and participating in activities they </w:t>
      </w:r>
      <w:r w:rsidR="000174F4">
        <w:rPr>
          <w:rFonts w:ascii="Arial" w:hAnsi="Arial" w:cs="Arial"/>
          <w:sz w:val="24"/>
          <w:szCs w:val="24"/>
        </w:rPr>
        <w:t>would not</w:t>
      </w:r>
      <w:r w:rsidR="002F134B">
        <w:rPr>
          <w:rFonts w:ascii="Arial" w:hAnsi="Arial" w:cs="Arial"/>
          <w:sz w:val="24"/>
          <w:szCs w:val="24"/>
        </w:rPr>
        <w:t xml:space="preserve"> commonly do </w:t>
      </w:r>
      <w:r w:rsidR="000174F4">
        <w:rPr>
          <w:rFonts w:ascii="Arial" w:hAnsi="Arial" w:cs="Arial"/>
          <w:sz w:val="24"/>
          <w:szCs w:val="24"/>
        </w:rPr>
        <w:t>if</w:t>
      </w:r>
      <w:r w:rsidR="002F134B">
        <w:rPr>
          <w:rFonts w:ascii="Arial" w:hAnsi="Arial" w:cs="Arial"/>
          <w:sz w:val="24"/>
          <w:szCs w:val="24"/>
        </w:rPr>
        <w:t xml:space="preserve"> they </w:t>
      </w:r>
      <w:r w:rsidR="000174F4">
        <w:rPr>
          <w:rFonts w:ascii="Arial" w:hAnsi="Arial" w:cs="Arial"/>
          <w:sz w:val="24"/>
          <w:szCs w:val="24"/>
        </w:rPr>
        <w:t>were not</w:t>
      </w:r>
      <w:r w:rsidR="002F134B">
        <w:rPr>
          <w:rFonts w:ascii="Arial" w:hAnsi="Arial" w:cs="Arial"/>
          <w:sz w:val="24"/>
          <w:szCs w:val="24"/>
        </w:rPr>
        <w:t xml:space="preserve"> with that pier. </w:t>
      </w:r>
    </w:p>
    <w:p w:rsidR="00917B03" w:rsidRDefault="004D1C80" w:rsidP="009F3D3F">
      <w:pPr>
        <w:spacing w:line="480" w:lineRule="auto"/>
        <w:jc w:val="both"/>
        <w:rPr>
          <w:rFonts w:ascii="Arial" w:hAnsi="Arial" w:cs="Arial"/>
          <w:sz w:val="24"/>
        </w:rPr>
      </w:pPr>
      <w:r>
        <w:rPr>
          <w:rFonts w:ascii="Arial" w:hAnsi="Arial" w:cs="Arial"/>
          <w:sz w:val="24"/>
          <w:szCs w:val="24"/>
        </w:rPr>
        <w:t>The above three theories were choose in relation to vulnerable young people. Growing up and finding a sense of belonging can be an extremely difficult time for all young people without the added stresses society can cause. According to Maslow (1954 finding a sense of belonging is amongst</w:t>
      </w:r>
      <w:r w:rsidR="00DA0058">
        <w:rPr>
          <w:rFonts w:ascii="Arial" w:hAnsi="Arial" w:cs="Arial"/>
          <w:sz w:val="24"/>
          <w:szCs w:val="24"/>
        </w:rPr>
        <w:t xml:space="preserve"> ones basic needs. </w:t>
      </w:r>
      <w:r w:rsidR="00541711">
        <w:rPr>
          <w:rFonts w:ascii="Arial" w:hAnsi="Arial" w:cs="Arial"/>
          <w:sz w:val="24"/>
          <w:szCs w:val="24"/>
        </w:rPr>
        <w:t>According to Pesonen (2016, p.1)</w:t>
      </w:r>
      <w:r w:rsidR="00541711" w:rsidRPr="00541711">
        <w:rPr>
          <w:rFonts w:ascii="Arial" w:hAnsi="Arial" w:cs="Arial"/>
          <w:sz w:val="28"/>
          <w:szCs w:val="24"/>
        </w:rPr>
        <w:t xml:space="preserve"> </w:t>
      </w:r>
      <w:r w:rsidR="00541711">
        <w:rPr>
          <w:rFonts w:ascii="Arial" w:hAnsi="Arial" w:cs="Arial"/>
          <w:sz w:val="24"/>
        </w:rPr>
        <w:t>a ‘s</w:t>
      </w:r>
      <w:r w:rsidR="005C5D71" w:rsidRPr="00541711">
        <w:rPr>
          <w:rFonts w:ascii="Arial" w:hAnsi="Arial" w:cs="Arial"/>
          <w:sz w:val="24"/>
        </w:rPr>
        <w:t>ense of belonging has been described in the literature as the extent to which an individual feels included, respected, accepted, and supported by other</w:t>
      </w:r>
      <w:r w:rsidR="00541711" w:rsidRPr="00541711">
        <w:rPr>
          <w:rFonts w:ascii="Arial" w:hAnsi="Arial" w:cs="Arial"/>
          <w:sz w:val="24"/>
        </w:rPr>
        <w:t xml:space="preserve">s in </w:t>
      </w:r>
      <w:r w:rsidR="00541711" w:rsidRPr="00541711">
        <w:rPr>
          <w:rFonts w:ascii="Arial" w:hAnsi="Arial" w:cs="Arial"/>
          <w:sz w:val="24"/>
        </w:rPr>
        <w:lastRenderedPageBreak/>
        <w:t>different social contexts’.</w:t>
      </w:r>
      <w:r w:rsidR="00541711">
        <w:rPr>
          <w:rFonts w:ascii="Arial" w:hAnsi="Arial" w:cs="Arial"/>
          <w:sz w:val="24"/>
        </w:rPr>
        <w:t xml:space="preserve"> Although having a sense of belonging </w:t>
      </w:r>
      <w:r w:rsidR="000174F4">
        <w:rPr>
          <w:rFonts w:ascii="Arial" w:hAnsi="Arial" w:cs="Arial"/>
          <w:sz w:val="24"/>
        </w:rPr>
        <w:t>is,</w:t>
      </w:r>
      <w:r w:rsidR="00541711">
        <w:rPr>
          <w:rFonts w:ascii="Arial" w:hAnsi="Arial" w:cs="Arial"/>
          <w:sz w:val="24"/>
        </w:rPr>
        <w:t xml:space="preserve"> essential it is not always an easy process for young people and they can often struggle with people and societies inputs. Therefore, the presentation of self in everyday life by Goffman, the labelling theory by Becker and the looking glass </w:t>
      </w:r>
      <w:r w:rsidR="000174F4">
        <w:rPr>
          <w:rFonts w:ascii="Arial" w:hAnsi="Arial" w:cs="Arial"/>
          <w:sz w:val="24"/>
        </w:rPr>
        <w:t>self-theory</w:t>
      </w:r>
      <w:r w:rsidR="00541711">
        <w:rPr>
          <w:rFonts w:ascii="Arial" w:hAnsi="Arial" w:cs="Arial"/>
          <w:sz w:val="24"/>
        </w:rPr>
        <w:t xml:space="preserve"> by Cooley are three theories that look closely at how society and other people can </w:t>
      </w:r>
      <w:r w:rsidR="000174F4">
        <w:rPr>
          <w:rFonts w:ascii="Arial" w:hAnsi="Arial" w:cs="Arial"/>
          <w:sz w:val="24"/>
        </w:rPr>
        <w:t>affect</w:t>
      </w:r>
      <w:r w:rsidR="00541711">
        <w:rPr>
          <w:rFonts w:ascii="Arial" w:hAnsi="Arial" w:cs="Arial"/>
          <w:sz w:val="24"/>
        </w:rPr>
        <w:t xml:space="preserve"> how an individual behaviours and presents themselves.</w:t>
      </w:r>
      <w:r w:rsidR="00974232">
        <w:rPr>
          <w:rFonts w:ascii="Arial" w:hAnsi="Arial" w:cs="Arial"/>
          <w:sz w:val="24"/>
        </w:rPr>
        <w:t xml:space="preserve"> Layne </w:t>
      </w:r>
      <w:r w:rsidR="00F968E2">
        <w:rPr>
          <w:rFonts w:ascii="Arial" w:hAnsi="Arial" w:cs="Arial"/>
          <w:sz w:val="24"/>
        </w:rPr>
        <w:t>(</w:t>
      </w:r>
      <w:r w:rsidR="00974232">
        <w:rPr>
          <w:rFonts w:ascii="Arial" w:hAnsi="Arial" w:cs="Arial"/>
          <w:sz w:val="24"/>
        </w:rPr>
        <w:t>2019</w:t>
      </w:r>
      <w:r w:rsidR="00F968E2">
        <w:rPr>
          <w:rFonts w:ascii="Arial" w:hAnsi="Arial" w:cs="Arial"/>
          <w:sz w:val="24"/>
        </w:rPr>
        <w:t xml:space="preserve">) claims that other peoples opinion can affect many aspects of </w:t>
      </w:r>
      <w:r w:rsidR="00974232">
        <w:rPr>
          <w:rFonts w:ascii="Arial" w:hAnsi="Arial" w:cs="Arial"/>
          <w:sz w:val="24"/>
        </w:rPr>
        <w:t>someone’s</w:t>
      </w:r>
      <w:r w:rsidR="00F968E2">
        <w:rPr>
          <w:rFonts w:ascii="Arial" w:hAnsi="Arial" w:cs="Arial"/>
          <w:sz w:val="24"/>
        </w:rPr>
        <w:t xml:space="preserve"> life from the way they dress to the way they act </w:t>
      </w:r>
      <w:r w:rsidR="000174F4">
        <w:rPr>
          <w:rFonts w:ascii="Arial" w:hAnsi="Arial" w:cs="Arial"/>
          <w:sz w:val="24"/>
        </w:rPr>
        <w:t>moving</w:t>
      </w:r>
      <w:r w:rsidR="00F968E2">
        <w:rPr>
          <w:rFonts w:ascii="Arial" w:hAnsi="Arial" w:cs="Arial"/>
          <w:sz w:val="24"/>
        </w:rPr>
        <w:t xml:space="preserve"> forward and this</w:t>
      </w:r>
      <w:r w:rsidR="00974232">
        <w:rPr>
          <w:rFonts w:ascii="Arial" w:hAnsi="Arial" w:cs="Arial"/>
          <w:sz w:val="24"/>
        </w:rPr>
        <w:t xml:space="preserve"> is part of the meaning behind the theories.</w:t>
      </w:r>
    </w:p>
    <w:p w:rsidR="00974232" w:rsidRPr="009F3D3F" w:rsidRDefault="00974232" w:rsidP="009F3D3F">
      <w:pPr>
        <w:spacing w:line="480" w:lineRule="auto"/>
        <w:jc w:val="both"/>
        <w:rPr>
          <w:rFonts w:ascii="Arial" w:hAnsi="Arial" w:cs="Arial"/>
          <w:sz w:val="24"/>
          <w:szCs w:val="24"/>
        </w:rPr>
      </w:pPr>
      <w:r>
        <w:rPr>
          <w:rFonts w:ascii="Arial" w:hAnsi="Arial" w:cs="Arial"/>
          <w:sz w:val="24"/>
        </w:rPr>
        <w:t>As Maslow (1954) being able to find one’s sense of belonging</w:t>
      </w:r>
      <w:r w:rsidR="00DC6AEC">
        <w:rPr>
          <w:rFonts w:ascii="Arial" w:hAnsi="Arial" w:cs="Arial"/>
          <w:sz w:val="24"/>
        </w:rPr>
        <w:t xml:space="preserve"> is a basic need it is also come into play as one of children and young people’s rights outlined in the UNCRC. Within the UNCRC (Unicef, 2015, p.1) article 13 states that ‘e</w:t>
      </w:r>
      <w:r w:rsidR="00DC6AEC" w:rsidRPr="00DC6AEC">
        <w:rPr>
          <w:rFonts w:ascii="Arial" w:hAnsi="Arial" w:cs="Arial"/>
          <w:sz w:val="24"/>
        </w:rPr>
        <w:t>very child must be free to express their thoughts and opinions and to access all kinds of information, as long as</w:t>
      </w:r>
      <w:r w:rsidR="00DC6AEC">
        <w:rPr>
          <w:rFonts w:ascii="Arial" w:hAnsi="Arial" w:cs="Arial"/>
          <w:sz w:val="24"/>
        </w:rPr>
        <w:t xml:space="preserve"> it is within the law’.</w:t>
      </w:r>
      <w:r w:rsidR="00184186">
        <w:rPr>
          <w:rFonts w:ascii="Arial" w:hAnsi="Arial" w:cs="Arial"/>
          <w:sz w:val="24"/>
        </w:rPr>
        <w:t xml:space="preserve"> All young </w:t>
      </w:r>
      <w:r w:rsidR="000174F4">
        <w:rPr>
          <w:rFonts w:ascii="Arial" w:hAnsi="Arial" w:cs="Arial"/>
          <w:sz w:val="24"/>
        </w:rPr>
        <w:t>people</w:t>
      </w:r>
      <w:r w:rsidR="00184186">
        <w:rPr>
          <w:rFonts w:ascii="Arial" w:hAnsi="Arial" w:cs="Arial"/>
          <w:sz w:val="24"/>
        </w:rPr>
        <w:t xml:space="preserve"> have the right to be included and to be treated fairly. Article 2 states that ‘t</w:t>
      </w:r>
      <w:r w:rsidR="00184186" w:rsidRPr="00184186">
        <w:rPr>
          <w:rFonts w:ascii="Arial" w:hAnsi="Arial" w:cs="Arial"/>
          <w:sz w:val="24"/>
        </w:rPr>
        <w:t xml:space="preserve">he Convention applies to every child without </w:t>
      </w:r>
      <w:r w:rsidR="000174F4">
        <w:rPr>
          <w:rFonts w:ascii="Arial" w:hAnsi="Arial" w:cs="Arial"/>
          <w:sz w:val="24"/>
        </w:rPr>
        <w:t xml:space="preserve">discrimination, whatever their </w:t>
      </w:r>
      <w:r w:rsidR="000174F4" w:rsidRPr="00184186">
        <w:rPr>
          <w:rFonts w:ascii="Arial" w:hAnsi="Arial" w:cs="Arial"/>
          <w:sz w:val="24"/>
        </w:rPr>
        <w:t>ethnicity</w:t>
      </w:r>
      <w:r w:rsidR="00184186" w:rsidRPr="00184186">
        <w:rPr>
          <w:rFonts w:ascii="Arial" w:hAnsi="Arial" w:cs="Arial"/>
          <w:sz w:val="24"/>
        </w:rPr>
        <w:t>, gender, religion, language, abilities or any other status, whatever they think or say, whatever their family background</w:t>
      </w:r>
      <w:r w:rsidR="00184186" w:rsidRPr="00184186">
        <w:rPr>
          <w:rFonts w:ascii="Arial" w:hAnsi="Arial" w:cs="Arial"/>
          <w:sz w:val="24"/>
        </w:rPr>
        <w:t>’ (Unicef, 2015, p.1).</w:t>
      </w:r>
      <w:r w:rsidR="00184186">
        <w:rPr>
          <w:rFonts w:ascii="Arial" w:hAnsi="Arial" w:cs="Arial"/>
          <w:sz w:val="24"/>
        </w:rPr>
        <w:t xml:space="preserve"> Therefore</w:t>
      </w:r>
      <w:r w:rsidR="00D261CC">
        <w:rPr>
          <w:rFonts w:ascii="Arial" w:hAnsi="Arial" w:cs="Arial"/>
          <w:sz w:val="24"/>
        </w:rPr>
        <w:t>, the united nation conventional rights of a child underlines that all young people have the right to be treated fairly, where they are not discriminated and able to freely express themselves. P</w:t>
      </w:r>
      <w:r w:rsidR="003C7698">
        <w:rPr>
          <w:rFonts w:ascii="Arial" w:hAnsi="Arial" w:cs="Arial"/>
          <w:sz w:val="24"/>
        </w:rPr>
        <w:t>rior to the UNCRC the Children and Young Persons Act was introduced in 1933</w:t>
      </w:r>
      <w:r w:rsidR="00880A91">
        <w:rPr>
          <w:rFonts w:ascii="Arial" w:hAnsi="Arial" w:cs="Arial"/>
          <w:sz w:val="24"/>
        </w:rPr>
        <w:t xml:space="preserve"> to prevent children and young people being subjective to cruelty</w:t>
      </w:r>
      <w:r w:rsidR="003C7698">
        <w:rPr>
          <w:rFonts w:ascii="Arial" w:hAnsi="Arial" w:cs="Arial"/>
          <w:sz w:val="24"/>
        </w:rPr>
        <w:t>. This consists of</w:t>
      </w:r>
      <w:r w:rsidR="00880A91">
        <w:rPr>
          <w:rFonts w:ascii="Arial" w:hAnsi="Arial" w:cs="Arial"/>
          <w:sz w:val="24"/>
        </w:rPr>
        <w:t xml:space="preserve"> 109 sections.</w:t>
      </w:r>
    </w:p>
    <w:p w:rsidR="00880A91" w:rsidRDefault="00880A91" w:rsidP="009F3D3F">
      <w:pPr>
        <w:spacing w:line="480" w:lineRule="auto"/>
        <w:jc w:val="both"/>
        <w:rPr>
          <w:rFonts w:ascii="Arial" w:hAnsi="Arial" w:cs="Arial"/>
          <w:sz w:val="24"/>
          <w:szCs w:val="24"/>
        </w:rPr>
      </w:pPr>
      <w:r>
        <w:rPr>
          <w:rFonts w:ascii="Arial" w:hAnsi="Arial" w:cs="Arial"/>
          <w:sz w:val="24"/>
          <w:szCs w:val="24"/>
        </w:rPr>
        <w:t>T</w:t>
      </w:r>
      <w:r w:rsidR="005C5D71">
        <w:rPr>
          <w:rFonts w:ascii="Arial" w:hAnsi="Arial" w:cs="Arial"/>
          <w:sz w:val="24"/>
          <w:szCs w:val="24"/>
        </w:rPr>
        <w:t xml:space="preserve">o conclude, society, meritocracy and inequalities can have a huge impact on a young person development and future paths. </w:t>
      </w:r>
      <w:r>
        <w:rPr>
          <w:rFonts w:ascii="Arial" w:hAnsi="Arial" w:cs="Arial"/>
          <w:sz w:val="24"/>
          <w:szCs w:val="24"/>
        </w:rPr>
        <w:t xml:space="preserve">Within society </w:t>
      </w:r>
      <w:r w:rsidR="000174F4">
        <w:rPr>
          <w:rFonts w:ascii="Arial" w:hAnsi="Arial" w:cs="Arial"/>
          <w:sz w:val="24"/>
          <w:szCs w:val="24"/>
        </w:rPr>
        <w:t>group young people will divide</w:t>
      </w:r>
      <w:r>
        <w:rPr>
          <w:rFonts w:ascii="Arial" w:hAnsi="Arial" w:cs="Arial"/>
          <w:sz w:val="24"/>
          <w:szCs w:val="24"/>
        </w:rPr>
        <w:t xml:space="preserve"> themselves into specific social groups that they feel best suits them.</w:t>
      </w:r>
    </w:p>
    <w:p w:rsidR="00880A91" w:rsidRDefault="00880A91" w:rsidP="00880A91">
      <w:pPr>
        <w:spacing w:line="480" w:lineRule="auto"/>
        <w:ind w:left="720"/>
        <w:jc w:val="both"/>
        <w:rPr>
          <w:rFonts w:ascii="Arial" w:hAnsi="Arial" w:cs="Arial"/>
          <w:i/>
          <w:sz w:val="24"/>
        </w:rPr>
      </w:pPr>
      <w:r w:rsidRPr="00880A91">
        <w:rPr>
          <w:rFonts w:ascii="Arial" w:hAnsi="Arial" w:cs="Arial"/>
          <w:i/>
          <w:sz w:val="24"/>
        </w:rPr>
        <w:lastRenderedPageBreak/>
        <w:t>All social groups make rules and attempt, at some times and under some circumstances, to enforc</w:t>
      </w:r>
      <w:r>
        <w:rPr>
          <w:rFonts w:ascii="Arial" w:hAnsi="Arial" w:cs="Arial"/>
          <w:i/>
          <w:sz w:val="24"/>
        </w:rPr>
        <w:t>e them. Social rules define sit</w:t>
      </w:r>
      <w:r w:rsidRPr="00880A91">
        <w:rPr>
          <w:rFonts w:ascii="Arial" w:hAnsi="Arial" w:cs="Arial"/>
          <w:i/>
          <w:sz w:val="24"/>
        </w:rPr>
        <w:t>uations and the kinds of behavior appropriate to them, specifying some actions as right and forbidding others as wrong</w:t>
      </w:r>
    </w:p>
    <w:p w:rsidR="00880A91" w:rsidRDefault="00880A91" w:rsidP="00880A91">
      <w:pPr>
        <w:spacing w:line="480" w:lineRule="auto"/>
        <w:ind w:left="720"/>
        <w:jc w:val="right"/>
        <w:rPr>
          <w:rFonts w:ascii="Arial" w:hAnsi="Arial" w:cs="Arial"/>
          <w:sz w:val="24"/>
        </w:rPr>
      </w:pPr>
      <w:r>
        <w:rPr>
          <w:rFonts w:ascii="Arial" w:hAnsi="Arial" w:cs="Arial"/>
          <w:sz w:val="24"/>
        </w:rPr>
        <w:t>(Gray, 2000, p.1).</w:t>
      </w:r>
    </w:p>
    <w:p w:rsidR="00880A91" w:rsidRDefault="00880A91" w:rsidP="00880A91">
      <w:pPr>
        <w:spacing w:line="480" w:lineRule="auto"/>
        <w:rPr>
          <w:rFonts w:ascii="Arial" w:hAnsi="Arial" w:cs="Arial"/>
          <w:sz w:val="24"/>
        </w:rPr>
      </w:pPr>
      <w:r>
        <w:rPr>
          <w:rFonts w:ascii="Arial" w:hAnsi="Arial" w:cs="Arial"/>
          <w:sz w:val="24"/>
        </w:rPr>
        <w:t xml:space="preserve">For young people identify a sense of belonging and categorising themselves into their </w:t>
      </w:r>
      <w:r w:rsidR="000174F4">
        <w:rPr>
          <w:rFonts w:ascii="Arial" w:hAnsi="Arial" w:cs="Arial"/>
          <w:sz w:val="24"/>
        </w:rPr>
        <w:t>best-suited</w:t>
      </w:r>
      <w:r w:rsidR="00701D93">
        <w:rPr>
          <w:rFonts w:ascii="Arial" w:hAnsi="Arial" w:cs="Arial"/>
          <w:sz w:val="24"/>
        </w:rPr>
        <w:t xml:space="preserve"> social group can be what determines their social status and future career. In this </w:t>
      </w:r>
      <w:r w:rsidR="000174F4">
        <w:rPr>
          <w:rFonts w:ascii="Arial" w:hAnsi="Arial" w:cs="Arial"/>
          <w:sz w:val="24"/>
        </w:rPr>
        <w:t>case,</w:t>
      </w:r>
      <w:r w:rsidR="00701D93">
        <w:rPr>
          <w:rFonts w:ascii="Arial" w:hAnsi="Arial" w:cs="Arial"/>
          <w:sz w:val="24"/>
        </w:rPr>
        <w:t xml:space="preserve"> social mobility and meritocracy is seen to be extremely important.</w:t>
      </w:r>
      <w:r w:rsidR="0027464B">
        <w:rPr>
          <w:rFonts w:ascii="Arial" w:hAnsi="Arial" w:cs="Arial"/>
          <w:sz w:val="24"/>
        </w:rPr>
        <w:t xml:space="preserve"> A</w:t>
      </w:r>
      <w:r w:rsidR="00240C22">
        <w:rPr>
          <w:rFonts w:ascii="Arial" w:hAnsi="Arial" w:cs="Arial"/>
          <w:sz w:val="24"/>
        </w:rPr>
        <w:t xml:space="preserve">ccording to Garcia and Heckman </w:t>
      </w:r>
      <w:r w:rsidR="0027464B">
        <w:rPr>
          <w:rFonts w:ascii="Arial" w:hAnsi="Arial" w:cs="Arial"/>
          <w:sz w:val="24"/>
        </w:rPr>
        <w:t>(</w:t>
      </w:r>
      <w:r w:rsidR="00240C22">
        <w:rPr>
          <w:rFonts w:ascii="Arial" w:hAnsi="Arial" w:cs="Arial"/>
          <w:sz w:val="24"/>
        </w:rPr>
        <w:t>2022</w:t>
      </w:r>
      <w:r w:rsidR="0027464B">
        <w:rPr>
          <w:rFonts w:ascii="Arial" w:hAnsi="Arial" w:cs="Arial"/>
          <w:sz w:val="24"/>
        </w:rPr>
        <w:t xml:space="preserve">) many researchers have claimed that one’s childhood can be the determining factor to </w:t>
      </w:r>
      <w:r w:rsidR="00240C22">
        <w:rPr>
          <w:rFonts w:ascii="Arial" w:hAnsi="Arial" w:cs="Arial"/>
          <w:sz w:val="24"/>
        </w:rPr>
        <w:t>one’s</w:t>
      </w:r>
      <w:r w:rsidR="0027464B">
        <w:rPr>
          <w:rFonts w:ascii="Arial" w:hAnsi="Arial" w:cs="Arial"/>
          <w:sz w:val="24"/>
        </w:rPr>
        <w:t xml:space="preserve"> social mobility, emphasising the role of the </w:t>
      </w:r>
      <w:r w:rsidR="00240C22">
        <w:rPr>
          <w:rFonts w:ascii="Arial" w:hAnsi="Arial" w:cs="Arial"/>
          <w:sz w:val="24"/>
        </w:rPr>
        <w:t>families’</w:t>
      </w:r>
      <w:r w:rsidR="0027464B">
        <w:rPr>
          <w:rFonts w:ascii="Arial" w:hAnsi="Arial" w:cs="Arial"/>
          <w:sz w:val="24"/>
        </w:rPr>
        <w:t xml:space="preserve"> contribution. </w:t>
      </w:r>
      <w:r w:rsidR="00240C22">
        <w:rPr>
          <w:rFonts w:ascii="Arial" w:hAnsi="Arial" w:cs="Arial"/>
          <w:sz w:val="24"/>
        </w:rPr>
        <w:t xml:space="preserve">Family contribution can </w:t>
      </w:r>
      <w:r w:rsidR="000174F4">
        <w:rPr>
          <w:rFonts w:ascii="Arial" w:hAnsi="Arial" w:cs="Arial"/>
          <w:sz w:val="24"/>
        </w:rPr>
        <w:t>influence</w:t>
      </w:r>
      <w:r w:rsidR="00240C22">
        <w:rPr>
          <w:rFonts w:ascii="Arial" w:hAnsi="Arial" w:cs="Arial"/>
          <w:sz w:val="24"/>
        </w:rPr>
        <w:t xml:space="preserve"> an </w:t>
      </w:r>
      <w:r w:rsidR="000174F4">
        <w:rPr>
          <w:rFonts w:ascii="Arial" w:hAnsi="Arial" w:cs="Arial"/>
          <w:sz w:val="24"/>
        </w:rPr>
        <w:t>individual’s</w:t>
      </w:r>
      <w:r w:rsidR="00240C22">
        <w:rPr>
          <w:rFonts w:ascii="Arial" w:hAnsi="Arial" w:cs="Arial"/>
          <w:sz w:val="24"/>
        </w:rPr>
        <w:t xml:space="preserve"> social mobility and so can the relationship the individual has with others and the environment they are in. </w:t>
      </w:r>
    </w:p>
    <w:p w:rsidR="00880A91" w:rsidRPr="00880A91" w:rsidRDefault="00880A91" w:rsidP="00880A91">
      <w:pPr>
        <w:spacing w:line="480" w:lineRule="auto"/>
        <w:rPr>
          <w:rFonts w:ascii="Arial" w:hAnsi="Arial" w:cs="Arial"/>
          <w:sz w:val="28"/>
          <w:szCs w:val="24"/>
        </w:rPr>
      </w:pPr>
    </w:p>
    <w:p w:rsidR="004323E7" w:rsidRPr="009F3D3F" w:rsidRDefault="00BE2068" w:rsidP="009F3D3F">
      <w:pPr>
        <w:spacing w:line="480" w:lineRule="auto"/>
        <w:jc w:val="both"/>
        <w:rPr>
          <w:rFonts w:ascii="Arial" w:hAnsi="Arial" w:cs="Arial"/>
          <w:sz w:val="24"/>
          <w:szCs w:val="24"/>
          <w:u w:val="single"/>
        </w:rPr>
      </w:pPr>
      <w:r w:rsidRPr="009F3D3F">
        <w:rPr>
          <w:rFonts w:ascii="Arial" w:hAnsi="Arial" w:cs="Arial"/>
          <w:sz w:val="24"/>
          <w:szCs w:val="24"/>
          <w:u w:val="single"/>
        </w:rPr>
        <w:t>Reference List:</w:t>
      </w:r>
    </w:p>
    <w:p w:rsidR="00BE2068" w:rsidRPr="000174F4" w:rsidRDefault="00BE2068" w:rsidP="009F3D3F">
      <w:pPr>
        <w:pStyle w:val="ListParagraph"/>
        <w:numPr>
          <w:ilvl w:val="0"/>
          <w:numId w:val="1"/>
        </w:numPr>
        <w:spacing w:line="480" w:lineRule="auto"/>
        <w:jc w:val="both"/>
        <w:rPr>
          <w:rFonts w:ascii="Arial" w:hAnsi="Arial" w:cs="Arial"/>
          <w:sz w:val="24"/>
          <w:szCs w:val="24"/>
        </w:rPr>
      </w:pPr>
      <w:r w:rsidRPr="009F3D3F">
        <w:rPr>
          <w:rFonts w:ascii="Arial" w:hAnsi="Arial" w:cs="Arial"/>
          <w:color w:val="222222"/>
          <w:sz w:val="24"/>
          <w:szCs w:val="24"/>
          <w:shd w:val="clear" w:color="auto" w:fill="FFFFFF"/>
        </w:rPr>
        <w:t>Stewart, C., Anwuzia, O. and Rajaprakasam, P., 2022. Struggling at School but Starting a Business? At-Risk NEET Young People, Entrepreneurship and Social Change.</w:t>
      </w:r>
    </w:p>
    <w:p w:rsidR="003E0DCE" w:rsidRPr="000174F4" w:rsidRDefault="003E0DCE" w:rsidP="009F3D3F">
      <w:pPr>
        <w:pStyle w:val="ListParagraph"/>
        <w:numPr>
          <w:ilvl w:val="0"/>
          <w:numId w:val="1"/>
        </w:numPr>
        <w:spacing w:line="480" w:lineRule="auto"/>
        <w:jc w:val="both"/>
        <w:rPr>
          <w:rFonts w:ascii="Arial" w:hAnsi="Arial" w:cs="Arial"/>
          <w:sz w:val="24"/>
          <w:szCs w:val="24"/>
        </w:rPr>
      </w:pPr>
      <w:r>
        <w:rPr>
          <w:rFonts w:ascii="Arial" w:hAnsi="Arial" w:cs="Arial"/>
          <w:color w:val="222222"/>
          <w:sz w:val="24"/>
          <w:szCs w:val="24"/>
          <w:shd w:val="clear" w:color="auto" w:fill="FFFFFF"/>
        </w:rPr>
        <w:t>CWVYS. (2022). Youth Work in Wales: Principles and Purposes. Wales: CWVYS</w:t>
      </w:r>
    </w:p>
    <w:p w:rsidR="000174F4" w:rsidRPr="002F134B" w:rsidRDefault="000174F4" w:rsidP="009F3D3F">
      <w:pPr>
        <w:pStyle w:val="ListParagraph"/>
        <w:numPr>
          <w:ilvl w:val="0"/>
          <w:numId w:val="1"/>
        </w:numPr>
        <w:spacing w:line="480" w:lineRule="auto"/>
        <w:jc w:val="both"/>
        <w:rPr>
          <w:rFonts w:ascii="Arial" w:hAnsi="Arial" w:cs="Arial"/>
          <w:sz w:val="24"/>
          <w:szCs w:val="24"/>
        </w:rPr>
      </w:pPr>
      <w:r>
        <w:rPr>
          <w:rFonts w:ascii="Arial" w:hAnsi="Arial" w:cs="Arial"/>
          <w:color w:val="222222"/>
          <w:sz w:val="24"/>
          <w:szCs w:val="24"/>
          <w:shd w:val="clear" w:color="auto" w:fill="FFFFFF"/>
        </w:rPr>
        <w:t>Beinwal, R. (2017). Dealing with Peer Pressure. Maharshu Dayanand University: Research Gate.</w:t>
      </w:r>
    </w:p>
    <w:p w:rsidR="002F134B" w:rsidRPr="003E0DCE" w:rsidRDefault="002F134B" w:rsidP="009F3D3F">
      <w:pPr>
        <w:pStyle w:val="ListParagraph"/>
        <w:numPr>
          <w:ilvl w:val="0"/>
          <w:numId w:val="1"/>
        </w:numPr>
        <w:spacing w:line="480" w:lineRule="auto"/>
        <w:jc w:val="both"/>
        <w:rPr>
          <w:rFonts w:ascii="Arial" w:hAnsi="Arial" w:cs="Arial"/>
          <w:sz w:val="24"/>
          <w:szCs w:val="24"/>
        </w:rPr>
      </w:pPr>
      <w:r>
        <w:rPr>
          <w:rFonts w:ascii="Arial" w:hAnsi="Arial" w:cs="Arial"/>
          <w:color w:val="222222"/>
          <w:sz w:val="24"/>
          <w:szCs w:val="24"/>
          <w:shd w:val="clear" w:color="auto" w:fill="FFFFFF"/>
        </w:rPr>
        <w:lastRenderedPageBreak/>
        <w:t xml:space="preserve">Scott, E. (2017). The Scientific Reason You Were So Desperate to Firt In as a Teen. Available at: </w:t>
      </w:r>
      <w:hyperlink r:id="rId8" w:history="1">
        <w:r>
          <w:rPr>
            <w:rStyle w:val="Hyperlink"/>
          </w:rPr>
          <w:t>The Scientific Reason You Were So Desperate to Fit In as a Teen (vice.com)</w:t>
        </w:r>
      </w:hyperlink>
      <w:r>
        <w:t>. Last Accessed 24/03/2023</w:t>
      </w:r>
    </w:p>
    <w:p w:rsidR="003E0DCE" w:rsidRPr="002F4686" w:rsidRDefault="003E0DCE" w:rsidP="009F3D3F">
      <w:pPr>
        <w:pStyle w:val="ListParagraph"/>
        <w:numPr>
          <w:ilvl w:val="0"/>
          <w:numId w:val="1"/>
        </w:numPr>
        <w:spacing w:line="480" w:lineRule="auto"/>
        <w:jc w:val="both"/>
        <w:rPr>
          <w:rFonts w:ascii="Arial" w:hAnsi="Arial" w:cs="Arial"/>
          <w:sz w:val="24"/>
          <w:szCs w:val="24"/>
        </w:rPr>
      </w:pPr>
      <w:r>
        <w:rPr>
          <w:rFonts w:ascii="Arial" w:hAnsi="Arial" w:cs="Arial"/>
          <w:color w:val="222222"/>
          <w:sz w:val="24"/>
          <w:szCs w:val="24"/>
          <w:shd w:val="clear" w:color="auto" w:fill="FFFFFF"/>
        </w:rPr>
        <w:t xml:space="preserve">Tahir, I. (2022). The UK education system preserves inequality – new report. Available at: </w:t>
      </w:r>
      <w:hyperlink r:id="rId9" w:history="1">
        <w:r>
          <w:rPr>
            <w:rStyle w:val="Hyperlink"/>
          </w:rPr>
          <w:t>The UK education system preserves inequality – new report | Institute for Fiscal Studies (ifs.org.uk)</w:t>
        </w:r>
      </w:hyperlink>
      <w:r>
        <w:t>. Last Accessed 24/03/2023</w:t>
      </w:r>
    </w:p>
    <w:p w:rsidR="002F4686" w:rsidRPr="00240C22" w:rsidRDefault="002F4686" w:rsidP="009F3D3F">
      <w:pPr>
        <w:pStyle w:val="ListParagraph"/>
        <w:numPr>
          <w:ilvl w:val="0"/>
          <w:numId w:val="1"/>
        </w:numPr>
        <w:spacing w:line="480" w:lineRule="auto"/>
        <w:jc w:val="both"/>
        <w:rPr>
          <w:rFonts w:ascii="Arial" w:hAnsi="Arial" w:cs="Arial"/>
          <w:sz w:val="24"/>
          <w:szCs w:val="24"/>
        </w:rPr>
      </w:pPr>
      <w:r>
        <w:rPr>
          <w:rFonts w:ascii="Arial" w:hAnsi="Arial" w:cs="Arial"/>
          <w:color w:val="222222"/>
          <w:sz w:val="24"/>
          <w:szCs w:val="24"/>
          <w:shd w:val="clear" w:color="auto" w:fill="FFFFFF"/>
        </w:rPr>
        <w:t xml:space="preserve">Panades, R. (2023). 21 Social Inequality Examples. Available at: </w:t>
      </w:r>
      <w:hyperlink r:id="rId10" w:history="1">
        <w:r>
          <w:rPr>
            <w:rStyle w:val="Hyperlink"/>
          </w:rPr>
          <w:t>21 Social Inequality Examples (2023) (helpfulprofessor.com)</w:t>
        </w:r>
      </w:hyperlink>
      <w:r>
        <w:t xml:space="preserve">. Last Accessed 24/03/2023. </w:t>
      </w:r>
    </w:p>
    <w:p w:rsidR="00240C22" w:rsidRPr="008C280C" w:rsidRDefault="00240C22" w:rsidP="009F3D3F">
      <w:pPr>
        <w:pStyle w:val="ListParagraph"/>
        <w:numPr>
          <w:ilvl w:val="0"/>
          <w:numId w:val="1"/>
        </w:numPr>
        <w:spacing w:line="480" w:lineRule="auto"/>
        <w:jc w:val="both"/>
        <w:rPr>
          <w:rFonts w:ascii="Arial" w:hAnsi="Arial" w:cs="Arial"/>
          <w:sz w:val="24"/>
          <w:szCs w:val="24"/>
        </w:rPr>
      </w:pPr>
      <w:r>
        <w:rPr>
          <w:rFonts w:ascii="Arial" w:hAnsi="Arial" w:cs="Arial"/>
          <w:color w:val="222222"/>
          <w:sz w:val="24"/>
          <w:szCs w:val="24"/>
          <w:shd w:val="clear" w:color="auto" w:fill="FFFFFF"/>
        </w:rPr>
        <w:t xml:space="preserve">Garcia, J &amp; Heckman, J. (2022). </w:t>
      </w:r>
      <w:r>
        <w:t>Parenting Promotes Social Mobility Within and Across Generations</w:t>
      </w:r>
      <w:r>
        <w:rPr>
          <w:rFonts w:ascii="Cambria Math" w:hAnsi="Cambria Math" w:cs="Cambria Math"/>
        </w:rPr>
        <w:t>∗</w:t>
      </w:r>
      <w:r>
        <w:rPr>
          <w:rFonts w:ascii="Cambria Math" w:hAnsi="Cambria Math" w:cs="Cambria Math"/>
        </w:rPr>
        <w:t>. Chicago: B</w:t>
      </w:r>
      <w:r w:rsidR="008125A9">
        <w:rPr>
          <w:rFonts w:ascii="Cambria Math" w:hAnsi="Cambria Math" w:cs="Cambria Math"/>
        </w:rPr>
        <w:t>e</w:t>
      </w:r>
      <w:r>
        <w:rPr>
          <w:rFonts w:ascii="Cambria Math" w:hAnsi="Cambria Math" w:cs="Cambria Math"/>
        </w:rPr>
        <w:t>cker Friedman Inst</w:t>
      </w:r>
      <w:r w:rsidR="000174F4">
        <w:rPr>
          <w:rFonts w:ascii="Cambria Math" w:hAnsi="Cambria Math" w:cs="Cambria Math"/>
        </w:rPr>
        <w:t>it</w:t>
      </w:r>
      <w:r>
        <w:rPr>
          <w:rFonts w:ascii="Cambria Math" w:hAnsi="Cambria Math" w:cs="Cambria Math"/>
        </w:rPr>
        <w:t>ute</w:t>
      </w:r>
    </w:p>
    <w:p w:rsidR="008C280C" w:rsidRPr="00006148" w:rsidRDefault="008C280C" w:rsidP="009F3D3F">
      <w:pPr>
        <w:pStyle w:val="ListParagraph"/>
        <w:numPr>
          <w:ilvl w:val="0"/>
          <w:numId w:val="1"/>
        </w:numPr>
        <w:spacing w:line="480" w:lineRule="auto"/>
        <w:jc w:val="both"/>
        <w:rPr>
          <w:rFonts w:ascii="Arial" w:hAnsi="Arial" w:cs="Arial"/>
          <w:sz w:val="24"/>
          <w:szCs w:val="24"/>
        </w:rPr>
      </w:pPr>
      <w:r>
        <w:rPr>
          <w:rFonts w:ascii="Arial" w:hAnsi="Arial" w:cs="Arial"/>
          <w:color w:val="222222"/>
          <w:sz w:val="24"/>
          <w:szCs w:val="24"/>
          <w:shd w:val="clear" w:color="auto" w:fill="FFFFFF"/>
        </w:rPr>
        <w:t xml:space="preserve">Public Health Scotland. (2023). Child poverty overview. Available at: </w:t>
      </w:r>
      <w:hyperlink r:id="rId11" w:anchor=":~:text=Children%20and%20families%20living%20in,accumulate%20across%20the%20life%20course." w:history="1">
        <w:r>
          <w:rPr>
            <w:rStyle w:val="Hyperlink"/>
          </w:rPr>
          <w:t>Impact of child poverty - Child poverty overview - Child poverty - Children - Population groups - Public Health Scotland</w:t>
        </w:r>
      </w:hyperlink>
      <w:r>
        <w:t>. Last Accessed 24/03/2023</w:t>
      </w:r>
    </w:p>
    <w:p w:rsidR="00006148" w:rsidRPr="00701D93" w:rsidRDefault="00006148" w:rsidP="009F3D3F">
      <w:pPr>
        <w:pStyle w:val="ListParagraph"/>
        <w:numPr>
          <w:ilvl w:val="0"/>
          <w:numId w:val="1"/>
        </w:numPr>
        <w:spacing w:line="480" w:lineRule="auto"/>
        <w:jc w:val="both"/>
        <w:rPr>
          <w:rFonts w:ascii="Arial" w:hAnsi="Arial" w:cs="Arial"/>
          <w:sz w:val="24"/>
          <w:szCs w:val="24"/>
        </w:rPr>
      </w:pPr>
      <w:r>
        <w:rPr>
          <w:rFonts w:ascii="Arial" w:hAnsi="Arial" w:cs="Arial"/>
          <w:color w:val="222222"/>
          <w:sz w:val="24"/>
          <w:szCs w:val="24"/>
          <w:shd w:val="clear" w:color="auto" w:fill="FFFFFF"/>
        </w:rPr>
        <w:t xml:space="preserve">Rios, B. (2020). ‘NEETS’: A youth group at high risk of poverty and exclusion. </w:t>
      </w:r>
      <w:r w:rsidR="008125A9">
        <w:rPr>
          <w:rFonts w:ascii="Arial" w:hAnsi="Arial" w:cs="Arial"/>
          <w:color w:val="222222"/>
          <w:sz w:val="24"/>
          <w:szCs w:val="24"/>
          <w:shd w:val="clear" w:color="auto" w:fill="FFFFFF"/>
        </w:rPr>
        <w:t>Available</w:t>
      </w:r>
      <w:r>
        <w:rPr>
          <w:rFonts w:ascii="Arial" w:hAnsi="Arial" w:cs="Arial"/>
          <w:color w:val="222222"/>
          <w:sz w:val="24"/>
          <w:szCs w:val="24"/>
          <w:shd w:val="clear" w:color="auto" w:fill="FFFFFF"/>
        </w:rPr>
        <w:t xml:space="preserve"> at: </w:t>
      </w:r>
      <w:hyperlink r:id="rId12" w:history="1">
        <w:r>
          <w:rPr>
            <w:rStyle w:val="Hyperlink"/>
          </w:rPr>
          <w:t>‘NEETs’: A youth group at high risk of poverty and exclusion – EURACTIV.com</w:t>
        </w:r>
      </w:hyperlink>
      <w:r>
        <w:t>. Last Accessed 25/03/2023</w:t>
      </w:r>
    </w:p>
    <w:p w:rsidR="00701D93" w:rsidRPr="00DC6AEC" w:rsidRDefault="00701D93" w:rsidP="009F3D3F">
      <w:pPr>
        <w:pStyle w:val="ListParagraph"/>
        <w:numPr>
          <w:ilvl w:val="0"/>
          <w:numId w:val="1"/>
        </w:numPr>
        <w:spacing w:line="480" w:lineRule="auto"/>
        <w:jc w:val="both"/>
        <w:rPr>
          <w:rFonts w:ascii="Arial" w:hAnsi="Arial" w:cs="Arial"/>
          <w:sz w:val="24"/>
          <w:szCs w:val="24"/>
        </w:rPr>
      </w:pPr>
      <w:r>
        <w:rPr>
          <w:rFonts w:ascii="Arial" w:hAnsi="Arial" w:cs="Arial"/>
          <w:color w:val="222222"/>
          <w:sz w:val="24"/>
          <w:szCs w:val="24"/>
          <w:shd w:val="clear" w:color="auto" w:fill="FFFFFF"/>
        </w:rPr>
        <w:t>Gray, D. (2000).</w:t>
      </w:r>
      <w:r w:rsidR="008C280C">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 xml:space="preserve"> </w:t>
      </w:r>
      <w:r w:rsidR="008125A9">
        <w:rPr>
          <w:rFonts w:ascii="Arial" w:hAnsi="Arial" w:cs="Arial"/>
          <w:color w:val="222222"/>
          <w:sz w:val="24"/>
          <w:szCs w:val="24"/>
          <w:shd w:val="clear" w:color="auto" w:fill="FFFFFF"/>
        </w:rPr>
        <w:t>Labelling</w:t>
      </w:r>
      <w:r>
        <w:rPr>
          <w:rFonts w:ascii="Arial" w:hAnsi="Arial" w:cs="Arial"/>
          <w:color w:val="222222"/>
          <w:sz w:val="24"/>
          <w:szCs w:val="24"/>
          <w:shd w:val="clear" w:color="auto" w:fill="FFFFFF"/>
        </w:rPr>
        <w:t xml:space="preserve"> Theory: The New Perspective. </w:t>
      </w:r>
      <w:r>
        <w:t>The Corinthian: Vol. 2 , Article 1. Available at: https://kb.gcsu.edu/thecorinthian/vol2/iss1/1</w:t>
      </w:r>
    </w:p>
    <w:p w:rsidR="00DC6AEC" w:rsidRPr="00974232" w:rsidRDefault="00DC6AEC" w:rsidP="009F3D3F">
      <w:pPr>
        <w:pStyle w:val="ListParagraph"/>
        <w:numPr>
          <w:ilvl w:val="0"/>
          <w:numId w:val="1"/>
        </w:numPr>
        <w:spacing w:line="480" w:lineRule="auto"/>
        <w:jc w:val="both"/>
        <w:rPr>
          <w:rFonts w:ascii="Arial" w:hAnsi="Arial" w:cs="Arial"/>
          <w:sz w:val="24"/>
          <w:szCs w:val="24"/>
        </w:rPr>
      </w:pPr>
      <w:r>
        <w:rPr>
          <w:rFonts w:ascii="Arial" w:hAnsi="Arial" w:cs="Arial"/>
          <w:color w:val="222222"/>
          <w:sz w:val="24"/>
          <w:szCs w:val="24"/>
          <w:shd w:val="clear" w:color="auto" w:fill="FFFFFF"/>
        </w:rPr>
        <w:t>Unicef. (2015). A summary of the UN convention on the rights of the child. United Kingdom: Unicef.</w:t>
      </w:r>
    </w:p>
    <w:p w:rsidR="00974232" w:rsidRPr="00541711" w:rsidRDefault="00974232" w:rsidP="009F3D3F">
      <w:pPr>
        <w:pStyle w:val="ListParagraph"/>
        <w:numPr>
          <w:ilvl w:val="0"/>
          <w:numId w:val="1"/>
        </w:numPr>
        <w:spacing w:line="480" w:lineRule="auto"/>
        <w:jc w:val="both"/>
        <w:rPr>
          <w:rFonts w:ascii="Arial" w:hAnsi="Arial" w:cs="Arial"/>
          <w:sz w:val="24"/>
          <w:szCs w:val="24"/>
        </w:rPr>
      </w:pPr>
      <w:r>
        <w:rPr>
          <w:rFonts w:ascii="Arial" w:hAnsi="Arial" w:cs="Arial"/>
          <w:color w:val="222222"/>
          <w:sz w:val="24"/>
          <w:szCs w:val="24"/>
          <w:shd w:val="clear" w:color="auto" w:fill="FFFFFF"/>
        </w:rPr>
        <w:t xml:space="preserve">Layne, A. (2019). Other People’s Opinions Do Matter. Available at: </w:t>
      </w:r>
      <w:hyperlink r:id="rId13" w:anchor=":~:text=Their%20opinion%20affects%20how%20we,Other%20people%27s%20opinions%20do%20matter." w:history="1">
        <w:r>
          <w:rPr>
            <w:rStyle w:val="Hyperlink"/>
          </w:rPr>
          <w:t>Other People’s Opinions Do Matter (linkedin.com)</w:t>
        </w:r>
      </w:hyperlink>
      <w:r>
        <w:t>. Last Accessed 27/03/2023</w:t>
      </w:r>
    </w:p>
    <w:p w:rsidR="00541711" w:rsidRPr="00DA0058" w:rsidRDefault="00541711" w:rsidP="009F3D3F">
      <w:pPr>
        <w:pStyle w:val="ListParagraph"/>
        <w:numPr>
          <w:ilvl w:val="0"/>
          <w:numId w:val="1"/>
        </w:numPr>
        <w:spacing w:line="480" w:lineRule="auto"/>
        <w:jc w:val="both"/>
        <w:rPr>
          <w:rFonts w:ascii="Arial" w:hAnsi="Arial" w:cs="Arial"/>
          <w:sz w:val="24"/>
          <w:szCs w:val="24"/>
        </w:rPr>
      </w:pPr>
      <w:r>
        <w:rPr>
          <w:rFonts w:ascii="Arial" w:hAnsi="Arial" w:cs="Arial"/>
          <w:color w:val="222222"/>
          <w:sz w:val="24"/>
          <w:szCs w:val="24"/>
          <w:shd w:val="clear" w:color="auto" w:fill="FFFFFF"/>
        </w:rPr>
        <w:t xml:space="preserve">Pesonen, H. (2016). </w:t>
      </w:r>
      <w:r>
        <w:t>Sense of belonging for students with intensive special education needs An exploration of students’ belonging and teachers’ role in implementing support. University of Helsinki</w:t>
      </w:r>
    </w:p>
    <w:p w:rsidR="00DA0058" w:rsidRPr="00CD6B6C" w:rsidRDefault="00DA0058" w:rsidP="009F3D3F">
      <w:pPr>
        <w:pStyle w:val="ListParagraph"/>
        <w:numPr>
          <w:ilvl w:val="0"/>
          <w:numId w:val="1"/>
        </w:numPr>
        <w:spacing w:line="480" w:lineRule="auto"/>
        <w:jc w:val="both"/>
        <w:rPr>
          <w:rFonts w:ascii="Arial" w:hAnsi="Arial" w:cs="Arial"/>
          <w:sz w:val="24"/>
          <w:szCs w:val="24"/>
        </w:rPr>
      </w:pPr>
      <w:r>
        <w:lastRenderedPageBreak/>
        <w:t>Maslow, L.A. (1954). Motivation and Personality. New York: Harper.</w:t>
      </w:r>
    </w:p>
    <w:p w:rsidR="00CD6B6C" w:rsidRPr="00000228" w:rsidRDefault="00CD6B6C" w:rsidP="00CD6B6C">
      <w:pPr>
        <w:pStyle w:val="ListParagraph"/>
        <w:numPr>
          <w:ilvl w:val="0"/>
          <w:numId w:val="1"/>
        </w:numPr>
        <w:spacing w:line="480" w:lineRule="auto"/>
        <w:jc w:val="both"/>
        <w:rPr>
          <w:rFonts w:ascii="Arial" w:hAnsi="Arial" w:cs="Arial"/>
          <w:sz w:val="24"/>
          <w:szCs w:val="24"/>
        </w:rPr>
      </w:pPr>
      <w:r w:rsidRPr="00CD6B6C">
        <w:rPr>
          <w:rFonts w:ascii="Arial" w:hAnsi="Arial" w:cs="Arial"/>
          <w:sz w:val="24"/>
          <w:szCs w:val="24"/>
        </w:rPr>
        <w:t>Koh, Sin Yee. (2020). Inequality. 10.1016/B978-0-08-102295-5.10196-9.</w:t>
      </w:r>
    </w:p>
    <w:p w:rsidR="00000228" w:rsidRPr="00FF1057" w:rsidRDefault="00000228" w:rsidP="009F3D3F">
      <w:pPr>
        <w:pStyle w:val="ListParagraph"/>
        <w:numPr>
          <w:ilvl w:val="0"/>
          <w:numId w:val="1"/>
        </w:numPr>
        <w:spacing w:line="480" w:lineRule="auto"/>
        <w:jc w:val="both"/>
        <w:rPr>
          <w:rFonts w:ascii="Arial" w:hAnsi="Arial" w:cs="Arial"/>
          <w:sz w:val="24"/>
          <w:szCs w:val="24"/>
        </w:rPr>
      </w:pPr>
      <w:r>
        <w:rPr>
          <w:rFonts w:ascii="Arial" w:hAnsi="Arial" w:cs="Arial"/>
          <w:color w:val="222222"/>
          <w:sz w:val="24"/>
          <w:szCs w:val="24"/>
          <w:shd w:val="clear" w:color="auto" w:fill="FFFFFF"/>
        </w:rPr>
        <w:t xml:space="preserve">Banta, M. (no date). AS SOCIAL MOBILITY FADES, SO DOES MERITOCRCY. Available at: </w:t>
      </w:r>
      <w:hyperlink r:id="rId14" w:history="1">
        <w:r>
          <w:rPr>
            <w:rStyle w:val="Hyperlink"/>
          </w:rPr>
          <w:t>As social mobility fades, so does meritocracy | Wilson Quarterly</w:t>
        </w:r>
      </w:hyperlink>
      <w:r>
        <w:t>. Last Accessed 22/03/2023</w:t>
      </w:r>
    </w:p>
    <w:p w:rsidR="00FF1057" w:rsidRPr="00044002" w:rsidRDefault="00FF1057" w:rsidP="009F3D3F">
      <w:pPr>
        <w:pStyle w:val="ListParagraph"/>
        <w:numPr>
          <w:ilvl w:val="0"/>
          <w:numId w:val="1"/>
        </w:numPr>
        <w:spacing w:line="480" w:lineRule="auto"/>
        <w:jc w:val="both"/>
        <w:rPr>
          <w:rFonts w:ascii="Arial" w:hAnsi="Arial" w:cs="Arial"/>
          <w:sz w:val="24"/>
          <w:szCs w:val="24"/>
        </w:rPr>
      </w:pPr>
      <w:r>
        <w:rPr>
          <w:rFonts w:ascii="Arial" w:hAnsi="Arial" w:cs="Arial"/>
          <w:color w:val="222222"/>
          <w:sz w:val="24"/>
          <w:szCs w:val="24"/>
          <w:shd w:val="clear" w:color="auto" w:fill="FFFFFF"/>
        </w:rPr>
        <w:t xml:space="preserve">OECD. (2018). A Broken Social Elevator? How to Promote Social Mobility. Overview and Main Findings. </w:t>
      </w:r>
    </w:p>
    <w:p w:rsidR="00044002" w:rsidRPr="00D05CD9" w:rsidRDefault="00044002" w:rsidP="009F3D3F">
      <w:pPr>
        <w:pStyle w:val="ListParagraph"/>
        <w:numPr>
          <w:ilvl w:val="0"/>
          <w:numId w:val="1"/>
        </w:numPr>
        <w:spacing w:line="480" w:lineRule="auto"/>
        <w:jc w:val="both"/>
        <w:rPr>
          <w:rFonts w:ascii="Arial" w:hAnsi="Arial" w:cs="Arial"/>
          <w:sz w:val="24"/>
          <w:szCs w:val="24"/>
        </w:rPr>
      </w:pPr>
      <w:r>
        <w:rPr>
          <w:rFonts w:ascii="Arial" w:hAnsi="Arial" w:cs="Arial"/>
          <w:color w:val="222222"/>
          <w:sz w:val="24"/>
          <w:szCs w:val="24"/>
          <w:shd w:val="clear" w:color="auto" w:fill="FFFFFF"/>
        </w:rPr>
        <w:t>Aldridge, S</w:t>
      </w:r>
      <w:r w:rsidR="00FA3A2B">
        <w:rPr>
          <w:rFonts w:ascii="Arial" w:hAnsi="Arial" w:cs="Arial"/>
          <w:color w:val="222222"/>
          <w:sz w:val="24"/>
          <w:szCs w:val="24"/>
          <w:shd w:val="clear" w:color="auto" w:fill="FFFFFF"/>
        </w:rPr>
        <w:t>. (2001). Social Mobility. London: Performance and Innovation Unit.</w:t>
      </w:r>
    </w:p>
    <w:p w:rsidR="00D05CD9" w:rsidRPr="00044002" w:rsidRDefault="00D05CD9" w:rsidP="009F3D3F">
      <w:pPr>
        <w:pStyle w:val="ListParagraph"/>
        <w:numPr>
          <w:ilvl w:val="0"/>
          <w:numId w:val="1"/>
        </w:numPr>
        <w:spacing w:line="480" w:lineRule="auto"/>
        <w:jc w:val="both"/>
        <w:rPr>
          <w:rFonts w:ascii="Arial" w:hAnsi="Arial" w:cs="Arial"/>
          <w:sz w:val="24"/>
          <w:szCs w:val="24"/>
        </w:rPr>
      </w:pPr>
      <w:r>
        <w:t>Kim, C. H., Choi, Y. B. (2017), How Meritocracy is Defined Today?: Contemporary Aspects of Meritocracy, Economics and Sociology, Vol. 10, No. 1, pp. 112-121. DOI: 10.14254/2071-789X.2017/10-1/8</w:t>
      </w:r>
    </w:p>
    <w:p w:rsidR="00044002" w:rsidRPr="00B67142" w:rsidRDefault="00044002" w:rsidP="009F3D3F">
      <w:pPr>
        <w:pStyle w:val="ListParagraph"/>
        <w:numPr>
          <w:ilvl w:val="0"/>
          <w:numId w:val="1"/>
        </w:numPr>
        <w:spacing w:line="480" w:lineRule="auto"/>
        <w:jc w:val="both"/>
        <w:rPr>
          <w:rFonts w:ascii="Arial" w:hAnsi="Arial" w:cs="Arial"/>
          <w:sz w:val="24"/>
          <w:szCs w:val="24"/>
        </w:rPr>
      </w:pPr>
      <w:r>
        <w:t xml:space="preserve">Murphy, D. (2019). Guest Blog: What is a workplace meritocracy? Is it a good or bad thing? </w:t>
      </w:r>
      <w:r w:rsidR="008125A9">
        <w:t>Available</w:t>
      </w:r>
      <w:r>
        <w:t xml:space="preserve"> at: </w:t>
      </w:r>
      <w:hyperlink r:id="rId15" w:history="1">
        <w:r>
          <w:rPr>
            <w:rStyle w:val="Hyperlink"/>
          </w:rPr>
          <w:t>Guest Blog: ​What is workplace meritocracy? Is it a good or bad thing? (weareadam.com)</w:t>
        </w:r>
      </w:hyperlink>
      <w:r>
        <w:t>. Last Accessed 21/09/2023</w:t>
      </w:r>
    </w:p>
    <w:p w:rsidR="00B67142" w:rsidRPr="009F3D3F" w:rsidRDefault="00B67142" w:rsidP="009F3D3F">
      <w:pPr>
        <w:pStyle w:val="ListParagraph"/>
        <w:numPr>
          <w:ilvl w:val="0"/>
          <w:numId w:val="1"/>
        </w:numPr>
        <w:spacing w:line="480" w:lineRule="auto"/>
        <w:jc w:val="both"/>
        <w:rPr>
          <w:rFonts w:ascii="Arial" w:hAnsi="Arial" w:cs="Arial"/>
          <w:sz w:val="24"/>
          <w:szCs w:val="24"/>
        </w:rPr>
      </w:pPr>
      <w:r>
        <w:rPr>
          <w:rFonts w:ascii="Arial" w:hAnsi="Arial" w:cs="Arial"/>
          <w:color w:val="222222"/>
          <w:sz w:val="24"/>
          <w:szCs w:val="24"/>
          <w:shd w:val="clear" w:color="auto" w:fill="FFFFFF"/>
        </w:rPr>
        <w:t>Rousseau, N. (2002). Charles Horton Cooley: Concept of the Looking Glass Self. Rowman &amp; Littefield</w:t>
      </w:r>
    </w:p>
    <w:p w:rsidR="00FB50FA" w:rsidRPr="009F3D3F" w:rsidRDefault="00FB50FA" w:rsidP="009F3D3F">
      <w:pPr>
        <w:pStyle w:val="ListParagraph"/>
        <w:numPr>
          <w:ilvl w:val="0"/>
          <w:numId w:val="1"/>
        </w:numPr>
        <w:spacing w:line="480" w:lineRule="auto"/>
        <w:jc w:val="both"/>
        <w:rPr>
          <w:rFonts w:ascii="Arial" w:hAnsi="Arial" w:cs="Arial"/>
          <w:sz w:val="24"/>
          <w:szCs w:val="24"/>
        </w:rPr>
      </w:pPr>
      <w:r w:rsidRPr="009F3D3F">
        <w:rPr>
          <w:rFonts w:ascii="Arial" w:hAnsi="Arial" w:cs="Arial"/>
          <w:color w:val="222222"/>
          <w:sz w:val="24"/>
          <w:szCs w:val="24"/>
          <w:shd w:val="clear" w:color="auto" w:fill="FFFFFF"/>
        </w:rPr>
        <w:t xml:space="preserve">Mitchell, M. (2011). </w:t>
      </w:r>
      <w:r w:rsidRPr="009F3D3F">
        <w:rPr>
          <w:rFonts w:ascii="Arial" w:hAnsi="Arial" w:cs="Arial"/>
          <w:sz w:val="24"/>
          <w:szCs w:val="24"/>
        </w:rPr>
        <w:t>FORMAL AND INFORMAL LABELING EFF</w:t>
      </w:r>
      <w:r w:rsidR="008125A9">
        <w:rPr>
          <w:rFonts w:ascii="Arial" w:hAnsi="Arial" w:cs="Arial"/>
          <w:sz w:val="24"/>
          <w:szCs w:val="24"/>
        </w:rPr>
        <w:t>ECTS ON LATER SELF-REPORTED NON-</w:t>
      </w:r>
      <w:r w:rsidRPr="009F3D3F">
        <w:rPr>
          <w:rFonts w:ascii="Arial" w:hAnsi="Arial" w:cs="Arial"/>
          <w:sz w:val="24"/>
          <w:szCs w:val="24"/>
        </w:rPr>
        <w:t>VIOLENT AND VIOLENT DELINQUENCY. Dakota: North Dakota State University</w:t>
      </w:r>
    </w:p>
    <w:p w:rsidR="00962C36" w:rsidRPr="009F3D3F" w:rsidRDefault="008125A9" w:rsidP="009F3D3F">
      <w:pPr>
        <w:pStyle w:val="ListParagraph"/>
        <w:numPr>
          <w:ilvl w:val="0"/>
          <w:numId w:val="1"/>
        </w:numPr>
        <w:spacing w:line="480" w:lineRule="auto"/>
        <w:jc w:val="both"/>
        <w:rPr>
          <w:rFonts w:ascii="Arial" w:hAnsi="Arial" w:cs="Arial"/>
          <w:sz w:val="24"/>
          <w:szCs w:val="24"/>
        </w:rPr>
      </w:pPr>
      <w:r>
        <w:rPr>
          <w:rFonts w:ascii="Arial" w:hAnsi="Arial" w:cs="Arial"/>
          <w:color w:val="222222"/>
          <w:sz w:val="24"/>
          <w:szCs w:val="24"/>
          <w:shd w:val="clear" w:color="auto" w:fill="FFFFFF"/>
        </w:rPr>
        <w:t>Goffman, E. (</w:t>
      </w:r>
      <w:r w:rsidR="00962C36" w:rsidRPr="009F3D3F">
        <w:rPr>
          <w:rFonts w:ascii="Arial" w:hAnsi="Arial" w:cs="Arial"/>
          <w:color w:val="222222"/>
          <w:sz w:val="24"/>
          <w:szCs w:val="24"/>
          <w:shd w:val="clear" w:color="auto" w:fill="FFFFFF"/>
        </w:rPr>
        <w:t xml:space="preserve">1956). </w:t>
      </w:r>
      <w:r w:rsidR="00962C36" w:rsidRPr="009F3D3F">
        <w:rPr>
          <w:rFonts w:ascii="Arial" w:hAnsi="Arial" w:cs="Arial"/>
          <w:i/>
          <w:color w:val="222222"/>
          <w:sz w:val="24"/>
          <w:szCs w:val="24"/>
          <w:shd w:val="clear" w:color="auto" w:fill="FFFFFF"/>
        </w:rPr>
        <w:t>The Presentation of Self in Everyday Life.</w:t>
      </w:r>
      <w:r w:rsidR="00962C36" w:rsidRPr="009F3D3F">
        <w:rPr>
          <w:rFonts w:ascii="Arial" w:hAnsi="Arial" w:cs="Arial"/>
          <w:color w:val="222222"/>
          <w:sz w:val="24"/>
          <w:szCs w:val="24"/>
          <w:shd w:val="clear" w:color="auto" w:fill="FFFFFF"/>
        </w:rPr>
        <w:t xml:space="preserve"> University of Edinburgh: Social Sciences Research Centre</w:t>
      </w:r>
    </w:p>
    <w:p w:rsidR="008928D6" w:rsidRPr="009F3D3F" w:rsidRDefault="008928D6" w:rsidP="009F3D3F">
      <w:pPr>
        <w:pStyle w:val="ListParagraph"/>
        <w:numPr>
          <w:ilvl w:val="0"/>
          <w:numId w:val="1"/>
        </w:numPr>
        <w:spacing w:line="480" w:lineRule="auto"/>
        <w:jc w:val="both"/>
        <w:rPr>
          <w:rFonts w:ascii="Arial" w:hAnsi="Arial" w:cs="Arial"/>
          <w:sz w:val="24"/>
          <w:szCs w:val="24"/>
        </w:rPr>
      </w:pPr>
      <w:r w:rsidRPr="009F3D3F">
        <w:rPr>
          <w:rFonts w:ascii="Arial" w:hAnsi="Arial" w:cs="Arial"/>
          <w:color w:val="222222"/>
          <w:sz w:val="24"/>
          <w:szCs w:val="24"/>
          <w:shd w:val="clear" w:color="auto" w:fill="FFFFFF"/>
        </w:rPr>
        <w:t xml:space="preserve">Bernburg, J. (2009). Labelling Theory. Iceland: Research gate. Available at: </w:t>
      </w:r>
      <w:hyperlink r:id="rId16" w:history="1">
        <w:r w:rsidRPr="009F3D3F">
          <w:rPr>
            <w:rStyle w:val="Hyperlink"/>
            <w:rFonts w:ascii="Arial" w:hAnsi="Arial" w:cs="Arial"/>
            <w:sz w:val="24"/>
            <w:szCs w:val="24"/>
          </w:rPr>
          <w:t>Bernburg-final (1).pdf</w:t>
        </w:r>
      </w:hyperlink>
      <w:r w:rsidRPr="009F3D3F">
        <w:rPr>
          <w:rFonts w:ascii="Arial" w:hAnsi="Arial" w:cs="Arial"/>
          <w:sz w:val="24"/>
          <w:szCs w:val="24"/>
        </w:rPr>
        <w:t>. Last accessed 24/03/2023</w:t>
      </w:r>
    </w:p>
    <w:p w:rsidR="00FA3BB9" w:rsidRDefault="00FA3BB9" w:rsidP="009F3D3F">
      <w:pPr>
        <w:pStyle w:val="ListParagraph"/>
        <w:numPr>
          <w:ilvl w:val="0"/>
          <w:numId w:val="1"/>
        </w:numPr>
        <w:spacing w:line="480" w:lineRule="auto"/>
        <w:jc w:val="both"/>
        <w:rPr>
          <w:rFonts w:ascii="Arial" w:hAnsi="Arial" w:cs="Arial"/>
          <w:sz w:val="24"/>
          <w:szCs w:val="24"/>
        </w:rPr>
      </w:pPr>
      <w:r w:rsidRPr="009F3D3F">
        <w:rPr>
          <w:rFonts w:ascii="Arial" w:hAnsi="Arial" w:cs="Arial"/>
          <w:color w:val="222222"/>
          <w:sz w:val="24"/>
          <w:szCs w:val="24"/>
          <w:shd w:val="clear" w:color="auto" w:fill="FFFFFF"/>
        </w:rPr>
        <w:lastRenderedPageBreak/>
        <w:t xml:space="preserve">Artino, E. (2019). Goffman’s Self Presentation Theory. Available at: </w:t>
      </w:r>
      <w:hyperlink r:id="rId17" w:anchor=":~:text=According%20to%20Goffman%27s%20theory%2C%20social,contingent%20element%2C%20anything%20but%20stable." w:history="1">
        <w:r w:rsidRPr="009F3D3F">
          <w:rPr>
            <w:rStyle w:val="Hyperlink"/>
            <w:rFonts w:ascii="Arial" w:hAnsi="Arial" w:cs="Arial"/>
            <w:sz w:val="24"/>
            <w:szCs w:val="24"/>
          </w:rPr>
          <w:t>GOFFMAN'S SELF PRESENTATION THEORY (linkedin.com)</w:t>
        </w:r>
      </w:hyperlink>
      <w:r w:rsidRPr="009F3D3F">
        <w:rPr>
          <w:rFonts w:ascii="Arial" w:hAnsi="Arial" w:cs="Arial"/>
          <w:sz w:val="24"/>
          <w:szCs w:val="24"/>
        </w:rPr>
        <w:t>. Last accessed 24/03/2023</w:t>
      </w:r>
    </w:p>
    <w:p w:rsidR="00750A8C" w:rsidRPr="009F3D3F" w:rsidRDefault="00750A8C" w:rsidP="009F3D3F">
      <w:pPr>
        <w:pStyle w:val="ListParagraph"/>
        <w:numPr>
          <w:ilvl w:val="0"/>
          <w:numId w:val="1"/>
        </w:numPr>
        <w:spacing w:line="480" w:lineRule="auto"/>
        <w:jc w:val="both"/>
        <w:rPr>
          <w:rFonts w:ascii="Arial" w:hAnsi="Arial" w:cs="Arial"/>
          <w:sz w:val="24"/>
          <w:szCs w:val="24"/>
        </w:rPr>
      </w:pPr>
      <w:r>
        <w:rPr>
          <w:rFonts w:ascii="Arial" w:hAnsi="Arial" w:cs="Arial"/>
          <w:color w:val="222222"/>
          <w:sz w:val="24"/>
          <w:szCs w:val="24"/>
          <w:shd w:val="clear" w:color="auto" w:fill="FFFFFF"/>
        </w:rPr>
        <w:t>McNair, R</w:t>
      </w:r>
      <w:r w:rsidRPr="00750A8C">
        <w:rPr>
          <w:rFonts w:ascii="Arial" w:hAnsi="Arial" w:cs="Arial"/>
          <w:sz w:val="24"/>
          <w:szCs w:val="24"/>
        </w:rPr>
        <w:t>.</w:t>
      </w:r>
      <w:r>
        <w:rPr>
          <w:rFonts w:ascii="Arial" w:hAnsi="Arial" w:cs="Arial"/>
          <w:sz w:val="24"/>
          <w:szCs w:val="24"/>
        </w:rPr>
        <w:t xml:space="preserve"> (2004</w:t>
      </w:r>
      <w:r w:rsidRPr="00750A8C">
        <w:rPr>
          <w:rFonts w:ascii="Arial" w:hAnsi="Arial" w:cs="Arial"/>
          <w:sz w:val="24"/>
          <w:szCs w:val="24"/>
        </w:rPr>
        <w:t>). Student self-esteem and the looking-glass self: perceptions of emotional support, role models, and academic success on a community college campus.</w:t>
      </w:r>
      <w:r>
        <w:rPr>
          <w:rFonts w:ascii="Arial" w:hAnsi="Arial" w:cs="Arial"/>
          <w:sz w:val="24"/>
          <w:szCs w:val="24"/>
        </w:rPr>
        <w:t xml:space="preserve"> </w:t>
      </w:r>
      <w:r w:rsidRPr="00750A8C">
        <w:rPr>
          <w:rFonts w:ascii="Arial" w:hAnsi="Arial" w:cs="Arial"/>
          <w:sz w:val="24"/>
        </w:rPr>
        <w:t>Retrospective Theses and Dissertations. 802. https://lib.dr.iastate.edu/rtd/802</w:t>
      </w:r>
    </w:p>
    <w:p w:rsidR="009F3D3F" w:rsidRPr="009F3D3F" w:rsidRDefault="009F3D3F" w:rsidP="009F3D3F">
      <w:pPr>
        <w:pStyle w:val="ListParagraph"/>
        <w:numPr>
          <w:ilvl w:val="0"/>
          <w:numId w:val="1"/>
        </w:numPr>
        <w:spacing w:line="480" w:lineRule="auto"/>
        <w:jc w:val="both"/>
        <w:rPr>
          <w:rFonts w:ascii="Arial" w:hAnsi="Arial" w:cs="Arial"/>
          <w:sz w:val="24"/>
          <w:szCs w:val="24"/>
        </w:rPr>
      </w:pPr>
      <w:r w:rsidRPr="009F3D3F">
        <w:rPr>
          <w:rFonts w:ascii="Arial" w:hAnsi="Arial" w:cs="Arial"/>
          <w:color w:val="212121"/>
          <w:sz w:val="24"/>
          <w:szCs w:val="24"/>
          <w:shd w:val="clear" w:color="auto" w:fill="FFFFFF"/>
        </w:rPr>
        <w:t xml:space="preserve">Besemer S, Farrington DP, Bijleveld CC. </w:t>
      </w:r>
      <w:r w:rsidR="008125A9" w:rsidRPr="009F3D3F">
        <w:rPr>
          <w:rFonts w:ascii="Arial" w:hAnsi="Arial" w:cs="Arial"/>
          <w:color w:val="212121"/>
          <w:sz w:val="24"/>
          <w:szCs w:val="24"/>
          <w:shd w:val="clear" w:color="auto" w:fill="FFFFFF"/>
        </w:rPr>
        <w:t>Labelling</w:t>
      </w:r>
      <w:r w:rsidRPr="009F3D3F">
        <w:rPr>
          <w:rFonts w:ascii="Arial" w:hAnsi="Arial" w:cs="Arial"/>
          <w:color w:val="212121"/>
          <w:sz w:val="24"/>
          <w:szCs w:val="24"/>
          <w:shd w:val="clear" w:color="auto" w:fill="FFFFFF"/>
        </w:rPr>
        <w:t xml:space="preserve"> and intergenerational transmission of crime: The interaction between criminal justice intervention and a convicted parent. PLoS One. 2017 Mar 8;12(3):e0172419. doi: 10.1371/journal.pone.0172419. PMID: 28273104; PMCID: PMC5342201.</w:t>
      </w:r>
    </w:p>
    <w:p w:rsidR="00374E74" w:rsidRPr="009F3D3F" w:rsidRDefault="00374E74" w:rsidP="009F3D3F">
      <w:pPr>
        <w:pStyle w:val="ListParagraph"/>
        <w:numPr>
          <w:ilvl w:val="0"/>
          <w:numId w:val="1"/>
        </w:numPr>
        <w:spacing w:line="480" w:lineRule="auto"/>
        <w:jc w:val="both"/>
        <w:rPr>
          <w:rFonts w:ascii="Arial" w:hAnsi="Arial" w:cs="Arial"/>
          <w:sz w:val="24"/>
          <w:szCs w:val="24"/>
        </w:rPr>
      </w:pPr>
      <w:r w:rsidRPr="009F3D3F">
        <w:rPr>
          <w:rFonts w:ascii="Arial" w:hAnsi="Arial" w:cs="Arial"/>
          <w:color w:val="222222"/>
          <w:sz w:val="24"/>
          <w:szCs w:val="24"/>
          <w:shd w:val="clear" w:color="auto" w:fill="FFFFFF"/>
        </w:rPr>
        <w:t>Wareing, L., 2022. </w:t>
      </w:r>
      <w:r w:rsidRPr="009F3D3F">
        <w:rPr>
          <w:rFonts w:ascii="Arial" w:hAnsi="Arial" w:cs="Arial"/>
          <w:i/>
          <w:iCs/>
          <w:color w:val="222222"/>
          <w:sz w:val="24"/>
          <w:szCs w:val="24"/>
          <w:shd w:val="clear" w:color="auto" w:fill="FFFFFF"/>
        </w:rPr>
        <w:t>Co-designing opportunities with young people and organisations in the North West of England</w:t>
      </w:r>
      <w:r w:rsidRPr="009F3D3F">
        <w:rPr>
          <w:rFonts w:ascii="Arial" w:hAnsi="Arial" w:cs="Arial"/>
          <w:color w:val="222222"/>
          <w:sz w:val="24"/>
          <w:szCs w:val="24"/>
          <w:shd w:val="clear" w:color="auto" w:fill="FFFFFF"/>
        </w:rPr>
        <w:t> (Doctoral dissertation, Lancaster University).</w:t>
      </w:r>
    </w:p>
    <w:p w:rsidR="006472C2" w:rsidRPr="009F3D3F" w:rsidRDefault="006472C2" w:rsidP="009F3D3F">
      <w:pPr>
        <w:pStyle w:val="ListParagraph"/>
        <w:numPr>
          <w:ilvl w:val="0"/>
          <w:numId w:val="1"/>
        </w:numPr>
        <w:spacing w:line="480" w:lineRule="auto"/>
        <w:jc w:val="both"/>
        <w:rPr>
          <w:rFonts w:ascii="Arial" w:hAnsi="Arial" w:cs="Arial"/>
          <w:sz w:val="24"/>
          <w:szCs w:val="24"/>
        </w:rPr>
      </w:pPr>
      <w:r w:rsidRPr="009F3D3F">
        <w:rPr>
          <w:rFonts w:ascii="Arial" w:hAnsi="Arial" w:cs="Arial"/>
          <w:color w:val="222222"/>
          <w:sz w:val="24"/>
          <w:szCs w:val="24"/>
          <w:shd w:val="clear" w:color="auto" w:fill="FFFFFF"/>
        </w:rPr>
        <w:t>Osberg, L., 2001. Inequality. Pergamon, Oxford.</w:t>
      </w:r>
    </w:p>
    <w:p w:rsidR="00A04140" w:rsidRPr="009F3D3F" w:rsidRDefault="00A04140" w:rsidP="009F3D3F">
      <w:pPr>
        <w:pStyle w:val="ListParagraph"/>
        <w:numPr>
          <w:ilvl w:val="0"/>
          <w:numId w:val="1"/>
        </w:numPr>
        <w:spacing w:line="480" w:lineRule="auto"/>
        <w:jc w:val="both"/>
        <w:rPr>
          <w:rFonts w:ascii="Arial" w:hAnsi="Arial" w:cs="Arial"/>
          <w:sz w:val="24"/>
          <w:szCs w:val="24"/>
        </w:rPr>
      </w:pPr>
      <w:r w:rsidRPr="009F3D3F">
        <w:rPr>
          <w:rFonts w:ascii="Arial" w:hAnsi="Arial" w:cs="Arial"/>
          <w:color w:val="333333"/>
          <w:sz w:val="24"/>
          <w:szCs w:val="24"/>
          <w:shd w:val="clear" w:color="auto" w:fill="FCFCFC"/>
        </w:rPr>
        <w:t>Jivanjee, P., Kruzich, J.M. &amp; Gordon, L.J. The Age of Uncertainty: Parent Perspectives on the Transitions of Young People with Mental Health Difficulties to Adulthood. </w:t>
      </w:r>
      <w:r w:rsidRPr="009F3D3F">
        <w:rPr>
          <w:rFonts w:ascii="Arial" w:hAnsi="Arial" w:cs="Arial"/>
          <w:i/>
          <w:iCs/>
          <w:color w:val="333333"/>
          <w:sz w:val="24"/>
          <w:szCs w:val="24"/>
          <w:shd w:val="clear" w:color="auto" w:fill="FCFCFC"/>
        </w:rPr>
        <w:t>J Child Fam Stud</w:t>
      </w:r>
      <w:r w:rsidRPr="009F3D3F">
        <w:rPr>
          <w:rFonts w:ascii="Arial" w:hAnsi="Arial" w:cs="Arial"/>
          <w:color w:val="333333"/>
          <w:sz w:val="24"/>
          <w:szCs w:val="24"/>
          <w:shd w:val="clear" w:color="auto" w:fill="FCFCFC"/>
        </w:rPr>
        <w:t> </w:t>
      </w:r>
      <w:r w:rsidRPr="009F3D3F">
        <w:rPr>
          <w:rFonts w:ascii="Arial" w:hAnsi="Arial" w:cs="Arial"/>
          <w:b/>
          <w:bCs/>
          <w:color w:val="333333"/>
          <w:sz w:val="24"/>
          <w:szCs w:val="24"/>
          <w:shd w:val="clear" w:color="auto" w:fill="FCFCFC"/>
        </w:rPr>
        <w:t>18</w:t>
      </w:r>
      <w:r w:rsidRPr="009F3D3F">
        <w:rPr>
          <w:rFonts w:ascii="Arial" w:hAnsi="Arial" w:cs="Arial"/>
          <w:color w:val="333333"/>
          <w:sz w:val="24"/>
          <w:szCs w:val="24"/>
          <w:shd w:val="clear" w:color="auto" w:fill="FCFCFC"/>
        </w:rPr>
        <w:t xml:space="preserve">, 435–446 (2009). </w:t>
      </w:r>
      <w:hyperlink r:id="rId18" w:history="1">
        <w:r w:rsidR="00CA1C21" w:rsidRPr="009F3D3F">
          <w:rPr>
            <w:rStyle w:val="Hyperlink"/>
            <w:rFonts w:ascii="Arial" w:hAnsi="Arial" w:cs="Arial"/>
            <w:sz w:val="24"/>
            <w:szCs w:val="24"/>
            <w:shd w:val="clear" w:color="auto" w:fill="FCFCFC"/>
          </w:rPr>
          <w:t>https://doi.org/10.1007/s10826-008-9247-5</w:t>
        </w:r>
      </w:hyperlink>
    </w:p>
    <w:p w:rsidR="00CA1C21" w:rsidRPr="009F3D3F" w:rsidRDefault="00CA1C21" w:rsidP="009F3D3F">
      <w:pPr>
        <w:pStyle w:val="ListParagraph"/>
        <w:numPr>
          <w:ilvl w:val="0"/>
          <w:numId w:val="1"/>
        </w:numPr>
        <w:spacing w:line="480" w:lineRule="auto"/>
        <w:jc w:val="both"/>
        <w:rPr>
          <w:rFonts w:ascii="Arial" w:hAnsi="Arial" w:cs="Arial"/>
          <w:sz w:val="24"/>
          <w:szCs w:val="24"/>
        </w:rPr>
      </w:pPr>
      <w:r w:rsidRPr="009F3D3F">
        <w:rPr>
          <w:rFonts w:ascii="Arial" w:hAnsi="Arial" w:cs="Arial"/>
          <w:color w:val="222222"/>
          <w:sz w:val="24"/>
          <w:szCs w:val="24"/>
          <w:shd w:val="clear" w:color="auto" w:fill="FFFFFF"/>
        </w:rPr>
        <w:t>Sulimani-Aidan, Y., 2017. Barriers and resources in transition to adulthood among at-risk young adults. </w:t>
      </w:r>
      <w:r w:rsidRPr="009F3D3F">
        <w:rPr>
          <w:rFonts w:ascii="Arial" w:hAnsi="Arial" w:cs="Arial"/>
          <w:i/>
          <w:iCs/>
          <w:color w:val="222222"/>
          <w:sz w:val="24"/>
          <w:szCs w:val="24"/>
          <w:shd w:val="clear" w:color="auto" w:fill="FFFFFF"/>
        </w:rPr>
        <w:t>Children and Youth Services Review</w:t>
      </w:r>
      <w:r w:rsidRPr="009F3D3F">
        <w:rPr>
          <w:rFonts w:ascii="Arial" w:hAnsi="Arial" w:cs="Arial"/>
          <w:color w:val="222222"/>
          <w:sz w:val="24"/>
          <w:szCs w:val="24"/>
          <w:shd w:val="clear" w:color="auto" w:fill="FFFFFF"/>
        </w:rPr>
        <w:t>, </w:t>
      </w:r>
      <w:r w:rsidRPr="009F3D3F">
        <w:rPr>
          <w:rFonts w:ascii="Arial" w:hAnsi="Arial" w:cs="Arial"/>
          <w:i/>
          <w:iCs/>
          <w:color w:val="222222"/>
          <w:sz w:val="24"/>
          <w:szCs w:val="24"/>
          <w:shd w:val="clear" w:color="auto" w:fill="FFFFFF"/>
        </w:rPr>
        <w:t>77</w:t>
      </w:r>
      <w:r w:rsidRPr="009F3D3F">
        <w:rPr>
          <w:rFonts w:ascii="Arial" w:hAnsi="Arial" w:cs="Arial"/>
          <w:color w:val="222222"/>
          <w:sz w:val="24"/>
          <w:szCs w:val="24"/>
          <w:shd w:val="clear" w:color="auto" w:fill="FFFFFF"/>
        </w:rPr>
        <w:t>(C), pp.147-152.</w:t>
      </w:r>
    </w:p>
    <w:p w:rsidR="00FD6C48" w:rsidRPr="009F3D3F" w:rsidRDefault="00FD6C48" w:rsidP="009F3D3F">
      <w:pPr>
        <w:pStyle w:val="ListParagraph"/>
        <w:numPr>
          <w:ilvl w:val="0"/>
          <w:numId w:val="1"/>
        </w:numPr>
        <w:spacing w:line="480" w:lineRule="auto"/>
        <w:jc w:val="both"/>
        <w:rPr>
          <w:rFonts w:ascii="Arial" w:hAnsi="Arial" w:cs="Arial"/>
          <w:sz w:val="24"/>
          <w:szCs w:val="24"/>
        </w:rPr>
      </w:pPr>
      <w:r w:rsidRPr="009F3D3F">
        <w:rPr>
          <w:rFonts w:ascii="Arial" w:hAnsi="Arial" w:cs="Arial"/>
          <w:color w:val="222222"/>
          <w:sz w:val="24"/>
          <w:szCs w:val="24"/>
          <w:shd w:val="clear" w:color="auto" w:fill="FFFFFF"/>
        </w:rPr>
        <w:t xml:space="preserve">Betts, J, (2020). Symbolic Interactionism Examples in Everyday Life. United </w:t>
      </w:r>
      <w:r w:rsidR="008125A9" w:rsidRPr="009F3D3F">
        <w:rPr>
          <w:rFonts w:ascii="Arial" w:hAnsi="Arial" w:cs="Arial"/>
          <w:color w:val="222222"/>
          <w:sz w:val="24"/>
          <w:szCs w:val="24"/>
          <w:shd w:val="clear" w:color="auto" w:fill="FFFFFF"/>
        </w:rPr>
        <w:t>States</w:t>
      </w:r>
      <w:r w:rsidRPr="009F3D3F">
        <w:rPr>
          <w:rFonts w:ascii="Arial" w:hAnsi="Arial" w:cs="Arial"/>
          <w:color w:val="222222"/>
          <w:sz w:val="24"/>
          <w:szCs w:val="24"/>
          <w:shd w:val="clear" w:color="auto" w:fill="FFFFFF"/>
        </w:rPr>
        <w:t xml:space="preserve">: Yourdictionary.com. Available at: </w:t>
      </w:r>
      <w:hyperlink r:id="rId19" w:history="1">
        <w:r w:rsidRPr="009F3D3F">
          <w:rPr>
            <w:rStyle w:val="Hyperlink"/>
            <w:rFonts w:ascii="Arial" w:hAnsi="Arial" w:cs="Arial"/>
            <w:sz w:val="24"/>
            <w:szCs w:val="24"/>
          </w:rPr>
          <w:t>Symbolic Interactionism Examples in Everyday Life | YourDictionary</w:t>
        </w:r>
      </w:hyperlink>
      <w:r w:rsidRPr="009F3D3F">
        <w:rPr>
          <w:rFonts w:ascii="Arial" w:hAnsi="Arial" w:cs="Arial"/>
          <w:sz w:val="24"/>
          <w:szCs w:val="24"/>
        </w:rPr>
        <w:t xml:space="preserve"> Last accessed 26/03/2023</w:t>
      </w:r>
    </w:p>
    <w:sectPr w:rsidR="00FD6C48" w:rsidRPr="009F3D3F">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046B" w:rsidRDefault="009A046B" w:rsidP="00346CF7">
      <w:pPr>
        <w:spacing w:after="0" w:line="240" w:lineRule="auto"/>
      </w:pPr>
      <w:r>
        <w:separator/>
      </w:r>
    </w:p>
  </w:endnote>
  <w:endnote w:type="continuationSeparator" w:id="0">
    <w:p w:rsidR="009A046B" w:rsidRDefault="009A046B" w:rsidP="00346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7403418"/>
      <w:docPartObj>
        <w:docPartGallery w:val="Page Numbers (Bottom of Page)"/>
        <w:docPartUnique/>
      </w:docPartObj>
    </w:sdtPr>
    <w:sdtEndPr>
      <w:rPr>
        <w:noProof/>
      </w:rPr>
    </w:sdtEndPr>
    <w:sdtContent>
      <w:p w:rsidR="00541711" w:rsidRDefault="00541711">
        <w:pPr>
          <w:pStyle w:val="Footer"/>
          <w:jc w:val="right"/>
        </w:pPr>
        <w:r>
          <w:fldChar w:fldCharType="begin"/>
        </w:r>
        <w:r>
          <w:instrText xml:space="preserve"> PAGE   \* MERGEFORMAT </w:instrText>
        </w:r>
        <w:r>
          <w:fldChar w:fldCharType="separate"/>
        </w:r>
        <w:r w:rsidR="008125A9">
          <w:rPr>
            <w:noProof/>
          </w:rPr>
          <w:t>1</w:t>
        </w:r>
        <w:r>
          <w:rPr>
            <w:noProof/>
          </w:rPr>
          <w:fldChar w:fldCharType="end"/>
        </w:r>
      </w:p>
    </w:sdtContent>
  </w:sdt>
  <w:p w:rsidR="00541711" w:rsidRDefault="005417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046B" w:rsidRDefault="009A046B" w:rsidP="00346CF7">
      <w:pPr>
        <w:spacing w:after="0" w:line="240" w:lineRule="auto"/>
      </w:pPr>
      <w:r>
        <w:separator/>
      </w:r>
    </w:p>
  </w:footnote>
  <w:footnote w:type="continuationSeparator" w:id="0">
    <w:p w:rsidR="009A046B" w:rsidRDefault="009A046B" w:rsidP="00346C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711" w:rsidRDefault="00541711">
    <w:pPr>
      <w:pStyle w:val="Header"/>
    </w:pPr>
    <w:r>
      <w:t>ECED7006</w:t>
    </w:r>
  </w:p>
  <w:p w:rsidR="00541711" w:rsidRDefault="00541711">
    <w:pPr>
      <w:pStyle w:val="Header"/>
    </w:pPr>
    <w:r>
      <w:t>1901731 – Ashlie Day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15261"/>
    <w:multiLevelType w:val="hybridMultilevel"/>
    <w:tmpl w:val="3C562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2F14EA"/>
    <w:multiLevelType w:val="hybridMultilevel"/>
    <w:tmpl w:val="BD0282DC"/>
    <w:lvl w:ilvl="0" w:tplc="A212277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3E7"/>
    <w:rsid w:val="00000228"/>
    <w:rsid w:val="00000E8C"/>
    <w:rsid w:val="00006148"/>
    <w:rsid w:val="000174F4"/>
    <w:rsid w:val="00031724"/>
    <w:rsid w:val="00044002"/>
    <w:rsid w:val="000527C9"/>
    <w:rsid w:val="000550F9"/>
    <w:rsid w:val="00103E16"/>
    <w:rsid w:val="00170B61"/>
    <w:rsid w:val="0017540D"/>
    <w:rsid w:val="00184186"/>
    <w:rsid w:val="00191882"/>
    <w:rsid w:val="00240C22"/>
    <w:rsid w:val="0027464B"/>
    <w:rsid w:val="002A0960"/>
    <w:rsid w:val="002A25A9"/>
    <w:rsid w:val="002B6A87"/>
    <w:rsid w:val="002F134B"/>
    <w:rsid w:val="002F4686"/>
    <w:rsid w:val="00346CF7"/>
    <w:rsid w:val="00374E74"/>
    <w:rsid w:val="0038521C"/>
    <w:rsid w:val="003C7698"/>
    <w:rsid w:val="003E0DCE"/>
    <w:rsid w:val="00401875"/>
    <w:rsid w:val="004323E7"/>
    <w:rsid w:val="00454B88"/>
    <w:rsid w:val="00491807"/>
    <w:rsid w:val="00493096"/>
    <w:rsid w:val="004D1C80"/>
    <w:rsid w:val="00523C90"/>
    <w:rsid w:val="00541711"/>
    <w:rsid w:val="00585BBD"/>
    <w:rsid w:val="005A6CC3"/>
    <w:rsid w:val="005B5441"/>
    <w:rsid w:val="005C5D71"/>
    <w:rsid w:val="005C5DDC"/>
    <w:rsid w:val="0062020D"/>
    <w:rsid w:val="006255A6"/>
    <w:rsid w:val="00633878"/>
    <w:rsid w:val="006472C2"/>
    <w:rsid w:val="00655B06"/>
    <w:rsid w:val="006C0BCF"/>
    <w:rsid w:val="00701D93"/>
    <w:rsid w:val="007039D3"/>
    <w:rsid w:val="007066A1"/>
    <w:rsid w:val="00750A8C"/>
    <w:rsid w:val="007763A8"/>
    <w:rsid w:val="007A7C48"/>
    <w:rsid w:val="007F77CE"/>
    <w:rsid w:val="008125A9"/>
    <w:rsid w:val="0082517A"/>
    <w:rsid w:val="00845589"/>
    <w:rsid w:val="00845AE5"/>
    <w:rsid w:val="00866ABE"/>
    <w:rsid w:val="0087376F"/>
    <w:rsid w:val="00875F03"/>
    <w:rsid w:val="00880A91"/>
    <w:rsid w:val="008928D6"/>
    <w:rsid w:val="008940C8"/>
    <w:rsid w:val="008C195C"/>
    <w:rsid w:val="008C280C"/>
    <w:rsid w:val="008D6554"/>
    <w:rsid w:val="00917B03"/>
    <w:rsid w:val="009347A8"/>
    <w:rsid w:val="00962C36"/>
    <w:rsid w:val="00974232"/>
    <w:rsid w:val="009A046B"/>
    <w:rsid w:val="009B1790"/>
    <w:rsid w:val="009B295D"/>
    <w:rsid w:val="009D3335"/>
    <w:rsid w:val="009F3D3F"/>
    <w:rsid w:val="009F49D5"/>
    <w:rsid w:val="009F6AC4"/>
    <w:rsid w:val="00A04140"/>
    <w:rsid w:val="00A670BF"/>
    <w:rsid w:val="00A87987"/>
    <w:rsid w:val="00AC36F0"/>
    <w:rsid w:val="00AD522C"/>
    <w:rsid w:val="00B47B70"/>
    <w:rsid w:val="00B67142"/>
    <w:rsid w:val="00B85954"/>
    <w:rsid w:val="00BE2068"/>
    <w:rsid w:val="00BE2650"/>
    <w:rsid w:val="00CA1C21"/>
    <w:rsid w:val="00CD6B6C"/>
    <w:rsid w:val="00CF0839"/>
    <w:rsid w:val="00CF1971"/>
    <w:rsid w:val="00CF1DE4"/>
    <w:rsid w:val="00CF536A"/>
    <w:rsid w:val="00D03C71"/>
    <w:rsid w:val="00D05CD9"/>
    <w:rsid w:val="00D2315E"/>
    <w:rsid w:val="00D261CC"/>
    <w:rsid w:val="00D3319D"/>
    <w:rsid w:val="00D3487A"/>
    <w:rsid w:val="00DA0058"/>
    <w:rsid w:val="00DC6AEC"/>
    <w:rsid w:val="00DD2AE6"/>
    <w:rsid w:val="00E216DB"/>
    <w:rsid w:val="00E3046E"/>
    <w:rsid w:val="00E41ADD"/>
    <w:rsid w:val="00E54E11"/>
    <w:rsid w:val="00EC0002"/>
    <w:rsid w:val="00F4669B"/>
    <w:rsid w:val="00F56288"/>
    <w:rsid w:val="00F968E2"/>
    <w:rsid w:val="00FA3A2B"/>
    <w:rsid w:val="00FA3BB9"/>
    <w:rsid w:val="00FB50FA"/>
    <w:rsid w:val="00FC4422"/>
    <w:rsid w:val="00FD6C48"/>
    <w:rsid w:val="00FF10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783C3"/>
  <w15:chartTrackingRefBased/>
  <w15:docId w15:val="{228FFF3F-E441-4B6F-BB19-845A704E4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6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6CF7"/>
  </w:style>
  <w:style w:type="paragraph" w:styleId="Footer">
    <w:name w:val="footer"/>
    <w:basedOn w:val="Normal"/>
    <w:link w:val="FooterChar"/>
    <w:uiPriority w:val="99"/>
    <w:unhideWhenUsed/>
    <w:rsid w:val="00346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6CF7"/>
  </w:style>
  <w:style w:type="paragraph" w:styleId="Quote">
    <w:name w:val="Quote"/>
    <w:basedOn w:val="Normal"/>
    <w:next w:val="Normal"/>
    <w:link w:val="QuoteChar"/>
    <w:uiPriority w:val="29"/>
    <w:qFormat/>
    <w:rsid w:val="009347A8"/>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9347A8"/>
    <w:rPr>
      <w:i/>
      <w:iCs/>
      <w:color w:val="404040" w:themeColor="text1" w:themeTint="BF"/>
    </w:rPr>
  </w:style>
  <w:style w:type="paragraph" w:styleId="ListParagraph">
    <w:name w:val="List Paragraph"/>
    <w:basedOn w:val="Normal"/>
    <w:uiPriority w:val="34"/>
    <w:qFormat/>
    <w:rsid w:val="00BE2068"/>
    <w:pPr>
      <w:ind w:left="720"/>
      <w:contextualSpacing/>
    </w:pPr>
  </w:style>
  <w:style w:type="character" w:styleId="Hyperlink">
    <w:name w:val="Hyperlink"/>
    <w:basedOn w:val="DefaultParagraphFont"/>
    <w:uiPriority w:val="99"/>
    <w:unhideWhenUsed/>
    <w:rsid w:val="00CA1C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3280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ce.com/en/article/evgxep/the-scientific-reason-you-were-so-desperate-to-fit-in-as-a-teen" TargetMode="External"/><Relationship Id="rId13" Type="http://schemas.openxmlformats.org/officeDocument/2006/relationships/hyperlink" Target="https://www.linkedin.com/pulse/other-peoples-opinions-do-matter-anthony-layne?trk=articles_directory" TargetMode="External"/><Relationship Id="rId18" Type="http://schemas.openxmlformats.org/officeDocument/2006/relationships/hyperlink" Target="https://doi.org/10.1007/s10826-008-9247-5"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telegraph.co.uk/news/2016/09/12/theresa-mays-meritocracy-is-a-recipe-for-darwinian-dystopia/" TargetMode="External"/><Relationship Id="rId12" Type="http://schemas.openxmlformats.org/officeDocument/2006/relationships/hyperlink" Target="https://www.euractiv.com/section/economy-jobs/news/neets-a-youth-group-at-high-risk-of-poverty-and-exclusion/" TargetMode="External"/><Relationship Id="rId17" Type="http://schemas.openxmlformats.org/officeDocument/2006/relationships/hyperlink" Target="https://www.linkedin.com/pulse/goffmans-self-presentation-theory-enza-artino" TargetMode="External"/><Relationship Id="rId2" Type="http://schemas.openxmlformats.org/officeDocument/2006/relationships/styles" Target="styles.xml"/><Relationship Id="rId16" Type="http://schemas.openxmlformats.org/officeDocument/2006/relationships/hyperlink" Target="file:///C:\Users\118460\Downloads\Bernburg-final%20(1).pd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althscotland.scot/population-groups/children/child-poverty/child-poverty-overview/impact-of-child-poverty" TargetMode="External"/><Relationship Id="rId5" Type="http://schemas.openxmlformats.org/officeDocument/2006/relationships/footnotes" Target="footnotes.xml"/><Relationship Id="rId15" Type="http://schemas.openxmlformats.org/officeDocument/2006/relationships/hyperlink" Target="https://www.weareadam.com/blog/2019/05/guest-blog-what-is-workplace-meritocracy-is-it-a-good-or-bad-thing?source=google.co.uk" TargetMode="External"/><Relationship Id="rId23" Type="http://schemas.openxmlformats.org/officeDocument/2006/relationships/theme" Target="theme/theme1.xml"/><Relationship Id="rId10" Type="http://schemas.openxmlformats.org/officeDocument/2006/relationships/hyperlink" Target="https://helpfulprofessor.com/social-inequality-examples/" TargetMode="External"/><Relationship Id="rId19" Type="http://schemas.openxmlformats.org/officeDocument/2006/relationships/hyperlink" Target="https://examples.yourdictionary.com/symbolic-interactionism-examples-in-everyday-life.html" TargetMode="External"/><Relationship Id="rId4" Type="http://schemas.openxmlformats.org/officeDocument/2006/relationships/webSettings" Target="webSettings.xml"/><Relationship Id="rId9" Type="http://schemas.openxmlformats.org/officeDocument/2006/relationships/hyperlink" Target="https://ifs.org.uk/articles/uk-education-system-preserves-inequality-new-report" TargetMode="External"/><Relationship Id="rId14" Type="http://schemas.openxmlformats.org/officeDocument/2006/relationships/hyperlink" Target="https://www.wilsonquarterly.com/quarterly/_/as-social-mobility-fades-so-does-meritocrac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15663</TotalTime>
  <Pages>13</Pages>
  <Words>3577</Words>
  <Characters>20394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 Ashlie</dc:creator>
  <cp:keywords/>
  <dc:description/>
  <cp:lastModifiedBy>Day, Ashlie</cp:lastModifiedBy>
  <cp:revision>26</cp:revision>
  <dcterms:created xsi:type="dcterms:W3CDTF">2023-01-19T10:34:00Z</dcterms:created>
  <dcterms:modified xsi:type="dcterms:W3CDTF">2023-03-27T21:14:00Z</dcterms:modified>
</cp:coreProperties>
</file>