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eastAsia="zh-CN"/>
        </w:rPr>
      </w:pPr>
      <w:bookmarkStart w:id="22" w:name="_GoBack"/>
      <w:bookmarkEnd w:id="22"/>
      <w:r>
        <w:rPr>
          <w:sz w:val="21"/>
        </w:rPr>
        <mc:AlternateContent>
          <mc:Choice Requires="wps">
            <w:drawing>
              <wp:anchor distT="0" distB="0" distL="114300" distR="114300" simplePos="0" relativeHeight="251660288" behindDoc="0" locked="0" layoutInCell="1" allowOverlap="1">
                <wp:simplePos x="0" y="0"/>
                <wp:positionH relativeFrom="column">
                  <wp:posOffset>-716280</wp:posOffset>
                </wp:positionH>
                <wp:positionV relativeFrom="paragraph">
                  <wp:posOffset>-701040</wp:posOffset>
                </wp:positionV>
                <wp:extent cx="5060315" cy="9561195"/>
                <wp:effectExtent l="52705" t="33655" r="55880" b="82550"/>
                <wp:wrapNone/>
                <wp:docPr id="2" name="矩形 2"/>
                <wp:cNvGraphicFramePr/>
                <a:graphic xmlns:a="http://schemas.openxmlformats.org/drawingml/2006/main">
                  <a:graphicData uri="http://schemas.microsoft.com/office/word/2010/wordprocessingShape">
                    <wps:wsp>
                      <wps:cNvSpPr/>
                      <wps:spPr>
                        <a:xfrm>
                          <a:off x="179705" y="283210"/>
                          <a:ext cx="5060315" cy="9561195"/>
                        </a:xfrm>
                        <a:prstGeom prst="rect">
                          <a:avLst/>
                        </a:prstGeom>
                        <a:solidFill>
                          <a:schemeClr val="accent5">
                            <a:lumMod val="75000"/>
                          </a:schemeClr>
                        </a:solidFill>
                        <a:ln>
                          <a:solidFill>
                            <a:schemeClr val="accent5">
                              <a:lumMod val="75000"/>
                            </a:schemeClr>
                          </a:solidFill>
                        </a:ln>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6.4pt;margin-top:-55.2pt;height:752.85pt;width:398.45pt;z-index:251660288;v-text-anchor:middle;mso-width-relative:page;mso-height-relative:page;" fillcolor="#2E75B6 [2408]" filled="t" stroked="t" coordsize="21600,21600" o:gfxdata="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">
                <v:fill on="t" focussize="0,0"/>
                <v:stroke color="#2E75B6 [2408]" joinstyle="round"/>
                <v:imagedata o:title=""/>
                <o:lock v:ext="edit" aspectratio="f"/>
                <v:shadow on="t" color="#000000" opacity="41287f" offset="0pt,1.5pt" origin="0f,0f" matrix="65536f,0f,0f,65536f"/>
              </v:rect>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3970655</wp:posOffset>
                </wp:positionH>
                <wp:positionV relativeFrom="paragraph">
                  <wp:posOffset>-782955</wp:posOffset>
                </wp:positionV>
                <wp:extent cx="2668270" cy="196405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668270" cy="19640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12.65pt;margin-top:-61.65pt;height:154.65pt;width:210.1pt;z-index:251664384;mso-width-relative:page;mso-height-relative:page;" filled="f" stroked="f" coordsize="21600,21600" o:gfxdata="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KK/pnDcAAAADQEAAA8AAAAAAAAAAQAgAAAAIgAA&#10;AGRycy9kb3ducmV2LnhtbFBLAQIUABQAAAAIAIdO4kCYNVUxPQIAAGcEAAAOAAAAAAAAAAEAIAAA&#10;ACsBAABkcnMvZTJvRG9jLnhtbFBLBQYAAAAABgAGAFkBAADaBQAAAAA=&#10;">
                <v:fill on="f" focussize="0,0"/>
                <v:stroke on="f" weight="0.5pt"/>
                <v:imagedata o:title=""/>
                <o:lock v:ext="edit" aspectratio="f"/>
                <v:textbox>
                  <w:txbxContent>
                    <w:p>
                      <w:pPr>
                        <w:jc w:val="lef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-386080</wp:posOffset>
                </wp:positionH>
                <wp:positionV relativeFrom="paragraph">
                  <wp:posOffset>1774825</wp:posOffset>
                </wp:positionV>
                <wp:extent cx="4521835" cy="1668780"/>
                <wp:effectExtent l="0" t="0" r="0" b="0"/>
                <wp:wrapNone/>
                <wp:docPr id="8" name="文本框 8"/>
                <wp:cNvGraphicFramePr/>
                <a:graphic xmlns:a="http://schemas.openxmlformats.org/drawingml/2006/main">
                  <a:graphicData uri="http://schemas.microsoft.com/office/word/2010/wordprocessingShape">
                    <wps:wsp>
                      <wps:cNvSpPr txBox="1"/>
                      <wps:spPr>
                        <a:xfrm>
                          <a:off x="0" y="0"/>
                          <a:ext cx="4521835" cy="16687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kinsoku/>
                              <w:wordWrap/>
                              <w:overflowPunct/>
                              <w:topLinePunct w:val="0"/>
                              <w:autoSpaceDE/>
                              <w:autoSpaceDN/>
                              <w:bidi w:val="0"/>
                              <w:adjustRightInd/>
                              <w:snapToGrid/>
                              <w:spacing w:line="240" w:lineRule="auto"/>
                              <w:ind w:firstLine="0"/>
                              <w:jc w:val="center"/>
                              <w:textAlignment w:val="auto"/>
                              <w:rPr>
                                <w:rFonts w:hint="default" w:ascii="Arial" w:hAnsi="Arial" w:cs="Arial"/>
                                <w:b/>
                                <w:color w:val="FFFFFF" w:themeColor="background1"/>
                                <w:sz w:val="40"/>
                                <w:szCs w:val="40"/>
                                <w14:textFill>
                                  <w14:solidFill>
                                    <w14:schemeClr w14:val="bg1"/>
                                  </w14:solidFill>
                                </w14:textFill>
                              </w:rPr>
                            </w:pPr>
                            <w:r>
                              <w:rPr>
                                <w:rFonts w:hint="default" w:ascii="Arial" w:hAnsi="Arial" w:cs="Arial"/>
                                <w:b/>
                                <w:color w:val="FFFFFF" w:themeColor="background1"/>
                                <w:sz w:val="40"/>
                                <w:szCs w:val="40"/>
                                <w14:textFill>
                                  <w14:solidFill>
                                    <w14:schemeClr w14:val="bg1"/>
                                  </w14:solidFill>
                                </w14:textFill>
                              </w:rPr>
                              <w:t>Analysis of Pizza Hut’s Current and Future External and Internal Environments</w:t>
                            </w: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0.4pt;margin-top:139.75pt;height:131.4pt;width:356.05pt;z-index:251662336;mso-width-relative:page;mso-height-relative:page;" filled="f" stroked="f" coordsize="21600,21600" o:gfxdata="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AvdkFT3AAAAAsBAAAPAAAAAAAAAAEAIAAAACIA&#10;AABkcnMvZG93bnJldi54bWxQSwECFAAUAAAACACHTuJAJ4EuMT4CAABnBAAADgAAAAAAAAABACAA&#10;AAArAQAAZHJzL2Uyb0RvYy54bWxQSwUGAAAAAAYABgBZAQAA2wUAAAAA&#10;">
                <v:fill on="f" focussize="0,0"/>
                <v:stroke on="f" weight="0.5pt"/>
                <v:imagedata o:title=""/>
                <o:lock v:ext="edit" aspectratio="f"/>
                <v:textbox>
                  <w:txbxContent>
                    <w:p>
                      <w:pPr>
                        <w:keepNext w:val="0"/>
                        <w:keepLines w:val="0"/>
                        <w:pageBreakBefore w:val="0"/>
                        <w:widowControl/>
                        <w:kinsoku/>
                        <w:wordWrap/>
                        <w:overflowPunct/>
                        <w:topLinePunct w:val="0"/>
                        <w:autoSpaceDE/>
                        <w:autoSpaceDN/>
                        <w:bidi w:val="0"/>
                        <w:adjustRightInd/>
                        <w:snapToGrid/>
                        <w:spacing w:line="240" w:lineRule="auto"/>
                        <w:ind w:firstLine="0"/>
                        <w:jc w:val="center"/>
                        <w:textAlignment w:val="auto"/>
                        <w:rPr>
                          <w:rFonts w:hint="default" w:ascii="Arial" w:hAnsi="Arial" w:cs="Arial"/>
                          <w:b/>
                          <w:color w:val="FFFFFF" w:themeColor="background1"/>
                          <w:sz w:val="40"/>
                          <w:szCs w:val="40"/>
                          <w14:textFill>
                            <w14:solidFill>
                              <w14:schemeClr w14:val="bg1"/>
                            </w14:solidFill>
                          </w14:textFill>
                        </w:rPr>
                      </w:pPr>
                      <w:r>
                        <w:rPr>
                          <w:rFonts w:hint="default" w:ascii="Arial" w:hAnsi="Arial" w:cs="Arial"/>
                          <w:b/>
                          <w:color w:val="FFFFFF" w:themeColor="background1"/>
                          <w:sz w:val="40"/>
                          <w:szCs w:val="40"/>
                          <w14:textFill>
                            <w14:solidFill>
                              <w14:schemeClr w14:val="bg1"/>
                            </w14:solidFill>
                          </w14:textFill>
                        </w:rPr>
                        <w:t>Analysis of Pizza Hut’s Current and Future External and Internal Environments</w:t>
                      </w:r>
                    </w:p>
                    <w:p>
                      <w:pPr>
                        <w:rPr>
                          <w:rFonts w:hint="eastAsia"/>
                          <w:lang w:val="en-US" w:eastAsia="zh-CN"/>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-1447800</wp:posOffset>
                </wp:positionH>
                <wp:positionV relativeFrom="paragraph">
                  <wp:posOffset>735965</wp:posOffset>
                </wp:positionV>
                <wp:extent cx="5857875" cy="1082675"/>
                <wp:effectExtent l="0" t="0" r="0" b="0"/>
                <wp:wrapNone/>
                <wp:docPr id="7" name="文本框 7"/>
                <wp:cNvGraphicFramePr/>
                <a:graphic xmlns:a="http://schemas.openxmlformats.org/drawingml/2006/main">
                  <a:graphicData uri="http://schemas.microsoft.com/office/word/2010/wordprocessingShape">
                    <wps:wsp>
                      <wps:cNvSpPr txBox="1"/>
                      <wps:spPr>
                        <a:xfrm>
                          <a:off x="0" y="0"/>
                          <a:ext cx="5857875" cy="10826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Strategic Marketing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4pt;margin-top:57.95pt;height:85.25pt;width:461.25pt;z-index:251661312;mso-width-relative:page;mso-height-relative:page;" filled="f" stroked="f" coordsize="21600,21600" o:gfxdata="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RnvQ6dwAAAAMAQAADwAAAAAAAAABACAAAAAiAAAA&#10;ZHJzL2Rvd25yZXYueG1sUEsBAhQAFAAAAAgAh07iQJgWX/o8AgAAZwQAAA4AAAAAAAAAAQAgAAAA&#10;KwEAAGRycy9lMm9Eb2MueG1sUEsFBgAAAAAGAAYAWQEAANkFAAAAAA==&#10;">
                <v:fill on="f" focussize="0,0"/>
                <v:stroke on="f" weight="0.5pt"/>
                <v:imagedata o:title=""/>
                <o:lock v:ext="edit" aspectratio="f"/>
                <v:textbox>
                  <w:txbxContent>
                    <w:p>
                      <w:pPr>
                        <w:wordWrap/>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Strategic Marketing</w:t>
                      </w:r>
                    </w:p>
                  </w:txbxContent>
                </v:textbox>
              </v:shape>
            </w:pict>
          </mc:Fallback>
        </mc:AlternateContent>
      </w:r>
    </w:p>
    <w:p>
      <w:pPr>
        <w:spacing w:after="160" w:line="259" w:lineRule="auto"/>
        <w:ind w:firstLine="0"/>
        <w:jc w:val="left"/>
        <w:rPr>
          <w:b/>
        </w:rPr>
        <w:sectPr>
          <w:headerReference r:id="rId5" w:type="default"/>
          <w:pgSz w:w="12240" w:h="15840"/>
          <w:pgMar w:top="1440" w:right="1440" w:bottom="1440" w:left="1440" w:header="720" w:footer="720" w:gutter="0"/>
          <w:pgNumType w:fmt="decimal" w:start="1"/>
          <w:cols w:space="720" w:num="1"/>
        </w:sectPr>
      </w:pPr>
      <w:r>
        <w:drawing>
          <wp:anchor distT="0" distB="0" distL="114935" distR="114935" simplePos="0" relativeHeight="251666432" behindDoc="0" locked="0" layoutInCell="1" allowOverlap="1">
            <wp:simplePos x="0" y="0"/>
            <wp:positionH relativeFrom="column">
              <wp:posOffset>2299970</wp:posOffset>
            </wp:positionH>
            <wp:positionV relativeFrom="paragraph">
              <wp:posOffset>5117465</wp:posOffset>
            </wp:positionV>
            <wp:extent cx="4337685" cy="2388870"/>
            <wp:effectExtent l="0" t="0" r="5715" b="11430"/>
            <wp:wrapNone/>
            <wp:docPr id="1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
                    <pic:cNvPicPr>
                      <a:picLocks noChangeAspect="1"/>
                    </pic:cNvPicPr>
                  </pic:nvPicPr>
                  <pic:blipFill>
                    <a:blip r:embed="rId10"/>
                    <a:stretch>
                      <a:fillRect/>
                    </a:stretch>
                  </pic:blipFill>
                  <pic:spPr>
                    <a:xfrm>
                      <a:off x="0" y="0"/>
                      <a:ext cx="4337685" cy="2388870"/>
                    </a:xfrm>
                    <a:prstGeom prst="rect">
                      <a:avLst/>
                    </a:prstGeom>
                    <a:noFill/>
                    <a:ln>
                      <a:noFill/>
                    </a:ln>
                  </pic:spPr>
                </pic:pic>
              </a:graphicData>
            </a:graphic>
          </wp:anchor>
        </w:drawing>
      </w:r>
      <w:r>
        <w:rPr>
          <w:sz w:val="21"/>
        </w:rPr>
        <mc:AlternateContent>
          <mc:Choice Requires="wps">
            <w:drawing>
              <wp:anchor distT="0" distB="0" distL="114300" distR="114300" simplePos="0" relativeHeight="251663360" behindDoc="0" locked="0" layoutInCell="1" allowOverlap="1">
                <wp:simplePos x="0" y="0"/>
                <wp:positionH relativeFrom="column">
                  <wp:posOffset>1343025</wp:posOffset>
                </wp:positionH>
                <wp:positionV relativeFrom="paragraph">
                  <wp:posOffset>3969385</wp:posOffset>
                </wp:positionV>
                <wp:extent cx="2529840" cy="12573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529840" cy="12573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FFFFFF" w:themeColor="background1"/>
                                <w:sz w:val="40"/>
                                <w:szCs w:val="40"/>
                                <w:lang w:val="en-US" w:eastAsia="zh-CN"/>
                                <w14:textFill>
                                  <w14:solidFill>
                                    <w14:schemeClr w14:val="bg1"/>
                                  </w14:solidFill>
                                </w14:textFill>
                              </w:rPr>
                            </w:pP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5.75pt;margin-top:312.55pt;height:99pt;width:199.2pt;z-index:251663360;mso-width-relative:page;mso-height-relative:page;" filled="f" stroked="f" coordsize="21600,21600" o:gfxdata="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FrILz/bAAAACwEAAA8AAAAAAAAAAQAgAAAAIgAA&#10;AGRycy9kb3ducmV2LnhtbFBLAQIUABQAAAAIAIdO4kDKYs9xPgIAAGcEAAAOAAAAAAAAAAEAIAAA&#10;ACo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color w:val="FFFFFF" w:themeColor="background1"/>
                          <w:sz w:val="40"/>
                          <w:szCs w:val="40"/>
                          <w:lang w:val="en-US" w:eastAsia="zh-CN"/>
                          <w14:textFill>
                            <w14:solidFill>
                              <w14:schemeClr w14:val="bg1"/>
                            </w14:solidFill>
                          </w14:textFill>
                        </w:rPr>
                      </w:pPr>
                    </w:p>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after="157" w:afterLines="50"/>
        <w:ind w:left="0" w:leftChars="0" w:firstLine="0" w:firstLineChars="0"/>
        <w:jc w:val="both"/>
        <w:textAlignment w:val="auto"/>
        <w:rPr>
          <w:rFonts w:hint="default" w:ascii="Arial" w:hAnsi="Arial" w:cs="Arial"/>
          <w:b/>
          <w:bCs/>
          <w:sz w:val="32"/>
          <w:szCs w:val="40"/>
        </w:rPr>
      </w:pPr>
      <w:bookmarkStart w:id="0" w:name="_heading=h.gjdgxs" w:colFirst="0" w:colLast="0"/>
      <w:bookmarkEnd w:id="0"/>
      <w:r>
        <w:rPr>
          <w:rFonts w:hint="default" w:ascii="Arial" w:hAnsi="Arial" w:cs="Arial"/>
          <w:b/>
          <w:bCs/>
          <w:sz w:val="32"/>
          <w:szCs w:val="40"/>
        </w:rPr>
        <w:t>Contents</w:t>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Cs w:val="24"/>
        </w:rPr>
        <w:fldChar w:fldCharType="begin"/>
      </w:r>
      <w:r>
        <w:rPr>
          <w:rFonts w:hint="default" w:ascii="Arial" w:hAnsi="Arial" w:cs="Arial"/>
          <w:bCs w:val="0"/>
          <w:szCs w:val="24"/>
        </w:rPr>
        <w:instrText xml:space="preserve"> HYPERLINK \l _Toc26665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1 </w:t>
      </w:r>
      <w:r>
        <w:rPr>
          <w:rFonts w:hint="default" w:ascii="Arial" w:hAnsi="Arial" w:cs="Arial" w:eastAsiaTheme="minorEastAsia"/>
          <w:kern w:val="2"/>
          <w:szCs w:val="24"/>
          <w:lang w:val="en-US" w:eastAsia="zh-CN"/>
        </w:rPr>
        <w:t>Introduction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_Toc26665 \h </w:instrText>
      </w:r>
      <w:r>
        <w:rPr>
          <w:rFonts w:hint="default" w:ascii="Arial" w:hAnsi="Arial" w:cs="Arial"/>
        </w:rPr>
        <w:fldChar w:fldCharType="separate"/>
      </w:r>
      <w:r>
        <w:rPr>
          <w:rFonts w:hint="default" w:ascii="Arial" w:hAnsi="Arial" w:cs="Arial"/>
        </w:rPr>
        <w:t>4</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_Toc31223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2 </w:t>
      </w:r>
      <w:r>
        <w:rPr>
          <w:rFonts w:hint="default" w:ascii="Arial" w:hAnsi="Arial" w:cs="Arial" w:eastAsiaTheme="minorEastAsia"/>
          <w:kern w:val="2"/>
          <w:szCs w:val="24"/>
          <w:lang w:val="en-US" w:eastAsia="zh-CN"/>
        </w:rPr>
        <w:t>PESTEL Analysis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_Toc31223 \h </w:instrText>
      </w:r>
      <w:r>
        <w:rPr>
          <w:rFonts w:hint="default" w:ascii="Arial" w:hAnsi="Arial" w:cs="Arial"/>
        </w:rPr>
        <w:fldChar w:fldCharType="separate"/>
      </w:r>
      <w:r>
        <w:rPr>
          <w:rFonts w:hint="default" w:ascii="Arial" w:hAnsi="Arial" w:cs="Arial"/>
        </w:rPr>
        <w:t>5</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_Toc7534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2.1 </w:t>
      </w:r>
      <w:r>
        <w:rPr>
          <w:rFonts w:hint="default" w:ascii="Arial" w:hAnsi="Arial" w:cs="Arial" w:eastAsiaTheme="minorEastAsia"/>
          <w:kern w:val="2"/>
          <w:szCs w:val="28"/>
          <w:lang w:val="en-US" w:eastAsia="zh-CN"/>
        </w:rPr>
        <w:t>Analysis from political and economic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_Toc7534 \h </w:instrText>
      </w:r>
      <w:r>
        <w:rPr>
          <w:rFonts w:hint="default" w:ascii="Arial" w:hAnsi="Arial" w:cs="Arial"/>
        </w:rPr>
        <w:fldChar w:fldCharType="separate"/>
      </w:r>
      <w:r>
        <w:rPr>
          <w:rFonts w:hint="default" w:ascii="Arial" w:hAnsi="Arial" w:cs="Arial"/>
        </w:rPr>
        <w:t>5</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_Toc1039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2.2 </w:t>
      </w:r>
      <w:r>
        <w:rPr>
          <w:rFonts w:hint="default" w:ascii="Arial" w:hAnsi="Arial" w:cs="Arial" w:eastAsiaTheme="minorEastAsia"/>
          <w:kern w:val="2"/>
          <w:szCs w:val="28"/>
          <w:lang w:val="en-US" w:eastAsia="zh-CN"/>
        </w:rPr>
        <w:t>Analysis from sociocultural and technological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_Toc1039 \h </w:instrText>
      </w:r>
      <w:r>
        <w:rPr>
          <w:rFonts w:hint="default" w:ascii="Arial" w:hAnsi="Arial" w:cs="Arial"/>
        </w:rPr>
        <w:fldChar w:fldCharType="separate"/>
      </w:r>
      <w:r>
        <w:rPr>
          <w:rFonts w:hint="default" w:ascii="Arial" w:hAnsi="Arial" w:cs="Arial"/>
        </w:rPr>
        <w:t>6</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_Toc2569 </w:instrText>
      </w:r>
      <w:r>
        <w:rPr>
          <w:rFonts w:hint="default" w:ascii="Arial" w:hAnsi="Arial" w:cs="Arial"/>
          <w:bCs w:val="0"/>
          <w:szCs w:val="24"/>
        </w:rPr>
        <w:fldChar w:fldCharType="separate"/>
      </w:r>
      <w:r>
        <w:rPr>
          <w:rFonts w:hint="default" w:ascii="Arial" w:hAnsi="Arial" w:eastAsia="宋体" w:cs="Arial"/>
          <w:kern w:val="2"/>
          <w:szCs w:val="24"/>
          <w:lang w:val="en-US" w:eastAsia="zh-CN"/>
        </w:rPr>
        <w:t xml:space="preserve">2.3 </w:t>
      </w:r>
      <w:r>
        <w:rPr>
          <w:rFonts w:hint="default" w:ascii="Arial" w:hAnsi="Arial" w:cs="Arial" w:eastAsiaTheme="minorEastAsia"/>
          <w:kern w:val="2"/>
          <w:szCs w:val="28"/>
          <w:lang w:val="en-US" w:eastAsia="zh-CN"/>
        </w:rPr>
        <w:t>Analysis from environmental and legal perspectives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_Toc2569 \h </w:instrText>
      </w:r>
      <w:r>
        <w:rPr>
          <w:rFonts w:hint="default" w:ascii="Arial" w:hAnsi="Arial" w:cs="Arial"/>
        </w:rPr>
        <w:fldChar w:fldCharType="separate"/>
      </w:r>
      <w:r>
        <w:rPr>
          <w:rFonts w:hint="default" w:ascii="Arial" w:hAnsi="Arial" w:cs="Arial"/>
        </w:rPr>
        <w:t>7</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_Toc950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3 </w:t>
      </w:r>
      <w:r>
        <w:rPr>
          <w:rFonts w:hint="default" w:ascii="Arial" w:hAnsi="Arial" w:cs="Arial" w:eastAsiaTheme="minorEastAsia"/>
          <w:kern w:val="2"/>
          <w:szCs w:val="24"/>
          <w:lang w:val="en-US" w:eastAsia="zh-CN"/>
        </w:rPr>
        <w:t>Competitive Analysis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_Toc950 \h </w:instrText>
      </w:r>
      <w:r>
        <w:rPr>
          <w:rFonts w:hint="default" w:ascii="Arial" w:hAnsi="Arial" w:cs="Arial"/>
        </w:rPr>
        <w:fldChar w:fldCharType="separate"/>
      </w:r>
      <w:r>
        <w:rPr>
          <w:rFonts w:hint="default" w:ascii="Arial" w:hAnsi="Arial" w:cs="Arial"/>
        </w:rPr>
        <w:t>8</w:t>
      </w:r>
      <w:r>
        <w:rPr>
          <w:rFonts w:hint="default" w:ascii="Arial" w:hAnsi="Arial" w:cs="Arial"/>
        </w:rPr>
        <w:fldChar w:fldCharType="end"/>
      </w:r>
      <w:r>
        <w:rPr>
          <w:rFonts w:hint="default" w:ascii="Arial" w:hAnsi="Arial" w:cs="Arial"/>
          <w:bCs w:val="0"/>
          <w:szCs w:val="24"/>
        </w:rPr>
        <w:fldChar w:fldCharType="end"/>
      </w:r>
    </w:p>
    <w:p>
      <w:pPr>
        <w:pStyle w:val="18"/>
        <w:keepNext w:val="0"/>
        <w:keepLines w:val="0"/>
        <w:pageBreakBefore w:val="0"/>
        <w:widowControl/>
        <w:tabs>
          <w:tab w:val="right" w:leader="dot" w:pos="9360"/>
        </w:tabs>
        <w:kinsoku/>
        <w:wordWrap/>
        <w:overflowPunct/>
        <w:topLinePunct w:val="0"/>
        <w:autoSpaceDE/>
        <w:autoSpaceDN/>
        <w:bidi w:val="0"/>
        <w:adjustRightInd/>
        <w:snapToGrid/>
        <w:spacing w:after="0"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_Toc2130 </w:instrText>
      </w:r>
      <w:r>
        <w:rPr>
          <w:rFonts w:hint="default" w:ascii="Arial" w:hAnsi="Arial" w:cs="Arial"/>
          <w:bCs w:val="0"/>
          <w:szCs w:val="24"/>
        </w:rPr>
        <w:fldChar w:fldCharType="separate"/>
      </w:r>
      <w:r>
        <w:rPr>
          <w:rFonts w:hint="default" w:ascii="Arial" w:hAnsi="Arial" w:cs="Arial"/>
          <w:szCs w:val="28"/>
          <w:lang w:val="en-US" w:eastAsia="zh-CN"/>
        </w:rPr>
        <w:t>3.1 Porter’s Five Forces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_Toc2130 \h </w:instrText>
      </w:r>
      <w:r>
        <w:rPr>
          <w:rFonts w:hint="default" w:ascii="Arial" w:hAnsi="Arial" w:cs="Arial"/>
        </w:rPr>
        <w:fldChar w:fldCharType="separate"/>
      </w:r>
      <w:r>
        <w:rPr>
          <w:rFonts w:hint="default" w:ascii="Arial" w:hAnsi="Arial" w:cs="Arial"/>
        </w:rPr>
        <w:t>8</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_Toc10314 </w:instrText>
      </w:r>
      <w:r>
        <w:rPr>
          <w:rFonts w:hint="default" w:ascii="Arial" w:hAnsi="Arial" w:cs="Arial"/>
          <w:bCs w:val="0"/>
          <w:szCs w:val="24"/>
        </w:rPr>
        <w:fldChar w:fldCharType="separate"/>
      </w:r>
      <w:r>
        <w:rPr>
          <w:rFonts w:hint="default" w:ascii="Arial" w:hAnsi="Arial" w:cs="Arial"/>
          <w:lang w:val="en-US" w:eastAsia="zh-CN"/>
        </w:rPr>
        <w:t>3.1.1 Analysis of bargaining power between suppliers and buyers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_Toc10314 \h </w:instrText>
      </w:r>
      <w:r>
        <w:rPr>
          <w:rFonts w:hint="default" w:ascii="Arial" w:hAnsi="Arial" w:cs="Arial"/>
        </w:rPr>
        <w:fldChar w:fldCharType="separate"/>
      </w:r>
      <w:r>
        <w:rPr>
          <w:rFonts w:hint="default" w:ascii="Arial" w:hAnsi="Arial" w:cs="Arial"/>
        </w:rPr>
        <w:t>9</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_Toc30441 </w:instrText>
      </w:r>
      <w:r>
        <w:rPr>
          <w:rFonts w:hint="default" w:ascii="Arial" w:hAnsi="Arial" w:cs="Arial"/>
          <w:bCs w:val="0"/>
          <w:szCs w:val="24"/>
        </w:rPr>
        <w:fldChar w:fldCharType="separate"/>
      </w:r>
      <w:r>
        <w:rPr>
          <w:rFonts w:hint="default" w:ascii="Arial" w:hAnsi="Arial" w:cs="Arial"/>
          <w:lang w:val="en-US" w:eastAsia="zh-CN"/>
        </w:rPr>
        <w:t>3.1.2 Analysis of substitutes threat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_Toc30441 \h </w:instrText>
      </w:r>
      <w:r>
        <w:rPr>
          <w:rFonts w:hint="default" w:ascii="Arial" w:hAnsi="Arial" w:cs="Arial"/>
        </w:rPr>
        <w:fldChar w:fldCharType="separate"/>
      </w:r>
      <w:r>
        <w:rPr>
          <w:rFonts w:hint="default" w:ascii="Arial" w:hAnsi="Arial" w:cs="Arial"/>
        </w:rPr>
        <w:t>10</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_Toc6052 </w:instrText>
      </w:r>
      <w:r>
        <w:rPr>
          <w:rFonts w:hint="default" w:ascii="Arial" w:hAnsi="Arial" w:cs="Arial"/>
          <w:bCs w:val="0"/>
          <w:szCs w:val="24"/>
        </w:rPr>
        <w:fldChar w:fldCharType="separate"/>
      </w:r>
      <w:r>
        <w:rPr>
          <w:rFonts w:hint="default" w:ascii="Arial" w:hAnsi="Arial" w:cs="Arial"/>
          <w:lang w:val="en-US" w:eastAsia="zh-CN"/>
        </w:rPr>
        <w:t>3.1.3 Analysis of competitive rivalry and threat from new entrants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_Toc6052 \h </w:instrText>
      </w:r>
      <w:r>
        <w:rPr>
          <w:rFonts w:hint="default" w:ascii="Arial" w:hAnsi="Arial" w:cs="Arial"/>
        </w:rPr>
        <w:fldChar w:fldCharType="separate"/>
      </w:r>
      <w:r>
        <w:rPr>
          <w:rFonts w:hint="default" w:ascii="Arial" w:hAnsi="Arial" w:cs="Arial"/>
        </w:rPr>
        <w:t>10</w:t>
      </w:r>
      <w:r>
        <w:rPr>
          <w:rFonts w:hint="default" w:ascii="Arial" w:hAnsi="Arial" w:cs="Arial"/>
        </w:rPr>
        <w:fldChar w:fldCharType="end"/>
      </w:r>
      <w:r>
        <w:rPr>
          <w:rFonts w:hint="default" w:ascii="Arial" w:hAnsi="Arial" w:cs="Arial"/>
          <w:bCs w:val="0"/>
          <w:szCs w:val="24"/>
        </w:rPr>
        <w:fldChar w:fldCharType="end"/>
      </w:r>
    </w:p>
    <w:p>
      <w:pPr>
        <w:pStyle w:val="18"/>
        <w:keepNext w:val="0"/>
        <w:keepLines w:val="0"/>
        <w:pageBreakBefore w:val="0"/>
        <w:widowControl/>
        <w:tabs>
          <w:tab w:val="right" w:leader="dot" w:pos="9360"/>
        </w:tabs>
        <w:kinsoku/>
        <w:wordWrap/>
        <w:overflowPunct/>
        <w:topLinePunct w:val="0"/>
        <w:autoSpaceDE/>
        <w:autoSpaceDN/>
        <w:bidi w:val="0"/>
        <w:adjustRightInd/>
        <w:snapToGrid/>
        <w:spacing w:after="0"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_Toc1821 </w:instrText>
      </w:r>
      <w:r>
        <w:rPr>
          <w:rFonts w:hint="default" w:ascii="Arial" w:hAnsi="Arial" w:cs="Arial"/>
          <w:bCs w:val="0"/>
          <w:szCs w:val="24"/>
        </w:rPr>
        <w:fldChar w:fldCharType="separate"/>
      </w:r>
      <w:r>
        <w:rPr>
          <w:rFonts w:hint="default" w:ascii="Arial" w:hAnsi="Arial" w:cs="Arial"/>
          <w:szCs w:val="28"/>
          <w:lang w:val="en-US" w:eastAsia="zh-CN"/>
        </w:rPr>
        <w:t xml:space="preserve">3.2 VRIO Analysis </w:t>
      </w:r>
      <w:r>
        <w:rPr>
          <w:rFonts w:hint="default" w:ascii="Arial" w:hAnsi="Arial" w:cs="Arial" w:eastAsiaTheme="minorEastAsia"/>
          <w:kern w:val="2"/>
          <w:szCs w:val="24"/>
          <w:lang w:val="en-US" w:eastAsia="zh-CN"/>
        </w:rPr>
        <w:t>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_Toc1821 \h </w:instrText>
      </w:r>
      <w:r>
        <w:rPr>
          <w:rFonts w:hint="default" w:ascii="Arial" w:hAnsi="Arial" w:cs="Arial"/>
        </w:rPr>
        <w:fldChar w:fldCharType="separate"/>
      </w:r>
      <w:r>
        <w:rPr>
          <w:rFonts w:hint="default" w:ascii="Arial" w:hAnsi="Arial" w:cs="Arial"/>
        </w:rPr>
        <w:t>11</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_Toc7522 </w:instrText>
      </w:r>
      <w:r>
        <w:rPr>
          <w:rFonts w:hint="default" w:ascii="Arial" w:hAnsi="Arial" w:cs="Arial"/>
          <w:bCs w:val="0"/>
          <w:szCs w:val="24"/>
        </w:rPr>
        <w:fldChar w:fldCharType="separate"/>
      </w:r>
      <w:r>
        <w:rPr>
          <w:rFonts w:hint="default" w:ascii="Arial" w:hAnsi="Arial" w:cs="Arial"/>
          <w:lang w:val="en-US" w:eastAsia="zh-CN"/>
        </w:rPr>
        <w:t>3.2.1 Analysis of valuable and rarity</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_Toc7522 \h </w:instrText>
      </w:r>
      <w:r>
        <w:rPr>
          <w:rFonts w:hint="default" w:ascii="Arial" w:hAnsi="Arial" w:cs="Arial"/>
        </w:rPr>
        <w:fldChar w:fldCharType="separate"/>
      </w:r>
      <w:r>
        <w:rPr>
          <w:rFonts w:hint="default" w:ascii="Arial" w:hAnsi="Arial" w:cs="Arial"/>
        </w:rPr>
        <w:t>12</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960" w:leftChars="4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_Toc24436 </w:instrText>
      </w:r>
      <w:r>
        <w:rPr>
          <w:rFonts w:hint="default" w:ascii="Arial" w:hAnsi="Arial" w:cs="Arial"/>
          <w:bCs w:val="0"/>
          <w:szCs w:val="24"/>
        </w:rPr>
        <w:fldChar w:fldCharType="separate"/>
      </w:r>
      <w:r>
        <w:rPr>
          <w:rFonts w:hint="default" w:ascii="Arial" w:hAnsi="Arial" w:cs="Arial"/>
          <w:lang w:val="en-US" w:eastAsia="zh-CN"/>
        </w:rPr>
        <w:t>3.2.2 Analysis of imitability and organisation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_Toc24436 \h </w:instrText>
      </w:r>
      <w:r>
        <w:rPr>
          <w:rFonts w:hint="default" w:ascii="Arial" w:hAnsi="Arial" w:cs="Arial"/>
        </w:rPr>
        <w:fldChar w:fldCharType="separate"/>
      </w:r>
      <w:r>
        <w:rPr>
          <w:rFonts w:hint="default" w:ascii="Arial" w:hAnsi="Arial" w:cs="Arial"/>
        </w:rPr>
        <w:t>13</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_Toc12750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4 </w:t>
      </w:r>
      <w:r>
        <w:rPr>
          <w:rFonts w:hint="default" w:ascii="Arial" w:hAnsi="Arial" w:cs="Arial" w:eastAsiaTheme="minorEastAsia"/>
          <w:kern w:val="2"/>
          <w:szCs w:val="24"/>
          <w:lang w:val="en-US" w:eastAsia="zh-CN"/>
        </w:rPr>
        <w:t xml:space="preserve">SWOT </w:t>
      </w:r>
      <w:r>
        <w:rPr>
          <w:rFonts w:hint="eastAsia" w:ascii="Arial" w:hAnsi="Arial" w:cs="Arial" w:eastAsiaTheme="minorEastAsia"/>
          <w:kern w:val="2"/>
          <w:szCs w:val="24"/>
          <w:lang w:val="en-US" w:eastAsia="zh-CN"/>
        </w:rPr>
        <w:t>A</w:t>
      </w:r>
      <w:r>
        <w:rPr>
          <w:rFonts w:hint="default" w:ascii="Arial" w:hAnsi="Arial" w:cs="Arial" w:eastAsiaTheme="minorEastAsia"/>
          <w:kern w:val="2"/>
          <w:szCs w:val="24"/>
          <w:lang w:val="en-US" w:eastAsia="zh-CN"/>
        </w:rPr>
        <w:t>nalysis of Pizza Hut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_Toc12750 \h </w:instrText>
      </w:r>
      <w:r>
        <w:rPr>
          <w:rFonts w:hint="default" w:ascii="Arial" w:hAnsi="Arial" w:cs="Arial"/>
        </w:rPr>
        <w:fldChar w:fldCharType="separate"/>
      </w:r>
      <w:r>
        <w:rPr>
          <w:rFonts w:hint="default" w:ascii="Arial" w:hAnsi="Arial" w:cs="Arial"/>
        </w:rPr>
        <w:t>14</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_Toc15231 </w:instrText>
      </w:r>
      <w:r>
        <w:rPr>
          <w:rFonts w:hint="default" w:ascii="Arial" w:hAnsi="Arial" w:cs="Arial"/>
          <w:bCs w:val="0"/>
          <w:szCs w:val="24"/>
        </w:rPr>
        <w:fldChar w:fldCharType="separate"/>
      </w:r>
      <w:r>
        <w:rPr>
          <w:rFonts w:hint="default" w:ascii="Arial" w:hAnsi="Arial" w:cs="Arial" w:eastAsiaTheme="minorEastAsia"/>
          <w:kern w:val="2"/>
          <w:szCs w:val="28"/>
          <w:lang w:val="en-US" w:eastAsia="zh-CN"/>
        </w:rPr>
        <w:t>4.1 Analy</w:t>
      </w:r>
      <w:r>
        <w:rPr>
          <w:rFonts w:hint="eastAsia" w:ascii="Arial" w:hAnsi="Arial" w:cs="Arial" w:eastAsiaTheme="minorEastAsia"/>
          <w:kern w:val="2"/>
          <w:szCs w:val="28"/>
          <w:lang w:val="en-US" w:eastAsia="zh-CN"/>
        </w:rPr>
        <w:t>sis</w:t>
      </w:r>
      <w:r>
        <w:rPr>
          <w:rFonts w:hint="default" w:ascii="Arial" w:hAnsi="Arial" w:cs="Arial" w:eastAsiaTheme="minorEastAsia"/>
          <w:kern w:val="2"/>
          <w:szCs w:val="28"/>
          <w:lang w:val="en-US" w:eastAsia="zh-CN"/>
        </w:rPr>
        <w:t xml:space="preserve"> from the perspective of strengths and weaknesses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_Toc15231 \h </w:instrText>
      </w:r>
      <w:r>
        <w:rPr>
          <w:rFonts w:hint="default" w:ascii="Arial" w:hAnsi="Arial" w:cs="Arial"/>
        </w:rPr>
        <w:fldChar w:fldCharType="separate"/>
      </w:r>
      <w:r>
        <w:rPr>
          <w:rFonts w:hint="default" w:ascii="Arial" w:hAnsi="Arial" w:cs="Arial"/>
        </w:rPr>
        <w:t>14</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480" w:leftChars="20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_Toc31963 </w:instrText>
      </w:r>
      <w:r>
        <w:rPr>
          <w:rFonts w:hint="default" w:ascii="Arial" w:hAnsi="Arial" w:cs="Arial"/>
          <w:bCs w:val="0"/>
          <w:szCs w:val="24"/>
        </w:rPr>
        <w:fldChar w:fldCharType="separate"/>
      </w:r>
      <w:r>
        <w:rPr>
          <w:rFonts w:hint="default" w:ascii="Arial" w:hAnsi="Arial" w:cs="Arial" w:eastAsiaTheme="minorEastAsia"/>
          <w:kern w:val="2"/>
          <w:szCs w:val="28"/>
          <w:lang w:val="en-US" w:eastAsia="zh-CN"/>
        </w:rPr>
        <w:t>4.2 Analy</w:t>
      </w:r>
      <w:r>
        <w:rPr>
          <w:rFonts w:hint="eastAsia" w:ascii="Arial" w:hAnsi="Arial" w:cs="Arial" w:eastAsiaTheme="minorEastAsia"/>
          <w:kern w:val="2"/>
          <w:szCs w:val="28"/>
          <w:lang w:val="en-US" w:eastAsia="zh-CN"/>
        </w:rPr>
        <w:t>sis</w:t>
      </w:r>
      <w:r>
        <w:rPr>
          <w:rFonts w:hint="default" w:ascii="Arial" w:hAnsi="Arial" w:cs="Arial" w:eastAsiaTheme="minorEastAsia"/>
          <w:kern w:val="2"/>
          <w:szCs w:val="28"/>
          <w:lang w:val="en-US" w:eastAsia="zh-CN"/>
        </w:rPr>
        <w:t xml:space="preserve"> from the perspective of opportunities and threats</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_Toc31963 \h </w:instrText>
      </w:r>
      <w:r>
        <w:rPr>
          <w:rFonts w:hint="default" w:ascii="Arial" w:hAnsi="Arial" w:cs="Arial"/>
        </w:rPr>
        <w:fldChar w:fldCharType="separate"/>
      </w:r>
      <w:r>
        <w:rPr>
          <w:rFonts w:hint="default" w:ascii="Arial" w:hAnsi="Arial" w:cs="Arial"/>
        </w:rPr>
        <w:t>15</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_Toc15211 </w:instrText>
      </w:r>
      <w:r>
        <w:rPr>
          <w:rFonts w:hint="default" w:ascii="Arial" w:hAnsi="Arial" w:cs="Arial"/>
          <w:bCs w:val="0"/>
          <w:szCs w:val="24"/>
        </w:rPr>
        <w:fldChar w:fldCharType="separate"/>
      </w:r>
      <w:r>
        <w:rPr>
          <w:rFonts w:hint="default" w:ascii="Arial" w:hAnsi="Arial" w:eastAsia="Arial" w:cs="Arial"/>
          <w:kern w:val="2"/>
          <w:szCs w:val="24"/>
          <w:lang w:val="en-US" w:eastAsia="zh-CN"/>
        </w:rPr>
        <w:t xml:space="preserve">5 </w:t>
      </w:r>
      <w:r>
        <w:rPr>
          <w:rFonts w:hint="default" w:ascii="Arial" w:hAnsi="Arial" w:cs="Arial" w:eastAsiaTheme="minorEastAsia"/>
          <w:kern w:val="2"/>
          <w:szCs w:val="24"/>
          <w:lang w:val="en-US" w:eastAsia="zh-CN"/>
        </w:rPr>
        <w:t>Conclusion</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_Toc15211 \h </w:instrText>
      </w:r>
      <w:r>
        <w:rPr>
          <w:rFonts w:hint="default" w:ascii="Arial" w:hAnsi="Arial" w:cs="Arial"/>
        </w:rPr>
        <w:fldChar w:fldCharType="separate"/>
      </w:r>
      <w:r>
        <w:rPr>
          <w:rFonts w:hint="default" w:ascii="Arial" w:hAnsi="Arial" w:cs="Arial"/>
        </w:rPr>
        <w:t>16</w:t>
      </w:r>
      <w:r>
        <w:rPr>
          <w:rFonts w:hint="default" w:ascii="Arial" w:hAnsi="Arial" w:cs="Arial"/>
        </w:rPr>
        <w:fldChar w:fldCharType="end"/>
      </w:r>
      <w:r>
        <w:rPr>
          <w:rFonts w:hint="default" w:ascii="Arial" w:hAnsi="Arial" w:cs="Arial"/>
          <w:bCs w:val="0"/>
          <w:szCs w:val="24"/>
        </w:rPr>
        <w:fldChar w:fldCharType="end"/>
      </w:r>
    </w:p>
    <w:p>
      <w:pPr>
        <w:pStyle w:val="12"/>
        <w:keepNext w:val="0"/>
        <w:keepLines w:val="0"/>
        <w:pageBreakBefore w:val="0"/>
        <w:widowControl/>
        <w:tabs>
          <w:tab w:val="right" w:leader="dot" w:pos="9360"/>
        </w:tabs>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rPr>
      </w:pPr>
      <w:r>
        <w:rPr>
          <w:rFonts w:hint="default" w:ascii="Arial" w:hAnsi="Arial" w:cs="Arial"/>
          <w:bCs w:val="0"/>
          <w:szCs w:val="24"/>
        </w:rPr>
        <w:fldChar w:fldCharType="begin"/>
      </w:r>
      <w:r>
        <w:rPr>
          <w:rFonts w:hint="default" w:ascii="Arial" w:hAnsi="Arial" w:cs="Arial"/>
          <w:bCs w:val="0"/>
          <w:szCs w:val="24"/>
        </w:rPr>
        <w:instrText xml:space="preserve"> HYPERLINK \l _Toc24063 </w:instrText>
      </w:r>
      <w:r>
        <w:rPr>
          <w:rFonts w:hint="default" w:ascii="Arial" w:hAnsi="Arial" w:cs="Arial"/>
          <w:bCs w:val="0"/>
          <w:szCs w:val="24"/>
        </w:rPr>
        <w:fldChar w:fldCharType="separate"/>
      </w:r>
      <w:r>
        <w:rPr>
          <w:rFonts w:hint="default" w:ascii="Arial" w:hAnsi="Arial" w:cs="Arial" w:eastAsiaTheme="minorEastAsia"/>
          <w:kern w:val="2"/>
          <w:szCs w:val="24"/>
          <w:lang w:val="en-US" w:eastAsia="zh-CN"/>
        </w:rPr>
        <w:t>Reference List</w:t>
      </w:r>
      <w:r>
        <w:rPr>
          <w:rFonts w:hint="default" w:ascii="Arial" w:hAnsi="Arial" w:cs="Arial"/>
        </w:rPr>
        <w:tab/>
      </w:r>
      <w:r>
        <w:rPr>
          <w:rFonts w:hint="default" w:ascii="Arial" w:hAnsi="Arial" w:cs="Arial"/>
        </w:rPr>
        <w:fldChar w:fldCharType="begin"/>
      </w:r>
      <w:r>
        <w:rPr>
          <w:rFonts w:hint="default" w:ascii="Arial" w:hAnsi="Arial" w:cs="Arial"/>
        </w:rPr>
        <w:instrText xml:space="preserve"> PAGEREF _Toc24063 \h </w:instrText>
      </w:r>
      <w:r>
        <w:rPr>
          <w:rFonts w:hint="default" w:ascii="Arial" w:hAnsi="Arial" w:cs="Arial"/>
        </w:rPr>
        <w:fldChar w:fldCharType="separate"/>
      </w:r>
      <w:r>
        <w:rPr>
          <w:rFonts w:hint="default" w:ascii="Arial" w:hAnsi="Arial" w:cs="Arial"/>
        </w:rPr>
        <w:t>18</w:t>
      </w:r>
      <w:r>
        <w:rPr>
          <w:rFonts w:hint="default" w:ascii="Arial" w:hAnsi="Arial" w:cs="Arial"/>
        </w:rPr>
        <w:fldChar w:fldCharType="end"/>
      </w:r>
      <w:r>
        <w:rPr>
          <w:rFonts w:hint="default" w:ascii="Arial" w:hAnsi="Arial" w:cs="Arial"/>
          <w:bCs w:val="0"/>
          <w:szCs w:val="24"/>
        </w:rPr>
        <w:fldChar w:fldCharType="end"/>
      </w:r>
    </w:p>
    <w:p>
      <w:pPr>
        <w:keepNext w:val="0"/>
        <w:keepLines w:val="0"/>
        <w:pageBreakBefore w:val="0"/>
        <w:widowControl/>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bCs w:val="0"/>
          <w:szCs w:val="24"/>
        </w:rPr>
        <w:sectPr>
          <w:footerReference r:id="rId6" w:type="default"/>
          <w:pgSz w:w="12240" w:h="15840"/>
          <w:pgMar w:top="1440" w:right="1440" w:bottom="1440" w:left="1440" w:header="720" w:footer="720" w:gutter="0"/>
          <w:pgNumType w:fmt="decimal" w:start="1"/>
          <w:cols w:space="720" w:num="1"/>
        </w:sectPr>
      </w:pPr>
      <w:r>
        <w:rPr>
          <w:rFonts w:hint="default" w:ascii="Arial" w:hAnsi="Arial" w:cs="Arial"/>
          <w:bCs w:val="0"/>
          <w:szCs w:val="24"/>
        </w:rPr>
        <w:fldChar w:fldCharType="end"/>
      </w:r>
    </w:p>
    <w:p>
      <w:pPr>
        <w:bidi w:val="0"/>
        <w:jc w:val="center"/>
        <w:rPr>
          <w:rFonts w:hint="default" w:ascii="Arial" w:hAnsi="Arial" w:cs="Arial"/>
          <w:b/>
          <w:bCs/>
          <w:sz w:val="32"/>
          <w:szCs w:val="40"/>
        </w:rPr>
      </w:pPr>
      <w:r>
        <w:rPr>
          <w:rFonts w:hint="default" w:ascii="Arial" w:hAnsi="Arial" w:cs="Arial"/>
          <w:b/>
          <w:bCs/>
          <w:sz w:val="32"/>
          <w:szCs w:val="40"/>
        </w:rPr>
        <w:t>Executive Summary</w:t>
      </w:r>
    </w:p>
    <w:p>
      <w:pPr>
        <w:keepNext w:val="0"/>
        <w:keepLines w:val="0"/>
        <w:pageBreakBefore w:val="0"/>
        <w:widowControl/>
        <w:kinsoku/>
        <w:wordWrap/>
        <w:overflowPunct/>
        <w:topLinePunct w:val="0"/>
        <w:autoSpaceDE/>
        <w:autoSpaceDN/>
        <w:bidi w:val="0"/>
        <w:adjustRightInd/>
        <w:snapToGrid/>
        <w:spacing w:line="240" w:lineRule="auto"/>
        <w:jc w:val="center"/>
        <w:textAlignment w:val="auto"/>
        <w:rPr>
          <w:rFonts w:hint="default" w:ascii="Arial" w:hAnsi="Arial" w:cs="Arial"/>
          <w:b/>
          <w:bCs/>
          <w:sz w:val="32"/>
          <w:szCs w:val="40"/>
        </w:rPr>
      </w:pPr>
    </w:p>
    <w:p>
      <w:pPr>
        <w:keepNext w:val="0"/>
        <w:keepLines w:val="0"/>
        <w:pageBreakBefore w:val="0"/>
        <w:widowControl/>
        <w:kinsoku/>
        <w:wordWrap/>
        <w:overflowPunct/>
        <w:topLinePunct w:val="0"/>
        <w:autoSpaceDE/>
        <w:autoSpaceDN/>
        <w:bidi w:val="0"/>
        <w:adjustRightInd/>
        <w:snapToGrid/>
        <w:spacing w:line="480" w:lineRule="auto"/>
        <w:ind w:left="0" w:leftChars="0" w:firstLine="720" w:firstLineChars="300"/>
        <w:textAlignment w:val="auto"/>
        <w:rPr>
          <w:rFonts w:hint="eastAsia" w:ascii="Arial" w:hAnsi="Arial" w:cs="Arial"/>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International fast food chain enterprises are full of expectations for sustainable development, which is bound to constantly adapt to its internal and external environment, find new opportunities and face new challenges, and adopt targeted development strategies according to local conditions to cope with the changing business environment. Taking Pizza Hut as the research object, this report uses a variety of frameworks and models to analyze the current and future external and internal environments facing the fast food chain. The first model used is the PESTEL analysis, which is used primarily to assess the impact of consumer preferences, economic conditions and regulatory changes. In addition, this report also combines the five forces model (proposed by the famous Porter) and the VRIO model to carry out a detailed analysis of the competition situation of Pizza Hut, which helps to find the opportunity for its business improvement. In order to remain competitive, Pizza Hut should constantly innovate and differentiate its products, differentiate itself from competitors, and focus on new development opportunities to attract and retain customers. The fourth part is SWOT model, which mainly analyzes the strengths and weaknesses of Pizza Hut, as well as the opportunities and threats it faces. Finally, </w:t>
      </w:r>
      <w:r>
        <w:rPr>
          <w:rFonts w:hint="eastAsia" w:ascii="Arial" w:hAnsi="Arial" w:cs="Arial"/>
          <w:lang w:val="en-US" w:eastAsia="zh-CN"/>
        </w:rPr>
        <w:t xml:space="preserve">five important strategic suggestions are proposed to maintain </w:t>
      </w:r>
      <w:r>
        <w:rPr>
          <w:rFonts w:hint="default" w:ascii="Arial" w:hAnsi="Arial" w:cs="Arial"/>
          <w:lang w:val="en-US" w:eastAsia="zh-CN"/>
        </w:rPr>
        <w:t>Pizza Hut</w:t>
      </w:r>
      <w:r>
        <w:rPr>
          <w:rFonts w:hint="eastAsia" w:ascii="Arial" w:hAnsi="Arial" w:cs="Arial"/>
          <w:lang w:val="en-US" w:eastAsia="zh-CN"/>
        </w:rPr>
        <w:t xml:space="preserve">'s brand competitiveness and sustainable development. </w:t>
      </w:r>
      <w:r>
        <w:rPr>
          <w:rFonts w:hint="eastAsia" w:ascii="Arial" w:hAnsi="Arial" w:cs="Arial"/>
          <w:b w:val="0"/>
          <w:bCs/>
          <w:color w:val="auto"/>
          <w:kern w:val="2"/>
          <w:sz w:val="24"/>
          <w:szCs w:val="24"/>
          <w:lang w:val="en-US" w:eastAsia="zh-CN" w:bidi="ar-SA"/>
        </w:rPr>
        <w:t>Pizza Hut must learn to size up the situation, attach importance to and constantly adapt to the new internal and external environment changes, mitigate potential threats, adjust and optimize the enterprise development strategy timely, strive to improve customer loyalty to its brand, give full play to the brand effect, to ensure that the enterprise in the complex environment full of opportunities and challenges in an invincible position.</w:t>
      </w:r>
    </w:p>
    <w:p>
      <w:pPr>
        <w:keepNext w:val="0"/>
        <w:keepLines w:val="0"/>
        <w:pageBreakBefore w:val="0"/>
        <w:widowControl/>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b w:val="0"/>
          <w:bCs/>
          <w:color w:val="auto"/>
          <w:kern w:val="2"/>
          <w:sz w:val="24"/>
          <w:szCs w:val="24"/>
          <w:lang w:val="en-US" w:eastAsia="zh-CN" w:bidi="ar-SA"/>
        </w:rPr>
        <w:sectPr>
          <w:pgSz w:w="12240" w:h="15840"/>
          <w:pgMar w:top="1440" w:right="1440" w:bottom="1440" w:left="1440" w:header="720" w:footer="720" w:gutter="0"/>
          <w:pgNumType w:fmt="decimal"/>
          <w:cols w:space="720" w:num="1"/>
        </w:sectPr>
      </w:pP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1" w:name="_Toc26665"/>
      <w:r>
        <w:rPr>
          <w:rFonts w:hint="eastAsia" w:ascii="Arial" w:hAnsi="Arial" w:cs="Arial" w:eastAsiaTheme="minorEastAsia"/>
          <w:kern w:val="2"/>
          <w:sz w:val="32"/>
          <w:szCs w:val="24"/>
          <w:lang w:val="en-US" w:eastAsia="zh-CN"/>
        </w:rPr>
        <w:t>Introduction</w:t>
      </w:r>
      <w:bookmarkEnd w:id="1"/>
    </w:p>
    <w:p>
      <w:pPr>
        <w:numPr>
          <w:ilvl w:val="0"/>
          <w:numId w:val="3"/>
        </w:numPr>
        <w:jc w:val="both"/>
        <w:rPr>
          <w:rFonts w:hint="default" w:ascii="Arial" w:hAnsi="Arial" w:cs="Arial"/>
          <w:b w:val="0"/>
          <w:bCs w:val="0"/>
          <w:i w:val="0"/>
          <w:iCs w:val="0"/>
          <w:lang w:val="en-US" w:eastAsia="zh-CN"/>
        </w:rPr>
      </w:pPr>
      <w:r>
        <w:rPr>
          <w:rFonts w:hint="default" w:ascii="Arial" w:hAnsi="Arial" w:cs="Arial"/>
          <w:lang w:val="en-US" w:eastAsia="zh-CN"/>
        </w:rPr>
        <w:t xml:space="preserve">Pizza Hut is one of the world's largest and most successful pizza restaurant chains, with a history spanning over six decades. Founded in 1958 in Wichita, Kansas, Pizza Hut has since expanded to different locations worldwide, serving millions of customers every day (Pizza Hut Brand Blog, 2022). However, the fast-food industry is rapidly evolving, with changing consumer preferences, emerging technology, and increasing competition. To remain competitive and successful, a fast-food chain like Pizza Hut must continue evolving and adapting to its internal and external environment, identifying new opportunities, overcoming challenges, and developing effective strategies to respond to an ever-changing business environment. This report will analyse Pizza Hut's current and future external and internal environments using various frameworks and models. The first model is the PESTEL analysis, which will evaluate the impact of changing consumer preferences, economic conditions, and regulations. </w:t>
      </w:r>
      <w:r>
        <w:rPr>
          <w:rFonts w:hint="eastAsia" w:ascii="Arial" w:hAnsi="Arial" w:cs="Arial"/>
          <w:b w:val="0"/>
          <w:bCs/>
          <w:color w:val="auto"/>
          <w:kern w:val="2"/>
          <w:sz w:val="24"/>
          <w:szCs w:val="24"/>
          <w:lang w:val="en-US" w:eastAsia="zh-CN" w:bidi="ar-SA"/>
        </w:rPr>
        <w:t>The second is SWOT model, which mainly analyzes the strengths and weaknesses of Pizza Hut, as well as the opportunities and threats it faces.</w:t>
      </w:r>
      <w:r>
        <w:rPr>
          <w:rFonts w:hint="default" w:ascii="Arial" w:hAnsi="Arial" w:cs="Arial"/>
          <w:lang w:val="en-US" w:eastAsia="zh-CN"/>
        </w:rPr>
        <w:t xml:space="preserve"> </w:t>
      </w:r>
      <w:r>
        <w:rPr>
          <w:rFonts w:hint="eastAsia" w:ascii="Arial" w:hAnsi="Arial" w:cs="Arial"/>
          <w:lang w:val="en-US" w:eastAsia="zh-CN"/>
        </w:rPr>
        <w:t>Furthermore,</w:t>
      </w:r>
      <w:r>
        <w:rPr>
          <w:rFonts w:hint="default" w:ascii="Arial" w:hAnsi="Arial" w:cs="Arial"/>
          <w:lang w:val="en-US" w:eastAsia="zh-CN"/>
        </w:rPr>
        <w:t xml:space="preserve"> this report will conduct a competitive analysis using Porter's Five Forces model and </w:t>
      </w:r>
      <w:r>
        <w:rPr>
          <w:rFonts w:hint="default" w:ascii="Arial" w:hAnsi="Arial" w:cs="Arial"/>
        </w:rPr>
        <w:t>VRIO</w:t>
      </w:r>
      <w:r>
        <w:rPr>
          <w:rFonts w:hint="eastAsia" w:ascii="Arial" w:hAnsi="Arial" w:eastAsia="宋体" w:cs="Arial"/>
          <w:lang w:val="en-US" w:eastAsia="zh-CN"/>
        </w:rPr>
        <w:t xml:space="preserve"> model</w:t>
      </w:r>
      <w:r>
        <w:rPr>
          <w:rFonts w:hint="default" w:ascii="Arial" w:hAnsi="Arial" w:cs="Arial"/>
          <w:lang w:val="en-US" w:eastAsia="zh-CN"/>
        </w:rPr>
        <w:t>, which will identify opportunities for operational improvement.</w:t>
      </w:r>
      <w:r>
        <w:rPr>
          <w:rFonts w:hint="eastAsia" w:ascii="Arial" w:hAnsi="Arial" w:cs="Arial"/>
          <w:lang w:val="en-US" w:eastAsia="zh-CN"/>
        </w:rPr>
        <w:t xml:space="preserve"> In the conclusion part, five important strategic suggestions are proposed to maintain </w:t>
      </w:r>
      <w:r>
        <w:rPr>
          <w:rFonts w:hint="default" w:ascii="Arial" w:hAnsi="Arial" w:cs="Arial"/>
          <w:lang w:val="en-US" w:eastAsia="zh-CN"/>
        </w:rPr>
        <w:t>Pizza Hut</w:t>
      </w:r>
      <w:r>
        <w:rPr>
          <w:rFonts w:hint="eastAsia" w:ascii="Arial" w:hAnsi="Arial" w:cs="Arial"/>
          <w:lang w:val="en-US" w:eastAsia="zh-CN"/>
        </w:rPr>
        <w:t>'s brand competitiveness and sustainable development. These suggestions are:</w:t>
      </w:r>
      <w:r>
        <w:rPr>
          <w:rFonts w:hint="eastAsia" w:ascii="Arial" w:hAnsi="Arial" w:cs="Arial"/>
          <w:b w:val="0"/>
          <w:bCs w:val="0"/>
          <w:i w:val="0"/>
          <w:iCs w:val="0"/>
          <w:lang w:val="en-US" w:eastAsia="zh-CN"/>
        </w:rPr>
        <w:t xml:space="preserve"> c</w:t>
      </w:r>
      <w:r>
        <w:rPr>
          <w:rFonts w:hint="default" w:ascii="Arial" w:hAnsi="Arial" w:cs="Arial"/>
          <w:b w:val="0"/>
          <w:bCs w:val="0"/>
          <w:i w:val="0"/>
          <w:iCs w:val="0"/>
          <w:sz w:val="24"/>
          <w:szCs w:val="24"/>
        </w:rPr>
        <w:t>ultivate core competitiveness</w:t>
      </w:r>
      <w:r>
        <w:rPr>
          <w:rFonts w:hint="eastAsia" w:ascii="Arial" w:hAnsi="Arial" w:eastAsia="宋体" w:cs="Arial"/>
          <w:b w:val="0"/>
          <w:bCs w:val="0"/>
          <w:i w:val="0"/>
          <w:iCs w:val="0"/>
          <w:sz w:val="24"/>
          <w:szCs w:val="24"/>
          <w:lang w:val="en-US" w:eastAsia="zh-CN"/>
        </w:rPr>
        <w:t>,</w:t>
      </w:r>
      <w:r>
        <w:rPr>
          <w:rFonts w:hint="default" w:ascii="Arial" w:hAnsi="Arial" w:cs="Arial"/>
          <w:b w:val="0"/>
          <w:bCs w:val="0"/>
          <w:i w:val="0"/>
          <w:iCs w:val="0"/>
          <w:sz w:val="24"/>
          <w:szCs w:val="24"/>
        </w:rPr>
        <w:t xml:space="preserve"> </w:t>
      </w:r>
      <w:r>
        <w:rPr>
          <w:rFonts w:hint="eastAsia" w:ascii="Arial" w:hAnsi="Arial" w:eastAsia="宋体" w:cs="Arial"/>
          <w:b w:val="0"/>
          <w:bCs w:val="0"/>
          <w:i w:val="0"/>
          <w:iCs w:val="0"/>
          <w:sz w:val="24"/>
          <w:szCs w:val="24"/>
          <w:lang w:val="en-US" w:eastAsia="zh-CN"/>
        </w:rPr>
        <w:t>e</w:t>
      </w:r>
      <w:r>
        <w:rPr>
          <w:rFonts w:hint="default" w:ascii="Arial" w:hAnsi="Arial" w:cs="Arial"/>
          <w:b w:val="0"/>
          <w:bCs w:val="0"/>
          <w:i w:val="0"/>
          <w:iCs w:val="0"/>
          <w:sz w:val="24"/>
          <w:szCs w:val="24"/>
        </w:rPr>
        <w:t>xpand new markets</w:t>
      </w:r>
      <w:r>
        <w:rPr>
          <w:rFonts w:hint="eastAsia" w:ascii="Arial" w:hAnsi="Arial" w:eastAsia="宋体" w:cs="Arial"/>
          <w:b w:val="0"/>
          <w:bCs w:val="0"/>
          <w:i w:val="0"/>
          <w:iCs w:val="0"/>
          <w:sz w:val="24"/>
          <w:szCs w:val="24"/>
          <w:lang w:val="en-US" w:eastAsia="zh-CN"/>
        </w:rPr>
        <w:t>, i</w:t>
      </w:r>
      <w:r>
        <w:rPr>
          <w:rFonts w:hint="default" w:ascii="Arial" w:hAnsi="Arial" w:cs="Arial"/>
          <w:b w:val="0"/>
          <w:bCs w:val="0"/>
          <w:i w:val="0"/>
          <w:iCs w:val="0"/>
          <w:sz w:val="24"/>
          <w:szCs w:val="24"/>
        </w:rPr>
        <w:t>nnovative products and business models</w:t>
      </w:r>
      <w:r>
        <w:rPr>
          <w:rFonts w:hint="eastAsia" w:ascii="Arial" w:hAnsi="Arial" w:eastAsia="宋体" w:cs="Arial"/>
          <w:b w:val="0"/>
          <w:bCs w:val="0"/>
          <w:i w:val="0"/>
          <w:iCs w:val="0"/>
          <w:sz w:val="24"/>
          <w:szCs w:val="24"/>
          <w:lang w:val="en-US" w:eastAsia="zh-CN"/>
        </w:rPr>
        <w:t>, s</w:t>
      </w:r>
      <w:r>
        <w:rPr>
          <w:rFonts w:hint="default" w:ascii="Arial" w:hAnsi="Arial" w:cs="Arial"/>
          <w:b w:val="0"/>
          <w:bCs w:val="0"/>
          <w:i w:val="0"/>
          <w:iCs w:val="0"/>
          <w:sz w:val="24"/>
          <w:szCs w:val="24"/>
        </w:rPr>
        <w:t>trengthen weak links in development</w:t>
      </w:r>
      <w:r>
        <w:rPr>
          <w:rFonts w:hint="eastAsia" w:ascii="Arial" w:hAnsi="Arial" w:eastAsia="宋体" w:cs="Arial"/>
          <w:b w:val="0"/>
          <w:bCs w:val="0"/>
          <w:i w:val="0"/>
          <w:iCs w:val="0"/>
          <w:sz w:val="24"/>
          <w:szCs w:val="24"/>
          <w:lang w:val="en-US" w:eastAsia="zh-CN"/>
        </w:rPr>
        <w:t xml:space="preserve">, and improve </w:t>
      </w:r>
      <w:r>
        <w:rPr>
          <w:rFonts w:hint="default" w:ascii="Arial" w:hAnsi="Arial" w:cs="Arial"/>
          <w:b w:val="0"/>
          <w:bCs w:val="0"/>
          <w:i w:val="0"/>
          <w:iCs w:val="0"/>
          <w:sz w:val="24"/>
          <w:szCs w:val="24"/>
        </w:rPr>
        <w:t>the overall professional ability of employees.</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2" w:name="_Toc31223"/>
      <w:r>
        <w:rPr>
          <w:rFonts w:hint="default" w:ascii="Arial" w:hAnsi="Arial" w:cs="Arial" w:eastAsiaTheme="minorEastAsia"/>
          <w:kern w:val="2"/>
          <w:sz w:val="32"/>
          <w:szCs w:val="24"/>
          <w:lang w:val="en-US" w:eastAsia="zh-CN"/>
        </w:rPr>
        <w:t xml:space="preserve">PESTEL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 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2"/>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r>
        <w:rPr>
          <w:rFonts w:hint="default" w:ascii="Arial" w:hAnsi="Arial" w:cs="Arial"/>
          <w:lang w:val="en-US" w:eastAsia="zh-CN"/>
        </w:rPr>
        <w:t>The PESTEL model can assist Pizza Hut in analyzing external environmental factors at the strategic level (as shown in Figure 1) and improve decision makers' ability to control opportunities and risks</w:t>
      </w:r>
      <w:r>
        <w:rPr>
          <w:rFonts w:hint="eastAsia" w:ascii="Arial" w:hAnsi="Arial" w:cs="Arial"/>
          <w:lang w:val="en-US" w:eastAsia="zh-CN"/>
        </w:rPr>
        <w:t xml:space="preserve"> </w:t>
      </w:r>
      <w:r>
        <w:rPr>
          <w:rFonts w:hint="eastAsia" w:ascii="Arial" w:hAnsi="Arial" w:eastAsia="宋体" w:cs="Arial"/>
          <w:sz w:val="24"/>
          <w:szCs w:val="24"/>
          <w:lang w:val="en-US" w:eastAsia="zh-CN"/>
        </w:rPr>
        <w:t>(</w:t>
      </w:r>
      <w:r>
        <w:rPr>
          <w:rFonts w:hint="default" w:ascii="Arial" w:hAnsi="Arial" w:cs="Arial"/>
          <w:sz w:val="24"/>
          <w:szCs w:val="24"/>
          <w:lang w:val="en-US"/>
        </w:rPr>
        <w:t>Witcher</w:t>
      </w:r>
      <w:r>
        <w:rPr>
          <w:rFonts w:hint="eastAsia" w:ascii="Arial" w:hAnsi="Arial" w:eastAsia="宋体" w:cs="Arial"/>
          <w:sz w:val="24"/>
          <w:szCs w:val="24"/>
          <w:lang w:val="en-US" w:eastAsia="zh-CN"/>
        </w:rPr>
        <w:t xml:space="preserve"> and</w:t>
      </w:r>
      <w:r>
        <w:rPr>
          <w:rFonts w:hint="default" w:ascii="Arial" w:hAnsi="Arial" w:cs="Arial"/>
          <w:sz w:val="24"/>
          <w:szCs w:val="24"/>
          <w:lang w:val="en-US"/>
        </w:rPr>
        <w:t xml:space="preserve"> Chau</w:t>
      </w:r>
      <w:r>
        <w:rPr>
          <w:rFonts w:hint="eastAsia" w:ascii="Arial" w:hAnsi="Arial" w:eastAsia="宋体" w:cs="Arial"/>
          <w:sz w:val="24"/>
          <w:szCs w:val="24"/>
          <w:lang w:val="en-US" w:eastAsia="zh-CN"/>
        </w:rPr>
        <w:t xml:space="preserve">, </w:t>
      </w:r>
      <w:r>
        <w:rPr>
          <w:rFonts w:hint="default" w:ascii="Arial" w:hAnsi="Arial" w:cs="Arial"/>
          <w:sz w:val="24"/>
          <w:szCs w:val="24"/>
          <w:lang w:val="en-US"/>
        </w:rPr>
        <w:t>2010)</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textAlignment w:val="auto"/>
        <w:rPr>
          <w:rFonts w:hint="eastAsia" w:ascii="Arial" w:hAnsi="Arial" w:eastAsia="宋体" w:cs="Arial"/>
          <w:sz w:val="24"/>
          <w:szCs w:val="24"/>
          <w:lang w:val="en-US" w:eastAsia="zh-CN"/>
        </w:rPr>
      </w:pP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drawing>
          <wp:inline distT="0" distB="0" distL="114300" distR="114300">
            <wp:extent cx="5937250" cy="3165475"/>
            <wp:effectExtent l="0" t="0" r="6350" b="9525"/>
            <wp:docPr id="10" name="图片 10" descr="pestel分析模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pestel分析模型"/>
                    <pic:cNvPicPr>
                      <a:picLocks noChangeAspect="1"/>
                    </pic:cNvPicPr>
                  </pic:nvPicPr>
                  <pic:blipFill>
                    <a:blip r:embed="rId11"/>
                    <a:stretch>
                      <a:fillRect/>
                    </a:stretch>
                  </pic:blipFill>
                  <pic:spPr>
                    <a:xfrm>
                      <a:off x="0" y="0"/>
                      <a:ext cx="5937250" cy="3165475"/>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Figure 1. PESTEL model</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3" w:name="_Toc7534"/>
      <w:r>
        <w:rPr>
          <w:rFonts w:hint="default" w:ascii="Arial" w:hAnsi="Arial" w:cs="Arial" w:eastAsiaTheme="minorEastAsia"/>
          <w:kern w:val="2"/>
          <w:sz w:val="28"/>
          <w:szCs w:val="28"/>
          <w:lang w:val="en-US" w:eastAsia="zh-CN"/>
        </w:rPr>
        <w:t>Analysis from political and economic perspective</w:t>
      </w:r>
      <w:r>
        <w:rPr>
          <w:rFonts w:hint="eastAsia" w:ascii="Arial" w:hAnsi="Arial" w:cs="Arial" w:eastAsiaTheme="minorEastAsia"/>
          <w:kern w:val="2"/>
          <w:sz w:val="28"/>
          <w:szCs w:val="28"/>
          <w:lang w:val="en-US" w:eastAsia="zh-CN"/>
        </w:rPr>
        <w:t>s</w:t>
      </w:r>
      <w:bookmarkEnd w:id="3"/>
    </w:p>
    <w:p>
      <w:pPr>
        <w:bidi w:val="0"/>
        <w:rPr>
          <w:rFonts w:hint="default" w:ascii="Arial" w:hAnsi="Arial" w:cs="Arial"/>
        </w:rPr>
      </w:pPr>
      <w:r>
        <w:rPr>
          <w:rFonts w:hint="default" w:ascii="Arial" w:hAnsi="Arial" w:cs="Arial"/>
        </w:rPr>
        <w:t xml:space="preserve">Pizza Hut operates in a politically unstable industry and is subject to various internal and external political factors that can impact its operations. According to Markus (2022), Pizza Hut, like many international businesses, has been affected by geopolitical events such as Russia's 2022 invasion of Ukraine, which led to international sanctions against Russia. Liadze and others (2022) note that this resulted in many franchises leaving the Russian market, thereby negatively impacting the sales of Pizza Hut. </w:t>
      </w:r>
    </w:p>
    <w:p>
      <w:pPr>
        <w:bidi w:val="0"/>
        <w:rPr>
          <w:rFonts w:hint="default" w:ascii="Arial" w:hAnsi="Arial" w:cs="Arial"/>
        </w:rPr>
      </w:pPr>
      <w:r>
        <w:rPr>
          <w:rFonts w:hint="default" w:ascii="Arial" w:hAnsi="Arial" w:cs="Arial"/>
        </w:rPr>
        <w:t xml:space="preserve">Changes in internal and external economic conditions have also significantly impacted the fast-food industry, including Pizza Hut. The COVID-19 global pandemic has undoubtedly had a major impact on every industry, including fast food. </w:t>
      </w:r>
      <w:r>
        <w:rPr>
          <w:rFonts w:hint="default" w:ascii="Arial" w:hAnsi="Arial" w:cs="Arial"/>
          <w:lang w:val="en-US"/>
        </w:rPr>
        <w:t>Bhushan (2020)</w:t>
      </w:r>
      <w:r>
        <w:rPr>
          <w:rFonts w:hint="default" w:ascii="Arial" w:hAnsi="Arial" w:cs="Arial"/>
        </w:rPr>
        <w:t xml:space="preserve"> notes that lockdowns and restrictions on dining out resulted in reduced sales and revenue by 6% in the first half of 2020 as compared to the same period in 2019. Overall, changes in economic conditions, such as recession, inflation, and increase in prices, have significantly impacted Pizza Hut. </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4" w:name="_Toc1039"/>
      <w:r>
        <w:rPr>
          <w:rFonts w:hint="default" w:ascii="Arial" w:hAnsi="Arial" w:cs="Arial" w:eastAsiaTheme="minorEastAsia"/>
          <w:kern w:val="2"/>
          <w:sz w:val="28"/>
          <w:szCs w:val="28"/>
          <w:lang w:val="en-US" w:eastAsia="zh-CN"/>
        </w:rPr>
        <w:t xml:space="preserve">Analysis from </w:t>
      </w:r>
      <w:r>
        <w:rPr>
          <w:rFonts w:hint="eastAsia" w:ascii="Arial" w:hAnsi="Arial" w:cs="Arial" w:eastAsiaTheme="minorEastAsia"/>
          <w:kern w:val="2"/>
          <w:sz w:val="28"/>
          <w:szCs w:val="28"/>
          <w:lang w:val="en-US" w:eastAsia="zh-CN"/>
        </w:rPr>
        <w:t>s</w:t>
      </w:r>
      <w:r>
        <w:rPr>
          <w:rFonts w:hint="default" w:ascii="Arial" w:hAnsi="Arial" w:cs="Arial" w:eastAsiaTheme="minorEastAsia"/>
          <w:kern w:val="2"/>
          <w:sz w:val="28"/>
          <w:szCs w:val="28"/>
          <w:lang w:val="en-US" w:eastAsia="zh-CN"/>
        </w:rPr>
        <w:t xml:space="preserve">ociocultural and </w:t>
      </w:r>
      <w:r>
        <w:rPr>
          <w:rFonts w:hint="eastAsia" w:ascii="Arial" w:hAnsi="Arial" w:cs="Arial" w:eastAsiaTheme="minorEastAsia"/>
          <w:kern w:val="2"/>
          <w:sz w:val="28"/>
          <w:szCs w:val="28"/>
          <w:lang w:val="en-US" w:eastAsia="zh-CN"/>
        </w:rPr>
        <w:t>t</w:t>
      </w:r>
      <w:r>
        <w:rPr>
          <w:rFonts w:hint="default" w:ascii="Arial" w:hAnsi="Arial" w:cs="Arial" w:eastAsiaTheme="minorEastAsia"/>
          <w:kern w:val="2"/>
          <w:sz w:val="28"/>
          <w:szCs w:val="28"/>
          <w:lang w:val="en-US" w:eastAsia="zh-CN"/>
        </w:rPr>
        <w:t>echnological perspective</w:t>
      </w:r>
      <w:r>
        <w:rPr>
          <w:rFonts w:hint="eastAsia" w:ascii="Arial" w:hAnsi="Arial" w:cs="Arial" w:eastAsiaTheme="minorEastAsia"/>
          <w:kern w:val="2"/>
          <w:sz w:val="28"/>
          <w:szCs w:val="28"/>
          <w:lang w:val="en-US" w:eastAsia="zh-CN"/>
        </w:rPr>
        <w:t>s</w:t>
      </w:r>
      <w:bookmarkEnd w:id="4"/>
    </w:p>
    <w:p>
      <w:pPr>
        <w:bidi w:val="0"/>
        <w:rPr>
          <w:rFonts w:hint="default" w:ascii="Arial" w:hAnsi="Arial" w:cs="Arial"/>
        </w:rPr>
      </w:pPr>
      <w:r>
        <w:rPr>
          <w:rFonts w:hint="default" w:ascii="Arial" w:hAnsi="Arial" w:cs="Arial"/>
        </w:rPr>
        <w:t>Changing sociocultural factors have also had a significant impact on Pizza Hut</w:t>
      </w:r>
      <w:r>
        <w:rPr>
          <w:rFonts w:hint="eastAsia" w:ascii="Arial" w:hAnsi="Arial" w:eastAsia="宋体" w:cs="Arial"/>
          <w:lang w:val="en-US" w:eastAsia="zh-CN"/>
        </w:rPr>
        <w:t xml:space="preserve">, such </w:t>
      </w:r>
      <w:r>
        <w:rPr>
          <w:rFonts w:hint="default" w:ascii="Arial" w:hAnsi="Arial" w:cs="Arial"/>
        </w:rPr>
        <w:t>as health and sustainability issues</w:t>
      </w:r>
      <w:r>
        <w:rPr>
          <w:rFonts w:hint="eastAsia" w:ascii="Arial" w:hAnsi="Arial" w:eastAsia="宋体" w:cs="Arial"/>
          <w:lang w:val="en-US" w:eastAsia="zh-CN"/>
        </w:rPr>
        <w:t xml:space="preserve">. </w:t>
      </w:r>
      <w:r>
        <w:rPr>
          <w:rFonts w:hint="default" w:ascii="Arial" w:hAnsi="Arial" w:cs="Arial"/>
        </w:rPr>
        <w:t>As consumers become more health-conscious, they avoid fast food or opt for healthier options.</w:t>
      </w:r>
      <w:r>
        <w:rPr>
          <w:rFonts w:hint="eastAsia" w:ascii="Arial" w:hAnsi="Arial" w:eastAsia="宋体" w:cs="Arial"/>
          <w:lang w:val="en-US" w:eastAsia="zh-CN"/>
        </w:rPr>
        <w:t xml:space="preserve"> T</w:t>
      </w:r>
      <w:r>
        <w:rPr>
          <w:rFonts w:hint="default" w:ascii="Arial" w:hAnsi="Arial" w:cs="Arial"/>
        </w:rPr>
        <w:t>his shift in consumer preferences towards more nutritious and sustainable food options has impacted demand for Pizza Hut, leading to declined sales of unhealthy foods. Therefore, Pizza Hut should consider offering healthier pizza toppings or introducing new menu items that cater to this trend, such as vegetarian or gluten-free options.</w:t>
      </w:r>
    </w:p>
    <w:p>
      <w:pPr>
        <w:bidi w:val="0"/>
        <w:rPr>
          <w:rFonts w:hint="eastAsia" w:ascii="Arial" w:hAnsi="Arial" w:eastAsia="宋体" w:cs="Arial"/>
          <w:lang w:val="en-US" w:eastAsia="zh-CN"/>
        </w:rPr>
      </w:pPr>
      <w:r>
        <w:rPr>
          <w:rFonts w:hint="default" w:ascii="Arial" w:hAnsi="Arial" w:cs="Arial"/>
        </w:rPr>
        <w:t>Technological advancements have also significantly impacted Pizza Hut both internally and externally. Externally, Chang and Meyerhoefer (2021) observe that the growing use of online platforms and delivery services for ordering and payment processing has made it easier for customers to order from Pizza Hut leading to an increase in online sales. For this reason, adopting new technologies can improve its operations and customer experience.</w:t>
      </w:r>
      <w:r>
        <w:rPr>
          <w:rFonts w:hint="eastAsia" w:ascii="Arial" w:hAnsi="Arial" w:eastAsia="宋体" w:cs="Arial"/>
          <w:lang w:val="en-US" w:eastAsia="zh-CN"/>
        </w:rPr>
        <w:t xml:space="preserve"> In the field of digital marketing based on artificial intelligence technology, chat robots can be used to carry out relaxed and pleasant chat with customers and provide online pizza ordering services, such as Domino's Company (Cheng and Jiang, 2022). Therefore, Pizzahut can fully integrate AI to upgrade traditional services and enhance customer experience.</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567" w:leftChars="0" w:hanging="567" w:firstLineChars="0"/>
        <w:textAlignment w:val="auto"/>
        <w:outlineLvl w:val="2"/>
        <w:rPr>
          <w:rFonts w:hint="default" w:ascii="Arial" w:hAnsi="Arial" w:cs="Arial" w:eastAsiaTheme="minorEastAsia"/>
          <w:kern w:val="2"/>
          <w:sz w:val="28"/>
          <w:szCs w:val="28"/>
          <w:lang w:val="en-US" w:eastAsia="zh-CN"/>
        </w:rPr>
      </w:pPr>
      <w:bookmarkStart w:id="5" w:name="_Toc2569"/>
      <w:r>
        <w:rPr>
          <w:rFonts w:hint="default" w:ascii="Arial" w:hAnsi="Arial" w:cs="Arial" w:eastAsiaTheme="minorEastAsia"/>
          <w:kern w:val="2"/>
          <w:sz w:val="28"/>
          <w:szCs w:val="28"/>
          <w:lang w:val="en-US" w:eastAsia="zh-CN"/>
        </w:rPr>
        <w:t xml:space="preserve">Analysis from </w:t>
      </w:r>
      <w:r>
        <w:rPr>
          <w:rFonts w:hint="eastAsia" w:ascii="Arial" w:hAnsi="Arial" w:cs="Arial" w:eastAsiaTheme="minorEastAsia"/>
          <w:kern w:val="2"/>
          <w:sz w:val="28"/>
          <w:szCs w:val="28"/>
          <w:lang w:val="en-US" w:eastAsia="zh-CN"/>
        </w:rPr>
        <w:t>e</w:t>
      </w:r>
      <w:r>
        <w:rPr>
          <w:rFonts w:hint="default" w:ascii="Arial" w:hAnsi="Arial" w:cs="Arial" w:eastAsiaTheme="minorEastAsia"/>
          <w:kern w:val="2"/>
          <w:sz w:val="28"/>
          <w:szCs w:val="28"/>
          <w:lang w:val="en-US" w:eastAsia="zh-CN"/>
        </w:rPr>
        <w:t xml:space="preserve">nvironmental and </w:t>
      </w:r>
      <w:r>
        <w:rPr>
          <w:rFonts w:hint="eastAsia" w:ascii="Arial" w:hAnsi="Arial" w:cs="Arial" w:eastAsiaTheme="minorEastAsia"/>
          <w:kern w:val="2"/>
          <w:sz w:val="28"/>
          <w:szCs w:val="28"/>
          <w:lang w:val="en-US" w:eastAsia="zh-CN"/>
        </w:rPr>
        <w:t>l</w:t>
      </w:r>
      <w:r>
        <w:rPr>
          <w:rFonts w:hint="default" w:ascii="Arial" w:hAnsi="Arial" w:cs="Arial" w:eastAsiaTheme="minorEastAsia"/>
          <w:kern w:val="2"/>
          <w:sz w:val="28"/>
          <w:szCs w:val="28"/>
          <w:lang w:val="en-US" w:eastAsia="zh-CN"/>
        </w:rPr>
        <w:t>egal perspective</w:t>
      </w:r>
      <w:r>
        <w:rPr>
          <w:rFonts w:hint="eastAsia" w:ascii="Arial" w:hAnsi="Arial" w:cs="Arial" w:eastAsiaTheme="minorEastAsia"/>
          <w:kern w:val="2"/>
          <w:sz w:val="28"/>
          <w:szCs w:val="28"/>
          <w:lang w:val="en-US" w:eastAsia="zh-CN"/>
        </w:rPr>
        <w:t>s</w:t>
      </w:r>
      <w:bookmarkEnd w:id="5"/>
    </w:p>
    <w:p>
      <w:pPr>
        <w:bidi w:val="0"/>
        <w:rPr>
          <w:rFonts w:hint="default" w:ascii="Arial" w:hAnsi="Arial" w:cs="Arial"/>
        </w:rPr>
      </w:pPr>
      <w:r>
        <w:rPr>
          <w:rFonts w:hint="default" w:ascii="Arial" w:hAnsi="Arial" w:cs="Arial"/>
        </w:rPr>
        <w:t xml:space="preserve">Growing concerns about environmental sustainability and climate change have become essential factors for many consumers, including in the fast-food industry when making purchasing decisions. </w:t>
      </w:r>
      <w:r>
        <w:rPr>
          <w:rFonts w:hint="eastAsia" w:ascii="Arial" w:hAnsi="Arial" w:eastAsia="宋体" w:cs="Arial"/>
          <w:lang w:val="en-US" w:eastAsia="zh-CN"/>
        </w:rPr>
        <w:t>Xu</w:t>
      </w:r>
      <w:r>
        <w:rPr>
          <w:rFonts w:hint="default" w:ascii="Arial" w:hAnsi="Arial" w:cs="Arial"/>
        </w:rPr>
        <w:t xml:space="preserve"> (20</w:t>
      </w:r>
      <w:r>
        <w:rPr>
          <w:rFonts w:hint="eastAsia" w:ascii="Arial" w:hAnsi="Arial" w:cs="Arial"/>
          <w:lang w:val="en-US" w:eastAsia="zh-CN"/>
        </w:rPr>
        <w:t>14</w:t>
      </w:r>
      <w:r>
        <w:rPr>
          <w:rFonts w:hint="default" w:ascii="Arial" w:hAnsi="Arial" w:cs="Arial"/>
        </w:rPr>
        <w:t xml:space="preserve">) </w:t>
      </w:r>
      <w:r>
        <w:rPr>
          <w:rFonts w:hint="eastAsia" w:ascii="Arial" w:hAnsi="Arial" w:cs="Arial"/>
          <w:lang w:val="en-US" w:eastAsia="zh-CN"/>
        </w:rPr>
        <w:t>found</w:t>
      </w:r>
      <w:r>
        <w:rPr>
          <w:rFonts w:hint="default" w:ascii="Arial" w:hAnsi="Arial" w:cs="Arial"/>
        </w:rPr>
        <w:t xml:space="preserve"> </w:t>
      </w:r>
      <w:r>
        <w:rPr>
          <w:rFonts w:hint="eastAsia" w:ascii="Arial" w:hAnsi="Arial" w:cs="Arial"/>
          <w:lang w:val="en-US" w:eastAsia="zh-CN"/>
        </w:rPr>
        <w:t>that fast food customers in China expect companies to invest more in environmental s</w:t>
      </w:r>
      <w:r>
        <w:rPr>
          <w:rFonts w:hint="eastAsia" w:ascii="Arial" w:hAnsi="Arial" w:eastAsia="宋体" w:cs="Arial"/>
          <w:lang w:val="en-US" w:eastAsia="zh-CN"/>
        </w:rPr>
        <w:t>ustainability and food safety to reflect corporate social responsibility. Hence</w:t>
      </w:r>
      <w:r>
        <w:rPr>
          <w:rFonts w:hint="default" w:ascii="Arial" w:hAnsi="Arial" w:cs="Arial"/>
        </w:rPr>
        <w:t xml:space="preserve">, consumers </w:t>
      </w:r>
      <w:r>
        <w:rPr>
          <w:rFonts w:hint="eastAsia" w:ascii="Arial" w:hAnsi="Arial" w:eastAsia="宋体" w:cs="Arial"/>
          <w:lang w:val="en-US" w:eastAsia="zh-CN"/>
        </w:rPr>
        <w:t xml:space="preserve">believe </w:t>
      </w:r>
      <w:r>
        <w:rPr>
          <w:rFonts w:hint="default" w:ascii="Arial" w:hAnsi="Arial" w:cs="Arial"/>
        </w:rPr>
        <w:t>that their purchasing decisions may have an impact on the environment and are more inclined to choose brands with sustainable development prospects. To keep up, Pizza Hut needs to implement sustainable practices such as reducing food waste, using eco-friendly packaging, and sourcing ingredients from sustainable and ethical suppliers. Thamagasorn and Pharino (2019) note that Pizza Hut could focus on efficient energy and resource usage to prevent energy wastage which could negatively impact the environment.</w:t>
      </w:r>
    </w:p>
    <w:p>
      <w:pPr>
        <w:bidi w:val="0"/>
        <w:rPr>
          <w:rFonts w:hint="default" w:ascii="Arial" w:hAnsi="Arial" w:cs="Arial"/>
        </w:rPr>
      </w:pPr>
      <w:r>
        <w:rPr>
          <w:rFonts w:hint="default" w:ascii="Arial" w:hAnsi="Arial" w:cs="Arial"/>
        </w:rPr>
        <w:t>Legal requirements related to food safety, health and safety, and employment laws are essential considerations for Pizza Hut's operations. Governments worldwide are implementing various labor laws and regulations to protect workers' rights, including minimum wage laws, paid leave policies, and employee benefits (Fisk and Reddy, 2020). Pizza Hut must adhere to food safety laws and regulations and ensure that food is prepared and served safely and hygienically. Failure to comply with these regulations can result in legal and reputational risks (Nayak and Waterson, 2019). Therefore, Pizza Hut must implement all these policies and procedures to retain its corporate success.</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6" w:name="_Toc7678"/>
      <w:bookmarkStart w:id="7" w:name="_Toc950"/>
      <w:r>
        <w:rPr>
          <w:rFonts w:hint="default" w:ascii="Arial" w:hAnsi="Arial" w:cs="Arial" w:eastAsiaTheme="minorEastAsia"/>
          <w:kern w:val="2"/>
          <w:sz w:val="32"/>
          <w:szCs w:val="24"/>
          <w:lang w:val="en-US" w:eastAsia="zh-CN"/>
        </w:rPr>
        <w:t xml:space="preserve">Competitive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w:t>
      </w:r>
      <w:bookmarkEnd w:id="6"/>
      <w:r>
        <w:rPr>
          <w:rFonts w:hint="eastAsia" w:ascii="Arial" w:hAnsi="Arial" w:cs="Arial" w:eastAsiaTheme="minorEastAsia"/>
          <w:kern w:val="2"/>
          <w:sz w:val="32"/>
          <w:szCs w:val="24"/>
          <w:lang w:val="en-US" w:eastAsia="zh-CN"/>
        </w:rPr>
        <w:t xml:space="preserve"> </w:t>
      </w:r>
      <w:r>
        <w:rPr>
          <w:rFonts w:hint="default" w:ascii="Arial" w:hAnsi="Arial" w:cs="Arial" w:eastAsiaTheme="minorEastAsia"/>
          <w:kern w:val="2"/>
          <w:sz w:val="32"/>
          <w:szCs w:val="24"/>
          <w:lang w:val="en-US" w:eastAsia="zh-CN"/>
        </w:rPr>
        <w:t>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7"/>
    </w:p>
    <w:p>
      <w:pPr>
        <w:bidi w:val="0"/>
        <w:rPr>
          <w:rFonts w:hint="default" w:ascii="Arial" w:hAnsi="Arial" w:cs="Arial"/>
        </w:rPr>
      </w:pPr>
      <w:r>
        <w:rPr>
          <w:rFonts w:hint="default" w:ascii="Arial" w:hAnsi="Arial" w:cs="Arial"/>
        </w:rPr>
        <w:t>A competitive analysis is a framework that helps organizations identify and evaluate their competitors and their competitive environment to gain insights into their competitive advantage. This section will explore Porter’s five forces and the VRIO analysis of Pizza Hut.</w:t>
      </w:r>
    </w:p>
    <w:p>
      <w:pPr>
        <w:pStyle w:val="3"/>
        <w:numPr>
          <w:ilvl w:val="1"/>
          <w:numId w:val="0"/>
        </w:numPr>
        <w:bidi w:val="0"/>
        <w:ind w:leftChars="0"/>
        <w:rPr>
          <w:rFonts w:hint="default" w:ascii="Arial" w:hAnsi="Arial" w:cs="Arial"/>
          <w:sz w:val="28"/>
          <w:szCs w:val="28"/>
          <w:lang w:val="en-US" w:eastAsia="zh-CN"/>
        </w:rPr>
      </w:pPr>
      <w:bookmarkStart w:id="8" w:name="_Toc2130"/>
      <w:bookmarkStart w:id="9" w:name="_Toc30715"/>
      <w:r>
        <w:rPr>
          <w:rFonts w:hint="eastAsia" w:ascii="Arial" w:hAnsi="Arial" w:cs="Arial"/>
          <w:sz w:val="28"/>
          <w:szCs w:val="28"/>
          <w:lang w:val="en-US" w:eastAsia="zh-CN"/>
        </w:rPr>
        <w:t xml:space="preserve">3.1 </w:t>
      </w:r>
      <w:r>
        <w:rPr>
          <w:rFonts w:hint="default" w:ascii="Arial" w:hAnsi="Arial" w:cs="Arial"/>
          <w:sz w:val="28"/>
          <w:szCs w:val="28"/>
          <w:lang w:val="en-US" w:eastAsia="zh-CN"/>
        </w:rPr>
        <w:t>Porter’s Five Forces</w:t>
      </w:r>
      <w:bookmarkEnd w:id="8"/>
      <w:bookmarkEnd w:id="9"/>
    </w:p>
    <w:p>
      <w:pPr>
        <w:bidi w:val="0"/>
        <w:rPr>
          <w:rFonts w:hint="default" w:ascii="Arial" w:hAnsi="Arial" w:cs="Arial"/>
        </w:rPr>
      </w:pPr>
      <w:r>
        <w:rPr>
          <w:rFonts w:hint="default" w:ascii="Arial" w:hAnsi="Arial" w:cs="Arial"/>
        </w:rPr>
        <w:t xml:space="preserve">The model </w:t>
      </w:r>
      <w:r>
        <w:rPr>
          <w:rFonts w:hint="eastAsia" w:ascii="Arial" w:hAnsi="Arial" w:eastAsia="宋体" w:cs="Arial"/>
          <w:lang w:val="en-US" w:eastAsia="zh-CN"/>
        </w:rPr>
        <w:t>(</w:t>
      </w:r>
      <w:r>
        <w:rPr>
          <w:rFonts w:hint="default" w:ascii="Arial" w:hAnsi="Arial" w:cs="Arial"/>
          <w:lang w:val="en-US" w:eastAsia="zh-CN"/>
        </w:rPr>
        <w:t xml:space="preserve">as shown in Figure </w:t>
      </w:r>
      <w:r>
        <w:rPr>
          <w:rFonts w:hint="eastAsia" w:ascii="Arial" w:hAnsi="Arial" w:cs="Arial"/>
          <w:lang w:val="en-US" w:eastAsia="zh-CN"/>
        </w:rPr>
        <w:t>2</w:t>
      </w:r>
      <w:r>
        <w:rPr>
          <w:rFonts w:hint="eastAsia" w:ascii="Arial" w:hAnsi="Arial" w:eastAsia="宋体" w:cs="Arial"/>
          <w:lang w:val="en-US" w:eastAsia="zh-CN"/>
        </w:rPr>
        <w:t xml:space="preserve">) </w:t>
      </w:r>
      <w:r>
        <w:rPr>
          <w:rFonts w:hint="default" w:ascii="Arial" w:hAnsi="Arial" w:cs="Arial"/>
        </w:rPr>
        <w:t>is used as a tool to analyze the competitive environment of the industry</w:t>
      </w:r>
      <w:r>
        <w:rPr>
          <w:rFonts w:hint="eastAsia" w:ascii="Arial" w:hAnsi="Arial" w:eastAsia="宋体" w:cs="Arial"/>
          <w:lang w:val="en-US" w:eastAsia="zh-CN"/>
        </w:rPr>
        <w:t xml:space="preserve"> </w:t>
      </w:r>
      <w:r>
        <w:rPr>
          <w:rFonts w:hint="default" w:ascii="Arial" w:hAnsi="Arial" w:cs="Arial"/>
        </w:rPr>
        <w:t>(Dobbs, 2014).</w:t>
      </w:r>
      <w:r>
        <w:rPr>
          <w:rFonts w:hint="eastAsia" w:ascii="Arial" w:hAnsi="Arial" w:eastAsia="宋体" w:cs="Arial"/>
          <w:lang w:val="en-US" w:eastAsia="zh-CN"/>
        </w:rPr>
        <w:t xml:space="preserve"> </w:t>
      </w:r>
      <w:r>
        <w:rPr>
          <w:rFonts w:hint="eastAsia" w:ascii="Arial" w:hAnsi="Arial" w:eastAsia="宋体" w:cs="Arial"/>
          <w:highlight w:val="none"/>
          <w:lang w:val="en-US" w:eastAsia="zh-CN"/>
        </w:rPr>
        <w:t xml:space="preserve">For example, </w:t>
      </w:r>
      <w:r>
        <w:rPr>
          <w:rFonts w:hint="eastAsia" w:ascii="Arial" w:hAnsi="Arial" w:eastAsia="宋体" w:cs="Arial"/>
          <w:sz w:val="24"/>
          <w:szCs w:val="24"/>
          <w:highlight w:val="none"/>
          <w:lang w:val="en-US" w:eastAsia="zh-CN"/>
        </w:rPr>
        <w:t>Wu and Yang</w:t>
      </w:r>
      <w:r>
        <w:rPr>
          <w:rFonts w:hint="default" w:ascii="Arial" w:hAnsi="Arial" w:cs="Arial"/>
          <w:sz w:val="24"/>
          <w:szCs w:val="24"/>
          <w:highlight w:val="none"/>
          <w:lang w:val="en-US"/>
        </w:rPr>
        <w:t xml:space="preserve"> (2014) </w:t>
      </w:r>
      <w:r>
        <w:rPr>
          <w:rFonts w:hint="eastAsia" w:ascii="Arial" w:hAnsi="Arial" w:eastAsia="宋体" w:cs="Arial"/>
          <w:highlight w:val="none"/>
          <w:lang w:val="en-US" w:eastAsia="zh-CN"/>
        </w:rPr>
        <w:t>has conducted this five-force model analysis on the core elements of shale gas market competition to help Chinese enterprises understand industry trends, explore diversified development paths of energy supply, alleviate potential pressures and risks brought by external environment and uncertainties, and improve the driving force for sustainable development of enterprises.</w:t>
      </w:r>
      <w:r>
        <w:rPr>
          <w:rFonts w:hint="default" w:ascii="Arial" w:hAnsi="Arial" w:cs="Arial"/>
          <w:highlight w:val="none"/>
        </w:rPr>
        <w:t xml:space="preserve"> </w:t>
      </w:r>
      <w:r>
        <w:rPr>
          <w:rFonts w:hint="default" w:ascii="Arial" w:hAnsi="Arial" w:cs="Arial"/>
        </w:rPr>
        <w:t>This part will analyse the five forces' relevance to Pizza Hut’s internal and external market position.</w:t>
      </w:r>
    </w:p>
    <w:p>
      <w:pPr>
        <w:bidi w:val="0"/>
        <w:ind w:left="0" w:leftChars="0" w:firstLine="0" w:firstLineChars="0"/>
        <w:jc w:val="center"/>
        <w:rPr>
          <w:rFonts w:hint="eastAsia" w:ascii="Arial" w:hAnsi="Arial" w:eastAsia="宋体" w:cs="Arial"/>
          <w:lang w:eastAsia="zh-CN"/>
        </w:rPr>
      </w:pPr>
      <w:r>
        <w:rPr>
          <w:rFonts w:hint="eastAsia" w:ascii="Arial" w:hAnsi="Arial" w:eastAsia="宋体" w:cs="Arial"/>
          <w:lang w:eastAsia="zh-CN"/>
        </w:rPr>
        <w:drawing>
          <wp:inline distT="0" distB="0" distL="114300" distR="114300">
            <wp:extent cx="2845435" cy="2581910"/>
            <wp:effectExtent l="0" t="0" r="12065" b="8890"/>
            <wp:docPr id="13" name="图片 13" descr="波特五力模型图-市场竞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波特五力模型图-市场竞争"/>
                    <pic:cNvPicPr>
                      <a:picLocks noChangeAspect="1"/>
                    </pic:cNvPicPr>
                  </pic:nvPicPr>
                  <pic:blipFill>
                    <a:blip r:embed="rId12"/>
                    <a:stretch>
                      <a:fillRect/>
                    </a:stretch>
                  </pic:blipFill>
                  <pic:spPr>
                    <a:xfrm>
                      <a:off x="0" y="0"/>
                      <a:ext cx="2845435" cy="258191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ind w:left="0" w:leftChars="0" w:firstLine="0" w:firstLineChars="0"/>
        <w:jc w:val="center"/>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Figure 2. Porter</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s five forces model</w:t>
      </w:r>
    </w:p>
    <w:p>
      <w:pPr>
        <w:pStyle w:val="4"/>
        <w:numPr>
          <w:ilvl w:val="2"/>
          <w:numId w:val="0"/>
        </w:numPr>
        <w:bidi w:val="0"/>
        <w:ind w:leftChars="0"/>
        <w:rPr>
          <w:rFonts w:hint="default" w:ascii="Arial" w:hAnsi="Arial" w:cs="Arial"/>
          <w:lang w:val="en-US" w:eastAsia="zh-CN"/>
        </w:rPr>
      </w:pPr>
      <w:bookmarkStart w:id="10" w:name="_Toc10314"/>
      <w:r>
        <w:rPr>
          <w:rFonts w:hint="eastAsia" w:ascii="Arial" w:hAnsi="Arial" w:cs="Arial"/>
          <w:lang w:val="en-US" w:eastAsia="zh-CN"/>
        </w:rPr>
        <w:t xml:space="preserve">3.1.1 </w:t>
      </w:r>
      <w:r>
        <w:rPr>
          <w:rFonts w:hint="default" w:ascii="Arial" w:hAnsi="Arial" w:cs="Arial"/>
          <w:lang w:val="en-US" w:eastAsia="zh-CN"/>
        </w:rPr>
        <w:t>Analysis of bargaining power between suppliers and buyers</w:t>
      </w:r>
      <w:bookmarkEnd w:id="10"/>
    </w:p>
    <w:p>
      <w:pPr>
        <w:bidi w:val="0"/>
        <w:rPr>
          <w:rFonts w:hint="default" w:ascii="Arial" w:hAnsi="Arial" w:cs="Arial"/>
        </w:rPr>
      </w:pPr>
      <w:r>
        <w:rPr>
          <w:rFonts w:hint="default" w:ascii="Arial" w:hAnsi="Arial" w:cs="Arial"/>
        </w:rPr>
        <w:t>Pizza Hut has an extensive network of suppliers for ingredients, equipment, and other necessary supplies (Mukucha et al., 2021). As a large chain, it may have some bargaining power to negotiate better prices and terms with its suppliers. However, suppliers of Pizza Hut's competitors may also impact the company's position in the market. According to Nugraha and others (2019), if a competitor can secure better deals with suppliers, it may offer lower prices or higher-quality products than Pizza Hut. This can lead to lower revenues and reduced profitability for Pizza Hut.</w:t>
      </w:r>
    </w:p>
    <w:p>
      <w:pPr>
        <w:bidi w:val="0"/>
        <w:rPr>
          <w:rFonts w:hint="default" w:ascii="Arial" w:hAnsi="Arial" w:cs="Arial"/>
        </w:rPr>
      </w:pPr>
      <w:r>
        <w:rPr>
          <w:rFonts w:hint="default" w:ascii="Arial" w:hAnsi="Arial" w:cs="Arial"/>
        </w:rPr>
        <w:t>According to Kaung (2019), Pizza Hut can have some internal control over the bargaining power of buyers through its pricing and promotional strategies. As a result, high customer satisfaction and loyalty levels mean that buyers may be less likely to negotiate aggressively on prices or switch to competitors. However, Pizza Hut needs to be responsive to customer needs and preferences. Any negative publicity or quality issues can impact customer satisfaction and bargaining power. Buyers tend to pay the same money to get higher quality products or services, and show the right to speak on the choice of competitors, which partly affects the market share of Pizza Hut.</w:t>
      </w:r>
    </w:p>
    <w:p>
      <w:pPr>
        <w:bidi w:val="0"/>
        <w:rPr>
          <w:rFonts w:hint="default" w:ascii="Arial" w:hAnsi="Arial" w:eastAsia="宋体" w:cs="Arial"/>
          <w:lang w:val="en-US" w:eastAsia="zh-CN"/>
        </w:rPr>
      </w:pPr>
      <w:r>
        <w:rPr>
          <w:rFonts w:hint="default" w:ascii="Arial" w:hAnsi="Arial" w:cs="Arial"/>
        </w:rPr>
        <w:t>Therefore, Pizza Hut needs to continuously improve products, maintain good customer relations, minimize customer bargaining power, and  further</w:t>
      </w:r>
      <w:r>
        <w:rPr>
          <w:rFonts w:hint="eastAsia" w:ascii="Arial" w:hAnsi="Arial" w:eastAsia="宋体" w:cs="Arial"/>
          <w:lang w:val="en-US" w:eastAsia="zh-CN"/>
        </w:rPr>
        <w:t xml:space="preserve"> </w:t>
      </w:r>
      <w:r>
        <w:rPr>
          <w:rFonts w:hint="default" w:ascii="Arial" w:hAnsi="Arial" w:cs="Arial"/>
        </w:rPr>
        <w:t xml:space="preserve">enhance </w:t>
      </w:r>
      <w:r>
        <w:rPr>
          <w:rFonts w:hint="eastAsia" w:ascii="Arial" w:hAnsi="Arial" w:eastAsia="宋体" w:cs="Arial"/>
          <w:lang w:val="en-US" w:eastAsia="zh-CN"/>
        </w:rPr>
        <w:t>its</w:t>
      </w:r>
      <w:r>
        <w:rPr>
          <w:rFonts w:hint="default" w:ascii="Arial" w:hAnsi="Arial" w:cs="Arial"/>
        </w:rPr>
        <w:t xml:space="preserve"> brand effect</w:t>
      </w:r>
      <w:r>
        <w:rPr>
          <w:rFonts w:hint="eastAsia" w:ascii="Arial" w:hAnsi="Arial" w:eastAsia="宋体" w:cs="Arial"/>
          <w:lang w:val="en-US" w:eastAsia="zh-CN"/>
        </w:rPr>
        <w:t>.</w:t>
      </w:r>
    </w:p>
    <w:p>
      <w:pPr>
        <w:pStyle w:val="4"/>
        <w:numPr>
          <w:ilvl w:val="2"/>
          <w:numId w:val="0"/>
        </w:numPr>
        <w:bidi w:val="0"/>
        <w:ind w:leftChars="0"/>
        <w:rPr>
          <w:rFonts w:hint="default" w:ascii="Arial" w:hAnsi="Arial" w:cs="Arial"/>
          <w:lang w:val="en-US" w:eastAsia="zh-CN"/>
        </w:rPr>
      </w:pPr>
      <w:bookmarkStart w:id="11" w:name="_Toc30441"/>
      <w:r>
        <w:rPr>
          <w:rFonts w:hint="eastAsia" w:ascii="Arial" w:hAnsi="Arial" w:cs="Arial"/>
          <w:lang w:val="en-US" w:eastAsia="zh-CN"/>
        </w:rPr>
        <w:t xml:space="preserve">3.1.2 </w:t>
      </w:r>
      <w:r>
        <w:rPr>
          <w:rFonts w:hint="default" w:ascii="Arial" w:hAnsi="Arial" w:cs="Arial"/>
          <w:lang w:val="en-US" w:eastAsia="zh-CN"/>
        </w:rPr>
        <w:t xml:space="preserve">Analysis of </w:t>
      </w:r>
      <w:r>
        <w:rPr>
          <w:rFonts w:hint="eastAsia" w:ascii="Arial" w:hAnsi="Arial" w:cs="Arial"/>
          <w:lang w:val="en-US" w:eastAsia="zh-CN"/>
        </w:rPr>
        <w:t>s</w:t>
      </w:r>
      <w:r>
        <w:rPr>
          <w:rFonts w:hint="default" w:ascii="Arial" w:hAnsi="Arial" w:cs="Arial"/>
          <w:lang w:val="en-US" w:eastAsia="zh-CN"/>
        </w:rPr>
        <w:t>ubstitutes</w:t>
      </w:r>
      <w:r>
        <w:rPr>
          <w:rFonts w:hint="eastAsia" w:ascii="Arial" w:hAnsi="Arial" w:cs="Arial"/>
          <w:lang w:val="en-US" w:eastAsia="zh-CN"/>
        </w:rPr>
        <w:t xml:space="preserve"> threat</w:t>
      </w:r>
      <w:bookmarkEnd w:id="11"/>
    </w:p>
    <w:p>
      <w:pPr>
        <w:bidi w:val="0"/>
        <w:rPr>
          <w:rFonts w:hint="default" w:ascii="Arial" w:hAnsi="Arial" w:cs="Arial"/>
        </w:rPr>
      </w:pPr>
      <w:r>
        <w:rPr>
          <w:rFonts w:hint="default" w:ascii="Arial" w:hAnsi="Arial" w:cs="Arial"/>
        </w:rPr>
        <w:t xml:space="preserve">Substitutes are products or services that fulfil a similar need or purpose to a company's offering but are not necessarily identical in nature. Pizza Hut may minimize the threat of substitutes internally by offering unique products or services that are difficult to replicate. For instance, </w:t>
      </w:r>
      <w:r>
        <w:rPr>
          <w:rFonts w:hint="eastAsia" w:ascii="Arial" w:hAnsi="Arial" w:eastAsia="宋体" w:cs="Arial"/>
          <w:lang w:val="en-US" w:eastAsia="zh-CN"/>
        </w:rPr>
        <w:t xml:space="preserve">Daryanto </w:t>
      </w:r>
      <w:r>
        <w:rPr>
          <w:rFonts w:hint="eastAsia" w:ascii="Arial" w:hAnsi="Arial" w:eastAsia="宋体" w:cs="Arial"/>
          <w:sz w:val="24"/>
          <w:szCs w:val="24"/>
          <w:lang w:val="en-US" w:eastAsia="zh-CN"/>
        </w:rPr>
        <w:t>et al. (2020) found that  i</w:t>
      </w:r>
      <w:r>
        <w:rPr>
          <w:rFonts w:hint="default" w:ascii="Arial" w:hAnsi="Arial" w:cs="Arial"/>
        </w:rPr>
        <w:t>n Indonesia, Pizza</w:t>
      </w:r>
      <w:r>
        <w:rPr>
          <w:rFonts w:hint="eastAsia" w:ascii="Arial" w:hAnsi="Arial" w:eastAsia="宋体" w:cs="Arial"/>
          <w:lang w:val="en-US" w:eastAsia="zh-CN"/>
        </w:rPr>
        <w:t xml:space="preserve"> Hu</w:t>
      </w:r>
      <w:r>
        <w:rPr>
          <w:rFonts w:hint="default" w:ascii="Arial" w:hAnsi="Arial" w:cs="Arial"/>
        </w:rPr>
        <w:t>t has developed a company called Pizza</w:t>
      </w:r>
      <w:r>
        <w:rPr>
          <w:rFonts w:hint="eastAsia" w:ascii="Arial" w:hAnsi="Arial" w:eastAsia="宋体" w:cs="Arial"/>
          <w:lang w:val="en-US" w:eastAsia="zh-CN"/>
        </w:rPr>
        <w:t xml:space="preserve"> Hut</w:t>
      </w:r>
      <w:r>
        <w:rPr>
          <w:rFonts w:hint="default" w:ascii="Arial" w:hAnsi="Arial" w:cs="Arial"/>
        </w:rPr>
        <w:t xml:space="preserve"> Takeout to expand new business models, improve user experience and increase customer stickiness. However, the emergence of external new substitutes, such as cheaper delivery services or more diverse menus, can erode Pizza Hut's market share (Janssen et al., 2018). Pizza Hut must, therefore, constantly innovate and differentiate itself from competitors to attract and retain customers. </w:t>
      </w:r>
    </w:p>
    <w:p>
      <w:pPr>
        <w:pStyle w:val="4"/>
        <w:numPr>
          <w:ilvl w:val="2"/>
          <w:numId w:val="0"/>
        </w:numPr>
        <w:bidi w:val="0"/>
        <w:ind w:leftChars="0"/>
        <w:rPr>
          <w:rFonts w:hint="default" w:ascii="Arial" w:hAnsi="Arial" w:cs="Arial"/>
          <w:lang w:val="en-US" w:eastAsia="zh-CN"/>
        </w:rPr>
      </w:pPr>
      <w:bookmarkStart w:id="12" w:name="_Toc6052"/>
      <w:r>
        <w:rPr>
          <w:rFonts w:hint="eastAsia" w:ascii="Arial" w:hAnsi="Arial" w:cs="Arial"/>
          <w:lang w:val="en-US" w:eastAsia="zh-CN"/>
        </w:rPr>
        <w:t xml:space="preserve">3.1.3 </w:t>
      </w:r>
      <w:r>
        <w:rPr>
          <w:rFonts w:hint="default" w:ascii="Arial" w:hAnsi="Arial" w:cs="Arial"/>
          <w:lang w:val="en-US" w:eastAsia="zh-CN"/>
        </w:rPr>
        <w:t xml:space="preserve">Analysis of </w:t>
      </w:r>
      <w:r>
        <w:rPr>
          <w:rFonts w:hint="eastAsia" w:ascii="Arial" w:hAnsi="Arial" w:cs="Arial"/>
          <w:lang w:val="en-US" w:eastAsia="zh-CN"/>
        </w:rPr>
        <w:t>c</w:t>
      </w:r>
      <w:r>
        <w:rPr>
          <w:rFonts w:hint="default" w:ascii="Arial" w:hAnsi="Arial" w:cs="Arial"/>
          <w:lang w:val="en-US" w:eastAsia="zh-CN"/>
        </w:rPr>
        <w:t xml:space="preserve">ompetitive </w:t>
      </w:r>
      <w:r>
        <w:rPr>
          <w:rFonts w:hint="eastAsia" w:ascii="Arial" w:hAnsi="Arial" w:cs="Arial"/>
          <w:lang w:val="en-US" w:eastAsia="zh-CN"/>
        </w:rPr>
        <w:t>r</w:t>
      </w:r>
      <w:r>
        <w:rPr>
          <w:rFonts w:hint="default" w:ascii="Arial" w:hAnsi="Arial" w:cs="Arial"/>
          <w:lang w:val="en-US" w:eastAsia="zh-CN"/>
        </w:rPr>
        <w:t>ivalry</w:t>
      </w:r>
      <w:r>
        <w:rPr>
          <w:rFonts w:hint="eastAsia" w:ascii="Arial" w:hAnsi="Arial" w:cs="Arial"/>
          <w:lang w:val="en-US" w:eastAsia="zh-CN"/>
        </w:rPr>
        <w:t xml:space="preserve"> and t</w:t>
      </w:r>
      <w:r>
        <w:rPr>
          <w:rFonts w:hint="default" w:ascii="Arial" w:hAnsi="Arial" w:cs="Arial"/>
          <w:lang w:val="en-US" w:eastAsia="zh-CN"/>
        </w:rPr>
        <w:t xml:space="preserve">hreat </w:t>
      </w:r>
      <w:r>
        <w:rPr>
          <w:rFonts w:hint="eastAsia" w:ascii="Arial" w:hAnsi="Arial" w:cs="Arial"/>
          <w:lang w:val="en-US" w:eastAsia="zh-CN"/>
        </w:rPr>
        <w:t>from</w:t>
      </w:r>
      <w:r>
        <w:rPr>
          <w:rFonts w:hint="default" w:ascii="Arial" w:hAnsi="Arial" w:cs="Arial"/>
          <w:lang w:val="en-US" w:eastAsia="zh-CN"/>
        </w:rPr>
        <w:t xml:space="preserve"> </w:t>
      </w:r>
      <w:r>
        <w:rPr>
          <w:rFonts w:hint="eastAsia" w:ascii="Arial" w:hAnsi="Arial" w:cs="Arial"/>
          <w:lang w:val="en-US" w:eastAsia="zh-CN"/>
        </w:rPr>
        <w:t>n</w:t>
      </w:r>
      <w:r>
        <w:rPr>
          <w:rFonts w:hint="default" w:ascii="Arial" w:hAnsi="Arial" w:cs="Arial"/>
          <w:lang w:val="en-US" w:eastAsia="zh-CN"/>
        </w:rPr>
        <w:t xml:space="preserve">ew </w:t>
      </w:r>
      <w:r>
        <w:rPr>
          <w:rFonts w:hint="eastAsia" w:ascii="Arial" w:hAnsi="Arial" w:cs="Arial"/>
          <w:lang w:val="en-US" w:eastAsia="zh-CN"/>
        </w:rPr>
        <w:t>e</w:t>
      </w:r>
      <w:r>
        <w:rPr>
          <w:rFonts w:hint="default" w:ascii="Arial" w:hAnsi="Arial" w:cs="Arial"/>
          <w:lang w:val="en-US" w:eastAsia="zh-CN"/>
        </w:rPr>
        <w:t>ntrants</w:t>
      </w:r>
      <w:bookmarkEnd w:id="12"/>
    </w:p>
    <w:p>
      <w:pPr>
        <w:bidi w:val="0"/>
        <w:rPr>
          <w:rFonts w:hint="default" w:ascii="Arial" w:hAnsi="Arial" w:cs="Arial"/>
        </w:rPr>
      </w:pPr>
      <w:r>
        <w:rPr>
          <w:rFonts w:hint="default" w:ascii="Arial" w:hAnsi="Arial" w:cs="Arial"/>
        </w:rPr>
        <w:t xml:space="preserve">Pizza Hut must offer high-quality products at competitive prices and promote them effectively to attract and retain customers. </w:t>
      </w:r>
      <w:r>
        <w:rPr>
          <w:rFonts w:hint="default" w:ascii="Arial" w:hAnsi="Arial" w:cs="Arial"/>
          <w:sz w:val="24"/>
          <w:szCs w:val="24"/>
        </w:rPr>
        <w:t>Musonera</w:t>
      </w:r>
      <w:r>
        <w:rPr>
          <w:rFonts w:hint="eastAsia" w:ascii="Arial" w:hAnsi="Arial" w:eastAsia="宋体" w:cs="Arial"/>
          <w:sz w:val="24"/>
          <w:szCs w:val="24"/>
          <w:lang w:val="en-US" w:eastAsia="zh-CN"/>
        </w:rPr>
        <w:t xml:space="preserve"> </w:t>
      </w:r>
      <w:r>
        <w:rPr>
          <w:rFonts w:hint="default" w:ascii="Arial" w:hAnsi="Arial" w:cs="Arial"/>
          <w:highlight w:val="none"/>
        </w:rPr>
        <w:t>(2021) study on Pizza Hut's competitors such as Papa John's Pizza shows that to gain a larger share of the delivery market, forward-looking thinking is needed to cope with the new external environment, such as adopting healthier ingredients to expand the product range.</w:t>
      </w:r>
      <w:r>
        <w:rPr>
          <w:rFonts w:hint="default" w:ascii="Arial" w:hAnsi="Arial" w:cs="Arial"/>
        </w:rPr>
        <w:t xml:space="preserve"> </w:t>
      </w:r>
      <w:r>
        <w:rPr>
          <w:rFonts w:hint="eastAsia" w:ascii="Arial" w:hAnsi="Arial" w:eastAsia="宋体" w:cs="Arial"/>
          <w:lang w:val="en-US" w:eastAsia="zh-CN"/>
        </w:rPr>
        <w:t>Therefore</w:t>
      </w:r>
      <w:r>
        <w:rPr>
          <w:rFonts w:hint="default" w:ascii="Arial" w:hAnsi="Arial" w:cs="Arial"/>
        </w:rPr>
        <w:t>, Pizza Hut must differentiate itself from competitors through unique menu items, promotions, or customer service. The competition in the food service industry is fierce. Pizza Hut must continually adapt to changing market conditions and differentiate its offerings to maintain its competitive position.</w:t>
      </w:r>
      <w:r>
        <w:rPr>
          <w:rFonts w:hint="eastAsia" w:ascii="Arial" w:hAnsi="Arial" w:cs="Arial"/>
          <w:lang w:val="en-US" w:eastAsia="zh-CN"/>
        </w:rPr>
        <w:t xml:space="preserve"> </w:t>
      </w:r>
      <w:r>
        <w:rPr>
          <w:rFonts w:hint="default" w:ascii="Arial" w:hAnsi="Arial" w:cs="Arial"/>
        </w:rPr>
        <w:t xml:space="preserve">In the same industry, competition should be an eternal way of communication. Therefore, Pizza Hut must adapt to the changing market conditions, </w:t>
      </w:r>
      <w:r>
        <w:rPr>
          <w:rFonts w:hint="eastAsia" w:ascii="Arial" w:hAnsi="Arial" w:cs="Arial"/>
          <w:lang w:val="en-US" w:eastAsia="zh-CN"/>
        </w:rPr>
        <w:t>focus on</w:t>
      </w:r>
      <w:r>
        <w:rPr>
          <w:rFonts w:hint="default" w:ascii="Arial" w:hAnsi="Arial" w:cs="Arial"/>
        </w:rPr>
        <w:t xml:space="preserve"> the product development of competitors, and </w:t>
      </w:r>
      <w:r>
        <w:rPr>
          <w:rFonts w:hint="eastAsia" w:ascii="Arial" w:hAnsi="Arial" w:cs="Arial"/>
          <w:lang w:val="en-US" w:eastAsia="zh-CN"/>
        </w:rPr>
        <w:t>focus on</w:t>
      </w:r>
      <w:r>
        <w:rPr>
          <w:rFonts w:hint="default" w:ascii="Arial" w:hAnsi="Arial" w:cs="Arial"/>
        </w:rPr>
        <w:t xml:space="preserve"> the analysis of consumer preferences of the enterprise, constantly develop new products and make them different, </w:t>
      </w:r>
      <w:r>
        <w:rPr>
          <w:rFonts w:hint="eastAsia" w:ascii="Arial" w:hAnsi="Arial" w:cs="Arial"/>
          <w:lang w:val="en-US" w:eastAsia="zh-CN"/>
        </w:rPr>
        <w:t>to</w:t>
      </w:r>
      <w:r>
        <w:rPr>
          <w:rFonts w:hint="default" w:ascii="Arial" w:hAnsi="Arial" w:cs="Arial"/>
        </w:rPr>
        <w:t xml:space="preserve"> maintain its competitive position.</w:t>
      </w:r>
    </w:p>
    <w:p>
      <w:pPr>
        <w:bidi w:val="0"/>
        <w:rPr>
          <w:rFonts w:hint="default" w:ascii="Arial" w:hAnsi="Arial" w:cs="Arial"/>
        </w:rPr>
      </w:pPr>
      <w:r>
        <w:rPr>
          <w:rFonts w:hint="default" w:ascii="Arial" w:hAnsi="Arial" w:cs="Arial"/>
          <w:highlight w:val="none"/>
        </w:rPr>
        <w:t xml:space="preserve">Pizza Hut has an advantage </w:t>
      </w:r>
      <w:r>
        <w:rPr>
          <w:rFonts w:hint="default" w:ascii="Arial" w:hAnsi="Arial" w:cs="Arial"/>
        </w:rPr>
        <w:t>in branding, supply chain and economies of scale because of its early involvement in the pizza business</w:t>
      </w:r>
      <w:r>
        <w:rPr>
          <w:rFonts w:hint="eastAsia" w:ascii="Arial" w:hAnsi="Arial" w:eastAsia="宋体" w:cs="Arial"/>
          <w:lang w:val="en-US" w:eastAsia="zh-CN"/>
        </w:rPr>
        <w:t xml:space="preserve">. </w:t>
      </w:r>
      <w:r>
        <w:rPr>
          <w:rFonts w:hint="default" w:ascii="Arial" w:hAnsi="Arial" w:cs="Arial"/>
        </w:rPr>
        <w:t xml:space="preserve">As a result, it becomes difficult for new entrants to compete on price or quality. However, new entrants can potentially enter the market with lower costs and better services, which can pressure Pizza Hut's profitability externally (Laužikas et al., 2016). Therefore, Pizza Hut must continually innovate and differentiate its offerings to minimize the threat of new entrants. It must also be vigilant and responsive to market trends and emerging competitors. </w:t>
      </w:r>
    </w:p>
    <w:p>
      <w:pPr>
        <w:pStyle w:val="3"/>
        <w:numPr>
          <w:ilvl w:val="1"/>
          <w:numId w:val="0"/>
        </w:numPr>
        <w:bidi w:val="0"/>
        <w:ind w:leftChars="0"/>
        <w:rPr>
          <w:rFonts w:hint="default" w:ascii="Arial" w:hAnsi="Arial" w:cs="Arial"/>
          <w:sz w:val="28"/>
          <w:szCs w:val="28"/>
          <w:lang w:val="en-US" w:eastAsia="zh-CN"/>
        </w:rPr>
      </w:pPr>
      <w:bookmarkStart w:id="13" w:name="_Toc26445"/>
      <w:bookmarkStart w:id="14" w:name="_Toc1821"/>
      <w:r>
        <w:rPr>
          <w:rFonts w:hint="eastAsia" w:ascii="Arial" w:hAnsi="Arial" w:cs="Arial"/>
          <w:sz w:val="28"/>
          <w:szCs w:val="28"/>
          <w:lang w:val="en-US" w:eastAsia="zh-CN"/>
        </w:rPr>
        <w:t xml:space="preserve">3.2 </w:t>
      </w:r>
      <w:r>
        <w:rPr>
          <w:rFonts w:hint="default" w:ascii="Arial" w:hAnsi="Arial" w:cs="Arial"/>
          <w:sz w:val="28"/>
          <w:szCs w:val="28"/>
          <w:lang w:val="en-US" w:eastAsia="zh-CN"/>
        </w:rPr>
        <w:t>VRIO Analysis</w:t>
      </w:r>
      <w:bookmarkEnd w:id="13"/>
      <w:r>
        <w:rPr>
          <w:rFonts w:hint="eastAsia" w:ascii="Arial" w:hAnsi="Arial" w:cs="Arial"/>
          <w:sz w:val="28"/>
          <w:szCs w:val="28"/>
          <w:lang w:val="en-US" w:eastAsia="zh-CN"/>
        </w:rPr>
        <w:t xml:space="preserve"> </w:t>
      </w:r>
      <w:r>
        <w:rPr>
          <w:rFonts w:hint="default" w:ascii="Arial" w:hAnsi="Arial" w:cs="Arial" w:eastAsiaTheme="minorEastAsia"/>
          <w:kern w:val="2"/>
          <w:sz w:val="32"/>
          <w:szCs w:val="24"/>
          <w:lang w:val="en-US" w:eastAsia="zh-CN"/>
        </w:rPr>
        <w:t>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14"/>
    </w:p>
    <w:p>
      <w:pPr>
        <w:ind w:left="0" w:leftChars="0" w:firstLine="480" w:firstLineChars="200"/>
        <w:rPr>
          <w:rFonts w:hint="eastAsia" w:ascii="Arial" w:hAnsi="Arial" w:eastAsia="宋体" w:cs="Arial"/>
          <w:sz w:val="24"/>
          <w:szCs w:val="24"/>
          <w:lang w:val="en-US" w:eastAsia="zh-CN"/>
        </w:rPr>
      </w:pPr>
      <w:r>
        <w:rPr>
          <w:rFonts w:hint="default" w:ascii="Arial" w:hAnsi="Arial" w:cs="Arial"/>
        </w:rPr>
        <w:t>VRIO analysis</w:t>
      </w:r>
      <w:r>
        <w:rPr>
          <w:rFonts w:hint="eastAsia" w:ascii="Arial" w:hAnsi="Arial" w:eastAsia="宋体" w:cs="Arial"/>
          <w:lang w:val="en-US" w:eastAsia="zh-CN"/>
        </w:rPr>
        <w:t xml:space="preserve"> is</w:t>
      </w:r>
      <w:r>
        <w:rPr>
          <w:rFonts w:hint="default" w:ascii="Arial" w:hAnsi="Arial" w:cs="Arial"/>
        </w:rPr>
        <w:t xml:space="preserve"> considered a strategy-level tool for assessing resources and capabilities within a business or organization. </w:t>
      </w:r>
      <w:r>
        <w:rPr>
          <w:rFonts w:hint="default" w:ascii="Arial" w:hAnsi="Arial" w:eastAsia="宋体" w:cs="Arial"/>
          <w:sz w:val="24"/>
          <w:szCs w:val="24"/>
          <w:lang w:val="en-US" w:eastAsia="zh-CN"/>
        </w:rPr>
        <w:t>For example, this model can improve the sustainability competitiveness of tourism villages</w:t>
      </w:r>
      <w:r>
        <w:rPr>
          <w:rFonts w:hint="eastAsia" w:ascii="Arial" w:hAnsi="Arial" w:eastAsia="宋体" w:cs="Arial"/>
          <w:sz w:val="24"/>
          <w:szCs w:val="24"/>
          <w:lang w:val="en-US" w:eastAsia="zh-CN"/>
        </w:rPr>
        <w:t xml:space="preserve"> (Astawa, 2022). This model </w:t>
      </w:r>
      <w:r>
        <w:rPr>
          <w:rFonts w:hint="default" w:ascii="Arial" w:hAnsi="Arial" w:cs="Arial"/>
        </w:rPr>
        <w:t>includes valueable, rarity, imitability, and organisation.</w:t>
      </w:r>
    </w:p>
    <w:p>
      <w:pPr>
        <w:pStyle w:val="4"/>
        <w:numPr>
          <w:ilvl w:val="2"/>
          <w:numId w:val="0"/>
        </w:numPr>
        <w:bidi w:val="0"/>
        <w:ind w:leftChars="0"/>
        <w:rPr>
          <w:rFonts w:hint="default" w:ascii="Arial" w:hAnsi="Arial" w:cs="Arial"/>
          <w:lang w:val="en-US" w:eastAsia="zh-CN"/>
        </w:rPr>
      </w:pPr>
      <w:bookmarkStart w:id="15" w:name="_Toc7522"/>
      <w:r>
        <w:rPr>
          <w:rFonts w:hint="eastAsia" w:ascii="Arial" w:hAnsi="Arial" w:cs="Arial"/>
          <w:lang w:val="en-US" w:eastAsia="zh-CN"/>
        </w:rPr>
        <w:t xml:space="preserve">3.2.1 </w:t>
      </w:r>
      <w:r>
        <w:rPr>
          <w:rFonts w:hint="default" w:ascii="Arial" w:hAnsi="Arial" w:cs="Arial"/>
          <w:lang w:val="en-US" w:eastAsia="zh-CN"/>
        </w:rPr>
        <w:t>Analysis of</w:t>
      </w:r>
      <w:r>
        <w:rPr>
          <w:rFonts w:hint="eastAsia" w:ascii="Arial" w:hAnsi="Arial" w:cs="Arial"/>
          <w:lang w:val="en-US" w:eastAsia="zh-CN"/>
        </w:rPr>
        <w:t xml:space="preserve"> v</w:t>
      </w:r>
      <w:r>
        <w:rPr>
          <w:rFonts w:hint="default" w:ascii="Arial" w:hAnsi="Arial" w:cs="Arial"/>
          <w:lang w:val="en-US" w:eastAsia="zh-CN"/>
        </w:rPr>
        <w:t>aluable</w:t>
      </w:r>
      <w:r>
        <w:rPr>
          <w:rFonts w:hint="eastAsia" w:ascii="Arial" w:hAnsi="Arial" w:cs="Arial"/>
          <w:lang w:val="en-US" w:eastAsia="zh-CN"/>
        </w:rPr>
        <w:t xml:space="preserve"> and r</w:t>
      </w:r>
      <w:r>
        <w:rPr>
          <w:rFonts w:hint="default" w:ascii="Arial" w:hAnsi="Arial" w:cs="Arial"/>
          <w:lang w:val="en-US" w:eastAsia="zh-CN"/>
        </w:rPr>
        <w:t>arity</w:t>
      </w:r>
      <w:bookmarkEnd w:id="15"/>
    </w:p>
    <w:p>
      <w:pPr>
        <w:ind w:left="0" w:leftChars="0" w:firstLine="480" w:firstLineChars="200"/>
        <w:rPr>
          <w:rFonts w:hint="default" w:ascii="Arial" w:hAnsi="Arial" w:cs="Arial"/>
          <w:sz w:val="24"/>
          <w:szCs w:val="24"/>
        </w:rPr>
      </w:pPr>
      <w:r>
        <w:rPr>
          <w:rFonts w:hint="default" w:ascii="Arial" w:hAnsi="Arial" w:cs="Arial"/>
        </w:rPr>
        <w:t>Internally, Pizza Hut has a well-established supply chain, distribution network, and franchising system</w:t>
      </w:r>
      <w:r>
        <w:rPr>
          <w:rFonts w:hint="eastAsia" w:ascii="Arial" w:hAnsi="Arial" w:eastAsia="宋体" w:cs="Arial"/>
          <w:lang w:val="en-US" w:eastAsia="zh-CN"/>
        </w:rPr>
        <w:t xml:space="preserve">, </w:t>
      </w:r>
      <w:r>
        <w:rPr>
          <w:rFonts w:hint="default" w:ascii="Arial" w:hAnsi="Arial" w:cs="Arial"/>
        </w:rPr>
        <w:t>which can quickly and efficiently provide high-quality pizza to customers.</w:t>
      </w:r>
      <w:r>
        <w:rPr>
          <w:rFonts w:hint="eastAsia" w:ascii="Arial" w:hAnsi="Arial" w:eastAsia="宋体" w:cs="Arial"/>
          <w:lang w:val="en-US" w:eastAsia="zh-CN"/>
        </w:rPr>
        <w:t xml:space="preserve"> </w:t>
      </w:r>
      <w:r>
        <w:rPr>
          <w:rFonts w:hint="default" w:ascii="Arial" w:hAnsi="Arial" w:cs="Arial"/>
        </w:rPr>
        <w:t>Additionally, Pizza Hut has implemented innovative technologies such as online ordering and contactless delivery to differentiate itself from competitors. It is also not easily imitable because replicating Pizza Hut'</w:t>
      </w:r>
      <w:r>
        <w:rPr>
          <w:rFonts w:hint="default" w:ascii="Arial" w:hAnsi="Arial" w:cs="Arial"/>
          <w:sz w:val="24"/>
          <w:szCs w:val="24"/>
        </w:rPr>
        <w:t>s operations requires significant investments in infrastructure and logistics (Shaikh and Qazi, 2019). Externally, Pizza Hut has a strong brand image and recognition in the pizza industry. This is because Pizza Hut provides local customers with high quality food and relatively reasonable prices, as well as an awareness of the potential impact of cultural differences</w:t>
      </w:r>
      <w:r>
        <w:rPr>
          <w:rFonts w:hint="eastAsia" w:ascii="Arial" w:hAnsi="Arial" w:eastAsia="宋体" w:cs="Arial"/>
          <w:sz w:val="24"/>
          <w:szCs w:val="24"/>
          <w:lang w:val="en-US" w:eastAsia="zh-CN"/>
        </w:rPr>
        <w:t xml:space="preserve"> (</w:t>
      </w:r>
      <w:r>
        <w:rPr>
          <w:rFonts w:hint="default" w:ascii="Arial" w:hAnsi="Arial" w:cs="Arial"/>
          <w:sz w:val="24"/>
          <w:szCs w:val="24"/>
        </w:rPr>
        <w:t>Teoh</w:t>
      </w:r>
      <w:r>
        <w:rPr>
          <w:rFonts w:hint="eastAsia" w:ascii="Arial" w:hAnsi="Arial" w:eastAsia="宋体" w:cs="Arial"/>
          <w:sz w:val="24"/>
          <w:szCs w:val="24"/>
          <w:lang w:val="en-US" w:eastAsia="zh-CN"/>
        </w:rPr>
        <w:t xml:space="preserve"> et al., 2021). </w:t>
      </w:r>
      <w:r>
        <w:rPr>
          <w:rFonts w:hint="default" w:ascii="Arial" w:hAnsi="Arial" w:cs="Arial"/>
          <w:sz w:val="24"/>
          <w:szCs w:val="24"/>
        </w:rPr>
        <w:t>Therefore, Pizza Hut’s value lies in its strong brand recognition and efficient corporate operations that contribute to its success.</w:t>
      </w:r>
    </w:p>
    <w:p>
      <w:pPr>
        <w:ind w:left="0" w:leftChars="0" w:firstLine="480" w:firstLineChars="200"/>
        <w:rPr>
          <w:rFonts w:hint="default" w:ascii="Arial" w:hAnsi="Arial" w:cs="Arial"/>
          <w:lang w:val="en-US" w:eastAsia="zh-CN"/>
        </w:rPr>
      </w:pPr>
      <w:r>
        <w:rPr>
          <w:rFonts w:hint="default" w:ascii="Arial" w:hAnsi="Arial" w:cs="Arial"/>
          <w:sz w:val="24"/>
          <w:szCs w:val="24"/>
        </w:rPr>
        <w:t xml:space="preserve">A rare resource or capability gives a company a competitive advantage because it is not widely available or easily replicable. Internally, Shaikh and Qazi (2019) note that Pizza Hut possesses rare resources and capabilities unique to its organisation and not easily replicated by competitors. For instance, its internal supply chain and distribution network are considered exceptional resources because of the exclusive partnerships with suppliers or logistics providers that it has developed over time. Externally, Pizza Hut's brand is considered a rare resource. The company has built a strong brand recognised and valued by customers over the years, giving it a competitive edge over other pizza chains (Laužikas et al., 2016). This rarity in the brand leads to increased customer loyalty and a higher willingness to pay for Pizza Hut's products and services than competitors. </w:t>
      </w:r>
    </w:p>
    <w:p>
      <w:pPr>
        <w:pStyle w:val="4"/>
        <w:numPr>
          <w:ilvl w:val="2"/>
          <w:numId w:val="0"/>
        </w:numPr>
        <w:bidi w:val="0"/>
        <w:ind w:leftChars="0"/>
        <w:rPr>
          <w:rFonts w:hint="default" w:ascii="Arial" w:hAnsi="Arial" w:cs="Arial"/>
          <w:lang w:val="en-US" w:eastAsia="zh-CN"/>
        </w:rPr>
      </w:pPr>
      <w:bookmarkStart w:id="16" w:name="_Toc24436"/>
      <w:r>
        <w:rPr>
          <w:rFonts w:hint="eastAsia" w:ascii="Arial" w:hAnsi="Arial" w:cs="Arial"/>
          <w:lang w:val="en-US" w:eastAsia="zh-CN"/>
        </w:rPr>
        <w:t xml:space="preserve">3.2.2 </w:t>
      </w:r>
      <w:r>
        <w:rPr>
          <w:rFonts w:hint="default" w:ascii="Arial" w:hAnsi="Arial" w:cs="Arial"/>
          <w:lang w:val="en-US" w:eastAsia="zh-CN"/>
        </w:rPr>
        <w:t>Analysis of</w:t>
      </w:r>
      <w:r>
        <w:rPr>
          <w:rFonts w:hint="eastAsia" w:ascii="Arial" w:hAnsi="Arial" w:cs="Arial"/>
          <w:lang w:val="en-US" w:eastAsia="zh-CN"/>
        </w:rPr>
        <w:t xml:space="preserve"> i</w:t>
      </w:r>
      <w:r>
        <w:rPr>
          <w:rFonts w:hint="default" w:ascii="Arial" w:hAnsi="Arial" w:cs="Arial"/>
          <w:lang w:val="en-US" w:eastAsia="zh-CN"/>
        </w:rPr>
        <w:t>mitability</w:t>
      </w:r>
      <w:r>
        <w:rPr>
          <w:rFonts w:hint="eastAsia" w:ascii="Arial" w:hAnsi="Arial" w:cs="Arial"/>
          <w:lang w:val="en-US" w:eastAsia="zh-CN"/>
        </w:rPr>
        <w:t xml:space="preserve"> and o</w:t>
      </w:r>
      <w:r>
        <w:rPr>
          <w:rFonts w:hint="default" w:ascii="Arial" w:hAnsi="Arial" w:cs="Arial"/>
          <w:lang w:val="en-US" w:eastAsia="zh-CN"/>
        </w:rPr>
        <w:t>rganisation</w:t>
      </w:r>
      <w:bookmarkEnd w:id="16"/>
    </w:p>
    <w:p>
      <w:pPr>
        <w:ind w:left="0" w:leftChars="0" w:firstLine="480" w:firstLineChars="200"/>
        <w:rPr>
          <w:rFonts w:hint="default" w:ascii="Arial" w:hAnsi="Arial" w:cs="Arial"/>
          <w:sz w:val="24"/>
          <w:szCs w:val="24"/>
        </w:rPr>
      </w:pPr>
      <w:r>
        <w:rPr>
          <w:rFonts w:hint="default" w:ascii="Arial" w:hAnsi="Arial" w:cs="Arial"/>
          <w:sz w:val="24"/>
          <w:szCs w:val="24"/>
        </w:rPr>
        <w:t>Imitability refers to the degree to which a resource or capability can be replicated by competitors. Pizza Hut's supply chain and distribution network may be difficult to imitate because it has developed unique processes and relationships with suppliers and logistics providers. However, if their pizza recipes are not protected legally by intellectual property laws, they are imitated by competitors like Papa John’s (Thampapillai, 2015).</w:t>
      </w:r>
      <w:r>
        <w:rPr>
          <w:rFonts w:hint="eastAsia" w:ascii="Arial" w:hAnsi="Arial" w:eastAsia="宋体" w:cs="Arial"/>
          <w:sz w:val="24"/>
          <w:szCs w:val="24"/>
          <w:lang w:val="en-US" w:eastAsia="zh-CN"/>
        </w:rPr>
        <w:t xml:space="preserve"> </w:t>
      </w:r>
      <w:r>
        <w:rPr>
          <w:rFonts w:hint="default" w:ascii="Arial" w:hAnsi="Arial" w:cs="Arial"/>
          <w:sz w:val="24"/>
          <w:szCs w:val="24"/>
        </w:rPr>
        <w:t>From a business perspective</w:t>
      </w:r>
      <w:r>
        <w:rPr>
          <w:rFonts w:hint="eastAsia" w:ascii="Arial" w:hAnsi="Arial" w:eastAsia="宋体" w:cs="Arial"/>
          <w:sz w:val="24"/>
          <w:szCs w:val="24"/>
          <w:lang w:val="en-US" w:eastAsia="zh-CN"/>
        </w:rPr>
        <w:t>,</w:t>
      </w:r>
      <w:r>
        <w:rPr>
          <w:rFonts w:hint="default" w:ascii="Arial" w:hAnsi="Arial" w:cs="Arial"/>
          <w:sz w:val="24"/>
          <w:szCs w:val="24"/>
        </w:rPr>
        <w:t xml:space="preserve"> Pizza Hut's brand may be copied by unscrupulous rivals as they can mimic Pizza Hut's logo, messaging, and marketing campaigns, potentially diluting the value of the brand over time. Additionally, competitors may be able to copy Pizza Hut's menu items or offer similar promotions to attract customers (Matejowsky, 2020). As a result, Pizza Hut must constantly innovate and differentiate itself from competitors while maintaining strong brand loyalty to maintain its competitive advantage. </w:t>
      </w:r>
    </w:p>
    <w:p>
      <w:pPr>
        <w:ind w:left="0" w:leftChars="0" w:firstLine="480" w:firstLineChars="200"/>
        <w:rPr>
          <w:rFonts w:hint="default" w:ascii="Arial" w:hAnsi="Arial" w:cs="Arial"/>
          <w:sz w:val="24"/>
          <w:szCs w:val="24"/>
        </w:rPr>
      </w:pPr>
      <w:r>
        <w:rPr>
          <w:rFonts w:hint="default" w:ascii="Arial" w:hAnsi="Arial" w:cs="Arial"/>
          <w:sz w:val="24"/>
          <w:szCs w:val="24"/>
        </w:rPr>
        <w:t xml:space="preserve">Internally, Pizza Hut's organisational structure and culture impact its ability to utilise its resources effectively. For instance, a strong culture of innovation and collaboration allows the company to leverage its proprietary technologies and unique processes fully (Fajar, 2019). Externally, Pizza Hut's partnerships with suppliers and logistics providers impact its ability to organise its supply chain and distribution network effectively. A strong partnership with reliable suppliers and logistics providers helps ensure the company can efficiently deliver products to customers (Mukucha et al., 2021). The degree to which Pizza Hut can effectively organise its resources and capabilities can impact its ability to maintain a competitive advantage in the market. </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17" w:name="_Toc12750"/>
      <w:r>
        <w:rPr>
          <w:rFonts w:hint="default" w:ascii="Arial" w:hAnsi="Arial" w:cs="Arial" w:eastAsiaTheme="minorEastAsia"/>
          <w:kern w:val="2"/>
          <w:sz w:val="32"/>
          <w:szCs w:val="24"/>
          <w:lang w:val="en-US" w:eastAsia="zh-CN"/>
        </w:rPr>
        <w:t xml:space="preserve">SWOT </w:t>
      </w:r>
      <w:r>
        <w:rPr>
          <w:rFonts w:hint="eastAsia" w:ascii="Arial" w:hAnsi="Arial" w:cs="Arial" w:eastAsiaTheme="minorEastAsia"/>
          <w:kern w:val="2"/>
          <w:sz w:val="32"/>
          <w:szCs w:val="24"/>
          <w:lang w:val="en-US" w:eastAsia="zh-CN"/>
        </w:rPr>
        <w:t>A</w:t>
      </w:r>
      <w:r>
        <w:rPr>
          <w:rFonts w:hint="default" w:ascii="Arial" w:hAnsi="Arial" w:cs="Arial" w:eastAsiaTheme="minorEastAsia"/>
          <w:kern w:val="2"/>
          <w:sz w:val="32"/>
          <w:szCs w:val="24"/>
          <w:lang w:val="en-US" w:eastAsia="zh-CN"/>
        </w:rPr>
        <w:t>nalysis of Pizza</w:t>
      </w:r>
      <w:r>
        <w:rPr>
          <w:rFonts w:hint="eastAsia" w:ascii="Arial" w:hAnsi="Arial" w:cs="Arial" w:eastAsiaTheme="minorEastAsia"/>
          <w:kern w:val="2"/>
          <w:sz w:val="32"/>
          <w:szCs w:val="24"/>
          <w:lang w:val="en-US" w:eastAsia="zh-CN"/>
        </w:rPr>
        <w:t xml:space="preserve"> H</w:t>
      </w:r>
      <w:r>
        <w:rPr>
          <w:rFonts w:hint="default" w:ascii="Arial" w:hAnsi="Arial" w:cs="Arial" w:eastAsiaTheme="minorEastAsia"/>
          <w:kern w:val="2"/>
          <w:sz w:val="32"/>
          <w:szCs w:val="24"/>
          <w:lang w:val="en-US" w:eastAsia="zh-CN"/>
        </w:rPr>
        <w:t>ut</w:t>
      </w:r>
      <w:bookmarkEnd w:id="17"/>
    </w:p>
    <w:p>
      <w:pPr>
        <w:bidi w:val="0"/>
        <w:ind w:left="0" w:leftChars="0" w:firstLine="480" w:firstLineChars="200"/>
        <w:rPr>
          <w:rFonts w:hint="default" w:ascii="Arial" w:hAnsi="Arial" w:cs="Arial"/>
        </w:rPr>
      </w:pPr>
      <w:r>
        <w:rPr>
          <w:rFonts w:hint="default" w:ascii="Arial" w:hAnsi="Arial" w:cs="Arial"/>
        </w:rPr>
        <w:t>To analyze the advantages and disadvantages of enterprises, SWOT is easy to get started.</w:t>
      </w:r>
      <w:r>
        <w:rPr>
          <w:rFonts w:hint="eastAsia" w:ascii="Arial" w:hAnsi="Arial" w:eastAsia="宋体" w:cs="Arial"/>
          <w:lang w:val="en-US" w:eastAsia="zh-CN"/>
        </w:rPr>
        <w:t xml:space="preserve"> </w:t>
      </w:r>
      <w:r>
        <w:rPr>
          <w:rFonts w:hint="default" w:ascii="Arial" w:hAnsi="Arial" w:cs="Arial"/>
        </w:rPr>
        <w:t>Benzaghta et al</w:t>
      </w:r>
      <w:r>
        <w:rPr>
          <w:rFonts w:hint="eastAsia" w:ascii="Arial" w:hAnsi="Arial" w:eastAsia="宋体" w:cs="Arial"/>
          <w:lang w:val="en-US" w:eastAsia="zh-CN"/>
        </w:rPr>
        <w:t>. (2021)</w:t>
      </w:r>
      <w:r>
        <w:rPr>
          <w:rFonts w:hint="default" w:ascii="Arial" w:hAnsi="Arial" w:cs="Arial"/>
        </w:rPr>
        <w:t xml:space="preserve"> reviews the SWOT analysis</w:t>
      </w:r>
      <w:r>
        <w:rPr>
          <w:rFonts w:hint="eastAsia" w:ascii="Arial" w:hAnsi="Arial" w:eastAsia="宋体" w:cs="Arial"/>
          <w:lang w:val="en-US" w:eastAsia="zh-CN"/>
        </w:rPr>
        <w:t xml:space="preserve"> </w:t>
      </w:r>
      <w:r>
        <w:rPr>
          <w:rFonts w:hint="default" w:ascii="Arial" w:hAnsi="Arial" w:cs="Arial"/>
        </w:rPr>
        <w:t>model from a new perspective so that enterprises can better understand their own strengths and needs to improve their strategic planning.</w:t>
      </w:r>
      <w:r>
        <w:rPr>
          <w:rFonts w:hint="eastAsia" w:ascii="Arial" w:hAnsi="Arial" w:eastAsia="宋体" w:cs="Arial"/>
          <w:lang w:val="en-US" w:eastAsia="zh-CN"/>
        </w:rPr>
        <w:t xml:space="preserve"> </w:t>
      </w:r>
      <w:r>
        <w:rPr>
          <w:rFonts w:hint="default" w:ascii="Arial" w:hAnsi="Arial" w:cs="Arial"/>
        </w:rPr>
        <w:t xml:space="preserve">Table 1 below is a summary of the SWOT analysis discussed in this </w:t>
      </w:r>
      <w:r>
        <w:rPr>
          <w:rFonts w:hint="eastAsia" w:ascii="Arial" w:hAnsi="Arial" w:eastAsia="宋体" w:cs="Arial"/>
          <w:lang w:val="en-US" w:eastAsia="zh-CN"/>
        </w:rPr>
        <w:t>report</w:t>
      </w:r>
      <w:r>
        <w:rPr>
          <w:rFonts w:hint="default" w:ascii="Arial" w:hAnsi="Arial" w:cs="Arial"/>
        </w:rPr>
        <w:t>.</w:t>
      </w:r>
    </w:p>
    <w:p>
      <w:pPr>
        <w:ind w:firstLine="0"/>
        <w:jc w:val="center"/>
        <w:rPr>
          <w:rFonts w:hint="default" w:ascii="Arial" w:hAnsi="Arial" w:cs="Arial"/>
          <w:b/>
          <w:sz w:val="24"/>
          <w:szCs w:val="24"/>
        </w:rPr>
      </w:pPr>
      <w:r>
        <w:rPr>
          <w:rFonts w:hint="default" w:ascii="Arial" w:hAnsi="Arial" w:cs="Arial"/>
          <w:b/>
          <w:sz w:val="24"/>
          <w:szCs w:val="24"/>
        </w:rPr>
        <w:t>Table 1: Pizza Hut’s SWOT analysis.</w:t>
      </w:r>
    </w:p>
    <w:tbl>
      <w:tblPr>
        <w:tblStyle w:val="35"/>
        <w:tblW w:w="9124" w:type="dxa"/>
        <w:tblInd w:w="22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562"/>
        <w:gridCol w:w="456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Strengths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Strong brand recognition</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Strong financial position</w:t>
            </w:r>
          </w:p>
        </w:tc>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Weaknesses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Dependence on franchisees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Slow adoption of technology</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Opportunities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Expansion into new markets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New product development</w:t>
            </w:r>
          </w:p>
        </w:tc>
        <w:tc>
          <w:tcPr>
            <w:tcW w:w="4562" w:type="dxa"/>
          </w:tcPr>
          <w:p>
            <w:pPr>
              <w:spacing w:line="360" w:lineRule="auto"/>
              <w:ind w:firstLine="0"/>
              <w:rPr>
                <w:rFonts w:hint="default" w:ascii="Arial" w:hAnsi="Arial" w:cs="Arial"/>
                <w:b/>
                <w:sz w:val="24"/>
                <w:szCs w:val="24"/>
              </w:rPr>
            </w:pPr>
            <w:r>
              <w:rPr>
                <w:rFonts w:hint="default" w:ascii="Arial" w:hAnsi="Arial" w:cs="Arial"/>
                <w:b/>
                <w:sz w:val="24"/>
                <w:szCs w:val="24"/>
              </w:rPr>
              <w:t>Threats</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Increased competition</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rPr>
                <w:rFonts w:hint="default" w:ascii="Arial" w:hAnsi="Arial" w:cs="Arial"/>
                <w:sz w:val="24"/>
                <w:szCs w:val="24"/>
              </w:rPr>
            </w:pPr>
            <w:r>
              <w:rPr>
                <w:rFonts w:hint="default" w:ascii="Arial" w:hAnsi="Arial" w:cs="Arial"/>
                <w:color w:val="000000"/>
                <w:sz w:val="24"/>
                <w:szCs w:val="24"/>
              </w:rPr>
              <w:t>Inflexible menu</w:t>
            </w:r>
          </w:p>
        </w:tc>
      </w:tr>
    </w:tbl>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eastAsia" w:ascii="Arial" w:hAnsi="Arial" w:cs="Arial" w:eastAsiaTheme="minorEastAsia"/>
          <w:kern w:val="2"/>
          <w:sz w:val="28"/>
          <w:szCs w:val="28"/>
          <w:lang w:val="en-US" w:eastAsia="zh-CN"/>
        </w:rPr>
      </w:pPr>
    </w:p>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default" w:ascii="Arial" w:hAnsi="Arial" w:cs="Arial" w:eastAsiaTheme="minorEastAsia"/>
          <w:kern w:val="2"/>
          <w:sz w:val="28"/>
          <w:szCs w:val="28"/>
          <w:lang w:val="en-US" w:eastAsia="zh-CN"/>
        </w:rPr>
      </w:pPr>
      <w:bookmarkStart w:id="18" w:name="_Toc15231"/>
      <w:r>
        <w:rPr>
          <w:rFonts w:hint="eastAsia" w:ascii="Arial" w:hAnsi="Arial" w:cs="Arial" w:eastAsiaTheme="minorEastAsia"/>
          <w:kern w:val="2"/>
          <w:sz w:val="28"/>
          <w:szCs w:val="28"/>
          <w:lang w:val="en-US" w:eastAsia="zh-CN"/>
        </w:rPr>
        <w:t xml:space="preserve">4.1 </w:t>
      </w:r>
      <w:r>
        <w:rPr>
          <w:rFonts w:hint="default" w:ascii="Arial" w:hAnsi="Arial" w:cs="Arial" w:eastAsiaTheme="minorEastAsia"/>
          <w:kern w:val="2"/>
          <w:sz w:val="28"/>
          <w:szCs w:val="28"/>
          <w:lang w:val="en-US" w:eastAsia="zh-CN"/>
        </w:rPr>
        <w:t>Analy</w:t>
      </w:r>
      <w:r>
        <w:rPr>
          <w:rFonts w:hint="eastAsia" w:ascii="Arial" w:hAnsi="Arial" w:cs="Arial" w:eastAsiaTheme="minorEastAsia"/>
          <w:kern w:val="2"/>
          <w:sz w:val="28"/>
          <w:szCs w:val="28"/>
          <w:lang w:val="en-US" w:eastAsia="zh-CN"/>
        </w:rPr>
        <w:t>sis</w:t>
      </w:r>
      <w:r>
        <w:rPr>
          <w:rFonts w:hint="default" w:ascii="Arial" w:hAnsi="Arial" w:cs="Arial" w:eastAsiaTheme="minorEastAsia"/>
          <w:kern w:val="2"/>
          <w:sz w:val="28"/>
          <w:szCs w:val="28"/>
          <w:lang w:val="en-US" w:eastAsia="zh-CN"/>
        </w:rPr>
        <w:t xml:space="preserve"> from the perspective of strengths and weaknesses</w:t>
      </w:r>
      <w:bookmarkEnd w:id="18"/>
    </w:p>
    <w:p>
      <w:pPr>
        <w:bidi w:val="0"/>
        <w:rPr>
          <w:rFonts w:hint="default" w:ascii="Arial" w:hAnsi="Arial" w:cs="Arial"/>
        </w:rPr>
      </w:pPr>
      <w:r>
        <w:rPr>
          <w:rFonts w:hint="default" w:ascii="Arial" w:hAnsi="Arial" w:cs="Arial"/>
        </w:rPr>
        <w:t xml:space="preserve">Pizza Hut’s primary strength includes brand recognition and established supply chain management. This is crucial since they have the advantage of brand loyalty by consumers. Internally, the company has a strong financial position, recording an annual revenue of 1.2 billion U.S. dollars in 2020 (Yum, 2020). This allows the company to invest more in </w:t>
      </w:r>
      <w:r>
        <w:rPr>
          <w:rFonts w:hint="eastAsia" w:ascii="Arial" w:hAnsi="Arial" w:eastAsia="宋体" w:cs="Arial"/>
          <w:lang w:val="en-US" w:eastAsia="zh-CN"/>
        </w:rPr>
        <w:t>R&amp;S</w:t>
      </w:r>
      <w:r>
        <w:rPr>
          <w:rFonts w:hint="default" w:ascii="Arial" w:hAnsi="Arial" w:cs="Arial"/>
        </w:rPr>
        <w:t xml:space="preserve"> to remain competitive.</w:t>
      </w:r>
    </w:p>
    <w:p>
      <w:pPr>
        <w:bidi w:val="0"/>
        <w:rPr>
          <w:rFonts w:hint="default" w:ascii="Arial" w:hAnsi="Arial" w:cs="Arial"/>
        </w:rPr>
      </w:pPr>
      <w:r>
        <w:rPr>
          <w:rFonts w:hint="default" w:ascii="Arial" w:hAnsi="Arial" w:cs="Arial"/>
        </w:rPr>
        <w:t>Pizza Hut's weaknesses include its high dependence on franchisees. Franchisees operate over 80% of Pizza Hut's restaurants, and this high reliance could lead to a lack of control over quality standards and inconsistent customer experiences (Emerson and Trautman, 2020). Externally, Pizza Hut has been criticized for its slow adoption of digital technologies, such as mobile ordering and delivery tracking, which has disadvantaged it compared to its competitors (Chen et al., 2020). Additionally, Pizza Hut's online presence is limited, which can limit its reach and customer engagement, lead to lost sales and cause lower customer satisfaction (Singh and Sarangal, 2021).</w:t>
      </w:r>
    </w:p>
    <w:p>
      <w:pPr>
        <w:pStyle w:val="4"/>
        <w:keepNext/>
        <w:keepLines/>
        <w:pageBreakBefore w:val="0"/>
        <w:widowControl w:val="0"/>
        <w:numPr>
          <w:ilvl w:val="2"/>
          <w:numId w:val="0"/>
        </w:numPr>
        <w:tabs>
          <w:tab w:val="left" w:pos="0"/>
        </w:tabs>
        <w:kinsoku/>
        <w:wordWrap/>
        <w:overflowPunct/>
        <w:topLinePunct w:val="0"/>
        <w:autoSpaceDE/>
        <w:autoSpaceDN/>
        <w:bidi w:val="0"/>
        <w:adjustRightInd/>
        <w:snapToGrid/>
        <w:spacing w:before="20" w:beforeLines="0" w:beforeAutospacing="0" w:after="20" w:afterLines="0" w:afterAutospacing="0" w:line="480" w:lineRule="auto"/>
        <w:ind w:leftChars="0"/>
        <w:textAlignment w:val="auto"/>
        <w:outlineLvl w:val="2"/>
        <w:rPr>
          <w:rFonts w:hint="default" w:ascii="Arial" w:hAnsi="Arial" w:cs="Arial" w:eastAsiaTheme="minorEastAsia"/>
          <w:kern w:val="2"/>
          <w:sz w:val="28"/>
          <w:szCs w:val="28"/>
          <w:lang w:val="en-US" w:eastAsia="zh-CN"/>
        </w:rPr>
      </w:pPr>
      <w:bookmarkStart w:id="19" w:name="_Toc31963"/>
      <w:r>
        <w:rPr>
          <w:rFonts w:hint="eastAsia" w:ascii="Arial" w:hAnsi="Arial" w:cs="Arial" w:eastAsiaTheme="minorEastAsia"/>
          <w:kern w:val="2"/>
          <w:sz w:val="28"/>
          <w:szCs w:val="28"/>
          <w:lang w:val="en-US" w:eastAsia="zh-CN"/>
        </w:rPr>
        <w:t xml:space="preserve">4.2 </w:t>
      </w:r>
      <w:r>
        <w:rPr>
          <w:rFonts w:hint="default" w:ascii="Arial" w:hAnsi="Arial" w:cs="Arial" w:eastAsiaTheme="minorEastAsia"/>
          <w:kern w:val="2"/>
          <w:sz w:val="28"/>
          <w:szCs w:val="28"/>
          <w:lang w:val="en-US" w:eastAsia="zh-CN"/>
        </w:rPr>
        <w:t>Analy</w:t>
      </w:r>
      <w:r>
        <w:rPr>
          <w:rFonts w:hint="eastAsia" w:ascii="Arial" w:hAnsi="Arial" w:cs="Arial" w:eastAsiaTheme="minorEastAsia"/>
          <w:kern w:val="2"/>
          <w:sz w:val="28"/>
          <w:szCs w:val="28"/>
          <w:lang w:val="en-US" w:eastAsia="zh-CN"/>
        </w:rPr>
        <w:t>sis</w:t>
      </w:r>
      <w:r>
        <w:rPr>
          <w:rFonts w:hint="default" w:ascii="Arial" w:hAnsi="Arial" w:cs="Arial" w:eastAsiaTheme="minorEastAsia"/>
          <w:kern w:val="2"/>
          <w:sz w:val="28"/>
          <w:szCs w:val="28"/>
          <w:lang w:val="en-US" w:eastAsia="zh-CN"/>
        </w:rPr>
        <w:t xml:space="preserve"> from the perspective of </w:t>
      </w:r>
      <w:r>
        <w:rPr>
          <w:rFonts w:hint="eastAsia" w:ascii="Arial" w:hAnsi="Arial" w:cs="Arial" w:eastAsiaTheme="minorEastAsia"/>
          <w:kern w:val="2"/>
          <w:sz w:val="28"/>
          <w:szCs w:val="28"/>
          <w:lang w:val="en-US" w:eastAsia="zh-CN"/>
        </w:rPr>
        <w:t>o</w:t>
      </w:r>
      <w:r>
        <w:rPr>
          <w:rFonts w:hint="default" w:ascii="Arial" w:hAnsi="Arial" w:cs="Arial" w:eastAsiaTheme="minorEastAsia"/>
          <w:kern w:val="2"/>
          <w:sz w:val="28"/>
          <w:szCs w:val="28"/>
          <w:lang w:val="en-US" w:eastAsia="zh-CN"/>
        </w:rPr>
        <w:t>pportunities</w:t>
      </w:r>
      <w:r>
        <w:rPr>
          <w:rFonts w:hint="eastAsia" w:ascii="Arial" w:hAnsi="Arial" w:cs="Arial" w:eastAsiaTheme="minorEastAsia"/>
          <w:kern w:val="2"/>
          <w:sz w:val="28"/>
          <w:szCs w:val="28"/>
          <w:lang w:val="en-US" w:eastAsia="zh-CN"/>
        </w:rPr>
        <w:t xml:space="preserve"> </w:t>
      </w:r>
      <w:r>
        <w:rPr>
          <w:rFonts w:hint="default" w:ascii="Arial" w:hAnsi="Arial" w:cs="Arial" w:eastAsiaTheme="minorEastAsia"/>
          <w:kern w:val="2"/>
          <w:sz w:val="28"/>
          <w:szCs w:val="28"/>
          <w:lang w:val="en-US" w:eastAsia="zh-CN"/>
        </w:rPr>
        <w:t xml:space="preserve">and </w:t>
      </w:r>
      <w:r>
        <w:rPr>
          <w:rFonts w:hint="eastAsia" w:ascii="Arial" w:hAnsi="Arial" w:cs="Arial" w:eastAsiaTheme="minorEastAsia"/>
          <w:kern w:val="2"/>
          <w:sz w:val="28"/>
          <w:szCs w:val="28"/>
          <w:lang w:val="en-US" w:eastAsia="zh-CN"/>
        </w:rPr>
        <w:t>t</w:t>
      </w:r>
      <w:r>
        <w:rPr>
          <w:rFonts w:hint="default" w:ascii="Arial" w:hAnsi="Arial" w:cs="Arial" w:eastAsiaTheme="minorEastAsia"/>
          <w:kern w:val="2"/>
          <w:sz w:val="28"/>
          <w:szCs w:val="28"/>
          <w:lang w:val="en-US" w:eastAsia="zh-CN"/>
        </w:rPr>
        <w:t>hreats</w:t>
      </w:r>
      <w:bookmarkEnd w:id="19"/>
    </w:p>
    <w:p>
      <w:pPr>
        <w:bidi w:val="0"/>
        <w:rPr>
          <w:rFonts w:hint="eastAsia" w:ascii="Arial" w:hAnsi="Arial" w:eastAsia="宋体" w:cs="Arial"/>
          <w:lang w:val="en-US" w:eastAsia="zh-CN"/>
        </w:rPr>
      </w:pPr>
      <w:r>
        <w:rPr>
          <w:rFonts w:hint="default" w:ascii="Arial" w:hAnsi="Arial" w:cs="Arial"/>
        </w:rPr>
        <w:t>Pizza Hut has the potential to expand into new markets, especially internationally, such as developing countries in Asia and Africa</w:t>
      </w:r>
      <w:r>
        <w:rPr>
          <w:rFonts w:hint="eastAsia" w:ascii="Arial" w:hAnsi="Arial" w:eastAsia="宋体" w:cs="Arial"/>
          <w:lang w:val="en-US" w:eastAsia="zh-CN"/>
        </w:rPr>
        <w:t xml:space="preserve">. As an example, Pizza Hut has developed a new business model in Indonesia called telephone ordering, which has further improved and expanded the company's market share (Daryanto </w:t>
      </w:r>
      <w:r>
        <w:rPr>
          <w:rFonts w:hint="eastAsia" w:ascii="Arial" w:hAnsi="Arial" w:eastAsia="宋体" w:cs="Arial"/>
          <w:sz w:val="24"/>
          <w:szCs w:val="24"/>
          <w:lang w:val="en-US" w:eastAsia="zh-CN"/>
        </w:rPr>
        <w:t xml:space="preserve">et al., 2020). </w:t>
      </w:r>
      <w:r>
        <w:rPr>
          <w:rFonts w:hint="default" w:ascii="Arial" w:hAnsi="Arial" w:cs="Arial"/>
        </w:rPr>
        <w:t>Pizza Hut can use social media such as Facebook to interact with customers, release new products and respond to customer demands, and then analyze competitors' social media data to improve user experience and enhance competitiveness</w:t>
      </w:r>
      <w:r>
        <w:rPr>
          <w:rFonts w:hint="eastAsia" w:ascii="Arial" w:hAnsi="Arial" w:eastAsia="宋体" w:cs="Arial"/>
          <w:lang w:val="en-US" w:eastAsia="zh-CN"/>
        </w:rPr>
        <w:t xml:space="preserve"> (He, 2013).</w:t>
      </w:r>
    </w:p>
    <w:p>
      <w:pPr>
        <w:bidi w:val="0"/>
        <w:rPr>
          <w:rFonts w:hint="default" w:ascii="Arial" w:hAnsi="Arial" w:cs="Arial"/>
          <w:sz w:val="24"/>
          <w:szCs w:val="24"/>
        </w:rPr>
      </w:pPr>
      <w:r>
        <w:rPr>
          <w:rFonts w:hint="default" w:ascii="Arial" w:hAnsi="Arial" w:cs="Arial"/>
        </w:rPr>
        <w:t>Threats to Pizza Hut include increased competition, especially in the pizza business, which is brutal. In addition, the emergence of new competitors, such as food delivery apps, can threaten Pizza Hut's market position and customer base. On the other hand, the main internal threat is limited innovation and flexibility. According to Gogoi (2022), Pizza Hut's reliance on its existing business model and menu offerings can limit its ability to respond to changing consumer preferences and market trends. As a result, the company is slow to introduce new products or adopt new technologies, which can put it at a disadvantage compared to more agile and innovative competitors. Therefore, Pizza Hut needs to develop strategies to address these threats to remain competitive in the market.</w:t>
      </w:r>
    </w:p>
    <w:p>
      <w:pPr>
        <w:pStyle w:val="4"/>
        <w:keepNext/>
        <w:keepLines/>
        <w:pageBreakBefore w:val="0"/>
        <w:widowControl w:val="0"/>
        <w:numPr>
          <w:ilvl w:val="0"/>
          <w:numId w:val="2"/>
        </w:numPr>
        <w:kinsoku/>
        <w:wordWrap/>
        <w:overflowPunct/>
        <w:topLinePunct w:val="0"/>
        <w:autoSpaceDE/>
        <w:autoSpaceDN/>
        <w:bidi w:val="0"/>
        <w:adjustRightInd/>
        <w:snapToGrid/>
        <w:spacing w:before="20" w:beforeLines="0" w:beforeAutospacing="0" w:after="20" w:afterLines="0" w:afterAutospacing="0" w:line="480" w:lineRule="auto"/>
        <w:ind w:left="0" w:leftChars="0" w:firstLine="0" w:firstLineChars="0"/>
        <w:textAlignment w:val="auto"/>
        <w:outlineLvl w:val="2"/>
        <w:rPr>
          <w:rFonts w:hint="default" w:ascii="Arial" w:hAnsi="Arial" w:cs="Arial" w:eastAsiaTheme="minorEastAsia"/>
          <w:kern w:val="2"/>
          <w:sz w:val="32"/>
          <w:szCs w:val="24"/>
          <w:lang w:val="en-US" w:eastAsia="zh-CN"/>
        </w:rPr>
      </w:pPr>
      <w:bookmarkStart w:id="20" w:name="_Toc15211"/>
      <w:r>
        <w:rPr>
          <w:rFonts w:hint="default" w:ascii="Arial" w:hAnsi="Arial" w:cs="Arial" w:eastAsiaTheme="minorEastAsia"/>
          <w:kern w:val="2"/>
          <w:sz w:val="32"/>
          <w:szCs w:val="24"/>
          <w:lang w:val="en-US" w:eastAsia="zh-CN"/>
        </w:rPr>
        <w:t>Conclusion</w:t>
      </w:r>
      <w:bookmarkEnd w:id="20"/>
    </w:p>
    <w:p>
      <w:pPr>
        <w:jc w:val="both"/>
        <w:rPr>
          <w:rFonts w:hint="default" w:ascii="Arial" w:hAnsi="Arial" w:cs="Arial"/>
          <w:sz w:val="24"/>
          <w:szCs w:val="24"/>
        </w:rPr>
      </w:pPr>
      <w:r>
        <w:rPr>
          <w:rFonts w:hint="default" w:ascii="Arial" w:hAnsi="Arial" w:cs="Arial"/>
        </w:rPr>
        <w:t>Pizza Hut</w:t>
      </w:r>
      <w:r>
        <w:rPr>
          <w:rFonts w:hint="default" w:ascii="Arial" w:hAnsi="Arial" w:cs="Arial"/>
          <w:sz w:val="24"/>
          <w:szCs w:val="24"/>
        </w:rPr>
        <w:t xml:space="preserve"> is in the fast food industry with fierce competition and is affected by various external and internal factors. External factors include political events, economic conditions, social trends, technological progress, environmental issues, and legal requirements. </w:t>
      </w:r>
      <w:r>
        <w:rPr>
          <w:rFonts w:hint="default" w:ascii="Arial" w:hAnsi="Arial" w:cs="Arial"/>
        </w:rPr>
        <w:t>Pizza Hut</w:t>
      </w:r>
      <w:r>
        <w:rPr>
          <w:rFonts w:hint="default" w:ascii="Arial" w:hAnsi="Arial" w:cs="Arial"/>
          <w:sz w:val="24"/>
          <w:szCs w:val="24"/>
        </w:rPr>
        <w:t>'s internal environment has strong brand awareness, established supply chain management and strong product innovation capabilities. However, it also faces some weaknesses, such as a high reliance on franchisees, slow adoption of digital technology, and limited menu availability compared to competitors. To remain competitive,</w:t>
      </w:r>
      <w:r>
        <w:rPr>
          <w:rFonts w:hint="default" w:ascii="Arial" w:hAnsi="Arial" w:cs="Arial"/>
        </w:rPr>
        <w:t xml:space="preserve"> Pizza Hut is suggested to focus on the following </w:t>
      </w:r>
      <w:r>
        <w:rPr>
          <w:rFonts w:hint="eastAsia" w:ascii="Arial" w:hAnsi="Arial" w:eastAsia="宋体" w:cs="Arial"/>
          <w:lang w:val="en-US" w:eastAsia="zh-CN"/>
        </w:rPr>
        <w:t xml:space="preserve">five </w:t>
      </w:r>
      <w:r>
        <w:rPr>
          <w:rFonts w:hint="default" w:ascii="Arial" w:hAnsi="Arial" w:cs="Arial"/>
        </w:rPr>
        <w:t>strategies</w:t>
      </w:r>
      <w:r>
        <w:rPr>
          <w:rFonts w:hint="default" w:ascii="Arial" w:hAnsi="Arial" w:cs="Arial"/>
          <w:sz w:val="24"/>
          <w:szCs w:val="24"/>
        </w:rPr>
        <w:t>:</w:t>
      </w:r>
    </w:p>
    <w:p>
      <w:pPr>
        <w:numPr>
          <w:ilvl w:val="0"/>
          <w:numId w:val="3"/>
        </w:numPr>
        <w:jc w:val="both"/>
        <w:rPr>
          <w:rFonts w:hint="default" w:ascii="Arial" w:hAnsi="Arial" w:cs="Arial"/>
          <w:sz w:val="24"/>
          <w:szCs w:val="24"/>
        </w:rPr>
      </w:pPr>
      <w:r>
        <w:rPr>
          <w:rFonts w:hint="default" w:ascii="Arial" w:hAnsi="Arial" w:cs="Arial"/>
          <w:b/>
          <w:bCs/>
          <w:i/>
          <w:iCs/>
          <w:sz w:val="24"/>
          <w:szCs w:val="24"/>
        </w:rPr>
        <w:t>Cultivate core competitiveness</w:t>
      </w:r>
      <w:r>
        <w:rPr>
          <w:rFonts w:hint="default" w:ascii="Arial" w:hAnsi="Arial" w:cs="Arial"/>
          <w:sz w:val="24"/>
          <w:szCs w:val="24"/>
        </w:rPr>
        <w:t>. Starting from each link of the value chain, enhance the company's bargaining power in the supply chain, continuously improve goods warehousing, logistics and transportation services, further optimize infrastructure construction, innovate products and business management models, control operating costs and product costs, and improve service quality. Implementing a differentiated competitive strategy requires starting with differentiated products, operations, channels, and marketing to create a company's core competitiveness.</w:t>
      </w:r>
    </w:p>
    <w:p>
      <w:pPr>
        <w:numPr>
          <w:ilvl w:val="0"/>
          <w:numId w:val="3"/>
        </w:numPr>
        <w:jc w:val="both"/>
        <w:rPr>
          <w:rFonts w:hint="default" w:ascii="Arial" w:hAnsi="Arial" w:cs="Arial"/>
          <w:sz w:val="24"/>
          <w:szCs w:val="24"/>
        </w:rPr>
      </w:pPr>
      <w:r>
        <w:rPr>
          <w:rFonts w:hint="default" w:ascii="Arial" w:hAnsi="Arial" w:cs="Arial"/>
          <w:b/>
          <w:bCs/>
          <w:i/>
          <w:iCs/>
          <w:sz w:val="24"/>
          <w:szCs w:val="24"/>
        </w:rPr>
        <w:t>Expand new markets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 xml:space="preserve">Adopt new technologies and diverse menus while mitigating potential threats, such as changing consumer preferences, highlighting their distinctive personalities in terms of business model, variety selection, business style, and development characteristics, avoiding vicious competition in the same industry and reducing adverse impacts. </w:t>
      </w:r>
      <w:r>
        <w:rPr>
          <w:rFonts w:hint="eastAsia" w:ascii="Arial" w:hAnsi="Arial" w:cs="Arial"/>
          <w:sz w:val="24"/>
          <w:szCs w:val="24"/>
          <w:lang w:val="en-US" w:eastAsia="zh-CN"/>
        </w:rPr>
        <w:t>Utilize emerging trends such as the rise of delivery services to shift to healthier eating habits, guide customers' consumption concepts and culture, maintain fan operations, and develop the mental cultivation that consumers focus on, continue to expand brand influence and maintain brand effectiveness.</w:t>
      </w:r>
    </w:p>
    <w:p>
      <w:pPr>
        <w:numPr>
          <w:ilvl w:val="0"/>
          <w:numId w:val="3"/>
        </w:numPr>
        <w:jc w:val="both"/>
        <w:rPr>
          <w:rFonts w:hint="default" w:ascii="Arial" w:hAnsi="Arial" w:cs="Arial"/>
          <w:sz w:val="24"/>
          <w:szCs w:val="24"/>
        </w:rPr>
      </w:pPr>
      <w:r>
        <w:rPr>
          <w:rFonts w:hint="default" w:ascii="Arial" w:hAnsi="Arial" w:cs="Arial"/>
          <w:b/>
          <w:bCs/>
          <w:i/>
          <w:iCs/>
          <w:sz w:val="24"/>
          <w:szCs w:val="24"/>
        </w:rPr>
        <w:t>Innovative products and business models</w:t>
      </w:r>
      <w:r>
        <w:rPr>
          <w:rFonts w:hint="default" w:ascii="Arial" w:hAnsi="Arial" w:cs="Arial"/>
          <w:sz w:val="24"/>
          <w:szCs w:val="24"/>
        </w:rPr>
        <w:t>.</w:t>
      </w:r>
      <w:r>
        <w:rPr>
          <w:rFonts w:hint="eastAsia" w:ascii="Arial" w:hAnsi="Arial" w:eastAsia="宋体" w:cs="Arial"/>
          <w:sz w:val="24"/>
          <w:szCs w:val="24"/>
          <w:lang w:val="en-US" w:eastAsia="zh-CN"/>
        </w:rPr>
        <w:t xml:space="preserve"> Formulate and implement a standard and complete business system, appropriately adjust the price system according to the market conditions, design some new product mix, make full use of the advantages of chain operation, while appropriately adjust the execution strategy to avoid its disadvantages, and break the national unified pricing and product model that Pizza Hut has always insisted on.</w:t>
      </w:r>
    </w:p>
    <w:p>
      <w:pPr>
        <w:numPr>
          <w:ilvl w:val="0"/>
          <w:numId w:val="3"/>
        </w:numPr>
        <w:jc w:val="both"/>
        <w:rPr>
          <w:rFonts w:hint="default" w:ascii="Arial" w:hAnsi="Arial" w:cs="Arial"/>
          <w:sz w:val="24"/>
          <w:szCs w:val="24"/>
        </w:rPr>
      </w:pPr>
      <w:r>
        <w:rPr>
          <w:rFonts w:hint="default" w:ascii="Arial" w:hAnsi="Arial" w:cs="Arial"/>
          <w:b/>
          <w:bCs/>
          <w:i/>
          <w:iCs/>
          <w:sz w:val="24"/>
          <w:szCs w:val="24"/>
        </w:rPr>
        <w:t>Strengthen weak links in development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Utilize information management tools to analyze the three important links of operation, market, and products, accurately identify the factors that affect development, maximize the internal needs of consumers using new technologies and experiences, and build a digital and intelligent business model</w:t>
      </w:r>
      <w:r>
        <w:rPr>
          <w:rFonts w:hint="eastAsia" w:ascii="Arial" w:hAnsi="Arial" w:eastAsia="宋体" w:cs="Arial"/>
          <w:sz w:val="24"/>
          <w:szCs w:val="24"/>
          <w:lang w:val="en-US" w:eastAsia="zh-CN"/>
        </w:rPr>
        <w:t>.</w:t>
      </w:r>
    </w:p>
    <w:p>
      <w:pPr>
        <w:numPr>
          <w:ilvl w:val="0"/>
          <w:numId w:val="3"/>
        </w:numPr>
        <w:jc w:val="both"/>
        <w:rPr>
          <w:rFonts w:hint="default" w:ascii="Arial" w:hAnsi="Arial" w:cs="Arial"/>
          <w:sz w:val="24"/>
          <w:szCs w:val="24"/>
        </w:rPr>
      </w:pPr>
      <w:r>
        <w:rPr>
          <w:rFonts w:hint="default" w:ascii="Arial" w:hAnsi="Arial" w:cs="Arial"/>
          <w:b/>
          <w:bCs/>
          <w:i/>
          <w:iCs/>
          <w:sz w:val="24"/>
          <w:szCs w:val="24"/>
        </w:rPr>
        <w:t>Improve the overall professional ability of employees</w:t>
      </w:r>
      <w:r>
        <w:rPr>
          <w:rFonts w:hint="default" w:ascii="Arial" w:hAnsi="Arial" w:cs="Arial"/>
          <w:sz w:val="24"/>
          <w:szCs w:val="24"/>
        </w:rPr>
        <w:t>.</w:t>
      </w:r>
      <w:r>
        <w:rPr>
          <w:rFonts w:hint="eastAsia" w:ascii="Arial" w:hAnsi="Arial" w:eastAsia="宋体" w:cs="Arial"/>
          <w:sz w:val="24"/>
          <w:szCs w:val="24"/>
          <w:lang w:val="en-US" w:eastAsia="zh-CN"/>
        </w:rPr>
        <w:t xml:space="preserve"> Pizza Hut </w:t>
      </w:r>
      <w:r>
        <w:rPr>
          <w:rFonts w:hint="default" w:ascii="Arial" w:hAnsi="Arial" w:cs="Arial"/>
          <w:sz w:val="24"/>
          <w:szCs w:val="24"/>
        </w:rPr>
        <w:t xml:space="preserve">has decades of chain restaurant management experience, rich management resources and training ability, product development ability and the world's first pizza brand influence. These intangible assets are also powerful support for </w:t>
      </w:r>
      <w:r>
        <w:rPr>
          <w:rFonts w:hint="eastAsia" w:ascii="Arial" w:hAnsi="Arial" w:eastAsia="宋体" w:cs="Arial"/>
          <w:sz w:val="24"/>
          <w:szCs w:val="24"/>
          <w:lang w:val="en-US" w:eastAsia="zh-CN"/>
        </w:rPr>
        <w:t xml:space="preserve">Pizza Hut </w:t>
      </w:r>
      <w:r>
        <w:rPr>
          <w:rFonts w:hint="default" w:ascii="Arial" w:hAnsi="Arial" w:cs="Arial"/>
          <w:sz w:val="24"/>
          <w:szCs w:val="24"/>
        </w:rPr>
        <w:t>to win the market. The company also needs to continue to strengthen the comprehensive professional quality of employees, better provide customers with thoughtful value services, and improve customer brand loyalty</w:t>
      </w:r>
      <w:r>
        <w:rPr>
          <w:rFonts w:hint="eastAsia" w:ascii="Arial" w:hAnsi="Arial" w:eastAsia="宋体" w:cs="Arial"/>
          <w:sz w:val="24"/>
          <w:szCs w:val="24"/>
          <w:lang w:val="en-US" w:eastAsia="zh-CN"/>
        </w:rPr>
        <w:t>.</w:t>
      </w:r>
      <w:r>
        <w:rPr>
          <w:rFonts w:hint="default" w:ascii="Arial" w:hAnsi="Arial" w:cs="Arial"/>
          <w:sz w:val="24"/>
          <w:szCs w:val="24"/>
        </w:rPr>
        <w:br w:type="page"/>
      </w:r>
    </w:p>
    <w:p>
      <w:pPr>
        <w:pStyle w:val="4"/>
        <w:keepNext/>
        <w:keepLines/>
        <w:pageBreakBefore w:val="0"/>
        <w:widowControl w:val="0"/>
        <w:numPr>
          <w:ilvl w:val="2"/>
          <w:numId w:val="0"/>
        </w:numPr>
        <w:kinsoku/>
        <w:wordWrap/>
        <w:overflowPunct/>
        <w:topLinePunct w:val="0"/>
        <w:autoSpaceDE/>
        <w:autoSpaceDN/>
        <w:bidi w:val="0"/>
        <w:adjustRightInd/>
        <w:snapToGrid/>
        <w:spacing w:before="20" w:beforeLines="0" w:beforeAutospacing="0" w:after="20" w:afterLines="0" w:afterAutospacing="0" w:line="413" w:lineRule="auto"/>
        <w:ind w:left="720" w:leftChars="0" w:hanging="720"/>
        <w:textAlignment w:val="auto"/>
        <w:rPr>
          <w:rFonts w:hint="eastAsia" w:ascii="Arial" w:hAnsi="Arial" w:cs="Arial" w:eastAsiaTheme="minorEastAsia"/>
          <w:kern w:val="2"/>
          <w:sz w:val="32"/>
          <w:szCs w:val="24"/>
          <w:lang w:val="en-US" w:eastAsia="zh-CN"/>
        </w:rPr>
      </w:pPr>
      <w:bookmarkStart w:id="21" w:name="_Toc24063"/>
      <w:r>
        <w:rPr>
          <w:rFonts w:hint="default" w:ascii="Arial" w:hAnsi="Arial" w:cs="Arial" w:eastAsiaTheme="minorEastAsia"/>
          <w:kern w:val="2"/>
          <w:sz w:val="32"/>
          <w:szCs w:val="24"/>
          <w:lang w:val="en-US" w:eastAsia="zh-CN"/>
        </w:rPr>
        <w:t>Reference</w:t>
      </w:r>
      <w:r>
        <w:rPr>
          <w:rFonts w:hint="eastAsia" w:ascii="Arial" w:hAnsi="Arial" w:cs="Arial" w:eastAsiaTheme="minorEastAsia"/>
          <w:kern w:val="2"/>
          <w:sz w:val="32"/>
          <w:szCs w:val="24"/>
          <w:lang w:val="en-US" w:eastAsia="zh-CN"/>
        </w:rPr>
        <w:t xml:space="preserve"> List</w:t>
      </w:r>
      <w:bookmarkEnd w:id="21"/>
    </w:p>
    <w:p>
      <w:pPr>
        <w:ind w:left="0" w:leftChars="0" w:firstLine="0" w:firstLineChars="0"/>
        <w:rPr>
          <w:rFonts w:hint="default"/>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Arial" w:hAnsi="Arial" w:eastAsia="宋体" w:cs="Arial"/>
          <w:sz w:val="24"/>
          <w:szCs w:val="24"/>
          <w:lang w:val="en-US" w:eastAsia="zh-CN"/>
        </w:rPr>
      </w:pPr>
      <w:r>
        <w:rPr>
          <w:rFonts w:hint="eastAsia" w:ascii="Arial" w:hAnsi="Arial" w:eastAsia="宋体" w:cs="Arial"/>
          <w:sz w:val="24"/>
          <w:szCs w:val="24"/>
          <w:lang w:val="en-US" w:eastAsia="zh-CN"/>
        </w:rPr>
        <w:t xml:space="preserve">Astawa, I.P.M. (2022) </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VRIO Model as a Framework for Developing Tourism Competitiveness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eastAsia" w:ascii="Arial" w:hAnsi="Arial" w:eastAsia="宋体" w:cs="Arial"/>
          <w:i/>
          <w:iCs/>
          <w:sz w:val="24"/>
          <w:szCs w:val="24"/>
          <w:lang w:val="en-US" w:eastAsia="zh-CN"/>
        </w:rPr>
        <w:t>In International Conference on Applied Science and Technology on Social Science 2021 (iCAST-SS 2021)</w:t>
      </w:r>
      <w:r>
        <w:rPr>
          <w:rFonts w:hint="eastAsia" w:ascii="Arial" w:hAnsi="Arial" w:eastAsia="宋体" w:cs="Arial"/>
          <w:sz w:val="24"/>
          <w:szCs w:val="24"/>
          <w:lang w:val="en-US" w:eastAsia="zh-CN"/>
        </w:rPr>
        <w:t>, pp.173-178.</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eastAsia" w:ascii="Arial" w:hAnsi="Arial" w:eastAsia="宋体" w:cs="Arial"/>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jc w:val="both"/>
        <w:textAlignment w:val="auto"/>
        <w:rPr>
          <w:rFonts w:hint="default" w:ascii="Arial" w:hAnsi="Arial" w:cs="Arial"/>
          <w:color w:val="222222"/>
          <w:sz w:val="24"/>
          <w:szCs w:val="24"/>
          <w:highlight w:val="white"/>
        </w:rPr>
      </w:pPr>
      <w:r>
        <w:rPr>
          <w:rFonts w:hint="default" w:ascii="Arial" w:hAnsi="Arial" w:cs="Arial"/>
          <w:color w:val="222222"/>
          <w:sz w:val="24"/>
          <w:szCs w:val="24"/>
          <w:highlight w:val="white"/>
        </w:rPr>
        <w:t xml:space="preserve">Benzaghta, M.A., Elwalda, A., </w:t>
      </w:r>
      <w:r>
        <w:rPr>
          <w:rFonts w:hint="eastAsia" w:ascii="Arial" w:hAnsi="Arial" w:eastAsia="宋体" w:cs="Arial"/>
          <w:color w:val="222222"/>
          <w:sz w:val="24"/>
          <w:szCs w:val="24"/>
          <w:highlight w:val="white"/>
          <w:lang w:val="en-US" w:eastAsia="zh-CN"/>
        </w:rPr>
        <w:t xml:space="preserve">&amp; </w:t>
      </w:r>
      <w:r>
        <w:rPr>
          <w:rFonts w:hint="default" w:ascii="Arial" w:hAnsi="Arial" w:cs="Arial"/>
          <w:color w:val="222222"/>
          <w:sz w:val="24"/>
          <w:szCs w:val="24"/>
          <w:highlight w:val="white"/>
        </w:rPr>
        <w:t xml:space="preserve">Mousa, M.M., </w:t>
      </w:r>
      <w:r>
        <w:rPr>
          <w:rFonts w:hint="eastAsia" w:ascii="Arial" w:hAnsi="Arial" w:eastAsia="宋体" w:cs="Arial"/>
          <w:color w:val="222222"/>
          <w:sz w:val="24"/>
          <w:szCs w:val="24"/>
          <w:highlight w:val="white"/>
          <w:lang w:val="en-US" w:eastAsia="zh-CN"/>
        </w:rPr>
        <w:t>et al.</w:t>
      </w:r>
      <w:r>
        <w:rPr>
          <w:rFonts w:hint="default" w:ascii="Arial" w:hAnsi="Arial" w:cs="Arial"/>
          <w:color w:val="222222"/>
          <w:sz w:val="24"/>
          <w:szCs w:val="24"/>
          <w:highlight w:val="white"/>
        </w:rPr>
        <w:t xml:space="preserve"> </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2021</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 xml:space="preserve"> </w:t>
      </w:r>
      <w:r>
        <w:rPr>
          <w:rFonts w:hint="default"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SWOT</w:t>
      </w:r>
      <w:r>
        <w:rPr>
          <w:rFonts w:hint="eastAsia" w:ascii="Arial" w:hAnsi="Arial" w:eastAsia="宋体" w:cs="Arial"/>
          <w:color w:val="222222"/>
          <w:sz w:val="24"/>
          <w:szCs w:val="24"/>
          <w:highlight w:val="white"/>
          <w:lang w:val="en-US" w:eastAsia="zh-CN"/>
        </w:rPr>
        <w:t xml:space="preserve"> </w:t>
      </w:r>
      <w:r>
        <w:rPr>
          <w:rFonts w:hint="default" w:ascii="Arial" w:hAnsi="Arial" w:cs="Arial"/>
          <w:color w:val="222222"/>
          <w:sz w:val="24"/>
          <w:szCs w:val="24"/>
          <w:highlight w:val="white"/>
        </w:rPr>
        <w:t>analysis applications: An integrative literature review</w:t>
      </w:r>
      <w:r>
        <w:rPr>
          <w:rFonts w:hint="default" w:ascii="Arial" w:hAnsi="Arial" w:eastAsia="宋体" w:cs="Arial"/>
          <w:color w:val="222222"/>
          <w:sz w:val="24"/>
          <w:szCs w:val="24"/>
          <w:highlight w:val="white"/>
          <w:lang w:val="en-US" w:eastAsia="zh-CN"/>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color w:val="222222"/>
          <w:sz w:val="24"/>
          <w:szCs w:val="24"/>
          <w:highlight w:val="white"/>
        </w:rPr>
        <w:t>Journal of Global Business Insights</w:t>
      </w:r>
      <w:r>
        <w:rPr>
          <w:rFonts w:hint="default" w:ascii="Arial" w:hAnsi="Arial" w:cs="Arial"/>
          <w:i w:val="0"/>
          <w:iCs w:val="0"/>
          <w:color w:val="222222"/>
          <w:sz w:val="24"/>
          <w:szCs w:val="24"/>
          <w:highlight w:val="white"/>
        </w:rPr>
        <w:t>,</w:t>
      </w:r>
      <w:r>
        <w:rPr>
          <w:rFonts w:hint="eastAsia" w:ascii="Arial" w:hAnsi="Arial" w:eastAsia="宋体" w:cs="Arial"/>
          <w:i w:val="0"/>
          <w:iCs w:val="0"/>
          <w:color w:val="222222"/>
          <w:sz w:val="24"/>
          <w:szCs w:val="24"/>
          <w:highlight w:val="white"/>
          <w:lang w:val="en-US" w:eastAsia="zh-CN"/>
        </w:rPr>
        <w:t xml:space="preserve"> </w:t>
      </w:r>
      <w:r>
        <w:rPr>
          <w:rFonts w:hint="default" w:ascii="Arial" w:hAnsi="Arial" w:cs="Arial"/>
          <w:i w:val="0"/>
          <w:iCs w:val="0"/>
          <w:color w:val="222222"/>
          <w:sz w:val="24"/>
          <w:szCs w:val="24"/>
          <w:highlight w:val="white"/>
        </w:rPr>
        <w:t>6(1)</w:t>
      </w:r>
      <w:r>
        <w:rPr>
          <w:rFonts w:hint="default" w:ascii="Arial" w:hAnsi="Arial" w:cs="Arial"/>
          <w:color w:val="222222"/>
          <w:sz w:val="24"/>
          <w:szCs w:val="24"/>
          <w:highlight w:val="white"/>
        </w:rPr>
        <w:t>, pp.55-73.</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default" w:ascii="Arial" w:hAnsi="Arial" w:cs="Arial"/>
          <w:color w:val="222222"/>
          <w:sz w:val="24"/>
          <w:szCs w:val="24"/>
          <w:highlight w:val="white"/>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jc w:val="left"/>
        <w:textAlignment w:val="auto"/>
        <w:rPr>
          <w:rFonts w:hint="default" w:ascii="Arial" w:hAnsi="Arial" w:cs="Arial"/>
          <w:sz w:val="24"/>
          <w:szCs w:val="24"/>
          <w:highlight w:val="none"/>
          <w:lang w:val="en-US"/>
        </w:rPr>
      </w:pPr>
      <w:r>
        <w:rPr>
          <w:rFonts w:hint="default" w:ascii="Arial" w:hAnsi="Arial" w:cs="Arial"/>
          <w:spacing w:val="0"/>
          <w:sz w:val="24"/>
          <w:szCs w:val="24"/>
          <w:highlight w:val="none"/>
          <w:lang w:val="en-US"/>
        </w:rPr>
        <w:t>Bhushan, R. (2020)</w:t>
      </w:r>
      <w:r>
        <w:rPr>
          <w:rFonts w:hint="eastAsia" w:ascii="Arial" w:hAnsi="Arial" w:eastAsia="宋体" w:cs="Arial"/>
          <w:spacing w:val="0"/>
          <w:sz w:val="24"/>
          <w:szCs w:val="24"/>
          <w:highlight w:val="none"/>
          <w:lang w:val="en-US" w:eastAsia="zh-CN"/>
        </w:rPr>
        <w:t xml:space="preserve"> </w:t>
      </w:r>
      <w:r>
        <w:rPr>
          <w:rFonts w:hint="default" w:ascii="Arial" w:hAnsi="Arial" w:cs="Arial"/>
          <w:i/>
          <w:iCs/>
          <w:spacing w:val="0"/>
          <w:sz w:val="24"/>
          <w:szCs w:val="24"/>
          <w:highlight w:val="none"/>
          <w:lang w:val="en-US"/>
        </w:rPr>
        <w:t>KFC Q1 system sales decline 2%, Pizza Hut declines 6%:</w:t>
      </w:r>
      <w:r>
        <w:rPr>
          <w:rFonts w:hint="eastAsia" w:ascii="Arial" w:hAnsi="Arial" w:eastAsia="宋体" w:cs="Arial"/>
          <w:i/>
          <w:iCs/>
          <w:spacing w:val="0"/>
          <w:sz w:val="24"/>
          <w:szCs w:val="24"/>
          <w:highlight w:val="none"/>
          <w:lang w:val="en-US" w:eastAsia="zh-CN"/>
        </w:rPr>
        <w:t xml:space="preserve"> </w:t>
      </w:r>
      <w:r>
        <w:rPr>
          <w:rFonts w:hint="default" w:ascii="Arial" w:hAnsi="Arial" w:cs="Arial"/>
          <w:spacing w:val="0"/>
          <w:sz w:val="24"/>
          <w:szCs w:val="24"/>
          <w:highlight w:val="none"/>
          <w:lang w:val="en-US"/>
        </w:rPr>
        <w:t>[online] The</w:t>
      </w:r>
      <w:r>
        <w:rPr>
          <w:rFonts w:hint="eastAsia" w:ascii="Arial" w:hAnsi="Arial" w:eastAsia="宋体" w:cs="Arial"/>
          <w:spacing w:val="0"/>
          <w:sz w:val="24"/>
          <w:szCs w:val="24"/>
          <w:highlight w:val="none"/>
          <w:lang w:val="en-US" w:eastAsia="zh-CN"/>
        </w:rPr>
        <w:t xml:space="preserve"> </w:t>
      </w:r>
      <w:r>
        <w:rPr>
          <w:rFonts w:hint="default" w:ascii="Arial" w:hAnsi="Arial" w:cs="Arial"/>
          <w:spacing w:val="0"/>
          <w:sz w:val="24"/>
          <w:szCs w:val="24"/>
          <w:highlight w:val="none"/>
          <w:lang w:val="en-US"/>
        </w:rPr>
        <w:t>Economic Times. Available at: https://economictimes.indiatimes.com/news/international/business/kfc-operator-yums-first-quarter-profit-falls-68-3/articleshow/75449766.cms [Accessed 7 Mar</w:t>
      </w:r>
      <w:r>
        <w:rPr>
          <w:rFonts w:hint="eastAsia" w:ascii="Arial" w:hAnsi="Arial" w:eastAsia="宋体" w:cs="Arial"/>
          <w:spacing w:val="0"/>
          <w:sz w:val="24"/>
          <w:szCs w:val="24"/>
          <w:highlight w:val="none"/>
          <w:lang w:val="en-US" w:eastAsia="zh-CN"/>
        </w:rPr>
        <w:t>ch</w:t>
      </w:r>
      <w:r>
        <w:rPr>
          <w:rFonts w:hint="default" w:ascii="Arial" w:hAnsi="Arial" w:cs="Arial"/>
          <w:spacing w:val="0"/>
          <w:sz w:val="24"/>
          <w:szCs w:val="24"/>
          <w:highlight w:val="none"/>
          <w:lang w:val="en-US"/>
        </w:rPr>
        <w:t xml:space="preserve"> 2023].</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cs="Arial"/>
          <w:sz w:val="24"/>
          <w:szCs w:val="24"/>
          <w:lang w:val="en-US"/>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Chang, H.H.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Meyerhoefer, C.D.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COVID‐19 and the demand for online food shopping services: Empirical Evidence from Taiwan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American Journal of Agricultural Economics</w:t>
      </w:r>
      <w:r>
        <w:rPr>
          <w:rFonts w:hint="default" w:ascii="Arial" w:hAnsi="Arial" w:cs="Arial"/>
          <w:sz w:val="24"/>
          <w:szCs w:val="24"/>
        </w:rPr>
        <w:t>,</w:t>
      </w:r>
      <w:r>
        <w:rPr>
          <w:rFonts w:hint="default" w:ascii="Arial" w:hAnsi="Arial" w:cs="Arial"/>
          <w:i w:val="0"/>
          <w:iCs/>
          <w:sz w:val="24"/>
          <w:szCs w:val="24"/>
        </w:rPr>
        <w:t>103</w:t>
      </w:r>
      <w:r>
        <w:rPr>
          <w:rFonts w:hint="default" w:ascii="Arial" w:hAnsi="Arial" w:cs="Arial"/>
          <w:sz w:val="24"/>
          <w:szCs w:val="24"/>
        </w:rPr>
        <w:t>(2), pp.448-465.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Chen, M., Hu, M.</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Wang, J.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Food delivery service and restaurant: Friend or foe?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Management Science</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68</w:t>
      </w:r>
      <w:r>
        <w:rPr>
          <w:rFonts w:hint="default" w:ascii="Arial" w:hAnsi="Arial" w:cs="Arial"/>
          <w:sz w:val="24"/>
          <w:szCs w:val="24"/>
        </w:rPr>
        <w:t>(9), pp.6539-6551.</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Cheng, Y. and Jiang, H. (2022) </w:t>
      </w:r>
      <w:r>
        <w:rPr>
          <w:rFonts w:hint="default" w:ascii="Arial" w:hAnsi="Arial" w:eastAsia="宋体" w:cs="Arial"/>
          <w:sz w:val="24"/>
          <w:szCs w:val="24"/>
          <w:lang w:val="en-US" w:eastAsia="zh-CN"/>
        </w:rPr>
        <w:t>‘</w:t>
      </w:r>
      <w:r>
        <w:rPr>
          <w:rFonts w:hint="default" w:ascii="Arial" w:hAnsi="Arial" w:cs="Arial"/>
          <w:sz w:val="24"/>
          <w:szCs w:val="24"/>
        </w:rPr>
        <w:t>Customer–brand relationship in the era of artificial intelligence: understanding the role of chatbot marketing efforts</w:t>
      </w:r>
      <w:r>
        <w:rPr>
          <w:rFonts w:hint="default"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cs="Arial"/>
          <w:i/>
          <w:iCs/>
          <w:sz w:val="24"/>
          <w:szCs w:val="24"/>
        </w:rPr>
        <w:t>Journal of Product &amp; Brand Management</w:t>
      </w:r>
      <w:r>
        <w:rPr>
          <w:rFonts w:hint="default" w:ascii="Arial" w:hAnsi="Arial" w:cs="Arial"/>
          <w:sz w:val="24"/>
          <w:szCs w:val="24"/>
        </w:rPr>
        <w:t>, 31</w:t>
      </w:r>
      <w:r>
        <w:rPr>
          <w:rFonts w:hint="eastAsia" w:ascii="Arial" w:hAnsi="Arial" w:eastAsia="宋体" w:cs="Arial"/>
          <w:sz w:val="24"/>
          <w:szCs w:val="24"/>
          <w:lang w:val="en-US" w:eastAsia="zh-CN"/>
        </w:rPr>
        <w:t>(2)</w:t>
      </w:r>
      <w:r>
        <w:rPr>
          <w:rFonts w:hint="default" w:ascii="Arial" w:hAnsi="Arial" w:cs="Arial"/>
          <w:sz w:val="24"/>
          <w:szCs w:val="24"/>
        </w:rPr>
        <w:t>, pp.252-264.</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eastAsia" w:ascii="Arial" w:hAnsi="Arial" w:eastAsia="宋体" w:cs="Arial"/>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Daryanto, W.M., Nasution, A.E., &amp; Fadeli, U.P. (2020) </w:t>
      </w:r>
      <w:r>
        <w:rPr>
          <w:rFonts w:hint="default" w:ascii="Arial" w:hAnsi="Arial" w:eastAsia="宋体" w:cs="Arial"/>
          <w:sz w:val="24"/>
          <w:szCs w:val="24"/>
          <w:lang w:val="en-US" w:eastAsia="zh-CN"/>
        </w:rPr>
        <w:t>‘</w:t>
      </w:r>
      <w:r>
        <w:rPr>
          <w:rFonts w:hint="default" w:ascii="Arial" w:hAnsi="Arial" w:cs="Arial"/>
          <w:sz w:val="24"/>
          <w:szCs w:val="24"/>
        </w:rPr>
        <w:t>Financial performance analysis of Pizza</w:t>
      </w:r>
      <w:r>
        <w:rPr>
          <w:rFonts w:hint="eastAsia" w:ascii="Arial" w:hAnsi="Arial" w:eastAsia="宋体" w:cs="Arial"/>
          <w:sz w:val="24"/>
          <w:szCs w:val="24"/>
          <w:lang w:val="en-US" w:eastAsia="zh-CN"/>
        </w:rPr>
        <w:t xml:space="preserve"> H</w:t>
      </w:r>
      <w:r>
        <w:rPr>
          <w:rFonts w:hint="default" w:ascii="Arial" w:hAnsi="Arial" w:cs="Arial"/>
          <w:sz w:val="24"/>
          <w:szCs w:val="24"/>
        </w:rPr>
        <w:t>ut di</w:t>
      </w:r>
      <w:r>
        <w:rPr>
          <w:rFonts w:hint="eastAsia" w:ascii="Arial" w:hAnsi="Arial" w:eastAsia="宋体" w:cs="Arial"/>
          <w:sz w:val="24"/>
          <w:szCs w:val="24"/>
          <w:lang w:val="en-US" w:eastAsia="zh-CN"/>
        </w:rPr>
        <w:t>livery</w:t>
      </w:r>
      <w:r>
        <w:rPr>
          <w:rFonts w:hint="default" w:ascii="Arial" w:hAnsi="Arial" w:cs="Arial"/>
          <w:sz w:val="24"/>
          <w:szCs w:val="24"/>
        </w:rPr>
        <w:t xml:space="preserve"> before and after the emergence of third</w:t>
      </w:r>
      <w:r>
        <w:rPr>
          <w:rFonts w:hint="eastAsia" w:ascii="Arial" w:hAnsi="Arial" w:eastAsia="宋体" w:cs="Arial"/>
          <w:sz w:val="24"/>
          <w:szCs w:val="24"/>
          <w:lang w:val="en-US" w:eastAsia="zh-CN"/>
        </w:rPr>
        <w:t xml:space="preserve"> </w:t>
      </w:r>
      <w:r>
        <w:rPr>
          <w:rFonts w:hint="default" w:ascii="Arial" w:hAnsi="Arial" w:cs="Arial"/>
          <w:sz w:val="24"/>
          <w:szCs w:val="24"/>
        </w:rPr>
        <w:t>party online food aggregators</w:t>
      </w:r>
      <w:r>
        <w:rPr>
          <w:rFonts w:hint="eastAsia" w:ascii="Arial" w:hAnsi="Arial" w:eastAsia="宋体" w:cs="Arial"/>
          <w:sz w:val="24"/>
          <w:szCs w:val="24"/>
          <w:lang w:val="en-US" w:eastAsia="zh-CN"/>
        </w:rPr>
        <w:t xml:space="preserve"> in </w:t>
      </w:r>
      <w:r>
        <w:rPr>
          <w:rFonts w:hint="default" w:ascii="Arial" w:hAnsi="Arial" w:cs="Arial"/>
          <w:sz w:val="24"/>
          <w:szCs w:val="24"/>
        </w:rPr>
        <w:t>Indonesian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South East Asia Journal of Contemporary Business, Economics and Law</w:t>
      </w:r>
      <w:r>
        <w:rPr>
          <w:rFonts w:hint="default" w:ascii="Arial" w:hAnsi="Arial" w:cs="Arial"/>
          <w:sz w:val="24"/>
          <w:szCs w:val="24"/>
        </w:rPr>
        <w:t>, 21(3), 1-8.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Dobbs, M.E. </w:t>
      </w:r>
      <w:r>
        <w:rPr>
          <w:rFonts w:hint="eastAsia" w:ascii="Arial" w:hAnsi="Arial" w:eastAsia="宋体" w:cs="Arial"/>
          <w:sz w:val="24"/>
          <w:szCs w:val="24"/>
          <w:lang w:val="en-US" w:eastAsia="zh-CN"/>
        </w:rPr>
        <w:t>(</w:t>
      </w:r>
      <w:r>
        <w:rPr>
          <w:rFonts w:hint="default" w:ascii="Arial" w:hAnsi="Arial" w:cs="Arial"/>
          <w:sz w:val="24"/>
          <w:szCs w:val="24"/>
        </w:rPr>
        <w:t>2014</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Guidelines for applying Porter's five forces framework: a set of industry analysis templates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 xml:space="preserve">Competitiveness </w:t>
      </w:r>
      <w:r>
        <w:rPr>
          <w:rFonts w:hint="eastAsia" w:ascii="Arial" w:hAnsi="Arial" w:eastAsia="宋体" w:cs="Arial"/>
          <w:i/>
          <w:sz w:val="24"/>
          <w:szCs w:val="24"/>
          <w:lang w:val="en-US" w:eastAsia="zh-CN"/>
        </w:rPr>
        <w:t>R</w:t>
      </w:r>
      <w:r>
        <w:rPr>
          <w:rFonts w:hint="default" w:ascii="Arial" w:hAnsi="Arial" w:cs="Arial"/>
          <w:i/>
          <w:sz w:val="24"/>
          <w:szCs w:val="24"/>
        </w:rPr>
        <w:t>eview</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24</w:t>
      </w:r>
      <w:r>
        <w:rPr>
          <w:rFonts w:hint="default" w:ascii="Arial" w:hAnsi="Arial" w:cs="Arial"/>
          <w:sz w:val="24"/>
          <w:szCs w:val="24"/>
        </w:rPr>
        <w:t>(1), pp.32-45.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Emerson, R.W.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Trautman, L.J.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Lessons About Franchise Risk From Yum Brands and Schlotzsky's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Lewis &amp; Clark L. Rev.</w:t>
      </w:r>
      <w:r>
        <w:rPr>
          <w:rFonts w:hint="default" w:ascii="Arial" w:hAnsi="Arial" w:cs="Arial"/>
          <w:i w:val="0"/>
          <w:iCs w:val="0"/>
          <w:sz w:val="24"/>
          <w:szCs w:val="24"/>
        </w:rPr>
        <w:t>,</w:t>
      </w:r>
      <w:r>
        <w:rPr>
          <w:rFonts w:hint="eastAsia" w:ascii="Arial" w:hAnsi="Arial" w:eastAsia="宋体" w:cs="Arial"/>
          <w:i w:val="0"/>
          <w:iCs w:val="0"/>
          <w:sz w:val="24"/>
          <w:szCs w:val="24"/>
          <w:lang w:val="en-US" w:eastAsia="zh-CN"/>
        </w:rPr>
        <w:t xml:space="preserve"> </w:t>
      </w:r>
      <w:r>
        <w:rPr>
          <w:rFonts w:hint="default" w:ascii="Arial" w:hAnsi="Arial" w:cs="Arial"/>
          <w:i w:val="0"/>
          <w:iCs w:val="0"/>
          <w:sz w:val="24"/>
          <w:szCs w:val="24"/>
        </w:rPr>
        <w:t>24</w:t>
      </w:r>
      <w:r>
        <w:rPr>
          <w:rFonts w:hint="default" w:ascii="Arial" w:hAnsi="Arial" w:cs="Arial"/>
          <w:sz w:val="24"/>
          <w:szCs w:val="24"/>
        </w:rPr>
        <w:t>, p</w:t>
      </w:r>
      <w:r>
        <w:rPr>
          <w:rFonts w:hint="eastAsia" w:ascii="Arial" w:hAnsi="Arial" w:eastAsia="宋体" w:cs="Arial"/>
          <w:sz w:val="24"/>
          <w:szCs w:val="24"/>
          <w:lang w:val="en-US" w:eastAsia="zh-CN"/>
        </w:rPr>
        <w:t>p</w:t>
      </w:r>
      <w:r>
        <w:rPr>
          <w:rFonts w:hint="default" w:ascii="Arial" w:hAnsi="Arial" w:cs="Arial"/>
          <w:sz w:val="24"/>
          <w:szCs w:val="24"/>
        </w:rPr>
        <w:t>.997.</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Fajar, M.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 xml:space="preserve">) </w:t>
      </w:r>
      <w:r>
        <w:rPr>
          <w:rFonts w:hint="default" w:ascii="Arial" w:hAnsi="Arial" w:eastAsia="宋体" w:cs="Arial"/>
          <w:sz w:val="24"/>
          <w:szCs w:val="24"/>
          <w:lang w:val="en-US" w:eastAsia="zh-CN"/>
        </w:rPr>
        <w:t>‘</w:t>
      </w:r>
      <w:r>
        <w:rPr>
          <w:rFonts w:hint="default" w:ascii="Arial" w:hAnsi="Arial" w:cs="Arial"/>
          <w:sz w:val="24"/>
          <w:szCs w:val="24"/>
        </w:rPr>
        <w:t xml:space="preserve">The </w:t>
      </w:r>
      <w:r>
        <w:rPr>
          <w:rFonts w:hint="eastAsia" w:ascii="Arial" w:hAnsi="Arial" w:eastAsia="宋体" w:cs="Arial"/>
          <w:sz w:val="24"/>
          <w:szCs w:val="24"/>
          <w:lang w:val="en-US" w:eastAsia="zh-CN"/>
        </w:rPr>
        <w:t>e</w:t>
      </w:r>
      <w:r>
        <w:rPr>
          <w:rFonts w:hint="default" w:ascii="Arial" w:hAnsi="Arial" w:cs="Arial"/>
          <w:sz w:val="24"/>
          <w:szCs w:val="24"/>
        </w:rPr>
        <w:t xml:space="preserve">ffect </w:t>
      </w:r>
      <w:r>
        <w:rPr>
          <w:rFonts w:hint="eastAsia" w:ascii="Arial" w:hAnsi="Arial" w:eastAsia="宋体" w:cs="Arial"/>
          <w:sz w:val="24"/>
          <w:szCs w:val="24"/>
          <w:lang w:val="en-US" w:eastAsia="zh-CN"/>
        </w:rPr>
        <w:t>o</w:t>
      </w:r>
      <w:r>
        <w:rPr>
          <w:rFonts w:hint="default" w:ascii="Arial" w:hAnsi="Arial" w:cs="Arial"/>
          <w:sz w:val="24"/>
          <w:szCs w:val="24"/>
        </w:rPr>
        <w:t xml:space="preserve">f </w:t>
      </w:r>
      <w:r>
        <w:rPr>
          <w:rFonts w:hint="eastAsia" w:ascii="Arial" w:hAnsi="Arial" w:eastAsia="宋体" w:cs="Arial"/>
          <w:sz w:val="24"/>
          <w:szCs w:val="24"/>
          <w:lang w:val="en-US" w:eastAsia="zh-CN"/>
        </w:rPr>
        <w:t>i</w:t>
      </w:r>
      <w:r>
        <w:rPr>
          <w:rFonts w:hint="default" w:ascii="Arial" w:hAnsi="Arial" w:cs="Arial"/>
          <w:sz w:val="24"/>
          <w:szCs w:val="24"/>
        </w:rPr>
        <w:t xml:space="preserve">ntrinsic </w:t>
      </w:r>
      <w:r>
        <w:rPr>
          <w:rFonts w:hint="eastAsia" w:ascii="Arial" w:hAnsi="Arial" w:eastAsia="宋体" w:cs="Arial"/>
          <w:sz w:val="24"/>
          <w:szCs w:val="24"/>
          <w:lang w:val="en-US" w:eastAsia="zh-CN"/>
        </w:rPr>
        <w:t>m</w:t>
      </w:r>
      <w:r>
        <w:rPr>
          <w:rFonts w:hint="default" w:ascii="Arial" w:hAnsi="Arial" w:cs="Arial"/>
          <w:sz w:val="24"/>
          <w:szCs w:val="24"/>
        </w:rPr>
        <w:t xml:space="preserve">otivation </w:t>
      </w:r>
      <w:r>
        <w:rPr>
          <w:rFonts w:hint="eastAsia" w:ascii="Arial" w:hAnsi="Arial" w:eastAsia="宋体" w:cs="Arial"/>
          <w:sz w:val="24"/>
          <w:szCs w:val="24"/>
          <w:lang w:val="en-US" w:eastAsia="zh-CN"/>
        </w:rPr>
        <w:t>a</w:t>
      </w:r>
      <w:r>
        <w:rPr>
          <w:rFonts w:hint="default" w:ascii="Arial" w:hAnsi="Arial" w:cs="Arial"/>
          <w:sz w:val="24"/>
          <w:szCs w:val="24"/>
        </w:rPr>
        <w:t xml:space="preserve">nd </w:t>
      </w:r>
      <w:r>
        <w:rPr>
          <w:rFonts w:hint="eastAsia" w:ascii="Arial" w:hAnsi="Arial" w:eastAsia="宋体" w:cs="Arial"/>
          <w:sz w:val="24"/>
          <w:szCs w:val="24"/>
          <w:lang w:val="en-US" w:eastAsia="zh-CN"/>
        </w:rPr>
        <w:t>w</w:t>
      </w:r>
      <w:r>
        <w:rPr>
          <w:rFonts w:hint="default" w:ascii="Arial" w:hAnsi="Arial" w:cs="Arial"/>
          <w:sz w:val="24"/>
          <w:szCs w:val="24"/>
        </w:rPr>
        <w:t xml:space="preserve">ork </w:t>
      </w:r>
      <w:r>
        <w:rPr>
          <w:rFonts w:hint="eastAsia" w:ascii="Arial" w:hAnsi="Arial" w:eastAsia="宋体" w:cs="Arial"/>
          <w:sz w:val="24"/>
          <w:szCs w:val="24"/>
          <w:lang w:val="en-US" w:eastAsia="zh-CN"/>
        </w:rPr>
        <w:t>s</w:t>
      </w:r>
      <w:r>
        <w:rPr>
          <w:rFonts w:hint="default" w:ascii="Arial" w:hAnsi="Arial" w:cs="Arial"/>
          <w:sz w:val="24"/>
          <w:szCs w:val="24"/>
        </w:rPr>
        <w:t xml:space="preserve">tress </w:t>
      </w:r>
      <w:r>
        <w:rPr>
          <w:rFonts w:hint="eastAsia" w:ascii="Arial" w:hAnsi="Arial" w:eastAsia="宋体" w:cs="Arial"/>
          <w:sz w:val="24"/>
          <w:szCs w:val="24"/>
          <w:lang w:val="en-US" w:eastAsia="zh-CN"/>
        </w:rPr>
        <w:t>o</w:t>
      </w:r>
      <w:r>
        <w:rPr>
          <w:rFonts w:hint="default" w:ascii="Arial" w:hAnsi="Arial" w:cs="Arial"/>
          <w:sz w:val="24"/>
          <w:szCs w:val="24"/>
        </w:rPr>
        <w:t xml:space="preserve">n </w:t>
      </w:r>
      <w:r>
        <w:rPr>
          <w:rFonts w:hint="eastAsia" w:ascii="Arial" w:hAnsi="Arial" w:eastAsia="宋体" w:cs="Arial"/>
          <w:sz w:val="24"/>
          <w:szCs w:val="24"/>
          <w:lang w:val="en-US" w:eastAsia="zh-CN"/>
        </w:rPr>
        <w:t>p</w:t>
      </w:r>
      <w:r>
        <w:rPr>
          <w:rFonts w:hint="default" w:ascii="Arial" w:hAnsi="Arial" w:cs="Arial"/>
          <w:sz w:val="24"/>
          <w:szCs w:val="24"/>
        </w:rPr>
        <w:t xml:space="preserve">erformance </w:t>
      </w:r>
      <w:r>
        <w:rPr>
          <w:rFonts w:hint="eastAsia" w:ascii="Arial" w:hAnsi="Arial" w:eastAsia="宋体" w:cs="Arial"/>
          <w:sz w:val="24"/>
          <w:szCs w:val="24"/>
          <w:lang w:val="en-US" w:eastAsia="zh-CN"/>
        </w:rPr>
        <w:t>o</w:t>
      </w:r>
      <w:r>
        <w:rPr>
          <w:rFonts w:hint="default" w:ascii="Arial" w:hAnsi="Arial" w:cs="Arial"/>
          <w:sz w:val="24"/>
          <w:szCs w:val="24"/>
        </w:rPr>
        <w:t xml:space="preserve">f </w:t>
      </w:r>
      <w:r>
        <w:rPr>
          <w:rFonts w:hint="eastAsia" w:ascii="Arial" w:hAnsi="Arial" w:eastAsia="宋体" w:cs="Arial"/>
          <w:sz w:val="24"/>
          <w:szCs w:val="24"/>
          <w:lang w:val="en-US" w:eastAsia="zh-CN"/>
        </w:rPr>
        <w:t>e</w:t>
      </w:r>
      <w:r>
        <w:rPr>
          <w:rFonts w:hint="default" w:ascii="Arial" w:hAnsi="Arial" w:cs="Arial"/>
          <w:sz w:val="24"/>
          <w:szCs w:val="24"/>
        </w:rPr>
        <w:t>mployee Pizza Hut Merr Surabaya</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World Conference (JWC)</w:t>
      </w:r>
      <w:r>
        <w:rPr>
          <w:rFonts w:hint="eastAsia" w:ascii="Arial" w:hAnsi="Arial" w:eastAsia="宋体" w:cs="Arial"/>
          <w:i w:val="0"/>
          <w:iCs/>
          <w:sz w:val="24"/>
          <w:szCs w:val="24"/>
          <w:lang w:val="en-US" w:eastAsia="zh-CN"/>
        </w:rPr>
        <w:t>, 1(</w:t>
      </w:r>
      <w:r>
        <w:rPr>
          <w:rFonts w:hint="default" w:ascii="Arial" w:hAnsi="Arial" w:cs="Arial"/>
          <w:sz w:val="24"/>
          <w:szCs w:val="24"/>
        </w:rPr>
        <w:t>1</w:t>
      </w:r>
      <w:r>
        <w:rPr>
          <w:rFonts w:hint="eastAsia" w:ascii="Arial" w:hAnsi="Arial" w:eastAsia="宋体" w:cs="Arial"/>
          <w:sz w:val="24"/>
          <w:szCs w:val="24"/>
          <w:lang w:val="en-US" w:eastAsia="zh-CN"/>
        </w:rPr>
        <w:t>)</w:t>
      </w:r>
      <w:r>
        <w:rPr>
          <w:rFonts w:hint="default" w:ascii="Arial" w:hAnsi="Arial" w:cs="Arial"/>
          <w:sz w:val="24"/>
          <w:szCs w:val="24"/>
        </w:rPr>
        <w:t>, pp.185-193.</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Fisk, C.L. </w:t>
      </w:r>
      <w:r>
        <w:rPr>
          <w:rFonts w:hint="eastAsia" w:ascii="Arial" w:hAnsi="Arial" w:eastAsia="宋体" w:cs="Arial"/>
          <w:sz w:val="24"/>
          <w:szCs w:val="24"/>
          <w:lang w:val="en-US" w:eastAsia="zh-CN"/>
        </w:rPr>
        <w:t>&amp;</w:t>
      </w:r>
      <w:r>
        <w:rPr>
          <w:rFonts w:hint="default" w:ascii="Arial" w:hAnsi="Arial" w:cs="Arial"/>
          <w:sz w:val="24"/>
          <w:szCs w:val="24"/>
        </w:rPr>
        <w:t xml:space="preserve"> Reddy, D.S.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Protection by Law, Repression by Law: Bringing Labor Back into the Study of Law and Social Movements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Emory L</w:t>
      </w:r>
      <w:r>
        <w:rPr>
          <w:rFonts w:hint="eastAsia" w:ascii="Arial" w:hAnsi="Arial" w:eastAsia="宋体" w:cs="Arial"/>
          <w:i/>
          <w:sz w:val="24"/>
          <w:szCs w:val="24"/>
          <w:lang w:val="en-US" w:eastAsia="zh-CN"/>
        </w:rPr>
        <w:t xml:space="preserve">aw </w:t>
      </w:r>
      <w:r>
        <w:rPr>
          <w:rFonts w:hint="default" w:ascii="Arial" w:hAnsi="Arial" w:cs="Arial"/>
          <w:i/>
          <w:sz w:val="24"/>
          <w:szCs w:val="24"/>
        </w:rPr>
        <w:t>J</w:t>
      </w:r>
      <w:r>
        <w:rPr>
          <w:rFonts w:hint="eastAsia" w:ascii="Arial" w:hAnsi="Arial" w:eastAsia="宋体" w:cs="Arial"/>
          <w:i/>
          <w:sz w:val="24"/>
          <w:szCs w:val="24"/>
          <w:lang w:val="en-US" w:eastAsia="zh-CN"/>
        </w:rPr>
        <w:t>ournal</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70</w:t>
      </w:r>
      <w:r>
        <w:rPr>
          <w:rFonts w:hint="eastAsia" w:ascii="Arial" w:hAnsi="Arial" w:eastAsia="宋体" w:cs="Arial"/>
          <w:i w:val="0"/>
          <w:iCs/>
          <w:sz w:val="24"/>
          <w:szCs w:val="24"/>
          <w:lang w:val="en-US" w:eastAsia="zh-CN"/>
        </w:rPr>
        <w:t>(1)</w:t>
      </w:r>
      <w:r>
        <w:rPr>
          <w:rFonts w:hint="default" w:ascii="Arial" w:hAnsi="Arial" w:cs="Arial"/>
          <w:sz w:val="24"/>
          <w:szCs w:val="24"/>
        </w:rPr>
        <w:t>, p</w:t>
      </w:r>
      <w:r>
        <w:rPr>
          <w:rFonts w:hint="eastAsia" w:ascii="Arial" w:hAnsi="Arial" w:eastAsia="宋体" w:cs="Arial"/>
          <w:sz w:val="24"/>
          <w:szCs w:val="24"/>
          <w:lang w:val="en-US" w:eastAsia="zh-CN"/>
        </w:rPr>
        <w:t>p</w:t>
      </w:r>
      <w:r>
        <w:rPr>
          <w:rFonts w:hint="default" w:ascii="Arial" w:hAnsi="Arial" w:cs="Arial"/>
          <w:sz w:val="24"/>
          <w:szCs w:val="24"/>
        </w:rPr>
        <w:t>.63</w:t>
      </w:r>
      <w:r>
        <w:rPr>
          <w:rFonts w:hint="eastAsia" w:ascii="Arial" w:hAnsi="Arial" w:eastAsia="宋体" w:cs="Arial"/>
          <w:sz w:val="24"/>
          <w:szCs w:val="24"/>
          <w:lang w:val="en-US" w:eastAsia="zh-CN"/>
        </w:rPr>
        <w:t>-152</w:t>
      </w:r>
      <w:r>
        <w:rPr>
          <w:rFonts w:hint="default" w:ascii="Arial" w:hAnsi="Arial" w:cs="Arial"/>
          <w:sz w:val="24"/>
          <w:szCs w:val="24"/>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Gogoi, B.J.</w:t>
      </w:r>
      <w:r>
        <w:rPr>
          <w:rFonts w:hint="eastAsia" w:ascii="Arial" w:hAnsi="Arial" w:eastAsia="宋体" w:cs="Arial"/>
          <w:sz w:val="24"/>
          <w:szCs w:val="24"/>
          <w:lang w:val="en-US" w:eastAsia="zh-CN"/>
        </w:rPr>
        <w:t xml:space="preserve"> (</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Changing consumer preferences: factors influencing choice of fast food outlet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Academy of Marketing Studies Journal</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24</w:t>
      </w:r>
      <w:r>
        <w:rPr>
          <w:rFonts w:hint="default" w:ascii="Arial" w:hAnsi="Arial" w:cs="Arial"/>
          <w:sz w:val="24"/>
          <w:szCs w:val="24"/>
        </w:rPr>
        <w:t>(1), pp.1-17.</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He, W., Zha, S., &amp; Li, L. (2013) </w:t>
      </w:r>
      <w:r>
        <w:rPr>
          <w:rFonts w:hint="default" w:ascii="Arial" w:hAnsi="Arial" w:eastAsia="宋体" w:cs="Arial"/>
          <w:sz w:val="24"/>
          <w:szCs w:val="24"/>
          <w:lang w:val="en-US" w:eastAsia="zh-CN"/>
        </w:rPr>
        <w:t>‘</w:t>
      </w:r>
      <w:r>
        <w:rPr>
          <w:rFonts w:hint="default" w:ascii="Arial" w:hAnsi="Arial" w:cs="Arial"/>
          <w:sz w:val="24"/>
          <w:szCs w:val="24"/>
        </w:rPr>
        <w:t>Social media competitive analysis and text mining: A case study in the pizza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 xml:space="preserve">International </w:t>
      </w:r>
      <w:r>
        <w:rPr>
          <w:rFonts w:hint="eastAsia" w:ascii="Arial" w:hAnsi="Arial" w:eastAsia="宋体" w:cs="Arial"/>
          <w:i/>
          <w:iCs/>
          <w:sz w:val="24"/>
          <w:szCs w:val="24"/>
          <w:lang w:val="en-US" w:eastAsia="zh-CN"/>
        </w:rPr>
        <w:t>J</w:t>
      </w:r>
      <w:r>
        <w:rPr>
          <w:rFonts w:hint="default" w:ascii="Arial" w:hAnsi="Arial" w:cs="Arial"/>
          <w:i/>
          <w:iCs/>
          <w:sz w:val="24"/>
          <w:szCs w:val="24"/>
        </w:rPr>
        <w:t xml:space="preserve">ournal of </w:t>
      </w:r>
      <w:r>
        <w:rPr>
          <w:rFonts w:hint="eastAsia" w:ascii="Arial" w:hAnsi="Arial" w:eastAsia="宋体" w:cs="Arial"/>
          <w:i/>
          <w:iCs/>
          <w:sz w:val="24"/>
          <w:szCs w:val="24"/>
          <w:lang w:val="en-US" w:eastAsia="zh-CN"/>
        </w:rPr>
        <w:t>I</w:t>
      </w:r>
      <w:r>
        <w:rPr>
          <w:rFonts w:hint="default" w:ascii="Arial" w:hAnsi="Arial" w:cs="Arial"/>
          <w:i/>
          <w:iCs/>
          <w:sz w:val="24"/>
          <w:szCs w:val="24"/>
        </w:rPr>
        <w:t xml:space="preserve">nformation </w:t>
      </w:r>
      <w:r>
        <w:rPr>
          <w:rFonts w:hint="eastAsia" w:ascii="Arial" w:hAnsi="Arial" w:eastAsia="宋体" w:cs="Arial"/>
          <w:i/>
          <w:iCs/>
          <w:sz w:val="24"/>
          <w:szCs w:val="24"/>
          <w:lang w:val="en-US" w:eastAsia="zh-CN"/>
        </w:rPr>
        <w:t>M</w:t>
      </w:r>
      <w:r>
        <w:rPr>
          <w:rFonts w:hint="default" w:ascii="Arial" w:hAnsi="Arial" w:cs="Arial"/>
          <w:i/>
          <w:iCs/>
          <w:sz w:val="24"/>
          <w:szCs w:val="24"/>
        </w:rPr>
        <w:t>anagement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 xml:space="preserve">33(3), </w:t>
      </w:r>
      <w:r>
        <w:rPr>
          <w:rFonts w:hint="eastAsia" w:ascii="Arial" w:hAnsi="Arial" w:eastAsia="宋体" w:cs="Arial"/>
          <w:sz w:val="24"/>
          <w:szCs w:val="24"/>
          <w:lang w:val="en-US" w:eastAsia="zh-CN"/>
        </w:rPr>
        <w:t>pp.</w:t>
      </w:r>
      <w:r>
        <w:rPr>
          <w:rFonts w:hint="default" w:ascii="Arial" w:hAnsi="Arial" w:cs="Arial"/>
          <w:sz w:val="24"/>
          <w:szCs w:val="24"/>
        </w:rPr>
        <w:t>464-472.</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eastAsia="宋体" w:cs="Arial"/>
          <w:i w:val="0"/>
          <w:iCs w:val="0"/>
          <w:caps w:val="0"/>
          <w:color w:val="222222"/>
          <w:spacing w:val="0"/>
          <w:sz w:val="13"/>
          <w:szCs w:val="13"/>
          <w:shd w:val="clear" w:fill="FFFFFF"/>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color w:val="222222"/>
          <w:sz w:val="24"/>
          <w:szCs w:val="24"/>
          <w:highlight w:val="white"/>
        </w:rPr>
      </w:pPr>
      <w:r>
        <w:rPr>
          <w:rFonts w:hint="default" w:ascii="Arial" w:hAnsi="Arial" w:cs="Arial"/>
          <w:color w:val="222222"/>
          <w:sz w:val="24"/>
          <w:szCs w:val="24"/>
          <w:highlight w:val="white"/>
        </w:rPr>
        <w:t xml:space="preserve">Janssen, H.G., Davies, I.G., </w:t>
      </w:r>
      <w:r>
        <w:rPr>
          <w:rFonts w:hint="eastAsia" w:ascii="Arial" w:hAnsi="Arial" w:eastAsia="宋体" w:cs="Arial"/>
          <w:color w:val="222222"/>
          <w:sz w:val="24"/>
          <w:szCs w:val="24"/>
          <w:highlight w:val="white"/>
          <w:lang w:val="en-US" w:eastAsia="zh-CN"/>
        </w:rPr>
        <w:t xml:space="preserve">&amp; </w:t>
      </w:r>
      <w:r>
        <w:rPr>
          <w:rFonts w:hint="default" w:ascii="Arial" w:hAnsi="Arial" w:cs="Arial"/>
          <w:color w:val="222222"/>
          <w:sz w:val="24"/>
          <w:szCs w:val="24"/>
          <w:highlight w:val="white"/>
        </w:rPr>
        <w:t>Richardson, L.D.</w:t>
      </w:r>
      <w:r>
        <w:rPr>
          <w:rFonts w:hint="eastAsia" w:ascii="Arial" w:hAnsi="Arial" w:eastAsia="宋体" w:cs="Arial"/>
          <w:color w:val="222222"/>
          <w:sz w:val="24"/>
          <w:szCs w:val="24"/>
          <w:highlight w:val="white"/>
          <w:lang w:val="en-US" w:eastAsia="zh-CN"/>
        </w:rPr>
        <w:t>, et al. (</w:t>
      </w:r>
      <w:r>
        <w:rPr>
          <w:rFonts w:hint="default" w:ascii="Arial" w:hAnsi="Arial" w:cs="Arial"/>
          <w:color w:val="222222"/>
          <w:sz w:val="24"/>
          <w:szCs w:val="24"/>
          <w:highlight w:val="white"/>
        </w:rPr>
        <w:t>2018</w:t>
      </w:r>
      <w:r>
        <w:rPr>
          <w:rFonts w:hint="eastAsia"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 xml:space="preserve"> </w:t>
      </w:r>
      <w:r>
        <w:rPr>
          <w:rFonts w:hint="default" w:ascii="Arial" w:hAnsi="Arial" w:eastAsia="宋体" w:cs="Arial"/>
          <w:color w:val="222222"/>
          <w:sz w:val="24"/>
          <w:szCs w:val="24"/>
          <w:highlight w:val="white"/>
          <w:lang w:val="en-US" w:eastAsia="zh-CN"/>
        </w:rPr>
        <w:t>‘</w:t>
      </w:r>
      <w:r>
        <w:rPr>
          <w:rFonts w:hint="default" w:ascii="Arial" w:hAnsi="Arial" w:cs="Arial"/>
          <w:color w:val="222222"/>
          <w:sz w:val="24"/>
          <w:szCs w:val="24"/>
          <w:highlight w:val="white"/>
        </w:rPr>
        <w:t>Determinants of takeaway and fast food consumption: a narrative review</w:t>
      </w:r>
      <w:r>
        <w:rPr>
          <w:rFonts w:hint="default" w:ascii="Arial" w:hAnsi="Arial" w:eastAsia="宋体" w:cs="Arial"/>
          <w:color w:val="222222"/>
          <w:sz w:val="24"/>
          <w:szCs w:val="24"/>
          <w:highlight w:val="white"/>
          <w:lang w:val="en-US" w:eastAsia="zh-CN"/>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color w:val="222222"/>
          <w:sz w:val="24"/>
          <w:szCs w:val="24"/>
          <w:highlight w:val="white"/>
        </w:rPr>
        <w:t xml:space="preserve">Nutrition </w:t>
      </w:r>
      <w:r>
        <w:rPr>
          <w:rFonts w:hint="eastAsia" w:ascii="Arial" w:hAnsi="Arial" w:eastAsia="宋体" w:cs="Arial"/>
          <w:i/>
          <w:color w:val="222222"/>
          <w:sz w:val="24"/>
          <w:szCs w:val="24"/>
          <w:highlight w:val="white"/>
          <w:lang w:val="en-US" w:eastAsia="zh-CN"/>
        </w:rPr>
        <w:t>R</w:t>
      </w:r>
      <w:r>
        <w:rPr>
          <w:rFonts w:hint="default" w:ascii="Arial" w:hAnsi="Arial" w:cs="Arial"/>
          <w:i/>
          <w:color w:val="222222"/>
          <w:sz w:val="24"/>
          <w:szCs w:val="24"/>
          <w:highlight w:val="white"/>
        </w:rPr>
        <w:t xml:space="preserve">esearch </w:t>
      </w:r>
      <w:r>
        <w:rPr>
          <w:rFonts w:hint="eastAsia" w:ascii="Arial" w:hAnsi="Arial" w:eastAsia="宋体" w:cs="Arial"/>
          <w:i/>
          <w:color w:val="222222"/>
          <w:sz w:val="24"/>
          <w:szCs w:val="24"/>
          <w:highlight w:val="white"/>
          <w:lang w:val="en-US" w:eastAsia="zh-CN"/>
        </w:rPr>
        <w:t>R</w:t>
      </w:r>
      <w:r>
        <w:rPr>
          <w:rFonts w:hint="default" w:ascii="Arial" w:hAnsi="Arial" w:cs="Arial"/>
          <w:i/>
          <w:color w:val="222222"/>
          <w:sz w:val="24"/>
          <w:szCs w:val="24"/>
          <w:highlight w:val="white"/>
        </w:rPr>
        <w:t>eviews</w:t>
      </w:r>
      <w:r>
        <w:rPr>
          <w:rFonts w:hint="default" w:ascii="Arial" w:hAnsi="Arial" w:cs="Arial"/>
          <w:color w:val="222222"/>
          <w:sz w:val="24"/>
          <w:szCs w:val="24"/>
          <w:highlight w:val="white"/>
        </w:rPr>
        <w:t>,</w:t>
      </w:r>
      <w:r>
        <w:rPr>
          <w:rFonts w:hint="eastAsia" w:ascii="Arial" w:hAnsi="Arial" w:eastAsia="宋体" w:cs="Arial"/>
          <w:color w:val="222222"/>
          <w:sz w:val="24"/>
          <w:szCs w:val="24"/>
          <w:highlight w:val="white"/>
          <w:lang w:val="en-US" w:eastAsia="zh-CN"/>
        </w:rPr>
        <w:t xml:space="preserve"> </w:t>
      </w:r>
      <w:r>
        <w:rPr>
          <w:rFonts w:hint="default" w:ascii="Arial" w:hAnsi="Arial" w:cs="Arial"/>
          <w:i w:val="0"/>
          <w:iCs/>
          <w:color w:val="222222"/>
          <w:sz w:val="24"/>
          <w:szCs w:val="24"/>
          <w:highlight w:val="white"/>
        </w:rPr>
        <w:t>31</w:t>
      </w:r>
      <w:r>
        <w:rPr>
          <w:rFonts w:hint="default" w:ascii="Arial" w:hAnsi="Arial" w:cs="Arial"/>
          <w:color w:val="222222"/>
          <w:sz w:val="24"/>
          <w:szCs w:val="24"/>
          <w:highlight w:val="white"/>
        </w:rPr>
        <w:t>(1), pp.16-34.</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color w:val="222222"/>
          <w:sz w:val="24"/>
          <w:szCs w:val="24"/>
          <w:highlight w:val="white"/>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Kaung, A.A.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 xml:space="preserve">) </w:t>
      </w:r>
      <w:r>
        <w:rPr>
          <w:rFonts w:hint="default" w:ascii="Arial" w:hAnsi="Arial" w:cs="Arial"/>
          <w:i/>
          <w:sz w:val="24"/>
          <w:szCs w:val="24"/>
        </w:rPr>
        <w:t>T</w:t>
      </w:r>
      <w:r>
        <w:rPr>
          <w:rFonts w:hint="eastAsia" w:ascii="Arial" w:hAnsi="Arial" w:eastAsia="宋体" w:cs="Arial"/>
          <w:i/>
          <w:sz w:val="24"/>
          <w:szCs w:val="24"/>
          <w:lang w:val="en-US" w:eastAsia="zh-CN"/>
        </w:rPr>
        <w:t>he Effect of Customer Perceived Value on Customer Loyalty of Pizza Hut in Yangon</w:t>
      </w:r>
      <w:r>
        <w:rPr>
          <w:rFonts w:hint="eastAsia" w:ascii="Arial" w:hAnsi="Arial" w:eastAsia="宋体" w:cs="Arial"/>
          <w:i w:val="0"/>
          <w:iCs/>
          <w:sz w:val="24"/>
          <w:szCs w:val="24"/>
          <w:lang w:val="en-US" w:eastAsia="zh-CN"/>
        </w:rPr>
        <w:t>.</w:t>
      </w:r>
      <w:r>
        <w:rPr>
          <w:rFonts w:hint="eastAsia" w:ascii="Arial" w:hAnsi="Arial" w:eastAsia="宋体" w:cs="Arial"/>
          <w:i/>
          <w:sz w:val="24"/>
          <w:szCs w:val="24"/>
          <w:lang w:val="en-US" w:eastAsia="zh-CN"/>
        </w:rPr>
        <w:t xml:space="preserve"> </w:t>
      </w:r>
      <w:r>
        <w:rPr>
          <w:rFonts w:hint="default" w:ascii="Arial" w:hAnsi="Arial" w:cs="Arial"/>
          <w:sz w:val="24"/>
          <w:szCs w:val="24"/>
        </w:rPr>
        <w:t>Doctoral dissertation, MERAL Portal</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Köllen, T.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Diversity management: A critical review and agenda for the future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Management Inquiry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30</w:t>
      </w:r>
      <w:r>
        <w:rPr>
          <w:rFonts w:hint="default" w:ascii="Arial" w:hAnsi="Arial" w:cs="Arial"/>
          <w:sz w:val="24"/>
          <w:szCs w:val="24"/>
        </w:rPr>
        <w:t>(3), pp.259-272.</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Laužikas, M., Miliūtė, A., </w:t>
      </w:r>
      <w:r>
        <w:rPr>
          <w:rFonts w:hint="eastAsia" w:ascii="Arial" w:hAnsi="Arial" w:eastAsia="宋体" w:cs="Arial"/>
          <w:sz w:val="24"/>
          <w:szCs w:val="24"/>
          <w:lang w:val="en-US" w:eastAsia="zh-CN"/>
        </w:rPr>
        <w:t xml:space="preserve">&amp; </w:t>
      </w:r>
      <w:r>
        <w:rPr>
          <w:rFonts w:hint="default" w:ascii="Arial" w:hAnsi="Arial" w:cs="Arial"/>
          <w:sz w:val="24"/>
          <w:szCs w:val="24"/>
        </w:rPr>
        <w:t>Tranavičius, L.</w:t>
      </w:r>
      <w:r>
        <w:rPr>
          <w:rFonts w:hint="eastAsia" w:ascii="Arial" w:hAnsi="Arial" w:eastAsia="宋体" w:cs="Arial"/>
          <w:sz w:val="24"/>
          <w:szCs w:val="24"/>
          <w:lang w:val="en-US" w:eastAsia="zh-CN"/>
        </w:rPr>
        <w:t>, et al.</w:t>
      </w:r>
      <w:r>
        <w:rPr>
          <w:rFonts w:hint="default" w:ascii="Arial" w:hAnsi="Arial" w:cs="Arial"/>
          <w:sz w:val="24"/>
          <w:szCs w:val="24"/>
        </w:rPr>
        <w:t xml:space="preserve"> </w:t>
      </w:r>
      <w:r>
        <w:rPr>
          <w:rFonts w:hint="eastAsia" w:ascii="Arial" w:hAnsi="Arial" w:eastAsia="宋体" w:cs="Arial"/>
          <w:sz w:val="24"/>
          <w:szCs w:val="24"/>
          <w:lang w:val="en-US" w:eastAsia="zh-CN"/>
        </w:rPr>
        <w:t>(</w:t>
      </w:r>
      <w:r>
        <w:rPr>
          <w:rFonts w:hint="default" w:ascii="Arial" w:hAnsi="Arial" w:cs="Arial"/>
          <w:sz w:val="24"/>
          <w:szCs w:val="24"/>
        </w:rPr>
        <w:t>2016</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Service innovation commercialisation factors in the fast food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 xml:space="preserve">Entrepreneurship and </w:t>
      </w:r>
      <w:r>
        <w:rPr>
          <w:rFonts w:hint="eastAsia" w:ascii="Arial" w:hAnsi="Arial" w:eastAsia="宋体" w:cs="Arial"/>
          <w:i/>
          <w:sz w:val="24"/>
          <w:szCs w:val="24"/>
          <w:lang w:val="en-US" w:eastAsia="zh-CN"/>
        </w:rPr>
        <w:t>S</w:t>
      </w:r>
      <w:r>
        <w:rPr>
          <w:rFonts w:hint="default" w:ascii="Arial" w:hAnsi="Arial" w:cs="Arial"/>
          <w:i/>
          <w:sz w:val="24"/>
          <w:szCs w:val="24"/>
        </w:rPr>
        <w:t xml:space="preserve">ustainability </w:t>
      </w:r>
      <w:r>
        <w:rPr>
          <w:rFonts w:hint="eastAsia" w:ascii="Arial" w:hAnsi="Arial" w:eastAsia="宋体" w:cs="Arial"/>
          <w:i/>
          <w:sz w:val="24"/>
          <w:szCs w:val="24"/>
          <w:lang w:val="en-US" w:eastAsia="zh-CN"/>
        </w:rPr>
        <w:t>I</w:t>
      </w:r>
      <w:r>
        <w:rPr>
          <w:rFonts w:hint="default" w:ascii="Arial" w:hAnsi="Arial" w:cs="Arial"/>
          <w:i/>
          <w:sz w:val="24"/>
          <w:szCs w:val="24"/>
        </w:rPr>
        <w:t>ssues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4</w:t>
      </w:r>
      <w:r>
        <w:rPr>
          <w:rFonts w:hint="default" w:ascii="Arial" w:hAnsi="Arial" w:cs="Arial"/>
          <w:sz w:val="24"/>
          <w:szCs w:val="24"/>
        </w:rPr>
        <w:t>, pp.108-128.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Liadze, I., Macchiarelli, C., </w:t>
      </w:r>
      <w:r>
        <w:rPr>
          <w:rFonts w:hint="eastAsia" w:ascii="Arial" w:hAnsi="Arial" w:eastAsia="宋体" w:cs="Arial"/>
          <w:sz w:val="24"/>
          <w:szCs w:val="24"/>
          <w:lang w:val="en-US" w:eastAsia="zh-CN"/>
        </w:rPr>
        <w:t xml:space="preserve">&amp; </w:t>
      </w:r>
      <w:r>
        <w:rPr>
          <w:rFonts w:hint="default" w:ascii="Arial" w:hAnsi="Arial" w:cs="Arial"/>
          <w:sz w:val="24"/>
          <w:szCs w:val="24"/>
        </w:rPr>
        <w:t>Mortimer-Lee, P.</w:t>
      </w:r>
      <w:r>
        <w:rPr>
          <w:rFonts w:hint="eastAsia" w:ascii="Arial" w:hAnsi="Arial" w:eastAsia="宋体" w:cs="Arial"/>
          <w:sz w:val="24"/>
          <w:szCs w:val="24"/>
          <w:lang w:val="en-US" w:eastAsia="zh-CN"/>
        </w:rPr>
        <w:t>, et al.</w:t>
      </w:r>
      <w:r>
        <w:rPr>
          <w:rFonts w:hint="default" w:ascii="Arial" w:hAnsi="Arial" w:cs="Arial"/>
          <w:sz w:val="24"/>
          <w:szCs w:val="24"/>
        </w:rPr>
        <w:t xml:space="preserve">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The economic costs of the Russia-Ukraine conflict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eastAsia" w:ascii="Arial" w:hAnsi="Arial" w:eastAsia="宋体" w:cs="Arial"/>
          <w:i/>
          <w:iCs/>
          <w:sz w:val="24"/>
          <w:szCs w:val="24"/>
          <w:lang w:val="en-US" w:eastAsia="zh-CN"/>
        </w:rPr>
        <w:t>National Institute of Economic and Social Research</w:t>
      </w:r>
      <w:r>
        <w:rPr>
          <w:rFonts w:hint="eastAsia" w:ascii="Arial" w:hAnsi="Arial" w:eastAsia="宋体" w:cs="Arial"/>
          <w:sz w:val="24"/>
          <w:szCs w:val="24"/>
          <w:lang w:val="en-US" w:eastAsia="zh-CN"/>
        </w:rPr>
        <w:t>, pp.1-10.</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Markus, S. </w:t>
      </w:r>
      <w:r>
        <w:rPr>
          <w:rFonts w:hint="eastAsia" w:ascii="Arial" w:hAnsi="Arial" w:eastAsia="宋体" w:cs="Arial"/>
          <w:sz w:val="24"/>
          <w:szCs w:val="24"/>
          <w:lang w:val="en-US" w:eastAsia="zh-CN"/>
        </w:rPr>
        <w:t>(</w:t>
      </w:r>
      <w:r>
        <w:rPr>
          <w:rFonts w:hint="default" w:ascii="Arial" w:hAnsi="Arial" w:cs="Arial"/>
          <w:sz w:val="24"/>
          <w:szCs w:val="24"/>
        </w:rPr>
        <w:t>2022</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Long-term business implications of Russia’s war in Ukraine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Asian Business &amp; Management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val="0"/>
          <w:sz w:val="24"/>
          <w:szCs w:val="24"/>
        </w:rPr>
        <w:t>21</w:t>
      </w:r>
      <w:r>
        <w:rPr>
          <w:rFonts w:hint="default" w:ascii="Arial" w:hAnsi="Arial" w:cs="Arial"/>
          <w:sz w:val="24"/>
          <w:szCs w:val="24"/>
        </w:rPr>
        <w:t>(4), pp.483-487.</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Matejowsky, T. </w:t>
      </w:r>
      <w:r>
        <w:rPr>
          <w:rFonts w:hint="eastAsia" w:ascii="Arial" w:hAnsi="Arial" w:eastAsia="宋体" w:cs="Arial"/>
          <w:sz w:val="24"/>
          <w:szCs w:val="24"/>
          <w:lang w:val="en-US" w:eastAsia="zh-CN"/>
        </w:rPr>
        <w:t>(</w:t>
      </w:r>
      <w:r>
        <w:rPr>
          <w:rFonts w:hint="default" w:ascii="Arial" w:hAnsi="Arial" w:cs="Arial"/>
          <w:sz w:val="24"/>
          <w:szCs w:val="24"/>
        </w:rPr>
        <w:t>2020</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What’s all the buzz about? Jollibee, diaspora marketing, and next-stage fast food globalisation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Food and Foodways</w:t>
      </w:r>
      <w:r>
        <w:rPr>
          <w:rFonts w:hint="default" w:ascii="Arial" w:hAnsi="Arial" w:cs="Arial"/>
          <w:sz w:val="24"/>
          <w:szCs w:val="24"/>
        </w:rPr>
        <w:t>,</w:t>
      </w:r>
      <w:r>
        <w:rPr>
          <w:rFonts w:hint="default" w:ascii="Arial" w:hAnsi="Arial" w:cs="Arial"/>
          <w:i w:val="0"/>
          <w:iCs/>
          <w:sz w:val="24"/>
          <w:szCs w:val="24"/>
        </w:rPr>
        <w:t>28</w:t>
      </w:r>
      <w:r>
        <w:rPr>
          <w:rFonts w:hint="default" w:ascii="Arial" w:hAnsi="Arial" w:cs="Arial"/>
          <w:sz w:val="24"/>
          <w:szCs w:val="24"/>
        </w:rPr>
        <w:t>(4), pp.274-296.</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Mukucha, P., Mushanyuri, B.E.</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Jaravaza, D.C.</w:t>
      </w:r>
      <w:r>
        <w:rPr>
          <w:rFonts w:hint="eastAsia" w:ascii="Arial" w:hAnsi="Arial" w:eastAsia="宋体" w:cs="Arial"/>
          <w:sz w:val="24"/>
          <w:szCs w:val="24"/>
          <w:lang w:val="en-US" w:eastAsia="zh-CN"/>
        </w:rPr>
        <w:t xml:space="preserve"> (</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Green Sourcing: Effects on Supplier Performance Metrics in Fast Food Restaurants in Frontier Markets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Logistics, Supply Chain, Sustainability and Global Challenges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12</w:t>
      </w:r>
      <w:r>
        <w:rPr>
          <w:rFonts w:hint="default" w:ascii="Arial" w:hAnsi="Arial" w:cs="Arial"/>
          <w:sz w:val="24"/>
          <w:szCs w:val="24"/>
        </w:rPr>
        <w:t>(1), pp.47-59.</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eastAsia" w:ascii="Arial" w:hAnsi="Arial" w:eastAsia="宋体" w:cs="Arial"/>
          <w:sz w:val="24"/>
          <w:szCs w:val="24"/>
          <w:lang w:val="en-US" w:eastAsia="zh-CN"/>
        </w:rPr>
      </w:pPr>
      <w:r>
        <w:rPr>
          <w:rFonts w:hint="default" w:ascii="Arial" w:hAnsi="Arial" w:cs="Arial"/>
          <w:sz w:val="24"/>
          <w:szCs w:val="24"/>
        </w:rPr>
        <w:t>Musonera</w:t>
      </w:r>
      <w:r>
        <w:rPr>
          <w:rFonts w:hint="eastAsia" w:ascii="Arial" w:hAnsi="Arial" w:eastAsia="宋体" w:cs="Arial"/>
          <w:sz w:val="24"/>
          <w:szCs w:val="24"/>
          <w:lang w:val="en-US" w:eastAsia="zh-CN"/>
        </w:rPr>
        <w:t xml:space="preserve">, </w:t>
      </w:r>
      <w:r>
        <w:rPr>
          <w:rFonts w:hint="default" w:ascii="Arial" w:hAnsi="Arial" w:cs="Arial"/>
          <w:sz w:val="24"/>
          <w:szCs w:val="24"/>
        </w:rPr>
        <w:t>E</w:t>
      </w:r>
      <w:r>
        <w:rPr>
          <w:rFonts w:hint="eastAsia" w:ascii="Arial" w:hAnsi="Arial" w:eastAsia="宋体" w:cs="Arial"/>
          <w:sz w:val="24"/>
          <w:szCs w:val="24"/>
          <w:lang w:val="en-US" w:eastAsia="zh-CN"/>
        </w:rPr>
        <w:t xml:space="preserve">. (2021) </w:t>
      </w:r>
      <w:r>
        <w:rPr>
          <w:rFonts w:hint="default" w:ascii="Arial" w:hAnsi="Arial" w:eastAsia="宋体" w:cs="Arial"/>
          <w:sz w:val="24"/>
          <w:szCs w:val="24"/>
          <w:lang w:val="en-US" w:eastAsia="zh-CN"/>
        </w:rPr>
        <w:t>‘</w:t>
      </w:r>
      <w:r>
        <w:rPr>
          <w:rFonts w:hint="default" w:ascii="Arial" w:hAnsi="Arial" w:cs="Arial"/>
          <w:sz w:val="24"/>
          <w:szCs w:val="24"/>
        </w:rPr>
        <w:t>Papa John’s: A Strategic Marketing Case Analysis in the Pizza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International Journal of Business &amp; Management Studies</w:t>
      </w:r>
      <w:r>
        <w:rPr>
          <w:rFonts w:hint="eastAsia" w:ascii="Arial" w:hAnsi="Arial" w:eastAsia="宋体" w:cs="Arial"/>
          <w:sz w:val="24"/>
          <w:szCs w:val="24"/>
          <w:lang w:val="en-US" w:eastAsia="zh-CN"/>
        </w:rPr>
        <w:t xml:space="preserve">, </w:t>
      </w:r>
      <w:r>
        <w:rPr>
          <w:rFonts w:hint="default" w:ascii="Arial" w:hAnsi="Arial" w:cs="Arial"/>
          <w:sz w:val="24"/>
          <w:szCs w:val="24"/>
        </w:rPr>
        <w:t>2</w:t>
      </w:r>
      <w:r>
        <w:rPr>
          <w:rFonts w:hint="eastAsia" w:ascii="Arial" w:hAnsi="Arial" w:eastAsia="宋体" w:cs="Arial"/>
          <w:sz w:val="24"/>
          <w:szCs w:val="24"/>
          <w:lang w:val="en-US" w:eastAsia="zh-CN"/>
        </w:rPr>
        <w:t>(</w:t>
      </w:r>
      <w:r>
        <w:rPr>
          <w:rFonts w:hint="default" w:ascii="Arial" w:hAnsi="Arial" w:cs="Arial"/>
          <w:sz w:val="24"/>
          <w:szCs w:val="24"/>
        </w:rPr>
        <w:t>11</w:t>
      </w:r>
      <w:r>
        <w:rPr>
          <w:rFonts w:hint="eastAsia" w:ascii="Arial" w:hAnsi="Arial" w:eastAsia="宋体" w:cs="Arial"/>
          <w:sz w:val="24"/>
          <w:szCs w:val="24"/>
          <w:lang w:val="en-US" w:eastAsia="zh-CN"/>
        </w:rPr>
        <w:t>), pp.1-8.</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Nayak, R. </w:t>
      </w:r>
      <w:r>
        <w:rPr>
          <w:rFonts w:hint="eastAsia" w:ascii="Arial" w:hAnsi="Arial" w:eastAsia="宋体" w:cs="Arial"/>
          <w:sz w:val="24"/>
          <w:szCs w:val="24"/>
          <w:lang w:val="en-US" w:eastAsia="zh-CN"/>
        </w:rPr>
        <w:t>&amp;</w:t>
      </w:r>
      <w:r>
        <w:rPr>
          <w:rFonts w:hint="default" w:ascii="Arial" w:hAnsi="Arial" w:cs="Arial"/>
          <w:sz w:val="24"/>
          <w:szCs w:val="24"/>
        </w:rPr>
        <w:t xml:space="preserve"> Waterson, P.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Global food safety as a complex adaptive system: Key concepts and future prospects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Trends in Food Science &amp; Technology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91</w:t>
      </w:r>
      <w:r>
        <w:rPr>
          <w:rFonts w:hint="default" w:ascii="Arial" w:hAnsi="Arial" w:cs="Arial"/>
          <w:sz w:val="24"/>
          <w:szCs w:val="24"/>
        </w:rPr>
        <w:t>, pp.409-425.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Nugraha, I., Hisjam, M.</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Sutopo, W</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(2019)</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Sustainable criteria in supplier evaluation of the food industry</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In</w:t>
      </w:r>
      <w:r>
        <w:rPr>
          <w:rFonts w:hint="eastAsia" w:ascii="Arial" w:hAnsi="Arial" w:eastAsia="宋体" w:cs="Arial"/>
          <w:i/>
          <w:iCs/>
          <w:sz w:val="24"/>
          <w:szCs w:val="24"/>
          <w:lang w:val="en-US" w:eastAsia="zh-CN"/>
        </w:rPr>
        <w:t xml:space="preserve"> </w:t>
      </w:r>
      <w:r>
        <w:rPr>
          <w:rFonts w:hint="default" w:ascii="Arial" w:hAnsi="Arial" w:cs="Arial"/>
          <w:i/>
          <w:sz w:val="24"/>
          <w:szCs w:val="24"/>
        </w:rPr>
        <w:t>IOP Conference Series: Materials Science and Engineering</w:t>
      </w:r>
      <w:r>
        <w:rPr>
          <w:rFonts w:hint="eastAsia" w:ascii="Arial" w:hAnsi="Arial" w:eastAsia="宋体" w:cs="Arial"/>
          <w:i/>
          <w:sz w:val="24"/>
          <w:szCs w:val="24"/>
          <w:lang w:val="en-US" w:eastAsia="zh-CN"/>
        </w:rPr>
        <w:t>,</w:t>
      </w:r>
      <w:r>
        <w:rPr>
          <w:rFonts w:hint="eastAsia" w:ascii="Arial" w:hAnsi="Arial" w:eastAsia="宋体" w:cs="Arial"/>
          <w:i/>
          <w:sz w:val="24"/>
          <w:szCs w:val="24"/>
          <w:highlight w:val="none"/>
          <w:lang w:val="en-US" w:eastAsia="zh-CN"/>
        </w:rPr>
        <w:t xml:space="preserve"> </w:t>
      </w:r>
      <w:r>
        <w:rPr>
          <w:rFonts w:hint="eastAsia" w:ascii="Arial" w:hAnsi="Arial" w:eastAsia="宋体" w:cs="Arial"/>
          <w:sz w:val="24"/>
          <w:szCs w:val="24"/>
          <w:highlight w:val="none"/>
          <w:lang w:val="en-US" w:eastAsia="zh-CN"/>
        </w:rPr>
        <w:t>598(1)</w:t>
      </w:r>
      <w:r>
        <w:rPr>
          <w:rFonts w:hint="default" w:ascii="Arial" w:hAnsi="Arial" w:cs="Arial"/>
          <w:sz w:val="24"/>
          <w:szCs w:val="24"/>
          <w:highlight w:val="none"/>
        </w:rPr>
        <w:t xml:space="preserve">, </w:t>
      </w:r>
      <w:r>
        <w:rPr>
          <w:rFonts w:hint="eastAsia" w:ascii="Arial" w:hAnsi="Arial" w:eastAsia="宋体" w:cs="Arial"/>
          <w:sz w:val="24"/>
          <w:szCs w:val="24"/>
          <w:highlight w:val="none"/>
          <w:lang w:val="en-US" w:eastAsia="zh-CN"/>
        </w:rPr>
        <w:t>p</w:t>
      </w:r>
      <w:r>
        <w:rPr>
          <w:rFonts w:hint="default" w:ascii="Arial" w:hAnsi="Arial" w:cs="Arial"/>
          <w:sz w:val="24"/>
          <w:szCs w:val="24"/>
          <w:highlight w:val="none"/>
        </w:rPr>
        <w:t>p.</w:t>
      </w:r>
      <w:r>
        <w:rPr>
          <w:rFonts w:hint="eastAsia" w:ascii="Arial" w:hAnsi="Arial" w:eastAsia="宋体" w:cs="Arial"/>
          <w:sz w:val="24"/>
          <w:szCs w:val="24"/>
          <w:highlight w:val="none"/>
          <w:lang w:val="en-US" w:eastAsia="zh-CN"/>
        </w:rPr>
        <w:t>012006</w:t>
      </w:r>
      <w:r>
        <w:rPr>
          <w:rFonts w:hint="default" w:ascii="Arial" w:hAnsi="Arial" w:cs="Arial"/>
          <w:sz w:val="24"/>
          <w:szCs w:val="24"/>
          <w:highlight w:val="none"/>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Panzone, L.A., Larcom, S.</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eastAsia" w:ascii="Arial" w:hAnsi="Arial" w:eastAsia="宋体" w:cs="Arial"/>
          <w:sz w:val="24"/>
          <w:szCs w:val="24"/>
          <w:lang w:val="en-US" w:eastAsia="zh-CN"/>
        </w:rPr>
        <w:t>&amp;</w:t>
      </w:r>
      <w:r>
        <w:rPr>
          <w:rFonts w:hint="default" w:ascii="Arial" w:hAnsi="Arial" w:cs="Arial"/>
          <w:sz w:val="24"/>
          <w:szCs w:val="24"/>
        </w:rPr>
        <w:t xml:space="preserve"> She, P.W.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Estimating the impact of the first COVID-19 lockdown on U.K. food retailers and the restaurant sector</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Global Food Security</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28</w:t>
      </w:r>
      <w:r>
        <w:rPr>
          <w:rFonts w:hint="default" w:ascii="Arial" w:hAnsi="Arial" w:cs="Arial"/>
          <w:sz w:val="24"/>
          <w:szCs w:val="24"/>
        </w:rPr>
        <w:t xml:space="preserve">, </w:t>
      </w:r>
      <w:r>
        <w:rPr>
          <w:rFonts w:hint="eastAsia" w:ascii="Arial" w:hAnsi="Arial" w:eastAsia="宋体" w:cs="Arial"/>
          <w:sz w:val="24"/>
          <w:szCs w:val="24"/>
          <w:lang w:val="en-US" w:eastAsia="zh-CN"/>
        </w:rPr>
        <w:t>p</w:t>
      </w:r>
      <w:r>
        <w:rPr>
          <w:rFonts w:hint="default" w:ascii="Arial" w:hAnsi="Arial" w:cs="Arial"/>
          <w:sz w:val="24"/>
          <w:szCs w:val="24"/>
        </w:rPr>
        <w:t>p.100495.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Shaikh, A.R. </w:t>
      </w:r>
      <w:r>
        <w:rPr>
          <w:rFonts w:hint="eastAsia" w:ascii="Arial" w:hAnsi="Arial" w:eastAsia="宋体" w:cs="Arial"/>
          <w:sz w:val="24"/>
          <w:szCs w:val="24"/>
          <w:lang w:val="en-US" w:eastAsia="zh-CN"/>
        </w:rPr>
        <w:t>&amp;</w:t>
      </w:r>
      <w:r>
        <w:rPr>
          <w:rFonts w:hint="default" w:ascii="Arial" w:hAnsi="Arial" w:cs="Arial"/>
          <w:sz w:val="24"/>
          <w:szCs w:val="24"/>
        </w:rPr>
        <w:t xml:space="preserve"> Qazi, A.A.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Centralised supply chain</w:t>
      </w:r>
      <w:r>
        <w:rPr>
          <w:rFonts w:hint="eastAsia" w:ascii="Arial" w:hAnsi="Arial" w:eastAsia="宋体" w:cs="Arial"/>
          <w:sz w:val="24"/>
          <w:szCs w:val="24"/>
          <w:lang w:val="en-US" w:eastAsia="zh-CN"/>
        </w:rPr>
        <w:t>-</w:t>
      </w:r>
      <w:r>
        <w:rPr>
          <w:rFonts w:hint="default" w:ascii="Arial" w:hAnsi="Arial" w:cs="Arial"/>
          <w:sz w:val="24"/>
          <w:szCs w:val="24"/>
        </w:rPr>
        <w:t>Food Lord</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Emerald Emerging Markets Case Studies</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9</w:t>
      </w:r>
      <w:r>
        <w:rPr>
          <w:rFonts w:hint="default" w:ascii="Arial" w:hAnsi="Arial" w:cs="Arial"/>
          <w:sz w:val="24"/>
          <w:szCs w:val="24"/>
        </w:rPr>
        <w:t>(2), pp.1-19.</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Singh, R. </w:t>
      </w:r>
      <w:r>
        <w:rPr>
          <w:rFonts w:hint="eastAsia" w:ascii="Arial" w:hAnsi="Arial" w:eastAsia="宋体" w:cs="Arial"/>
          <w:sz w:val="24"/>
          <w:szCs w:val="24"/>
          <w:lang w:val="en-US" w:eastAsia="zh-CN"/>
        </w:rPr>
        <w:t>&amp;</w:t>
      </w:r>
      <w:r>
        <w:rPr>
          <w:rFonts w:hint="default" w:ascii="Arial" w:hAnsi="Arial" w:cs="Arial"/>
          <w:sz w:val="24"/>
          <w:szCs w:val="24"/>
        </w:rPr>
        <w:t xml:space="preserve"> Sarangal, R.K. </w:t>
      </w:r>
      <w:r>
        <w:rPr>
          <w:rFonts w:hint="eastAsia" w:ascii="Arial" w:hAnsi="Arial" w:eastAsia="宋体" w:cs="Arial"/>
          <w:sz w:val="24"/>
          <w:szCs w:val="24"/>
          <w:lang w:val="en-US" w:eastAsia="zh-CN"/>
        </w:rPr>
        <w:t>(</w:t>
      </w:r>
      <w:r>
        <w:rPr>
          <w:rFonts w:hint="default" w:ascii="Arial" w:hAnsi="Arial" w:cs="Arial"/>
          <w:sz w:val="24"/>
          <w:szCs w:val="24"/>
        </w:rPr>
        <w:t>2021</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Innovation in Quick Service Restaurants (QSRs): A Future Perspective</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European Journal of Tourism, Hospitality and Recreation</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11</w:t>
      </w:r>
      <w:r>
        <w:rPr>
          <w:rFonts w:hint="default" w:ascii="Arial" w:hAnsi="Arial" w:cs="Arial"/>
          <w:sz w:val="24"/>
          <w:szCs w:val="24"/>
        </w:rPr>
        <w:t>(2), pp.210-218.</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Teoh, K.B., Cordova, M., </w:t>
      </w:r>
      <w:r>
        <w:rPr>
          <w:rFonts w:hint="eastAsia" w:ascii="Arial" w:hAnsi="Arial" w:eastAsia="宋体" w:cs="Arial"/>
          <w:sz w:val="24"/>
          <w:szCs w:val="24"/>
          <w:lang w:val="en-US" w:eastAsia="zh-CN"/>
        </w:rPr>
        <w:t xml:space="preserve">&amp; </w:t>
      </w:r>
      <w:r>
        <w:rPr>
          <w:rFonts w:hint="default" w:ascii="Arial" w:hAnsi="Arial" w:cs="Arial"/>
          <w:sz w:val="24"/>
          <w:szCs w:val="24"/>
        </w:rPr>
        <w:t xml:space="preserve">Hasanah, N.N., </w:t>
      </w:r>
      <w:r>
        <w:rPr>
          <w:rFonts w:hint="eastAsia" w:ascii="Arial" w:hAnsi="Arial" w:eastAsia="宋体" w:cs="Arial"/>
          <w:sz w:val="24"/>
          <w:szCs w:val="24"/>
          <w:lang w:val="en-US" w:eastAsia="zh-CN"/>
        </w:rPr>
        <w:t>et al.</w:t>
      </w:r>
      <w:r>
        <w:rPr>
          <w:rFonts w:hint="default" w:ascii="Arial" w:hAnsi="Arial" w:cs="Arial"/>
          <w:sz w:val="24"/>
          <w:szCs w:val="24"/>
        </w:rPr>
        <w:t xml:space="preserve"> (2021) </w:t>
      </w:r>
      <w:r>
        <w:rPr>
          <w:rFonts w:hint="default" w:ascii="Arial" w:hAnsi="Arial" w:eastAsia="宋体" w:cs="Arial"/>
          <w:sz w:val="24"/>
          <w:szCs w:val="24"/>
          <w:lang w:val="en-US" w:eastAsia="zh-CN"/>
        </w:rPr>
        <w:t>‘</w:t>
      </w:r>
      <w:r>
        <w:rPr>
          <w:rFonts w:hint="default" w:ascii="Arial" w:hAnsi="Arial" w:cs="Arial"/>
          <w:sz w:val="24"/>
          <w:szCs w:val="24"/>
        </w:rPr>
        <w:t>Factors influencing customers’ purchasing behavior and satisfaction in Pizza Hut</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Advances in Global Economics and Business Journal</w:t>
      </w:r>
      <w:r>
        <w:rPr>
          <w:rFonts w:hint="default" w:ascii="Arial" w:hAnsi="Arial" w:eastAsia="宋体" w:cs="Arial"/>
          <w:sz w:val="24"/>
          <w:szCs w:val="24"/>
          <w:lang w:val="en-US" w:eastAsia="zh-CN"/>
        </w:rPr>
        <w:t>’</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sz w:val="24"/>
          <w:szCs w:val="24"/>
        </w:rPr>
        <w:t xml:space="preserve">2(1), </w:t>
      </w:r>
      <w:r>
        <w:rPr>
          <w:rFonts w:hint="eastAsia" w:ascii="Arial" w:hAnsi="Arial" w:eastAsia="宋体" w:cs="Arial"/>
          <w:sz w:val="24"/>
          <w:szCs w:val="24"/>
          <w:lang w:val="en-US" w:eastAsia="zh-CN"/>
        </w:rPr>
        <w:t>pp.</w:t>
      </w:r>
      <w:r>
        <w:rPr>
          <w:rFonts w:hint="default" w:ascii="Arial" w:hAnsi="Arial" w:cs="Arial"/>
          <w:sz w:val="24"/>
          <w:szCs w:val="24"/>
        </w:rPr>
        <w:t>39-56.</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Thamagasorn, M. </w:t>
      </w:r>
      <w:r>
        <w:rPr>
          <w:rFonts w:hint="eastAsia" w:ascii="Arial" w:hAnsi="Arial" w:eastAsia="宋体" w:cs="Arial"/>
          <w:sz w:val="24"/>
          <w:szCs w:val="24"/>
          <w:lang w:val="en-US" w:eastAsia="zh-CN"/>
        </w:rPr>
        <w:t>&amp;</w:t>
      </w:r>
      <w:r>
        <w:rPr>
          <w:rFonts w:hint="default" w:ascii="Arial" w:hAnsi="Arial" w:cs="Arial"/>
          <w:sz w:val="24"/>
          <w:szCs w:val="24"/>
        </w:rPr>
        <w:t xml:space="preserve"> Pharino, C. </w:t>
      </w:r>
      <w:r>
        <w:rPr>
          <w:rFonts w:hint="eastAsia" w:ascii="Arial" w:hAnsi="Arial" w:eastAsia="宋体" w:cs="Arial"/>
          <w:sz w:val="24"/>
          <w:szCs w:val="24"/>
          <w:lang w:val="en-US" w:eastAsia="zh-CN"/>
        </w:rPr>
        <w:t>(</w:t>
      </w:r>
      <w:r>
        <w:rPr>
          <w:rFonts w:hint="default" w:ascii="Arial" w:hAnsi="Arial" w:cs="Arial"/>
          <w:sz w:val="24"/>
          <w:szCs w:val="24"/>
        </w:rPr>
        <w:t>2019</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An analysis of food waste from a flight catering business for sustainable food waste management: A case study of halal food production process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sz w:val="24"/>
          <w:szCs w:val="24"/>
        </w:rPr>
        <w:t>Journal of Cleaner Production</w:t>
      </w:r>
      <w:r>
        <w:rPr>
          <w:rFonts w:hint="default" w:ascii="Arial" w:hAnsi="Arial" w:cs="Arial"/>
          <w:sz w:val="24"/>
          <w:szCs w:val="24"/>
        </w:rPr>
        <w:t>,</w:t>
      </w:r>
      <w:r>
        <w:rPr>
          <w:rFonts w:hint="eastAsia" w:ascii="Arial" w:hAnsi="Arial" w:eastAsia="宋体" w:cs="Arial"/>
          <w:sz w:val="24"/>
          <w:szCs w:val="24"/>
          <w:lang w:val="en-US" w:eastAsia="zh-CN"/>
        </w:rPr>
        <w:t xml:space="preserve"> </w:t>
      </w:r>
      <w:r>
        <w:rPr>
          <w:rFonts w:hint="default" w:ascii="Arial" w:hAnsi="Arial" w:cs="Arial"/>
          <w:i w:val="0"/>
          <w:iCs/>
          <w:sz w:val="24"/>
          <w:szCs w:val="24"/>
        </w:rPr>
        <w:t>228</w:t>
      </w:r>
      <w:r>
        <w:rPr>
          <w:rFonts w:hint="default" w:ascii="Arial" w:hAnsi="Arial" w:cs="Arial"/>
          <w:sz w:val="24"/>
          <w:szCs w:val="24"/>
        </w:rPr>
        <w:t>, pp.845-855.</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rPr>
      </w:pPr>
      <w:r>
        <w:rPr>
          <w:rFonts w:hint="default" w:ascii="Arial" w:hAnsi="Arial" w:cs="Arial"/>
          <w:sz w:val="24"/>
          <w:szCs w:val="24"/>
        </w:rPr>
        <w:t xml:space="preserve">Thampapillai, D. </w:t>
      </w:r>
      <w:r>
        <w:rPr>
          <w:rFonts w:hint="eastAsia" w:ascii="Arial" w:hAnsi="Arial" w:eastAsia="宋体" w:cs="Arial"/>
          <w:sz w:val="24"/>
          <w:szCs w:val="24"/>
          <w:lang w:val="en-US" w:eastAsia="zh-CN"/>
        </w:rPr>
        <w:t>(</w:t>
      </w:r>
      <w:r>
        <w:rPr>
          <w:rFonts w:hint="default" w:ascii="Arial" w:hAnsi="Arial" w:cs="Arial"/>
          <w:sz w:val="24"/>
          <w:szCs w:val="24"/>
        </w:rPr>
        <w:t>2015</w:t>
      </w:r>
      <w:r>
        <w:rPr>
          <w:rFonts w:hint="eastAsia" w:ascii="Arial" w:hAnsi="Arial" w:eastAsia="宋体" w:cs="Arial"/>
          <w:sz w:val="24"/>
          <w:szCs w:val="24"/>
          <w:lang w:val="en-US" w:eastAsia="zh-CN"/>
        </w:rPr>
        <w:t>)</w:t>
      </w:r>
      <w:r>
        <w:rPr>
          <w:rFonts w:hint="default" w:ascii="Arial" w:hAnsi="Arial" w:cs="Arial"/>
          <w:sz w:val="24"/>
          <w:szCs w:val="24"/>
        </w:rPr>
        <w:t xml:space="preserve"> </w:t>
      </w:r>
      <w:r>
        <w:rPr>
          <w:rFonts w:hint="default" w:ascii="Arial" w:hAnsi="Arial" w:eastAsia="宋体" w:cs="Arial"/>
          <w:sz w:val="24"/>
          <w:szCs w:val="24"/>
          <w:lang w:val="en-US" w:eastAsia="zh-CN"/>
        </w:rPr>
        <w:t>‘</w:t>
      </w:r>
      <w:r>
        <w:rPr>
          <w:rFonts w:hint="default" w:ascii="Arial" w:hAnsi="Arial" w:cs="Arial"/>
          <w:sz w:val="24"/>
          <w:szCs w:val="24"/>
        </w:rPr>
        <w:t>The Food and Agricultural Organization and Food Security in the Context of International Intellectual Property Rights Protection</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cs="Arial"/>
          <w:i/>
          <w:iCs/>
          <w:sz w:val="24"/>
          <w:szCs w:val="24"/>
        </w:rPr>
        <w:t>Legal Perspectives on Security Institutions</w:t>
      </w:r>
      <w:r>
        <w:rPr>
          <w:rFonts w:hint="default" w:ascii="Arial" w:hAnsi="Arial" w:cs="Arial"/>
          <w:i w:val="0"/>
          <w:iCs w:val="0"/>
          <w:sz w:val="24"/>
          <w:szCs w:val="24"/>
        </w:rPr>
        <w:t>,</w:t>
      </w:r>
      <w:r>
        <w:rPr>
          <w:rFonts w:hint="default" w:ascii="Arial" w:hAnsi="Arial" w:cs="Arial"/>
          <w:i/>
          <w:iCs/>
          <w:sz w:val="24"/>
          <w:szCs w:val="24"/>
        </w:rPr>
        <w:t xml:space="preserve"> </w:t>
      </w:r>
      <w:r>
        <w:rPr>
          <w:rFonts w:hint="default" w:ascii="Arial" w:hAnsi="Arial" w:cs="Arial"/>
          <w:sz w:val="24"/>
          <w:szCs w:val="24"/>
        </w:rPr>
        <w:t>pp.269-291</w:t>
      </w:r>
      <w:r>
        <w:rPr>
          <w:rFonts w:hint="eastAsia" w:ascii="Arial" w:hAnsi="Arial" w:eastAsia="宋体" w:cs="Arial"/>
          <w:i w:val="0"/>
          <w:iCs w:val="0"/>
          <w:sz w:val="24"/>
          <w:szCs w:val="24"/>
          <w:lang w:val="en-US" w:eastAsia="zh-CN"/>
        </w:rPr>
        <w:t xml:space="preserve">, </w:t>
      </w:r>
      <w:r>
        <w:rPr>
          <w:rFonts w:hint="default" w:ascii="Arial" w:hAnsi="Arial" w:cs="Arial"/>
          <w:i w:val="0"/>
          <w:iCs w:val="0"/>
          <w:sz w:val="24"/>
          <w:szCs w:val="24"/>
        </w:rPr>
        <w:t>Cambridge University Press</w:t>
      </w:r>
      <w:r>
        <w:rPr>
          <w:rFonts w:hint="eastAsia" w:ascii="Arial" w:hAnsi="Arial" w:eastAsia="宋体" w:cs="Arial"/>
          <w:i w:val="0"/>
          <w:iCs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0" w:leftChars="0" w:firstLine="0" w:firstLineChars="0"/>
        <w:textAlignment w:val="auto"/>
        <w:rPr>
          <w:rFonts w:hint="default" w:ascii="Arial" w:hAnsi="Arial" w:eastAsia="宋体" w:cs="Arial"/>
          <w:i w:val="0"/>
          <w:iCs w:val="0"/>
          <w:caps w:val="0"/>
          <w:color w:val="222222"/>
          <w:spacing w:val="0"/>
          <w:sz w:val="13"/>
          <w:szCs w:val="13"/>
          <w:shd w:val="clear" w:fill="FFFFFF"/>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lang w:val="en-US"/>
        </w:rPr>
      </w:pPr>
      <w:r>
        <w:rPr>
          <w:rFonts w:hint="default" w:ascii="Arial" w:hAnsi="Arial" w:cs="Arial"/>
          <w:sz w:val="24"/>
          <w:szCs w:val="24"/>
          <w:lang w:val="en-US"/>
        </w:rPr>
        <w:t>Pizza Hut Brand Blog (2022)</w:t>
      </w:r>
      <w:r>
        <w:rPr>
          <w:rFonts w:hint="eastAsia" w:ascii="Arial" w:hAnsi="Arial" w:eastAsia="宋体" w:cs="Arial"/>
          <w:sz w:val="24"/>
          <w:szCs w:val="24"/>
          <w:lang w:val="en-US" w:eastAsia="zh-CN"/>
        </w:rPr>
        <w:t xml:space="preserve"> </w:t>
      </w:r>
      <w:r>
        <w:rPr>
          <w:rFonts w:hint="default" w:ascii="Arial" w:hAnsi="Arial" w:cs="Arial"/>
          <w:i/>
          <w:iCs/>
          <w:sz w:val="24"/>
          <w:szCs w:val="24"/>
          <w:lang w:val="en-US"/>
        </w:rPr>
        <w:t>Hut Life – Official Pizza Hut Blog</w:t>
      </w:r>
      <w:r>
        <w:rPr>
          <w:rFonts w:hint="default" w:ascii="Arial" w:hAnsi="Arial" w:cs="Arial"/>
          <w:sz w:val="24"/>
          <w:szCs w:val="24"/>
          <w:lang w:val="en-US"/>
        </w:rPr>
        <w:t>. [online] Available at: https://blog.pizzahut.com/our-story/ [Accessed 7 Mar</w:t>
      </w:r>
      <w:r>
        <w:rPr>
          <w:rFonts w:hint="eastAsia" w:ascii="Arial" w:hAnsi="Arial" w:eastAsia="宋体" w:cs="Arial"/>
          <w:sz w:val="24"/>
          <w:szCs w:val="24"/>
          <w:lang w:val="en-US" w:eastAsia="zh-CN"/>
        </w:rPr>
        <w:t>ch</w:t>
      </w:r>
      <w:r>
        <w:rPr>
          <w:rFonts w:hint="default" w:ascii="Arial" w:hAnsi="Arial" w:cs="Arial"/>
          <w:sz w:val="24"/>
          <w:szCs w:val="24"/>
          <w:lang w:val="en-US"/>
        </w:rPr>
        <w:t xml:space="preserve"> 2023].</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lang w:val="en-US"/>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lang w:val="en-US"/>
        </w:rPr>
      </w:pPr>
      <w:r>
        <w:rPr>
          <w:rFonts w:hint="default" w:ascii="Arial" w:hAnsi="Arial" w:cs="Arial"/>
          <w:sz w:val="24"/>
          <w:szCs w:val="24"/>
          <w:lang w:val="en-US"/>
        </w:rPr>
        <w:t>Witcher, B.J., &amp; Chau, V.S. (2010)</w:t>
      </w:r>
      <w:r>
        <w:rPr>
          <w:rFonts w:hint="eastAsia" w:ascii="Arial" w:hAnsi="Arial" w:eastAsia="宋体" w:cs="Arial"/>
          <w:sz w:val="24"/>
          <w:szCs w:val="24"/>
          <w:lang w:val="en-US" w:eastAsia="zh-CN"/>
        </w:rPr>
        <w:t xml:space="preserve"> </w:t>
      </w:r>
      <w:r>
        <w:rPr>
          <w:rFonts w:hint="default" w:ascii="Arial" w:hAnsi="Arial" w:cs="Arial"/>
          <w:i/>
          <w:iCs/>
          <w:sz w:val="24"/>
          <w:szCs w:val="24"/>
          <w:lang w:val="en-US"/>
        </w:rPr>
        <w:t>Strategic Management: Principles and Practice</w:t>
      </w:r>
      <w:r>
        <w:rPr>
          <w:rFonts w:hint="default" w:ascii="Arial" w:hAnsi="Arial" w:cs="Arial"/>
          <w:sz w:val="24"/>
          <w:szCs w:val="24"/>
          <w:lang w:val="en-US"/>
        </w:rPr>
        <w:t>. Cenage Learning.</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lang w:val="en-US"/>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lang w:val="en-US"/>
        </w:rPr>
      </w:pPr>
      <w:r>
        <w:rPr>
          <w:rFonts w:hint="default" w:ascii="Arial" w:hAnsi="Arial" w:cs="Arial"/>
          <w:sz w:val="24"/>
          <w:szCs w:val="24"/>
          <w:lang w:val="en-US"/>
        </w:rPr>
        <w:t>Wu</w:t>
      </w:r>
      <w:r>
        <w:rPr>
          <w:rFonts w:hint="eastAsia" w:ascii="Arial" w:hAnsi="Arial" w:eastAsia="宋体" w:cs="Arial"/>
          <w:sz w:val="24"/>
          <w:szCs w:val="24"/>
          <w:lang w:val="en-US" w:eastAsia="zh-CN"/>
        </w:rPr>
        <w:t>,</w:t>
      </w:r>
      <w:r>
        <w:rPr>
          <w:rFonts w:hint="default" w:ascii="Arial" w:hAnsi="Arial" w:cs="Arial"/>
          <w:sz w:val="24"/>
          <w:szCs w:val="24"/>
          <w:lang w:val="en-US"/>
        </w:rPr>
        <w:t xml:space="preserve"> Y</w:t>
      </w:r>
      <w:r>
        <w:rPr>
          <w:rFonts w:hint="eastAsia" w:ascii="Arial" w:hAnsi="Arial" w:eastAsia="宋体" w:cs="Arial"/>
          <w:sz w:val="24"/>
          <w:szCs w:val="24"/>
          <w:lang w:val="en-US" w:eastAsia="zh-CN"/>
        </w:rPr>
        <w:t xml:space="preserve">.N., &amp; </w:t>
      </w:r>
      <w:r>
        <w:rPr>
          <w:rFonts w:hint="default" w:ascii="Arial" w:hAnsi="Arial" w:cs="Arial"/>
          <w:sz w:val="24"/>
          <w:szCs w:val="24"/>
          <w:lang w:val="en-US"/>
        </w:rPr>
        <w:t>Yang</w:t>
      </w:r>
      <w:r>
        <w:rPr>
          <w:rFonts w:hint="eastAsia" w:ascii="Arial" w:hAnsi="Arial" w:eastAsia="宋体" w:cs="Arial"/>
          <w:sz w:val="24"/>
          <w:szCs w:val="24"/>
          <w:lang w:val="en-US" w:eastAsia="zh-CN"/>
        </w:rPr>
        <w:t>,</w:t>
      </w:r>
      <w:r>
        <w:rPr>
          <w:rFonts w:hint="default" w:ascii="Arial" w:hAnsi="Arial" w:cs="Arial"/>
          <w:sz w:val="24"/>
          <w:szCs w:val="24"/>
          <w:lang w:val="en-US"/>
        </w:rPr>
        <w:t xml:space="preserve"> Y</w:t>
      </w:r>
      <w:r>
        <w:rPr>
          <w:rFonts w:hint="eastAsia" w:ascii="Arial" w:hAnsi="Arial" w:eastAsia="宋体" w:cs="Arial"/>
          <w:sz w:val="24"/>
          <w:szCs w:val="24"/>
          <w:lang w:val="en-US" w:eastAsia="zh-CN"/>
        </w:rPr>
        <w:t>.S.</w:t>
      </w:r>
      <w:r>
        <w:rPr>
          <w:rFonts w:hint="default" w:ascii="Arial" w:hAnsi="Arial" w:cs="Arial"/>
          <w:sz w:val="24"/>
          <w:szCs w:val="24"/>
          <w:lang w:val="en-US"/>
        </w:rPr>
        <w:t xml:space="preserve"> (2014) </w:t>
      </w:r>
      <w:r>
        <w:rPr>
          <w:rFonts w:hint="default" w:ascii="Arial" w:hAnsi="Arial" w:cs="Arial"/>
          <w:sz w:val="24"/>
          <w:szCs w:val="24"/>
          <w:lang w:val="en-US" w:eastAsia="zh-CN"/>
        </w:rPr>
        <w:t>‘</w:t>
      </w:r>
      <w:r>
        <w:rPr>
          <w:rFonts w:hint="eastAsia" w:ascii="Arial" w:hAnsi="Arial" w:cs="Arial"/>
          <w:sz w:val="24"/>
          <w:szCs w:val="24"/>
          <w:lang w:val="en-US" w:eastAsia="zh-CN"/>
        </w:rPr>
        <w:t>T</w:t>
      </w:r>
      <w:r>
        <w:rPr>
          <w:rFonts w:hint="default" w:ascii="Arial" w:hAnsi="Arial" w:cs="Arial"/>
          <w:sz w:val="24"/>
          <w:szCs w:val="24"/>
          <w:lang w:val="en-US"/>
        </w:rPr>
        <w:t>he competition situation analysis of shale gas industry in China: Applying Porter’s five forces and scenario model</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w:t>
      </w:r>
      <w:r>
        <w:rPr>
          <w:rFonts w:hint="default" w:ascii="Arial" w:hAnsi="Arial" w:cs="Arial"/>
          <w:sz w:val="24"/>
          <w:szCs w:val="24"/>
          <w:lang w:val="en-US"/>
        </w:rPr>
        <w:t xml:space="preserve"> </w:t>
      </w:r>
      <w:r>
        <w:rPr>
          <w:rFonts w:hint="default" w:ascii="Arial" w:hAnsi="Arial" w:cs="Arial"/>
          <w:i/>
          <w:iCs/>
          <w:sz w:val="24"/>
          <w:szCs w:val="24"/>
          <w:lang w:val="en-US"/>
        </w:rPr>
        <w:t>Renewable and Sustainable Energy Reviews</w:t>
      </w:r>
      <w:r>
        <w:rPr>
          <w:rFonts w:hint="default" w:ascii="Arial" w:hAnsi="Arial" w:cs="Arial"/>
          <w:sz w:val="24"/>
          <w:szCs w:val="24"/>
          <w:lang w:val="en-US"/>
        </w:rPr>
        <w:t>, 40, 798-805.</w:t>
      </w: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textAlignment w:val="auto"/>
        <w:rPr>
          <w:rFonts w:hint="default" w:ascii="Arial" w:hAnsi="Arial" w:eastAsia="宋体" w:cs="Arial"/>
          <w:sz w:val="24"/>
          <w:szCs w:val="24"/>
          <w:lang w:val="en-US" w:eastAsia="zh-CN"/>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eastAsia" w:ascii="Arial" w:hAnsi="Arial" w:eastAsia="宋体" w:cs="Arial"/>
          <w:sz w:val="24"/>
          <w:szCs w:val="24"/>
          <w:lang w:val="en-US" w:eastAsia="zh-CN"/>
        </w:rPr>
      </w:pPr>
      <w:r>
        <w:rPr>
          <w:rFonts w:hint="eastAsia" w:ascii="Arial" w:hAnsi="Arial" w:eastAsia="宋体" w:cs="Arial"/>
          <w:sz w:val="24"/>
          <w:szCs w:val="24"/>
          <w:lang w:val="en-US" w:eastAsia="zh-CN"/>
        </w:rPr>
        <w:t xml:space="preserve">Xu, Y.Y. (2014) </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Understanding CSR from the perspective of Chinese diners: the case of McDonald</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s</w:t>
      </w:r>
      <w:r>
        <w:rPr>
          <w:rFonts w:hint="default" w:ascii="Arial" w:hAnsi="Arial" w:eastAsia="宋体" w:cs="Arial"/>
          <w:sz w:val="24"/>
          <w:szCs w:val="24"/>
          <w:lang w:val="en-US" w:eastAsia="zh-CN"/>
        </w:rPr>
        <w:t>’</w:t>
      </w:r>
      <w:r>
        <w:rPr>
          <w:rFonts w:hint="eastAsia" w:ascii="Arial" w:hAnsi="Arial" w:eastAsia="宋体" w:cs="Arial"/>
          <w:sz w:val="24"/>
          <w:szCs w:val="24"/>
          <w:lang w:val="en-US" w:eastAsia="zh-CN"/>
        </w:rPr>
        <w:t xml:space="preserve">, </w:t>
      </w:r>
      <w:r>
        <w:rPr>
          <w:rFonts w:hint="default" w:ascii="Arial" w:hAnsi="Arial" w:eastAsia="宋体" w:cs="Arial"/>
          <w:i/>
          <w:iCs/>
          <w:sz w:val="24"/>
          <w:szCs w:val="24"/>
          <w:lang w:val="en-US" w:eastAsia="zh-CN"/>
        </w:rPr>
        <w:t>International Journal of Contemporary Hospitality Management</w:t>
      </w:r>
      <w:r>
        <w:rPr>
          <w:rFonts w:hint="default" w:ascii="Arial" w:hAnsi="Arial" w:eastAsia="宋体" w:cs="Arial"/>
          <w:sz w:val="24"/>
          <w:szCs w:val="24"/>
          <w:lang w:val="en-US" w:eastAsia="zh-CN"/>
        </w:rPr>
        <w:t>, 26</w:t>
      </w:r>
      <w:r>
        <w:rPr>
          <w:rFonts w:hint="eastAsia" w:ascii="Arial" w:hAnsi="Arial" w:eastAsia="宋体" w:cs="Arial"/>
          <w:sz w:val="24"/>
          <w:szCs w:val="24"/>
          <w:lang w:val="en-US" w:eastAsia="zh-CN"/>
        </w:rPr>
        <w:t xml:space="preserve">(6), </w:t>
      </w:r>
      <w:r>
        <w:rPr>
          <w:rFonts w:hint="default" w:ascii="Arial" w:hAnsi="Arial" w:eastAsia="宋体" w:cs="Arial"/>
          <w:sz w:val="24"/>
          <w:szCs w:val="24"/>
          <w:lang w:val="en-US" w:eastAsia="zh-CN"/>
        </w:rPr>
        <w:t>pp.1002</w:t>
      </w:r>
      <w:r>
        <w:rPr>
          <w:rFonts w:hint="eastAsia" w:ascii="Arial" w:hAnsi="Arial" w:eastAsia="宋体" w:cs="Arial"/>
          <w:sz w:val="24"/>
          <w:szCs w:val="24"/>
          <w:lang w:val="en-US" w:eastAsia="zh-CN"/>
        </w:rPr>
        <w:t>-</w:t>
      </w:r>
      <w:r>
        <w:rPr>
          <w:rFonts w:hint="default" w:ascii="Arial" w:hAnsi="Arial" w:eastAsia="宋体" w:cs="Arial"/>
          <w:sz w:val="24"/>
          <w:szCs w:val="24"/>
          <w:lang w:val="en-US" w:eastAsia="zh-CN"/>
        </w:rPr>
        <w:t>1020</w:t>
      </w:r>
      <w:r>
        <w:rPr>
          <w:rFonts w:hint="eastAsia" w:ascii="Arial" w:hAnsi="Arial" w:eastAsia="宋体" w:cs="Arial"/>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ind w:left="720" w:hanging="720"/>
        <w:textAlignment w:val="auto"/>
        <w:rPr>
          <w:rFonts w:hint="default" w:ascii="Arial" w:hAnsi="Arial" w:cs="Arial"/>
          <w:sz w:val="24"/>
          <w:szCs w:val="24"/>
        </w:rPr>
      </w:pPr>
    </w:p>
    <w:p>
      <w:pPr>
        <w:keepNext w:val="0"/>
        <w:keepLines w:val="0"/>
        <w:pageBreakBefore w:val="0"/>
        <w:widowControl/>
        <w:numPr>
          <w:ilvl w:val="0"/>
          <w:numId w:val="6"/>
        </w:numPr>
        <w:kinsoku/>
        <w:wordWrap/>
        <w:overflowPunct/>
        <w:topLinePunct w:val="0"/>
        <w:autoSpaceDE/>
        <w:autoSpaceDN/>
        <w:bidi w:val="0"/>
        <w:adjustRightInd/>
        <w:snapToGrid/>
        <w:spacing w:line="360" w:lineRule="auto"/>
        <w:ind w:left="425" w:leftChars="0" w:hanging="425" w:firstLineChars="0"/>
        <w:textAlignment w:val="auto"/>
        <w:rPr>
          <w:rFonts w:hint="default" w:ascii="Arial" w:hAnsi="Arial" w:cs="Arial"/>
          <w:sz w:val="24"/>
          <w:szCs w:val="24"/>
          <w:lang w:val="en-US"/>
        </w:rPr>
      </w:pPr>
      <w:r>
        <w:rPr>
          <w:rFonts w:hint="default" w:ascii="Arial" w:hAnsi="Arial" w:cs="Arial"/>
          <w:sz w:val="24"/>
          <w:szCs w:val="24"/>
        </w:rPr>
        <w:t>Yum (2020)</w:t>
      </w:r>
      <w:r>
        <w:rPr>
          <w:rFonts w:hint="eastAsia" w:ascii="Arial" w:hAnsi="Arial" w:eastAsia="宋体" w:cs="Arial"/>
          <w:sz w:val="24"/>
          <w:szCs w:val="24"/>
          <w:lang w:val="en-US" w:eastAsia="zh-CN"/>
        </w:rPr>
        <w:t xml:space="preserve"> </w:t>
      </w:r>
      <w:r>
        <w:rPr>
          <w:rFonts w:hint="default" w:ascii="Arial" w:hAnsi="Arial" w:cs="Arial"/>
          <w:i/>
          <w:sz w:val="24"/>
          <w:szCs w:val="24"/>
        </w:rPr>
        <w:t>Financial Reports - Yum! Brands</w:t>
      </w:r>
      <w:r>
        <w:rPr>
          <w:rFonts w:hint="default" w:ascii="Arial" w:hAnsi="Arial" w:cs="Arial"/>
          <w:sz w:val="24"/>
          <w:szCs w:val="24"/>
        </w:rPr>
        <w:t xml:space="preserve">. [online] Available at: </w:t>
      </w:r>
      <w:r>
        <w:rPr>
          <w:rFonts w:hint="default" w:ascii="Arial" w:hAnsi="Arial" w:cs="Arial"/>
          <w:color w:val="auto"/>
          <w:sz w:val="24"/>
          <w:szCs w:val="24"/>
        </w:rPr>
        <w:fldChar w:fldCharType="begin"/>
      </w:r>
      <w:r>
        <w:rPr>
          <w:rFonts w:hint="default" w:ascii="Arial" w:hAnsi="Arial" w:cs="Arial"/>
          <w:color w:val="auto"/>
          <w:sz w:val="24"/>
          <w:szCs w:val="24"/>
        </w:rPr>
        <w:instrText xml:space="preserve"> HYPERLINK "https://investors.yum.com/financial-information/financial-reports/" \h </w:instrText>
      </w:r>
      <w:r>
        <w:rPr>
          <w:rFonts w:hint="default" w:ascii="Arial" w:hAnsi="Arial" w:cs="Arial"/>
          <w:color w:val="auto"/>
          <w:sz w:val="24"/>
          <w:szCs w:val="24"/>
        </w:rPr>
        <w:fldChar w:fldCharType="separate"/>
      </w:r>
      <w:r>
        <w:rPr>
          <w:rFonts w:hint="default" w:ascii="Arial" w:hAnsi="Arial" w:cs="Arial"/>
          <w:color w:val="auto"/>
          <w:sz w:val="24"/>
          <w:szCs w:val="24"/>
          <w:u w:val="none"/>
        </w:rPr>
        <w:t>https://investors.yum.com/financial-information/financial-reports/</w:t>
      </w:r>
      <w:r>
        <w:rPr>
          <w:rFonts w:hint="default" w:ascii="Arial" w:hAnsi="Arial" w:cs="Arial"/>
          <w:color w:val="auto"/>
          <w:sz w:val="24"/>
          <w:szCs w:val="24"/>
          <w:u w:val="single"/>
        </w:rPr>
        <w:fldChar w:fldCharType="end"/>
      </w:r>
      <w:r>
        <w:rPr>
          <w:rFonts w:hint="eastAsia" w:ascii="Arial" w:hAnsi="Arial" w:eastAsia="宋体" w:cs="Arial"/>
          <w:color w:val="auto"/>
          <w:sz w:val="24"/>
          <w:szCs w:val="24"/>
          <w:u w:val="none"/>
          <w:lang w:val="en-US" w:eastAsia="zh-CN"/>
        </w:rPr>
        <w:t xml:space="preserve"> </w:t>
      </w:r>
      <w:r>
        <w:rPr>
          <w:rFonts w:hint="default" w:ascii="Arial" w:hAnsi="Arial" w:cs="Arial"/>
          <w:sz w:val="24"/>
          <w:szCs w:val="24"/>
          <w:lang w:val="en-US"/>
        </w:rPr>
        <w:t xml:space="preserve">[Accessed </w:t>
      </w:r>
      <w:r>
        <w:rPr>
          <w:rFonts w:hint="eastAsia" w:ascii="Arial" w:hAnsi="Arial" w:eastAsia="宋体" w:cs="Arial"/>
          <w:sz w:val="24"/>
          <w:szCs w:val="24"/>
          <w:lang w:val="en-US" w:eastAsia="zh-CN"/>
        </w:rPr>
        <w:t>10</w:t>
      </w:r>
      <w:r>
        <w:rPr>
          <w:rFonts w:hint="default" w:ascii="Arial" w:hAnsi="Arial" w:cs="Arial"/>
          <w:sz w:val="24"/>
          <w:szCs w:val="24"/>
          <w:lang w:val="en-US"/>
        </w:rPr>
        <w:t xml:space="preserve"> Mar</w:t>
      </w:r>
      <w:r>
        <w:rPr>
          <w:rFonts w:hint="eastAsia" w:ascii="Arial" w:hAnsi="Arial" w:eastAsia="宋体" w:cs="Arial"/>
          <w:sz w:val="24"/>
          <w:szCs w:val="24"/>
          <w:lang w:val="en-US" w:eastAsia="zh-CN"/>
        </w:rPr>
        <w:t>ch</w:t>
      </w:r>
      <w:r>
        <w:rPr>
          <w:rFonts w:hint="default" w:ascii="Arial" w:hAnsi="Arial" w:cs="Arial"/>
          <w:sz w:val="24"/>
          <w:szCs w:val="24"/>
          <w:lang w:val="en-US"/>
        </w:rPr>
        <w:t xml:space="preserve"> 2023].</w:t>
      </w:r>
    </w:p>
    <w:p>
      <w:pPr>
        <w:ind w:left="720" w:hanging="720"/>
        <w:rPr>
          <w:color w:val="0563C1"/>
          <w:u w:val="single"/>
        </w:rPr>
      </w:pPr>
    </w:p>
    <w:sectPr>
      <w:footerReference r:id="rId7" w:type="default"/>
      <w:pgSz w:w="12240" w:h="15840"/>
      <w:pgMar w:top="1440" w:right="1440" w:bottom="1440" w:left="1440" w:header="720" w:footer="720" w:gutter="0"/>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Georgia">
    <w:panose1 w:val="02040502050405020303"/>
    <w:charset w:val="00"/>
    <w:family w:val="roman"/>
    <w:pitch w:val="default"/>
    <w:sig w:usb0="00000287" w:usb1="00000000" w:usb2="00000000" w:usb3="00000000" w:csb0="2000009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Noto Sans Symbols">
    <w:altName w:val="Calibr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r>
      <w:rPr>
        <w:sz w:val="24"/>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14"/>
                      <w:rPr>
                        <w:rFonts w:hint="default" w:ascii="Arial" w:hAnsi="Arial" w:cs="Arial"/>
                      </w:rPr>
                    </w:pPr>
                    <w:r>
                      <w:rPr>
                        <w:rFonts w:hint="default" w:ascii="Arial" w:hAnsi="Arial" w:cs="Arial"/>
                      </w:rPr>
                      <w:fldChar w:fldCharType="begin"/>
                    </w:r>
                    <w:r>
                      <w:rPr>
                        <w:rFonts w:hint="default" w:ascii="Arial" w:hAnsi="Arial" w:cs="Arial"/>
                      </w:rPr>
                      <w:instrText xml:space="preserve"> PAGE  \* MERGEFORMAT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50976A1"/>
    <w:multiLevelType w:val="singleLevel"/>
    <w:tmpl w:val="850976A1"/>
    <w:lvl w:ilvl="0" w:tentative="0">
      <w:start w:val="1"/>
      <w:numFmt w:val="decimal"/>
      <w:lvlText w:val="%1."/>
      <w:lvlJc w:val="left"/>
      <w:pPr>
        <w:ind w:left="425" w:hanging="425"/>
      </w:pPr>
      <w:rPr>
        <w:rFonts w:hint="default"/>
      </w:rPr>
    </w:lvl>
  </w:abstractNum>
  <w:abstractNum w:abstractNumId="1">
    <w:nsid w:val="A88A8506"/>
    <w:multiLevelType w:val="multilevel"/>
    <w:tmpl w:val="A88A8506"/>
    <w:lvl w:ilvl="0" w:tentative="0">
      <w:start w:val="4"/>
      <w:numFmt w:val="decimal"/>
      <w:pStyle w:val="2"/>
      <w:lvlText w:val="%1."/>
      <w:lvlJc w:val="left"/>
      <w:pPr>
        <w:ind w:left="432" w:hanging="432"/>
      </w:pPr>
      <w:rPr>
        <w:rFonts w:hint="default"/>
      </w:rPr>
    </w:lvl>
    <w:lvl w:ilvl="1" w:tentative="0">
      <w:start w:val="1"/>
      <w:numFmt w:val="decimal"/>
      <w:pStyle w:val="3"/>
      <w:lvlText w:val="%1.%2."/>
      <w:lvlJc w:val="left"/>
      <w:pPr>
        <w:ind w:left="575" w:hanging="575"/>
      </w:pPr>
      <w:rPr>
        <w:rFonts w:hint="default" w:ascii="Arial" w:hAnsi="Arial" w:eastAsia="Arial" w:cs="宋体"/>
      </w:rPr>
    </w:lvl>
    <w:lvl w:ilvl="2" w:tentative="0">
      <w:start w:val="1"/>
      <w:numFmt w:val="decimal"/>
      <w:pStyle w:val="4"/>
      <w:lvlText w:val="%1.%2.%3."/>
      <w:lvlJc w:val="left"/>
      <w:pPr>
        <w:ind w:left="720" w:hanging="720"/>
      </w:pPr>
      <w:rPr>
        <w:rFonts w:hint="default"/>
      </w:rPr>
    </w:lvl>
    <w:lvl w:ilvl="3" w:tentative="0">
      <w:start w:val="1"/>
      <w:numFmt w:val="decimal"/>
      <w:pStyle w:val="5"/>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1" w:hanging="1151"/>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3" w:hanging="1583"/>
      </w:pPr>
      <w:rPr>
        <w:rFonts w:hint="default"/>
      </w:rPr>
    </w:lvl>
  </w:abstractNum>
  <w:abstractNum w:abstractNumId="2">
    <w:nsid w:val="00E81CFB"/>
    <w:multiLevelType w:val="multilevel"/>
    <w:tmpl w:val="00E81CFB"/>
    <w:lvl w:ilvl="0" w:tentative="0">
      <w:start w:val="2"/>
      <w:numFmt w:val="decimal"/>
      <w:lvlText w:val="%1."/>
      <w:lvlJc w:val="left"/>
      <w:pPr>
        <w:ind w:left="425" w:hanging="425"/>
      </w:pPr>
      <w:rPr>
        <w:rFonts w:hint="default" w:ascii="Arial" w:hAnsi="Arial"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3">
    <w:nsid w:val="263899FF"/>
    <w:multiLevelType w:val="singleLevel"/>
    <w:tmpl w:val="263899FF"/>
    <w:lvl w:ilvl="0" w:tentative="0">
      <w:start w:val="1"/>
      <w:numFmt w:val="decimal"/>
      <w:suff w:val="space"/>
      <w:lvlText w:val="(%1)"/>
      <w:lvlJc w:val="left"/>
    </w:lvl>
  </w:abstractNum>
  <w:abstractNum w:abstractNumId="4">
    <w:nsid w:val="4481450F"/>
    <w:multiLevelType w:val="multilevel"/>
    <w:tmpl w:val="4481450F"/>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5">
    <w:nsid w:val="45C21B53"/>
    <w:multiLevelType w:val="multilevel"/>
    <w:tmpl w:val="45C21B53"/>
    <w:lvl w:ilvl="0" w:tentative="0">
      <w:start w:val="1"/>
      <w:numFmt w:val="decimal"/>
      <w:suff w:val="space"/>
      <w:lvlText w:val="%1"/>
      <w:lvlJc w:val="left"/>
      <w:pPr>
        <w:tabs>
          <w:tab w:val="left" w:pos="0"/>
        </w:tabs>
      </w:pPr>
      <w:rPr>
        <w:rFonts w:hint="default" w:ascii="Arial" w:hAnsi="Arial" w:eastAsia="Arial" w:cs="Arial"/>
        <w:b/>
        <w:sz w:val="32"/>
        <w:szCs w:val="24"/>
      </w:rPr>
    </w:lvl>
    <w:lvl w:ilvl="1" w:tentative="0">
      <w:start w:val="1"/>
      <w:numFmt w:val="decimal"/>
      <w:suff w:val="space"/>
      <w:lvlText w:val="%1.%2"/>
      <w:lvlJc w:val="left"/>
      <w:pPr>
        <w:ind w:left="0" w:leftChars="0" w:firstLine="0" w:firstLineChars="0"/>
      </w:pPr>
      <w:rPr>
        <w:rFonts w:hint="default" w:ascii="宋体" w:hAnsi="宋体" w:eastAsia="宋体" w:cs="宋体"/>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zMTMwtzAwNTYztTBV0lEKTi0uzszPAykwqQUA00GTfCwAAAA="/>
    <w:docVar w:name="commondata" w:val="eyJoZGlkIjoiZjc2MDY5YjI0ZjcwNTBiM2QzMGM1MGM5MWQ1YmJjMjYifQ=="/>
  </w:docVars>
  <w:rsids>
    <w:rsidRoot w:val="00861D0E"/>
    <w:rsid w:val="00026F57"/>
    <w:rsid w:val="000C7475"/>
    <w:rsid w:val="000D31C9"/>
    <w:rsid w:val="000D4CAA"/>
    <w:rsid w:val="001068A7"/>
    <w:rsid w:val="00124EDB"/>
    <w:rsid w:val="00143A30"/>
    <w:rsid w:val="001A0794"/>
    <w:rsid w:val="001B07A5"/>
    <w:rsid w:val="002663B7"/>
    <w:rsid w:val="002708A9"/>
    <w:rsid w:val="00337504"/>
    <w:rsid w:val="00356F05"/>
    <w:rsid w:val="00366B3E"/>
    <w:rsid w:val="003D5EE9"/>
    <w:rsid w:val="004114E8"/>
    <w:rsid w:val="004359B4"/>
    <w:rsid w:val="00450F4C"/>
    <w:rsid w:val="004F3376"/>
    <w:rsid w:val="005C18F8"/>
    <w:rsid w:val="005C700B"/>
    <w:rsid w:val="005D57F2"/>
    <w:rsid w:val="005E2D63"/>
    <w:rsid w:val="00605FD0"/>
    <w:rsid w:val="00611120"/>
    <w:rsid w:val="0064699F"/>
    <w:rsid w:val="006725D1"/>
    <w:rsid w:val="006A68FD"/>
    <w:rsid w:val="006B3ED5"/>
    <w:rsid w:val="006F6133"/>
    <w:rsid w:val="0070571F"/>
    <w:rsid w:val="007072FD"/>
    <w:rsid w:val="00714219"/>
    <w:rsid w:val="007533C7"/>
    <w:rsid w:val="007D6F9C"/>
    <w:rsid w:val="007F78FA"/>
    <w:rsid w:val="00843486"/>
    <w:rsid w:val="00861D0E"/>
    <w:rsid w:val="0087523A"/>
    <w:rsid w:val="008777FE"/>
    <w:rsid w:val="0088569E"/>
    <w:rsid w:val="00890755"/>
    <w:rsid w:val="008A28E7"/>
    <w:rsid w:val="00931BDD"/>
    <w:rsid w:val="009346DA"/>
    <w:rsid w:val="0098105E"/>
    <w:rsid w:val="00A5742B"/>
    <w:rsid w:val="00A706D1"/>
    <w:rsid w:val="00A9514D"/>
    <w:rsid w:val="00AD1336"/>
    <w:rsid w:val="00B02E23"/>
    <w:rsid w:val="00B25F0C"/>
    <w:rsid w:val="00B41B7A"/>
    <w:rsid w:val="00B64DA2"/>
    <w:rsid w:val="00B769B8"/>
    <w:rsid w:val="00BD55E0"/>
    <w:rsid w:val="00C730C8"/>
    <w:rsid w:val="00C75F8E"/>
    <w:rsid w:val="00CA0EAF"/>
    <w:rsid w:val="00D02FD9"/>
    <w:rsid w:val="00D05868"/>
    <w:rsid w:val="00D22F40"/>
    <w:rsid w:val="00DA52A4"/>
    <w:rsid w:val="00DB04E1"/>
    <w:rsid w:val="00DF4A2C"/>
    <w:rsid w:val="00E06276"/>
    <w:rsid w:val="00E325D2"/>
    <w:rsid w:val="00E6123A"/>
    <w:rsid w:val="00E62A4A"/>
    <w:rsid w:val="00EC31A6"/>
    <w:rsid w:val="00ED025D"/>
    <w:rsid w:val="00ED5004"/>
    <w:rsid w:val="00F0106A"/>
    <w:rsid w:val="00F2709B"/>
    <w:rsid w:val="00F36F68"/>
    <w:rsid w:val="00F4380B"/>
    <w:rsid w:val="00FD0DBC"/>
    <w:rsid w:val="013C2BBE"/>
    <w:rsid w:val="01BB5A85"/>
    <w:rsid w:val="020E02AA"/>
    <w:rsid w:val="02647ECA"/>
    <w:rsid w:val="042B5143"/>
    <w:rsid w:val="046F071C"/>
    <w:rsid w:val="05404C1F"/>
    <w:rsid w:val="0708176C"/>
    <w:rsid w:val="08E61E86"/>
    <w:rsid w:val="092263E9"/>
    <w:rsid w:val="0A36039E"/>
    <w:rsid w:val="0AE53B72"/>
    <w:rsid w:val="0BB30FB1"/>
    <w:rsid w:val="0BCD088E"/>
    <w:rsid w:val="0C45497E"/>
    <w:rsid w:val="0EA31D7A"/>
    <w:rsid w:val="12F14F55"/>
    <w:rsid w:val="154C6D57"/>
    <w:rsid w:val="15821A30"/>
    <w:rsid w:val="170735FB"/>
    <w:rsid w:val="19900249"/>
    <w:rsid w:val="1A3A618A"/>
    <w:rsid w:val="1B9F38C9"/>
    <w:rsid w:val="1C0B748C"/>
    <w:rsid w:val="1C9D42AD"/>
    <w:rsid w:val="1CD777BF"/>
    <w:rsid w:val="1DB138D0"/>
    <w:rsid w:val="1DDE4B7D"/>
    <w:rsid w:val="1E390005"/>
    <w:rsid w:val="1FAE057F"/>
    <w:rsid w:val="1FBC4A4A"/>
    <w:rsid w:val="208A1BD5"/>
    <w:rsid w:val="24CA19B7"/>
    <w:rsid w:val="260106F7"/>
    <w:rsid w:val="26345C82"/>
    <w:rsid w:val="26B7240F"/>
    <w:rsid w:val="28650375"/>
    <w:rsid w:val="29762687"/>
    <w:rsid w:val="29B12F1C"/>
    <w:rsid w:val="2A71043B"/>
    <w:rsid w:val="2ABE1FBE"/>
    <w:rsid w:val="2B33475A"/>
    <w:rsid w:val="2B3634F0"/>
    <w:rsid w:val="2C8B2374"/>
    <w:rsid w:val="2C972AC7"/>
    <w:rsid w:val="2CA451E4"/>
    <w:rsid w:val="2CBC42DB"/>
    <w:rsid w:val="30185CCC"/>
    <w:rsid w:val="30AC28B9"/>
    <w:rsid w:val="30DF1214"/>
    <w:rsid w:val="310423B7"/>
    <w:rsid w:val="335A7170"/>
    <w:rsid w:val="33B91574"/>
    <w:rsid w:val="33CA3782"/>
    <w:rsid w:val="33DC1707"/>
    <w:rsid w:val="33E83C08"/>
    <w:rsid w:val="364F7F6E"/>
    <w:rsid w:val="3705360F"/>
    <w:rsid w:val="37240250"/>
    <w:rsid w:val="3885411B"/>
    <w:rsid w:val="3A573895"/>
    <w:rsid w:val="3AC33322"/>
    <w:rsid w:val="3BD5458B"/>
    <w:rsid w:val="3DD1570D"/>
    <w:rsid w:val="3EEA2F2A"/>
    <w:rsid w:val="40A33793"/>
    <w:rsid w:val="40EF554A"/>
    <w:rsid w:val="42F83F42"/>
    <w:rsid w:val="430B346F"/>
    <w:rsid w:val="43D353AE"/>
    <w:rsid w:val="447D2D74"/>
    <w:rsid w:val="44D828C7"/>
    <w:rsid w:val="44D93D44"/>
    <w:rsid w:val="45B47DEE"/>
    <w:rsid w:val="4678706D"/>
    <w:rsid w:val="46955E71"/>
    <w:rsid w:val="47BB1907"/>
    <w:rsid w:val="485C3DC6"/>
    <w:rsid w:val="491E2A22"/>
    <w:rsid w:val="4A2E2E00"/>
    <w:rsid w:val="4AA20B5D"/>
    <w:rsid w:val="4B4B2FA2"/>
    <w:rsid w:val="4E880069"/>
    <w:rsid w:val="501E6ED7"/>
    <w:rsid w:val="50974594"/>
    <w:rsid w:val="50DD197E"/>
    <w:rsid w:val="52246A20"/>
    <w:rsid w:val="53917463"/>
    <w:rsid w:val="53A51A58"/>
    <w:rsid w:val="54866DF9"/>
    <w:rsid w:val="54E12281"/>
    <w:rsid w:val="5507618C"/>
    <w:rsid w:val="58DD1125"/>
    <w:rsid w:val="594C6863"/>
    <w:rsid w:val="59DD570D"/>
    <w:rsid w:val="5D0C00B7"/>
    <w:rsid w:val="5DC34C1A"/>
    <w:rsid w:val="5E7E4EC5"/>
    <w:rsid w:val="600A2FD4"/>
    <w:rsid w:val="60730B79"/>
    <w:rsid w:val="62127F1E"/>
    <w:rsid w:val="625C73EB"/>
    <w:rsid w:val="62841EA6"/>
    <w:rsid w:val="63344A56"/>
    <w:rsid w:val="637A5D7B"/>
    <w:rsid w:val="64CC36DC"/>
    <w:rsid w:val="64F92C6C"/>
    <w:rsid w:val="660E5C1F"/>
    <w:rsid w:val="670F2C7E"/>
    <w:rsid w:val="67F65BEC"/>
    <w:rsid w:val="69917D6E"/>
    <w:rsid w:val="699B4C9D"/>
    <w:rsid w:val="6A8B6AC0"/>
    <w:rsid w:val="6E511DCE"/>
    <w:rsid w:val="6EFD5AB2"/>
    <w:rsid w:val="6F0926A9"/>
    <w:rsid w:val="70AE5F6F"/>
    <w:rsid w:val="71C034F3"/>
    <w:rsid w:val="72B666A4"/>
    <w:rsid w:val="735465E8"/>
    <w:rsid w:val="74163E96"/>
    <w:rsid w:val="75624DE6"/>
    <w:rsid w:val="78197E01"/>
    <w:rsid w:val="78A771BA"/>
    <w:rsid w:val="7A5F39FD"/>
    <w:rsid w:val="7A707A80"/>
    <w:rsid w:val="7C014E34"/>
    <w:rsid w:val="7C471115"/>
    <w:rsid w:val="7C701FB9"/>
    <w:rsid w:val="7CB2073C"/>
    <w:rsid w:val="7E435BD1"/>
    <w:rsid w:val="7E5C0A47"/>
    <w:rsid w:val="7E9E2E0E"/>
    <w:rsid w:val="7FE752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iPriority="39"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qFormat="1"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jc w:val="both"/>
    </w:pPr>
    <w:rPr>
      <w:rFonts w:ascii="Times New Roman" w:hAnsi="Times New Roman" w:eastAsia="Times New Roman" w:cs="Times New Roman"/>
      <w:sz w:val="24"/>
      <w:szCs w:val="24"/>
      <w:lang w:val="en-GB" w:eastAsia="en-US" w:bidi="ar-SA"/>
    </w:rPr>
  </w:style>
  <w:style w:type="paragraph" w:styleId="2">
    <w:name w:val="heading 1"/>
    <w:basedOn w:val="1"/>
    <w:next w:val="1"/>
    <w:link w:val="37"/>
    <w:qFormat/>
    <w:uiPriority w:val="0"/>
    <w:pPr>
      <w:keepNext/>
      <w:keepLines/>
      <w:numPr>
        <w:ilvl w:val="0"/>
        <w:numId w:val="1"/>
      </w:numPr>
      <w:spacing w:before="480" w:after="120"/>
      <w:ind w:left="432" w:hanging="432"/>
      <w:outlineLvl w:val="0"/>
    </w:pPr>
    <w:rPr>
      <w:b/>
      <w:sz w:val="48"/>
      <w:szCs w:val="48"/>
    </w:rPr>
  </w:style>
  <w:style w:type="paragraph" w:styleId="3">
    <w:name w:val="heading 2"/>
    <w:basedOn w:val="1"/>
    <w:next w:val="1"/>
    <w:link w:val="36"/>
    <w:unhideWhenUsed/>
    <w:qFormat/>
    <w:uiPriority w:val="0"/>
    <w:pPr>
      <w:keepNext/>
      <w:keepLines/>
      <w:numPr>
        <w:ilvl w:val="1"/>
        <w:numId w:val="1"/>
      </w:numPr>
      <w:spacing w:before="360" w:after="80"/>
      <w:ind w:left="575" w:hanging="575"/>
      <w:outlineLvl w:val="1"/>
    </w:pPr>
    <w:rPr>
      <w:b/>
      <w:sz w:val="36"/>
      <w:szCs w:val="36"/>
    </w:rPr>
  </w:style>
  <w:style w:type="paragraph" w:styleId="4">
    <w:name w:val="heading 3"/>
    <w:basedOn w:val="1"/>
    <w:next w:val="1"/>
    <w:unhideWhenUsed/>
    <w:qFormat/>
    <w:uiPriority w:val="0"/>
    <w:pPr>
      <w:keepNext/>
      <w:keepLines/>
      <w:numPr>
        <w:ilvl w:val="2"/>
        <w:numId w:val="1"/>
      </w:numPr>
      <w:spacing w:before="280" w:after="80"/>
      <w:ind w:left="720" w:hanging="720"/>
      <w:outlineLvl w:val="2"/>
    </w:pPr>
    <w:rPr>
      <w:b/>
      <w:sz w:val="28"/>
      <w:szCs w:val="28"/>
    </w:rPr>
  </w:style>
  <w:style w:type="paragraph" w:styleId="5">
    <w:name w:val="heading 4"/>
    <w:basedOn w:val="1"/>
    <w:next w:val="1"/>
    <w:semiHidden/>
    <w:unhideWhenUsed/>
    <w:qFormat/>
    <w:uiPriority w:val="0"/>
    <w:pPr>
      <w:keepNext/>
      <w:keepLines/>
      <w:numPr>
        <w:ilvl w:val="3"/>
        <w:numId w:val="1"/>
      </w:numPr>
      <w:spacing w:before="240" w:after="40"/>
      <w:ind w:left="864" w:hanging="864"/>
      <w:outlineLvl w:val="3"/>
    </w:pPr>
    <w:rPr>
      <w:b/>
    </w:rPr>
  </w:style>
  <w:style w:type="paragraph" w:styleId="6">
    <w:name w:val="heading 5"/>
    <w:basedOn w:val="1"/>
    <w:next w:val="1"/>
    <w:semiHidden/>
    <w:unhideWhenUsed/>
    <w:qFormat/>
    <w:uiPriority w:val="0"/>
    <w:pPr>
      <w:keepNext/>
      <w:keepLines/>
      <w:numPr>
        <w:ilvl w:val="4"/>
        <w:numId w:val="1"/>
      </w:numPr>
      <w:spacing w:before="220" w:after="40"/>
      <w:ind w:left="1008" w:hanging="1008"/>
      <w:outlineLvl w:val="4"/>
    </w:pPr>
    <w:rPr>
      <w:b/>
      <w:sz w:val="22"/>
      <w:szCs w:val="22"/>
    </w:rPr>
  </w:style>
  <w:style w:type="paragraph" w:styleId="7">
    <w:name w:val="heading 6"/>
    <w:basedOn w:val="1"/>
    <w:next w:val="1"/>
    <w:semiHidden/>
    <w:unhideWhenUsed/>
    <w:qFormat/>
    <w:uiPriority w:val="0"/>
    <w:pPr>
      <w:keepNext/>
      <w:keepLines/>
      <w:numPr>
        <w:ilvl w:val="5"/>
        <w:numId w:val="1"/>
      </w:numPr>
      <w:spacing w:before="200" w:after="40"/>
      <w:ind w:left="1151" w:hanging="1151"/>
      <w:outlineLvl w:val="5"/>
    </w:pPr>
    <w:rPr>
      <w:b/>
      <w:sz w:val="20"/>
      <w:szCs w:val="20"/>
    </w:rPr>
  </w:style>
  <w:style w:type="paragraph" w:styleId="8">
    <w:name w:val="heading 7"/>
    <w:basedOn w:val="1"/>
    <w:next w:val="1"/>
    <w:semiHidden/>
    <w:unhideWhenUsed/>
    <w:qFormat/>
    <w:uiPriority w:val="0"/>
    <w:pPr>
      <w:keepNext/>
      <w:keepLines/>
      <w:numPr>
        <w:ilvl w:val="6"/>
        <w:numId w:val="1"/>
      </w:numPr>
      <w:spacing w:before="240" w:beforeLines="0" w:beforeAutospacing="0" w:after="64" w:afterLines="0" w:afterAutospacing="0" w:line="317" w:lineRule="auto"/>
      <w:ind w:left="1296" w:hanging="1296"/>
      <w:outlineLvl w:val="6"/>
    </w:pPr>
    <w:rPr>
      <w:b/>
      <w:sz w:val="24"/>
    </w:rPr>
  </w:style>
  <w:style w:type="paragraph" w:styleId="9">
    <w:name w:val="heading 8"/>
    <w:basedOn w:val="1"/>
    <w:next w:val="1"/>
    <w:semiHidden/>
    <w:unhideWhenUsed/>
    <w:qFormat/>
    <w:uiPriority w:val="0"/>
    <w:pPr>
      <w:keepNext/>
      <w:keepLines/>
      <w:numPr>
        <w:ilvl w:val="7"/>
        <w:numId w:val="1"/>
      </w:numPr>
      <w:spacing w:before="240" w:beforeLines="0" w:beforeAutospacing="0" w:after="64" w:afterLines="0" w:afterAutospacing="0" w:line="317" w:lineRule="auto"/>
      <w:ind w:left="1440" w:hanging="1440"/>
      <w:outlineLvl w:val="7"/>
    </w:pPr>
    <w:rPr>
      <w:rFonts w:ascii="Arial" w:hAnsi="Arial" w:eastAsia="黑体"/>
      <w:sz w:val="24"/>
    </w:rPr>
  </w:style>
  <w:style w:type="paragraph" w:styleId="10">
    <w:name w:val="heading 9"/>
    <w:basedOn w:val="1"/>
    <w:next w:val="1"/>
    <w:semiHidden/>
    <w:unhideWhenUsed/>
    <w:qFormat/>
    <w:uiPriority w:val="0"/>
    <w:pPr>
      <w:keepNext/>
      <w:keepLines/>
      <w:numPr>
        <w:ilvl w:val="8"/>
        <w:numId w:val="1"/>
      </w:numPr>
      <w:spacing w:before="240" w:beforeLines="0" w:beforeAutospacing="0" w:after="64" w:afterLines="0" w:afterAutospacing="0" w:line="317" w:lineRule="auto"/>
      <w:ind w:left="1583" w:hanging="1583"/>
      <w:outlineLvl w:val="8"/>
    </w:pPr>
    <w:rPr>
      <w:rFonts w:ascii="Arial" w:hAnsi="Arial" w:eastAsia="黑体"/>
      <w:sz w:val="21"/>
    </w:rPr>
  </w:style>
  <w:style w:type="character" w:default="1" w:styleId="24">
    <w:name w:val="Default Paragraph Font"/>
    <w:semiHidden/>
    <w:qFormat/>
    <w:uiPriority w:val="0"/>
  </w:style>
  <w:style w:type="table" w:default="1" w:styleId="22">
    <w:name w:val="Normal Table"/>
    <w:semiHidden/>
    <w:qFormat/>
    <w:uiPriority w:val="0"/>
    <w:tblPr>
      <w:tblCellMar>
        <w:top w:w="0" w:type="dxa"/>
        <w:left w:w="108" w:type="dxa"/>
        <w:bottom w:w="0" w:type="dxa"/>
        <w:right w:w="108" w:type="dxa"/>
      </w:tblCellMar>
    </w:tblPr>
  </w:style>
  <w:style w:type="paragraph" w:styleId="11">
    <w:name w:val="annotation text"/>
    <w:basedOn w:val="1"/>
    <w:link w:val="29"/>
    <w:qFormat/>
    <w:uiPriority w:val="0"/>
    <w:pPr>
      <w:spacing w:line="240" w:lineRule="auto"/>
    </w:pPr>
    <w:rPr>
      <w:sz w:val="20"/>
      <w:szCs w:val="20"/>
    </w:rPr>
  </w:style>
  <w:style w:type="paragraph" w:styleId="12">
    <w:name w:val="toc 3"/>
    <w:basedOn w:val="1"/>
    <w:next w:val="1"/>
    <w:qFormat/>
    <w:uiPriority w:val="0"/>
    <w:pPr>
      <w:ind w:left="840" w:leftChars="400"/>
    </w:pPr>
  </w:style>
  <w:style w:type="paragraph" w:styleId="13">
    <w:name w:val="Balloon Text"/>
    <w:basedOn w:val="1"/>
    <w:link w:val="33"/>
    <w:qFormat/>
    <w:uiPriority w:val="0"/>
    <w:pPr>
      <w:spacing w:line="240" w:lineRule="auto"/>
    </w:pPr>
    <w:rPr>
      <w:rFonts w:ascii="Segoe UI" w:hAnsi="Segoe UI" w:cs="Segoe UI"/>
      <w:sz w:val="18"/>
      <w:szCs w:val="18"/>
    </w:rPr>
  </w:style>
  <w:style w:type="paragraph" w:styleId="14">
    <w:name w:val="footer"/>
    <w:basedOn w:val="1"/>
    <w:link w:val="32"/>
    <w:qFormat/>
    <w:uiPriority w:val="0"/>
    <w:pPr>
      <w:tabs>
        <w:tab w:val="center" w:pos="4680"/>
        <w:tab w:val="right" w:pos="9360"/>
      </w:tabs>
      <w:spacing w:line="240" w:lineRule="auto"/>
    </w:pPr>
  </w:style>
  <w:style w:type="paragraph" w:styleId="15">
    <w:name w:val="header"/>
    <w:basedOn w:val="1"/>
    <w:link w:val="31"/>
    <w:qFormat/>
    <w:uiPriority w:val="0"/>
    <w:pPr>
      <w:tabs>
        <w:tab w:val="center" w:pos="4680"/>
        <w:tab w:val="right" w:pos="9360"/>
      </w:tabs>
      <w:spacing w:line="240" w:lineRule="auto"/>
    </w:pPr>
  </w:style>
  <w:style w:type="paragraph" w:styleId="16">
    <w:name w:val="toc 1"/>
    <w:basedOn w:val="1"/>
    <w:next w:val="1"/>
    <w:qFormat/>
    <w:uiPriority w:val="0"/>
    <w:pPr>
      <w:spacing w:after="100"/>
    </w:pPr>
  </w:style>
  <w:style w:type="paragraph" w:styleId="17">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18">
    <w:name w:val="toc 2"/>
    <w:basedOn w:val="1"/>
    <w:next w:val="1"/>
    <w:unhideWhenUsed/>
    <w:qFormat/>
    <w:uiPriority w:val="39"/>
    <w:pPr>
      <w:spacing w:after="100"/>
      <w:ind w:left="240"/>
    </w:pPr>
  </w:style>
  <w:style w:type="paragraph" w:styleId="19">
    <w:name w:val="Normal (Web)"/>
    <w:basedOn w:val="1"/>
    <w:qFormat/>
    <w:uiPriority w:val="0"/>
  </w:style>
  <w:style w:type="paragraph" w:styleId="20">
    <w:name w:val="Title"/>
    <w:basedOn w:val="1"/>
    <w:next w:val="1"/>
    <w:qFormat/>
    <w:uiPriority w:val="0"/>
    <w:pPr>
      <w:keepNext/>
      <w:keepLines/>
      <w:spacing w:before="480" w:after="120"/>
    </w:pPr>
    <w:rPr>
      <w:b/>
      <w:sz w:val="72"/>
      <w:szCs w:val="72"/>
    </w:rPr>
  </w:style>
  <w:style w:type="paragraph" w:styleId="21">
    <w:name w:val="annotation subject"/>
    <w:basedOn w:val="11"/>
    <w:next w:val="11"/>
    <w:link w:val="30"/>
    <w:qFormat/>
    <w:uiPriority w:val="0"/>
    <w:rPr>
      <w:b/>
      <w:bCs/>
    </w:rPr>
  </w:style>
  <w:style w:type="table" w:styleId="23">
    <w:name w:val="Table Grid"/>
    <w:basedOn w:val="22"/>
    <w:qFormat/>
    <w:uiPriority w:val="0"/>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5">
    <w:name w:val="FollowedHyperlink"/>
    <w:basedOn w:val="24"/>
    <w:qFormat/>
    <w:uiPriority w:val="0"/>
    <w:rPr>
      <w:color w:val="954F72" w:themeColor="followedHyperlink"/>
      <w:u w:val="single"/>
      <w14:textFill>
        <w14:solidFill>
          <w14:schemeClr w14:val="folHlink"/>
        </w14:solidFill>
      </w14:textFill>
    </w:rPr>
  </w:style>
  <w:style w:type="character" w:styleId="26">
    <w:name w:val="Hyperlink"/>
    <w:basedOn w:val="24"/>
    <w:qFormat/>
    <w:uiPriority w:val="0"/>
    <w:rPr>
      <w:color w:val="0563C1" w:themeColor="hyperlink"/>
      <w:u w:val="single"/>
      <w14:textFill>
        <w14:solidFill>
          <w14:schemeClr w14:val="hlink"/>
        </w14:solidFill>
      </w14:textFill>
    </w:rPr>
  </w:style>
  <w:style w:type="character" w:styleId="27">
    <w:name w:val="annotation reference"/>
    <w:basedOn w:val="24"/>
    <w:qFormat/>
    <w:uiPriority w:val="0"/>
    <w:rPr>
      <w:sz w:val="16"/>
      <w:szCs w:val="16"/>
    </w:rPr>
  </w:style>
  <w:style w:type="character" w:customStyle="1" w:styleId="28">
    <w:name w:val="Unresolved Mention1"/>
    <w:basedOn w:val="24"/>
    <w:semiHidden/>
    <w:unhideWhenUsed/>
    <w:qFormat/>
    <w:uiPriority w:val="99"/>
    <w:rPr>
      <w:color w:val="605E5C"/>
      <w:shd w:val="clear" w:color="auto" w:fill="E1DFDD"/>
    </w:rPr>
  </w:style>
  <w:style w:type="character" w:customStyle="1" w:styleId="29">
    <w:name w:val="Comment Text Char"/>
    <w:basedOn w:val="24"/>
    <w:link w:val="11"/>
    <w:semiHidden/>
    <w:qFormat/>
    <w:uiPriority w:val="99"/>
    <w:rPr>
      <w:rFonts w:ascii="Times New Roman" w:hAnsi="Times New Roman"/>
      <w:sz w:val="20"/>
      <w:szCs w:val="20"/>
    </w:rPr>
  </w:style>
  <w:style w:type="character" w:customStyle="1" w:styleId="30">
    <w:name w:val="Comment Subject Char"/>
    <w:basedOn w:val="29"/>
    <w:link w:val="21"/>
    <w:semiHidden/>
    <w:qFormat/>
    <w:uiPriority w:val="99"/>
    <w:rPr>
      <w:rFonts w:ascii="Times New Roman" w:hAnsi="Times New Roman"/>
      <w:b/>
      <w:bCs/>
      <w:sz w:val="20"/>
      <w:szCs w:val="20"/>
    </w:rPr>
  </w:style>
  <w:style w:type="character" w:customStyle="1" w:styleId="31">
    <w:name w:val="Header Char"/>
    <w:basedOn w:val="24"/>
    <w:link w:val="15"/>
    <w:qFormat/>
    <w:uiPriority w:val="99"/>
    <w:rPr>
      <w:rFonts w:ascii="Times New Roman" w:hAnsi="Times New Roman"/>
      <w:sz w:val="24"/>
      <w:szCs w:val="24"/>
    </w:rPr>
  </w:style>
  <w:style w:type="character" w:customStyle="1" w:styleId="32">
    <w:name w:val="Footer Char"/>
    <w:basedOn w:val="24"/>
    <w:link w:val="14"/>
    <w:qFormat/>
    <w:uiPriority w:val="99"/>
    <w:rPr>
      <w:rFonts w:ascii="Times New Roman" w:hAnsi="Times New Roman"/>
      <w:sz w:val="24"/>
      <w:szCs w:val="24"/>
    </w:rPr>
  </w:style>
  <w:style w:type="character" w:customStyle="1" w:styleId="33">
    <w:name w:val="Balloon Text Char"/>
    <w:basedOn w:val="24"/>
    <w:link w:val="13"/>
    <w:semiHidden/>
    <w:qFormat/>
    <w:uiPriority w:val="99"/>
    <w:rPr>
      <w:rFonts w:ascii="Segoe UI" w:hAnsi="Segoe UI" w:cs="Segoe UI"/>
      <w:sz w:val="18"/>
      <w:szCs w:val="18"/>
    </w:rPr>
  </w:style>
  <w:style w:type="paragraph" w:styleId="34">
    <w:name w:val="List Paragraph"/>
    <w:basedOn w:val="1"/>
    <w:qFormat/>
    <w:uiPriority w:val="34"/>
    <w:pPr>
      <w:ind w:left="720"/>
      <w:contextualSpacing/>
    </w:pPr>
  </w:style>
  <w:style w:type="table" w:customStyle="1" w:styleId="35">
    <w:name w:val="_Style 28"/>
    <w:basedOn w:val="22"/>
    <w:qFormat/>
    <w:uiPriority w:val="0"/>
    <w:pPr>
      <w:spacing w:line="240" w:lineRule="auto"/>
    </w:pPr>
  </w:style>
  <w:style w:type="character" w:customStyle="1" w:styleId="36">
    <w:name w:val="标题 2 Char"/>
    <w:link w:val="3"/>
    <w:qFormat/>
    <w:uiPriority w:val="9"/>
    <w:rPr>
      <w:b/>
      <w:sz w:val="36"/>
      <w:szCs w:val="36"/>
    </w:rPr>
  </w:style>
  <w:style w:type="character" w:customStyle="1" w:styleId="37">
    <w:name w:val="标题 1 Char"/>
    <w:link w:val="2"/>
    <w:qFormat/>
    <w:uiPriority w:val="9"/>
    <w:rPr>
      <w:b/>
      <w:sz w:val="48"/>
      <w:szCs w:val="48"/>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4.jpeg"/><Relationship Id="rId11" Type="http://schemas.openxmlformats.org/officeDocument/2006/relationships/image" Target="media/image3.jpeg"/><Relationship Id="rId10" Type="http://schemas.openxmlformats.org/officeDocument/2006/relationships/image" Target="media/image2.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vY1M32tAzWxNY4L3/UULwNBR4A==">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</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Normal.dotm</Template>
  <Pages>23</Pages>
  <Words>4389</Words>
  <Characters>26114</Characters>
  <Lines>0</Lines>
  <Paragraphs>0</Paragraphs>
  <TotalTime>2</TotalTime>
  <ScaleCrop>false</ScaleCrop>
  <LinksUpToDate>false</LinksUpToDate>
  <CharactersWithSpaces>30389</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J.PENG</cp:lastModifiedBy>
  <dcterms:modified xsi:type="dcterms:W3CDTF">2023-03-31T10:01:33Z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D8895C1BD95648DB9D1BF17AE6C0FF3E</vt:lpwstr>
  </property>
</Properties>
</file>