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E72BA" w14:textId="0192B804" w:rsidR="00940064" w:rsidRPr="006D39E3" w:rsidRDefault="00940064" w:rsidP="00470C60">
      <w:pPr>
        <w:jc w:val="center"/>
        <w:rPr>
          <w:rFonts w:asciiTheme="minorBidi" w:hAnsiTheme="minorBidi"/>
          <w:b/>
          <w:bCs/>
          <w:sz w:val="28"/>
          <w:szCs w:val="28"/>
        </w:rPr>
      </w:pPr>
      <w:r w:rsidRPr="006D39E3">
        <w:rPr>
          <w:rFonts w:asciiTheme="minorBidi" w:hAnsiTheme="minorBidi"/>
          <w:noProof/>
        </w:rPr>
        <w:drawing>
          <wp:inline distT="0" distB="0" distL="0" distR="0" wp14:anchorId="322C043E" wp14:editId="06DE3D39">
            <wp:extent cx="3676581" cy="1866900"/>
            <wp:effectExtent l="0" t="0" r="635" b="0"/>
            <wp:docPr id="453251632"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779" r="8965"/>
                    <a:stretch>
                      <a:fillRect/>
                    </a:stretch>
                  </pic:blipFill>
                  <pic:spPr bwMode="auto">
                    <a:xfrm>
                      <a:off x="0" y="0"/>
                      <a:ext cx="3698863" cy="1878215"/>
                    </a:xfrm>
                    <a:prstGeom prst="rect">
                      <a:avLst/>
                    </a:prstGeom>
                    <a:noFill/>
                    <a:ln>
                      <a:noFill/>
                    </a:ln>
                    <a:extLst>
                      <a:ext uri="{53640926-AAD7-44D8-BBD7-CCE9431645EC}">
                        <a14:shadowObscured xmlns:a14="http://schemas.microsoft.com/office/drawing/2010/main"/>
                      </a:ext>
                    </a:extLst>
                  </pic:spPr>
                </pic:pic>
              </a:graphicData>
            </a:graphic>
          </wp:inline>
        </w:drawing>
      </w:r>
    </w:p>
    <w:p w14:paraId="5562C715" w14:textId="2467BF54" w:rsidR="00940064" w:rsidRPr="006D39E3" w:rsidRDefault="00940064" w:rsidP="00940064">
      <w:pPr>
        <w:jc w:val="center"/>
        <w:rPr>
          <w:rFonts w:asciiTheme="minorBidi" w:hAnsiTheme="minorBidi"/>
          <w:b/>
          <w:bCs/>
          <w:sz w:val="28"/>
          <w:szCs w:val="28"/>
        </w:rPr>
      </w:pPr>
      <w:r w:rsidRPr="006D39E3">
        <w:rPr>
          <w:rFonts w:asciiTheme="minorBidi" w:hAnsiTheme="minorBidi"/>
          <w:b/>
          <w:bCs/>
          <w:sz w:val="28"/>
          <w:szCs w:val="28"/>
        </w:rPr>
        <w:t>Master of Business Administration</w:t>
      </w:r>
    </w:p>
    <w:p w14:paraId="7383B7CD" w14:textId="77777777" w:rsidR="00940064" w:rsidRPr="006D39E3" w:rsidRDefault="00940064" w:rsidP="00940064">
      <w:pPr>
        <w:jc w:val="center"/>
        <w:rPr>
          <w:rFonts w:asciiTheme="minorBidi" w:hAnsiTheme="minorBidi"/>
          <w:b/>
          <w:bCs/>
          <w:sz w:val="28"/>
          <w:szCs w:val="28"/>
        </w:rPr>
      </w:pPr>
      <w:r w:rsidRPr="006D39E3">
        <w:rPr>
          <w:rFonts w:asciiTheme="minorBidi" w:hAnsiTheme="minorBidi"/>
          <w:b/>
          <w:bCs/>
          <w:sz w:val="28"/>
          <w:szCs w:val="28"/>
        </w:rPr>
        <w:t>Module: Financial Management</w:t>
      </w:r>
    </w:p>
    <w:p w14:paraId="413DE0A1" w14:textId="3A7EBFB3" w:rsidR="00940064" w:rsidRPr="006D39E3" w:rsidRDefault="00940064" w:rsidP="00940064">
      <w:pPr>
        <w:jc w:val="center"/>
        <w:rPr>
          <w:rFonts w:asciiTheme="minorBidi" w:hAnsiTheme="minorBidi"/>
          <w:b/>
          <w:bCs/>
          <w:sz w:val="28"/>
          <w:szCs w:val="28"/>
        </w:rPr>
      </w:pPr>
      <w:bookmarkStart w:id="0" w:name="_Hlk213680725"/>
      <w:r w:rsidRPr="006D39E3">
        <w:rPr>
          <w:rFonts w:asciiTheme="minorBidi" w:hAnsiTheme="minorBidi"/>
          <w:b/>
          <w:bCs/>
          <w:sz w:val="28"/>
          <w:szCs w:val="28"/>
        </w:rPr>
        <w:t xml:space="preserve">Module code: </w:t>
      </w:r>
      <w:bookmarkEnd w:id="0"/>
      <w:r w:rsidRPr="006D39E3">
        <w:rPr>
          <w:rFonts w:asciiTheme="minorBidi" w:hAnsiTheme="minorBidi"/>
          <w:b/>
          <w:bCs/>
          <w:sz w:val="28"/>
          <w:szCs w:val="28"/>
        </w:rPr>
        <w:t>LCMB7002</w:t>
      </w:r>
    </w:p>
    <w:p w14:paraId="7DC9CC7A" w14:textId="7DCADCBA" w:rsidR="00940064" w:rsidRDefault="00940064" w:rsidP="00940064">
      <w:pPr>
        <w:jc w:val="center"/>
        <w:rPr>
          <w:rFonts w:asciiTheme="minorBidi" w:hAnsiTheme="minorBidi"/>
          <w:b/>
          <w:bCs/>
          <w:sz w:val="28"/>
          <w:szCs w:val="28"/>
        </w:rPr>
      </w:pPr>
      <w:r w:rsidRPr="006D39E3">
        <w:rPr>
          <w:rFonts w:asciiTheme="minorBidi" w:hAnsiTheme="minorBidi"/>
          <w:b/>
          <w:bCs/>
          <w:sz w:val="28"/>
          <w:szCs w:val="28"/>
        </w:rPr>
        <w:t>LEVEL 7 ASSESSMENT</w:t>
      </w:r>
    </w:p>
    <w:p w14:paraId="250D0BB6" w14:textId="77777777" w:rsidR="00F64186" w:rsidRPr="006D39E3" w:rsidRDefault="00F64186" w:rsidP="00F64186">
      <w:pPr>
        <w:jc w:val="center"/>
        <w:rPr>
          <w:rFonts w:asciiTheme="minorBidi" w:hAnsiTheme="minorBidi"/>
          <w:b/>
          <w:bCs/>
          <w:sz w:val="28"/>
          <w:szCs w:val="28"/>
        </w:rPr>
      </w:pPr>
      <w:r w:rsidRPr="006D39E3">
        <w:rPr>
          <w:rFonts w:asciiTheme="minorBidi" w:hAnsiTheme="minorBidi"/>
          <w:b/>
          <w:bCs/>
          <w:sz w:val="28"/>
          <w:szCs w:val="28"/>
        </w:rPr>
        <w:t>Student Name:</w:t>
      </w:r>
      <w:r>
        <w:rPr>
          <w:rFonts w:asciiTheme="minorBidi" w:hAnsiTheme="minorBidi"/>
          <w:b/>
          <w:bCs/>
          <w:sz w:val="28"/>
          <w:szCs w:val="28"/>
        </w:rPr>
        <w:t xml:space="preserve"> Shravan Nalumasu </w:t>
      </w:r>
    </w:p>
    <w:p w14:paraId="008718AB" w14:textId="77777777" w:rsidR="00F64186" w:rsidRDefault="00F64186" w:rsidP="00F64186">
      <w:pPr>
        <w:jc w:val="center"/>
        <w:rPr>
          <w:rFonts w:asciiTheme="minorBidi" w:hAnsiTheme="minorBidi"/>
          <w:b/>
          <w:bCs/>
          <w:sz w:val="28"/>
          <w:szCs w:val="28"/>
        </w:rPr>
      </w:pPr>
      <w:r w:rsidRPr="006D39E3">
        <w:rPr>
          <w:rFonts w:asciiTheme="minorBidi" w:hAnsiTheme="minorBidi"/>
          <w:b/>
          <w:bCs/>
          <w:sz w:val="28"/>
          <w:szCs w:val="28"/>
        </w:rPr>
        <w:t>Student ID:</w:t>
      </w:r>
      <w:r>
        <w:rPr>
          <w:rFonts w:asciiTheme="minorBidi" w:hAnsiTheme="minorBidi"/>
          <w:b/>
          <w:bCs/>
          <w:sz w:val="28"/>
          <w:szCs w:val="28"/>
        </w:rPr>
        <w:t xml:space="preserve">2432622 </w:t>
      </w:r>
    </w:p>
    <w:p w14:paraId="69420038" w14:textId="778FA111" w:rsidR="00F64186" w:rsidRDefault="00F64186" w:rsidP="00F64186">
      <w:pPr>
        <w:jc w:val="center"/>
        <w:rPr>
          <w:rFonts w:asciiTheme="minorBidi" w:hAnsiTheme="minorBidi"/>
          <w:b/>
          <w:bCs/>
          <w:sz w:val="28"/>
          <w:szCs w:val="28"/>
        </w:rPr>
      </w:pPr>
      <w:r>
        <w:rPr>
          <w:rFonts w:asciiTheme="minorBidi" w:hAnsiTheme="minorBidi"/>
          <w:b/>
          <w:bCs/>
          <w:sz w:val="28"/>
          <w:szCs w:val="28"/>
        </w:rPr>
        <w:t>Lecture’s Name:</w:t>
      </w:r>
      <w:r w:rsidRPr="00F64186">
        <w:t xml:space="preserve"> </w:t>
      </w:r>
      <w:r w:rsidRPr="00F64186">
        <w:rPr>
          <w:rFonts w:asciiTheme="minorBidi" w:hAnsiTheme="minorBidi"/>
          <w:b/>
          <w:bCs/>
          <w:sz w:val="28"/>
          <w:szCs w:val="28"/>
        </w:rPr>
        <w:t>Isaiah Oino</w:t>
      </w:r>
    </w:p>
    <w:p w14:paraId="40A500E9" w14:textId="229D249F" w:rsidR="00940064" w:rsidRPr="00470C60" w:rsidRDefault="00470C60" w:rsidP="00470C60">
      <w:pPr>
        <w:jc w:val="center"/>
        <w:rPr>
          <w:rFonts w:asciiTheme="minorBidi" w:hAnsiTheme="minorBidi"/>
          <w:b/>
          <w:bCs/>
          <w:sz w:val="28"/>
          <w:szCs w:val="28"/>
        </w:rPr>
      </w:pPr>
      <w:r w:rsidRPr="00470C60">
        <w:rPr>
          <w:rFonts w:asciiTheme="minorBidi" w:hAnsiTheme="minorBidi"/>
          <w:b/>
          <w:bCs/>
          <w:sz w:val="28"/>
          <w:szCs w:val="28"/>
        </w:rPr>
        <w:t>Term 1</w:t>
      </w:r>
    </w:p>
    <w:p w14:paraId="3BAE4EC9" w14:textId="77777777" w:rsidR="00470C60" w:rsidRPr="00470C60" w:rsidRDefault="00470C60" w:rsidP="00470C60">
      <w:pPr>
        <w:jc w:val="center"/>
        <w:rPr>
          <w:rFonts w:asciiTheme="minorBidi" w:hAnsiTheme="minorBidi"/>
          <w:b/>
          <w:bCs/>
          <w:sz w:val="28"/>
          <w:szCs w:val="28"/>
        </w:rPr>
      </w:pPr>
    </w:p>
    <w:p w14:paraId="19A06610" w14:textId="12ABF9F8" w:rsidR="007F3500" w:rsidRPr="006D39E3" w:rsidRDefault="00940064" w:rsidP="00F64186">
      <w:pPr>
        <w:jc w:val="center"/>
        <w:rPr>
          <w:rFonts w:asciiTheme="minorBidi" w:hAnsiTheme="minorBidi"/>
          <w:b/>
          <w:bCs/>
          <w:sz w:val="36"/>
          <w:szCs w:val="36"/>
        </w:rPr>
      </w:pPr>
      <w:r w:rsidRPr="006D39E3">
        <w:rPr>
          <w:rFonts w:asciiTheme="minorBidi" w:hAnsiTheme="minorBidi"/>
          <w:b/>
          <w:bCs/>
          <w:sz w:val="36"/>
          <w:szCs w:val="36"/>
        </w:rPr>
        <w:t>Assessment component: Financial performance and management</w:t>
      </w:r>
    </w:p>
    <w:p w14:paraId="515735C1" w14:textId="19B5FFD6" w:rsidR="007F3500" w:rsidRPr="006D39E3" w:rsidRDefault="007F3500" w:rsidP="00940064">
      <w:pPr>
        <w:jc w:val="center"/>
        <w:rPr>
          <w:rFonts w:asciiTheme="minorBidi" w:hAnsiTheme="minorBidi"/>
          <w:b/>
          <w:bCs/>
          <w:sz w:val="36"/>
          <w:szCs w:val="36"/>
        </w:rPr>
      </w:pPr>
    </w:p>
    <w:p w14:paraId="6E35CBE4" w14:textId="71F0D8BA" w:rsidR="00F64186" w:rsidRPr="00F64186" w:rsidRDefault="00F64186" w:rsidP="00940064">
      <w:pPr>
        <w:jc w:val="center"/>
        <w:rPr>
          <w:rFonts w:asciiTheme="minorBidi" w:hAnsiTheme="minorBidi"/>
          <w:b/>
          <w:bCs/>
          <w:sz w:val="28"/>
          <w:szCs w:val="28"/>
        </w:rPr>
      </w:pPr>
    </w:p>
    <w:p w14:paraId="523DFB27" w14:textId="77777777" w:rsidR="009A31A6" w:rsidRPr="006D39E3" w:rsidRDefault="009A31A6">
      <w:pPr>
        <w:spacing w:before="0" w:after="160" w:line="278" w:lineRule="auto"/>
        <w:jc w:val="left"/>
        <w:rPr>
          <w:rFonts w:asciiTheme="minorBidi" w:hAnsiTheme="minorBidi"/>
          <w:b/>
          <w:bCs/>
          <w:sz w:val="36"/>
          <w:szCs w:val="36"/>
        </w:rPr>
      </w:pPr>
      <w:r w:rsidRPr="006D39E3">
        <w:rPr>
          <w:rFonts w:asciiTheme="minorBidi" w:hAnsiTheme="minorBidi"/>
          <w:b/>
          <w:bCs/>
          <w:sz w:val="36"/>
          <w:szCs w:val="36"/>
        </w:rPr>
        <w:br w:type="page"/>
      </w:r>
    </w:p>
    <w:sdt>
      <w:sdtPr>
        <w:rPr>
          <w:rFonts w:asciiTheme="minorBidi" w:hAnsiTheme="minorBidi"/>
          <w:b/>
          <w:bCs/>
          <w:sz w:val="28"/>
          <w:szCs w:val="28"/>
        </w:rPr>
        <w:id w:val="496319249"/>
        <w:docPartObj>
          <w:docPartGallery w:val="Table of Contents"/>
          <w:docPartUnique/>
        </w:docPartObj>
      </w:sdtPr>
      <w:sdtEndPr>
        <w:rPr>
          <w:noProof/>
          <w:sz w:val="24"/>
          <w:szCs w:val="24"/>
        </w:rPr>
      </w:sdtEndPr>
      <w:sdtContent>
        <w:p w14:paraId="2A5A6AE4" w14:textId="6277F18B" w:rsidR="009A31A6" w:rsidRPr="006D39E3" w:rsidRDefault="009A31A6" w:rsidP="009A31A6">
          <w:pPr>
            <w:jc w:val="center"/>
            <w:rPr>
              <w:rFonts w:asciiTheme="minorBidi" w:hAnsiTheme="minorBidi"/>
              <w:b/>
              <w:bCs/>
              <w:sz w:val="28"/>
              <w:szCs w:val="28"/>
            </w:rPr>
          </w:pPr>
          <w:r w:rsidRPr="006D39E3">
            <w:rPr>
              <w:rFonts w:asciiTheme="minorBidi" w:hAnsiTheme="minorBidi"/>
              <w:b/>
              <w:bCs/>
              <w:sz w:val="28"/>
              <w:szCs w:val="28"/>
            </w:rPr>
            <w:t>Table of Contents</w:t>
          </w:r>
        </w:p>
        <w:p w14:paraId="325A50C6" w14:textId="6B7F6A5C" w:rsidR="001817FE" w:rsidRDefault="009A31A6">
          <w:pPr>
            <w:pStyle w:val="TOC1"/>
            <w:tabs>
              <w:tab w:val="right" w:leader="dot" w:pos="9016"/>
            </w:tabs>
            <w:rPr>
              <w:rFonts w:asciiTheme="minorHAnsi" w:eastAsiaTheme="minorEastAsia" w:hAnsiTheme="minorHAnsi"/>
              <w:noProof/>
              <w:kern w:val="0"/>
              <w:sz w:val="22"/>
              <w:szCs w:val="22"/>
              <w:lang w:eastAsia="en-IN"/>
              <w14:ligatures w14:val="none"/>
            </w:rPr>
          </w:pPr>
          <w:r w:rsidRPr="006D39E3">
            <w:rPr>
              <w:rFonts w:asciiTheme="minorBidi" w:hAnsiTheme="minorBidi"/>
            </w:rPr>
            <w:fldChar w:fldCharType="begin"/>
          </w:r>
          <w:r w:rsidRPr="006D39E3">
            <w:rPr>
              <w:rFonts w:asciiTheme="minorBidi" w:hAnsiTheme="minorBidi"/>
            </w:rPr>
            <w:instrText xml:space="preserve"> TOC \o "1-3" \h \z \u </w:instrText>
          </w:r>
          <w:r w:rsidRPr="006D39E3">
            <w:rPr>
              <w:rFonts w:asciiTheme="minorBidi" w:hAnsiTheme="minorBidi"/>
            </w:rPr>
            <w:fldChar w:fldCharType="separate"/>
          </w:r>
          <w:hyperlink w:anchor="_Toc213265041" w:history="1">
            <w:r w:rsidR="001817FE" w:rsidRPr="004B1B39">
              <w:rPr>
                <w:rStyle w:val="Hyperlink"/>
                <w:rFonts w:asciiTheme="minorBidi" w:hAnsiTheme="minorBidi"/>
                <w:noProof/>
                <w:lang w:val="en-GB"/>
              </w:rPr>
              <w:t>Introduction</w:t>
            </w:r>
            <w:r w:rsidR="001817FE">
              <w:rPr>
                <w:noProof/>
                <w:webHidden/>
              </w:rPr>
              <w:tab/>
            </w:r>
            <w:r w:rsidR="001817FE">
              <w:rPr>
                <w:noProof/>
                <w:webHidden/>
              </w:rPr>
              <w:fldChar w:fldCharType="begin"/>
            </w:r>
            <w:r w:rsidR="001817FE">
              <w:rPr>
                <w:noProof/>
                <w:webHidden/>
              </w:rPr>
              <w:instrText xml:space="preserve"> PAGEREF _Toc213265041 \h </w:instrText>
            </w:r>
            <w:r w:rsidR="001817FE">
              <w:rPr>
                <w:noProof/>
                <w:webHidden/>
              </w:rPr>
            </w:r>
            <w:r w:rsidR="001817FE">
              <w:rPr>
                <w:noProof/>
                <w:webHidden/>
              </w:rPr>
              <w:fldChar w:fldCharType="separate"/>
            </w:r>
            <w:r w:rsidR="001817FE">
              <w:rPr>
                <w:noProof/>
                <w:webHidden/>
              </w:rPr>
              <w:t>5</w:t>
            </w:r>
            <w:r w:rsidR="001817FE">
              <w:rPr>
                <w:noProof/>
                <w:webHidden/>
              </w:rPr>
              <w:fldChar w:fldCharType="end"/>
            </w:r>
          </w:hyperlink>
        </w:p>
        <w:p w14:paraId="4DD98030" w14:textId="66201558" w:rsidR="001817FE" w:rsidRDefault="001817FE">
          <w:pPr>
            <w:pStyle w:val="TOC1"/>
            <w:tabs>
              <w:tab w:val="right" w:leader="dot" w:pos="9016"/>
            </w:tabs>
            <w:rPr>
              <w:rFonts w:asciiTheme="minorHAnsi" w:eastAsiaTheme="minorEastAsia" w:hAnsiTheme="minorHAnsi"/>
              <w:noProof/>
              <w:kern w:val="0"/>
              <w:sz w:val="22"/>
              <w:szCs w:val="22"/>
              <w:lang w:eastAsia="en-IN"/>
              <w14:ligatures w14:val="none"/>
            </w:rPr>
          </w:pPr>
          <w:hyperlink w:anchor="_Toc213265042" w:history="1">
            <w:r w:rsidRPr="004B1B39">
              <w:rPr>
                <w:rStyle w:val="Hyperlink"/>
                <w:rFonts w:asciiTheme="minorBidi" w:hAnsiTheme="minorBidi"/>
                <w:noProof/>
                <w:lang w:val="en-GB"/>
              </w:rPr>
              <w:t>1. Financial Health Check of General Electric</w:t>
            </w:r>
            <w:r>
              <w:rPr>
                <w:noProof/>
                <w:webHidden/>
              </w:rPr>
              <w:tab/>
            </w:r>
            <w:r>
              <w:rPr>
                <w:noProof/>
                <w:webHidden/>
              </w:rPr>
              <w:fldChar w:fldCharType="begin"/>
            </w:r>
            <w:r>
              <w:rPr>
                <w:noProof/>
                <w:webHidden/>
              </w:rPr>
              <w:instrText xml:space="preserve"> PAGEREF _Toc213265042 \h </w:instrText>
            </w:r>
            <w:r>
              <w:rPr>
                <w:noProof/>
                <w:webHidden/>
              </w:rPr>
            </w:r>
            <w:r>
              <w:rPr>
                <w:noProof/>
                <w:webHidden/>
              </w:rPr>
              <w:fldChar w:fldCharType="separate"/>
            </w:r>
            <w:r>
              <w:rPr>
                <w:noProof/>
                <w:webHidden/>
              </w:rPr>
              <w:t>5</w:t>
            </w:r>
            <w:r>
              <w:rPr>
                <w:noProof/>
                <w:webHidden/>
              </w:rPr>
              <w:fldChar w:fldCharType="end"/>
            </w:r>
          </w:hyperlink>
        </w:p>
        <w:p w14:paraId="2C179D7C" w14:textId="5B2D3D7A"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43" w:history="1">
            <w:r w:rsidRPr="004B1B39">
              <w:rPr>
                <w:rStyle w:val="Hyperlink"/>
                <w:rFonts w:asciiTheme="minorBidi" w:hAnsiTheme="minorBidi"/>
                <w:noProof/>
                <w:lang w:val="en-GB"/>
              </w:rPr>
              <w:t>1.1 Introduction to Financial Analysis</w:t>
            </w:r>
            <w:r>
              <w:rPr>
                <w:noProof/>
                <w:webHidden/>
              </w:rPr>
              <w:tab/>
            </w:r>
            <w:r>
              <w:rPr>
                <w:noProof/>
                <w:webHidden/>
              </w:rPr>
              <w:fldChar w:fldCharType="begin"/>
            </w:r>
            <w:r>
              <w:rPr>
                <w:noProof/>
                <w:webHidden/>
              </w:rPr>
              <w:instrText xml:space="preserve"> PAGEREF _Toc213265043 \h </w:instrText>
            </w:r>
            <w:r>
              <w:rPr>
                <w:noProof/>
                <w:webHidden/>
              </w:rPr>
            </w:r>
            <w:r>
              <w:rPr>
                <w:noProof/>
                <w:webHidden/>
              </w:rPr>
              <w:fldChar w:fldCharType="separate"/>
            </w:r>
            <w:r>
              <w:rPr>
                <w:noProof/>
                <w:webHidden/>
              </w:rPr>
              <w:t>5</w:t>
            </w:r>
            <w:r>
              <w:rPr>
                <w:noProof/>
                <w:webHidden/>
              </w:rPr>
              <w:fldChar w:fldCharType="end"/>
            </w:r>
          </w:hyperlink>
        </w:p>
        <w:p w14:paraId="2101750A" w14:textId="01E326E1"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44" w:history="1">
            <w:r w:rsidRPr="004B1B39">
              <w:rPr>
                <w:rStyle w:val="Hyperlink"/>
                <w:rFonts w:asciiTheme="minorBidi" w:hAnsiTheme="minorBidi"/>
                <w:noProof/>
                <w:lang w:val="en-GB"/>
              </w:rPr>
              <w:t xml:space="preserve">1.2 Profitability </w:t>
            </w:r>
            <w:r w:rsidRPr="004B1B39">
              <w:rPr>
                <w:rStyle w:val="Hyperlink"/>
                <w:rFonts w:asciiTheme="minorBidi" w:hAnsiTheme="minorBidi"/>
                <w:noProof/>
              </w:rPr>
              <w:t>Analysis</w:t>
            </w:r>
            <w:r>
              <w:rPr>
                <w:noProof/>
                <w:webHidden/>
              </w:rPr>
              <w:tab/>
            </w:r>
            <w:r>
              <w:rPr>
                <w:noProof/>
                <w:webHidden/>
              </w:rPr>
              <w:fldChar w:fldCharType="begin"/>
            </w:r>
            <w:r>
              <w:rPr>
                <w:noProof/>
                <w:webHidden/>
              </w:rPr>
              <w:instrText xml:space="preserve"> PAGEREF _Toc213265044 \h </w:instrText>
            </w:r>
            <w:r>
              <w:rPr>
                <w:noProof/>
                <w:webHidden/>
              </w:rPr>
            </w:r>
            <w:r>
              <w:rPr>
                <w:noProof/>
                <w:webHidden/>
              </w:rPr>
              <w:fldChar w:fldCharType="separate"/>
            </w:r>
            <w:r>
              <w:rPr>
                <w:noProof/>
                <w:webHidden/>
              </w:rPr>
              <w:t>5</w:t>
            </w:r>
            <w:r>
              <w:rPr>
                <w:noProof/>
                <w:webHidden/>
              </w:rPr>
              <w:fldChar w:fldCharType="end"/>
            </w:r>
          </w:hyperlink>
        </w:p>
        <w:p w14:paraId="4FF3D60D" w14:textId="1A16ECA4"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45" w:history="1">
            <w:r w:rsidRPr="004B1B39">
              <w:rPr>
                <w:rStyle w:val="Hyperlink"/>
                <w:rFonts w:asciiTheme="minorBidi" w:hAnsiTheme="minorBidi"/>
                <w:noProof/>
                <w:lang w:val="en-GB"/>
              </w:rPr>
              <w:t>1.3 Liquidity Analysis</w:t>
            </w:r>
            <w:r>
              <w:rPr>
                <w:noProof/>
                <w:webHidden/>
              </w:rPr>
              <w:tab/>
            </w:r>
            <w:r>
              <w:rPr>
                <w:noProof/>
                <w:webHidden/>
              </w:rPr>
              <w:fldChar w:fldCharType="begin"/>
            </w:r>
            <w:r>
              <w:rPr>
                <w:noProof/>
                <w:webHidden/>
              </w:rPr>
              <w:instrText xml:space="preserve"> PAGEREF _Toc213265045 \h </w:instrText>
            </w:r>
            <w:r>
              <w:rPr>
                <w:noProof/>
                <w:webHidden/>
              </w:rPr>
            </w:r>
            <w:r>
              <w:rPr>
                <w:noProof/>
                <w:webHidden/>
              </w:rPr>
              <w:fldChar w:fldCharType="separate"/>
            </w:r>
            <w:r>
              <w:rPr>
                <w:noProof/>
                <w:webHidden/>
              </w:rPr>
              <w:t>6</w:t>
            </w:r>
            <w:r>
              <w:rPr>
                <w:noProof/>
                <w:webHidden/>
              </w:rPr>
              <w:fldChar w:fldCharType="end"/>
            </w:r>
          </w:hyperlink>
        </w:p>
        <w:p w14:paraId="58678D42" w14:textId="6A916C9A"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46" w:history="1">
            <w:r w:rsidRPr="004B1B39">
              <w:rPr>
                <w:rStyle w:val="Hyperlink"/>
                <w:rFonts w:asciiTheme="minorBidi" w:hAnsiTheme="minorBidi"/>
                <w:noProof/>
                <w:lang w:val="en-GB"/>
              </w:rPr>
              <w:t>1.4 Efficiency and working capital ratios</w:t>
            </w:r>
            <w:r>
              <w:rPr>
                <w:noProof/>
                <w:webHidden/>
              </w:rPr>
              <w:tab/>
            </w:r>
            <w:r>
              <w:rPr>
                <w:noProof/>
                <w:webHidden/>
              </w:rPr>
              <w:fldChar w:fldCharType="begin"/>
            </w:r>
            <w:r>
              <w:rPr>
                <w:noProof/>
                <w:webHidden/>
              </w:rPr>
              <w:instrText xml:space="preserve"> PAGEREF _Toc213265046 \h </w:instrText>
            </w:r>
            <w:r>
              <w:rPr>
                <w:noProof/>
                <w:webHidden/>
              </w:rPr>
            </w:r>
            <w:r>
              <w:rPr>
                <w:noProof/>
                <w:webHidden/>
              </w:rPr>
              <w:fldChar w:fldCharType="separate"/>
            </w:r>
            <w:r>
              <w:rPr>
                <w:noProof/>
                <w:webHidden/>
              </w:rPr>
              <w:t>6</w:t>
            </w:r>
            <w:r>
              <w:rPr>
                <w:noProof/>
                <w:webHidden/>
              </w:rPr>
              <w:fldChar w:fldCharType="end"/>
            </w:r>
          </w:hyperlink>
        </w:p>
        <w:p w14:paraId="17A30355" w14:textId="4DF3232E"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47" w:history="1">
            <w:r w:rsidRPr="004B1B39">
              <w:rPr>
                <w:rStyle w:val="Hyperlink"/>
                <w:rFonts w:asciiTheme="minorBidi" w:hAnsiTheme="minorBidi"/>
                <w:noProof/>
                <w:lang w:val="en-GB"/>
              </w:rPr>
              <w:t>1.5 Leverage and solvency analysis</w:t>
            </w:r>
            <w:r>
              <w:rPr>
                <w:noProof/>
                <w:webHidden/>
              </w:rPr>
              <w:tab/>
            </w:r>
            <w:r>
              <w:rPr>
                <w:noProof/>
                <w:webHidden/>
              </w:rPr>
              <w:fldChar w:fldCharType="begin"/>
            </w:r>
            <w:r>
              <w:rPr>
                <w:noProof/>
                <w:webHidden/>
              </w:rPr>
              <w:instrText xml:space="preserve"> PAGEREF _Toc213265047 \h </w:instrText>
            </w:r>
            <w:r>
              <w:rPr>
                <w:noProof/>
                <w:webHidden/>
              </w:rPr>
            </w:r>
            <w:r>
              <w:rPr>
                <w:noProof/>
                <w:webHidden/>
              </w:rPr>
              <w:fldChar w:fldCharType="separate"/>
            </w:r>
            <w:r>
              <w:rPr>
                <w:noProof/>
                <w:webHidden/>
              </w:rPr>
              <w:t>7</w:t>
            </w:r>
            <w:r>
              <w:rPr>
                <w:noProof/>
                <w:webHidden/>
              </w:rPr>
              <w:fldChar w:fldCharType="end"/>
            </w:r>
          </w:hyperlink>
        </w:p>
        <w:p w14:paraId="63C38C00" w14:textId="6648D1F1"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48" w:history="1">
            <w:r w:rsidRPr="004B1B39">
              <w:rPr>
                <w:rStyle w:val="Hyperlink"/>
                <w:rFonts w:asciiTheme="minorBidi" w:hAnsiTheme="minorBidi"/>
                <w:noProof/>
                <w:lang w:val="en-GB"/>
              </w:rPr>
              <w:t>1.6 Investment and market ratios</w:t>
            </w:r>
            <w:r>
              <w:rPr>
                <w:noProof/>
                <w:webHidden/>
              </w:rPr>
              <w:tab/>
            </w:r>
            <w:r>
              <w:rPr>
                <w:noProof/>
                <w:webHidden/>
              </w:rPr>
              <w:fldChar w:fldCharType="begin"/>
            </w:r>
            <w:r>
              <w:rPr>
                <w:noProof/>
                <w:webHidden/>
              </w:rPr>
              <w:instrText xml:space="preserve"> PAGEREF _Toc213265048 \h </w:instrText>
            </w:r>
            <w:r>
              <w:rPr>
                <w:noProof/>
                <w:webHidden/>
              </w:rPr>
            </w:r>
            <w:r>
              <w:rPr>
                <w:noProof/>
                <w:webHidden/>
              </w:rPr>
              <w:fldChar w:fldCharType="separate"/>
            </w:r>
            <w:r>
              <w:rPr>
                <w:noProof/>
                <w:webHidden/>
              </w:rPr>
              <w:t>8</w:t>
            </w:r>
            <w:r>
              <w:rPr>
                <w:noProof/>
                <w:webHidden/>
              </w:rPr>
              <w:fldChar w:fldCharType="end"/>
            </w:r>
          </w:hyperlink>
        </w:p>
        <w:p w14:paraId="5FDEB7B6" w14:textId="19698EEB"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49" w:history="1">
            <w:r w:rsidRPr="004B1B39">
              <w:rPr>
                <w:rStyle w:val="Hyperlink"/>
                <w:rFonts w:asciiTheme="minorBidi" w:hAnsiTheme="minorBidi"/>
                <w:noProof/>
                <w:lang w:val="en-GB"/>
              </w:rPr>
              <w:t>1.7 Cash flow Analysis</w:t>
            </w:r>
            <w:r>
              <w:rPr>
                <w:noProof/>
                <w:webHidden/>
              </w:rPr>
              <w:tab/>
            </w:r>
            <w:r>
              <w:rPr>
                <w:noProof/>
                <w:webHidden/>
              </w:rPr>
              <w:fldChar w:fldCharType="begin"/>
            </w:r>
            <w:r>
              <w:rPr>
                <w:noProof/>
                <w:webHidden/>
              </w:rPr>
              <w:instrText xml:space="preserve"> PAGEREF _Toc213265049 \h </w:instrText>
            </w:r>
            <w:r>
              <w:rPr>
                <w:noProof/>
                <w:webHidden/>
              </w:rPr>
            </w:r>
            <w:r>
              <w:rPr>
                <w:noProof/>
                <w:webHidden/>
              </w:rPr>
              <w:fldChar w:fldCharType="separate"/>
            </w:r>
            <w:r>
              <w:rPr>
                <w:noProof/>
                <w:webHidden/>
              </w:rPr>
              <w:t>8</w:t>
            </w:r>
            <w:r>
              <w:rPr>
                <w:noProof/>
                <w:webHidden/>
              </w:rPr>
              <w:fldChar w:fldCharType="end"/>
            </w:r>
          </w:hyperlink>
        </w:p>
        <w:p w14:paraId="7E3AA78A" w14:textId="635674B9"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50" w:history="1">
            <w:r w:rsidRPr="004B1B39">
              <w:rPr>
                <w:rStyle w:val="Hyperlink"/>
                <w:rFonts w:asciiTheme="minorBidi" w:hAnsiTheme="minorBidi"/>
                <w:noProof/>
                <w:lang w:val="en-GB"/>
              </w:rPr>
              <w:t>1.9 Summary</w:t>
            </w:r>
            <w:r>
              <w:rPr>
                <w:noProof/>
                <w:webHidden/>
              </w:rPr>
              <w:tab/>
            </w:r>
            <w:r>
              <w:rPr>
                <w:noProof/>
                <w:webHidden/>
              </w:rPr>
              <w:fldChar w:fldCharType="begin"/>
            </w:r>
            <w:r>
              <w:rPr>
                <w:noProof/>
                <w:webHidden/>
              </w:rPr>
              <w:instrText xml:space="preserve"> PAGEREF _Toc213265050 \h </w:instrText>
            </w:r>
            <w:r>
              <w:rPr>
                <w:noProof/>
                <w:webHidden/>
              </w:rPr>
            </w:r>
            <w:r>
              <w:rPr>
                <w:noProof/>
                <w:webHidden/>
              </w:rPr>
              <w:fldChar w:fldCharType="separate"/>
            </w:r>
            <w:r>
              <w:rPr>
                <w:noProof/>
                <w:webHidden/>
              </w:rPr>
              <w:t>9</w:t>
            </w:r>
            <w:r>
              <w:rPr>
                <w:noProof/>
                <w:webHidden/>
              </w:rPr>
              <w:fldChar w:fldCharType="end"/>
            </w:r>
          </w:hyperlink>
        </w:p>
        <w:p w14:paraId="2B3A64F3" w14:textId="28587D46" w:rsidR="001817FE" w:rsidRDefault="001817FE">
          <w:pPr>
            <w:pStyle w:val="TOC1"/>
            <w:tabs>
              <w:tab w:val="right" w:leader="dot" w:pos="9016"/>
            </w:tabs>
            <w:rPr>
              <w:rFonts w:asciiTheme="minorHAnsi" w:eastAsiaTheme="minorEastAsia" w:hAnsiTheme="minorHAnsi"/>
              <w:noProof/>
              <w:kern w:val="0"/>
              <w:sz w:val="22"/>
              <w:szCs w:val="22"/>
              <w:lang w:eastAsia="en-IN"/>
              <w14:ligatures w14:val="none"/>
            </w:rPr>
          </w:pPr>
          <w:hyperlink w:anchor="_Toc213265051" w:history="1">
            <w:r w:rsidRPr="004B1B39">
              <w:rPr>
                <w:rStyle w:val="Hyperlink"/>
                <w:rFonts w:asciiTheme="minorBidi" w:hAnsiTheme="minorBidi"/>
                <w:noProof/>
                <w:lang w:val="en-GB"/>
              </w:rPr>
              <w:t>2. Working Capital Management Analysis</w:t>
            </w:r>
            <w:r>
              <w:rPr>
                <w:noProof/>
                <w:webHidden/>
              </w:rPr>
              <w:tab/>
            </w:r>
            <w:r>
              <w:rPr>
                <w:noProof/>
                <w:webHidden/>
              </w:rPr>
              <w:fldChar w:fldCharType="begin"/>
            </w:r>
            <w:r>
              <w:rPr>
                <w:noProof/>
                <w:webHidden/>
              </w:rPr>
              <w:instrText xml:space="preserve"> PAGEREF _Toc213265051 \h </w:instrText>
            </w:r>
            <w:r>
              <w:rPr>
                <w:noProof/>
                <w:webHidden/>
              </w:rPr>
            </w:r>
            <w:r>
              <w:rPr>
                <w:noProof/>
                <w:webHidden/>
              </w:rPr>
              <w:fldChar w:fldCharType="separate"/>
            </w:r>
            <w:r>
              <w:rPr>
                <w:noProof/>
                <w:webHidden/>
              </w:rPr>
              <w:t>9</w:t>
            </w:r>
            <w:r>
              <w:rPr>
                <w:noProof/>
                <w:webHidden/>
              </w:rPr>
              <w:fldChar w:fldCharType="end"/>
            </w:r>
          </w:hyperlink>
        </w:p>
        <w:p w14:paraId="7A3F9604" w14:textId="5CDFC380"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52" w:history="1">
            <w:r w:rsidRPr="004B1B39">
              <w:rPr>
                <w:rStyle w:val="Hyperlink"/>
                <w:rFonts w:asciiTheme="minorBidi" w:hAnsiTheme="minorBidi"/>
                <w:noProof/>
                <w:lang w:val="en-GB"/>
              </w:rPr>
              <w:t>2.1 Introduction to Working Capital</w:t>
            </w:r>
            <w:r>
              <w:rPr>
                <w:noProof/>
                <w:webHidden/>
              </w:rPr>
              <w:tab/>
            </w:r>
            <w:r>
              <w:rPr>
                <w:noProof/>
                <w:webHidden/>
              </w:rPr>
              <w:fldChar w:fldCharType="begin"/>
            </w:r>
            <w:r>
              <w:rPr>
                <w:noProof/>
                <w:webHidden/>
              </w:rPr>
              <w:instrText xml:space="preserve"> PAGEREF _Toc213265052 \h </w:instrText>
            </w:r>
            <w:r>
              <w:rPr>
                <w:noProof/>
                <w:webHidden/>
              </w:rPr>
            </w:r>
            <w:r>
              <w:rPr>
                <w:noProof/>
                <w:webHidden/>
              </w:rPr>
              <w:fldChar w:fldCharType="separate"/>
            </w:r>
            <w:r>
              <w:rPr>
                <w:noProof/>
                <w:webHidden/>
              </w:rPr>
              <w:t>9</w:t>
            </w:r>
            <w:r>
              <w:rPr>
                <w:noProof/>
                <w:webHidden/>
              </w:rPr>
              <w:fldChar w:fldCharType="end"/>
            </w:r>
          </w:hyperlink>
        </w:p>
        <w:p w14:paraId="746B0C30" w14:textId="4450A68A"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53" w:history="1">
            <w:r w:rsidRPr="004B1B39">
              <w:rPr>
                <w:rStyle w:val="Hyperlink"/>
                <w:rFonts w:asciiTheme="minorBidi" w:hAnsiTheme="minorBidi"/>
                <w:noProof/>
                <w:lang w:val="en-GB"/>
              </w:rPr>
              <w:t>2.2 Evaluation of Cash Operating Cycle</w:t>
            </w:r>
            <w:r>
              <w:rPr>
                <w:noProof/>
                <w:webHidden/>
              </w:rPr>
              <w:tab/>
            </w:r>
            <w:r>
              <w:rPr>
                <w:noProof/>
                <w:webHidden/>
              </w:rPr>
              <w:fldChar w:fldCharType="begin"/>
            </w:r>
            <w:r>
              <w:rPr>
                <w:noProof/>
                <w:webHidden/>
              </w:rPr>
              <w:instrText xml:space="preserve"> PAGEREF _Toc213265053 \h </w:instrText>
            </w:r>
            <w:r>
              <w:rPr>
                <w:noProof/>
                <w:webHidden/>
              </w:rPr>
            </w:r>
            <w:r>
              <w:rPr>
                <w:noProof/>
                <w:webHidden/>
              </w:rPr>
              <w:fldChar w:fldCharType="separate"/>
            </w:r>
            <w:r>
              <w:rPr>
                <w:noProof/>
                <w:webHidden/>
              </w:rPr>
              <w:t>10</w:t>
            </w:r>
            <w:r>
              <w:rPr>
                <w:noProof/>
                <w:webHidden/>
              </w:rPr>
              <w:fldChar w:fldCharType="end"/>
            </w:r>
          </w:hyperlink>
        </w:p>
        <w:p w14:paraId="49BF8DA4" w14:textId="6DDE11CF"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54" w:history="1">
            <w:r w:rsidRPr="004B1B39">
              <w:rPr>
                <w:rStyle w:val="Hyperlink"/>
                <w:rFonts w:asciiTheme="minorBidi" w:hAnsiTheme="minorBidi"/>
                <w:noProof/>
                <w:lang w:val="en-GB"/>
              </w:rPr>
              <w:t>2.3 Assessment of Current Liquidity Position</w:t>
            </w:r>
            <w:r>
              <w:rPr>
                <w:noProof/>
                <w:webHidden/>
              </w:rPr>
              <w:tab/>
            </w:r>
            <w:r>
              <w:rPr>
                <w:noProof/>
                <w:webHidden/>
              </w:rPr>
              <w:fldChar w:fldCharType="begin"/>
            </w:r>
            <w:r>
              <w:rPr>
                <w:noProof/>
                <w:webHidden/>
              </w:rPr>
              <w:instrText xml:space="preserve"> PAGEREF _Toc213265054 \h </w:instrText>
            </w:r>
            <w:r>
              <w:rPr>
                <w:noProof/>
                <w:webHidden/>
              </w:rPr>
            </w:r>
            <w:r>
              <w:rPr>
                <w:noProof/>
                <w:webHidden/>
              </w:rPr>
              <w:fldChar w:fldCharType="separate"/>
            </w:r>
            <w:r>
              <w:rPr>
                <w:noProof/>
                <w:webHidden/>
              </w:rPr>
              <w:t>11</w:t>
            </w:r>
            <w:r>
              <w:rPr>
                <w:noProof/>
                <w:webHidden/>
              </w:rPr>
              <w:fldChar w:fldCharType="end"/>
            </w:r>
          </w:hyperlink>
        </w:p>
        <w:p w14:paraId="54A99E53" w14:textId="71632A74"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55" w:history="1">
            <w:r w:rsidRPr="004B1B39">
              <w:rPr>
                <w:rStyle w:val="Hyperlink"/>
                <w:rFonts w:asciiTheme="minorBidi" w:hAnsiTheme="minorBidi"/>
                <w:noProof/>
                <w:lang w:val="en-GB"/>
              </w:rPr>
              <w:t>2.4 Strategies for Improving Liquidity</w:t>
            </w:r>
            <w:r>
              <w:rPr>
                <w:noProof/>
                <w:webHidden/>
              </w:rPr>
              <w:tab/>
            </w:r>
            <w:r>
              <w:rPr>
                <w:noProof/>
                <w:webHidden/>
              </w:rPr>
              <w:fldChar w:fldCharType="begin"/>
            </w:r>
            <w:r>
              <w:rPr>
                <w:noProof/>
                <w:webHidden/>
              </w:rPr>
              <w:instrText xml:space="preserve"> PAGEREF _Toc213265055 \h </w:instrText>
            </w:r>
            <w:r>
              <w:rPr>
                <w:noProof/>
                <w:webHidden/>
              </w:rPr>
            </w:r>
            <w:r>
              <w:rPr>
                <w:noProof/>
                <w:webHidden/>
              </w:rPr>
              <w:fldChar w:fldCharType="separate"/>
            </w:r>
            <w:r>
              <w:rPr>
                <w:noProof/>
                <w:webHidden/>
              </w:rPr>
              <w:t>11</w:t>
            </w:r>
            <w:r>
              <w:rPr>
                <w:noProof/>
                <w:webHidden/>
              </w:rPr>
              <w:fldChar w:fldCharType="end"/>
            </w:r>
          </w:hyperlink>
        </w:p>
        <w:p w14:paraId="0A2BB684" w14:textId="3B04659E"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56" w:history="1">
            <w:r w:rsidRPr="004B1B39">
              <w:rPr>
                <w:rStyle w:val="Hyperlink"/>
                <w:rFonts w:asciiTheme="minorBidi" w:hAnsiTheme="minorBidi"/>
                <w:noProof/>
                <w:lang w:val="en-GB"/>
              </w:rPr>
              <w:t>2.5 Financing of Working Capital</w:t>
            </w:r>
            <w:r>
              <w:rPr>
                <w:noProof/>
                <w:webHidden/>
              </w:rPr>
              <w:tab/>
            </w:r>
            <w:r>
              <w:rPr>
                <w:noProof/>
                <w:webHidden/>
              </w:rPr>
              <w:fldChar w:fldCharType="begin"/>
            </w:r>
            <w:r>
              <w:rPr>
                <w:noProof/>
                <w:webHidden/>
              </w:rPr>
              <w:instrText xml:space="preserve"> PAGEREF _Toc213265056 \h </w:instrText>
            </w:r>
            <w:r>
              <w:rPr>
                <w:noProof/>
                <w:webHidden/>
              </w:rPr>
            </w:r>
            <w:r>
              <w:rPr>
                <w:noProof/>
                <w:webHidden/>
              </w:rPr>
              <w:fldChar w:fldCharType="separate"/>
            </w:r>
            <w:r>
              <w:rPr>
                <w:noProof/>
                <w:webHidden/>
              </w:rPr>
              <w:t>11</w:t>
            </w:r>
            <w:r>
              <w:rPr>
                <w:noProof/>
                <w:webHidden/>
              </w:rPr>
              <w:fldChar w:fldCharType="end"/>
            </w:r>
          </w:hyperlink>
        </w:p>
        <w:p w14:paraId="4A0589B2" w14:textId="447031BF" w:rsidR="001817FE" w:rsidRDefault="001817FE">
          <w:pPr>
            <w:pStyle w:val="TOC1"/>
            <w:tabs>
              <w:tab w:val="right" w:leader="dot" w:pos="9016"/>
            </w:tabs>
            <w:rPr>
              <w:rFonts w:asciiTheme="minorHAnsi" w:eastAsiaTheme="minorEastAsia" w:hAnsiTheme="minorHAnsi"/>
              <w:noProof/>
              <w:kern w:val="0"/>
              <w:sz w:val="22"/>
              <w:szCs w:val="22"/>
              <w:lang w:eastAsia="en-IN"/>
              <w14:ligatures w14:val="none"/>
            </w:rPr>
          </w:pPr>
          <w:hyperlink w:anchor="_Toc213265057" w:history="1">
            <w:r w:rsidRPr="004B1B39">
              <w:rPr>
                <w:rStyle w:val="Hyperlink"/>
                <w:rFonts w:asciiTheme="minorBidi" w:hAnsiTheme="minorBidi"/>
                <w:noProof/>
              </w:rPr>
              <w:t>3. Strategic Financial Restructuring Plan</w:t>
            </w:r>
            <w:r>
              <w:rPr>
                <w:noProof/>
                <w:webHidden/>
              </w:rPr>
              <w:tab/>
            </w:r>
            <w:r>
              <w:rPr>
                <w:noProof/>
                <w:webHidden/>
              </w:rPr>
              <w:fldChar w:fldCharType="begin"/>
            </w:r>
            <w:r>
              <w:rPr>
                <w:noProof/>
                <w:webHidden/>
              </w:rPr>
              <w:instrText xml:space="preserve"> PAGEREF _Toc213265057 \h </w:instrText>
            </w:r>
            <w:r>
              <w:rPr>
                <w:noProof/>
                <w:webHidden/>
              </w:rPr>
            </w:r>
            <w:r>
              <w:rPr>
                <w:noProof/>
                <w:webHidden/>
              </w:rPr>
              <w:fldChar w:fldCharType="separate"/>
            </w:r>
            <w:r>
              <w:rPr>
                <w:noProof/>
                <w:webHidden/>
              </w:rPr>
              <w:t>12</w:t>
            </w:r>
            <w:r>
              <w:rPr>
                <w:noProof/>
                <w:webHidden/>
              </w:rPr>
              <w:fldChar w:fldCharType="end"/>
            </w:r>
          </w:hyperlink>
        </w:p>
        <w:p w14:paraId="51803DCA" w14:textId="7626B910"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58" w:history="1">
            <w:r w:rsidRPr="004B1B39">
              <w:rPr>
                <w:rStyle w:val="Hyperlink"/>
                <w:rFonts w:asciiTheme="minorBidi" w:hAnsiTheme="minorBidi"/>
                <w:noProof/>
              </w:rPr>
              <w:t>3.1 Introduction to Financial Restructuring</w:t>
            </w:r>
            <w:r>
              <w:rPr>
                <w:noProof/>
                <w:webHidden/>
              </w:rPr>
              <w:tab/>
            </w:r>
            <w:r>
              <w:rPr>
                <w:noProof/>
                <w:webHidden/>
              </w:rPr>
              <w:fldChar w:fldCharType="begin"/>
            </w:r>
            <w:r>
              <w:rPr>
                <w:noProof/>
                <w:webHidden/>
              </w:rPr>
              <w:instrText xml:space="preserve"> PAGEREF _Toc213265058 \h </w:instrText>
            </w:r>
            <w:r>
              <w:rPr>
                <w:noProof/>
                <w:webHidden/>
              </w:rPr>
            </w:r>
            <w:r>
              <w:rPr>
                <w:noProof/>
                <w:webHidden/>
              </w:rPr>
              <w:fldChar w:fldCharType="separate"/>
            </w:r>
            <w:r>
              <w:rPr>
                <w:noProof/>
                <w:webHidden/>
              </w:rPr>
              <w:t>12</w:t>
            </w:r>
            <w:r>
              <w:rPr>
                <w:noProof/>
                <w:webHidden/>
              </w:rPr>
              <w:fldChar w:fldCharType="end"/>
            </w:r>
          </w:hyperlink>
        </w:p>
        <w:p w14:paraId="3FCF5D34" w14:textId="02D288AD"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59" w:history="1">
            <w:r w:rsidRPr="004B1B39">
              <w:rPr>
                <w:rStyle w:val="Hyperlink"/>
                <w:rFonts w:asciiTheme="minorBidi" w:hAnsiTheme="minorBidi"/>
                <w:noProof/>
              </w:rPr>
              <w:t>3.2 Identification of Strategic Challenges</w:t>
            </w:r>
            <w:r>
              <w:rPr>
                <w:noProof/>
                <w:webHidden/>
              </w:rPr>
              <w:tab/>
            </w:r>
            <w:r>
              <w:rPr>
                <w:noProof/>
                <w:webHidden/>
              </w:rPr>
              <w:fldChar w:fldCharType="begin"/>
            </w:r>
            <w:r>
              <w:rPr>
                <w:noProof/>
                <w:webHidden/>
              </w:rPr>
              <w:instrText xml:space="preserve"> PAGEREF _Toc213265059 \h </w:instrText>
            </w:r>
            <w:r>
              <w:rPr>
                <w:noProof/>
                <w:webHidden/>
              </w:rPr>
            </w:r>
            <w:r>
              <w:rPr>
                <w:noProof/>
                <w:webHidden/>
              </w:rPr>
              <w:fldChar w:fldCharType="separate"/>
            </w:r>
            <w:r>
              <w:rPr>
                <w:noProof/>
                <w:webHidden/>
              </w:rPr>
              <w:t>12</w:t>
            </w:r>
            <w:r>
              <w:rPr>
                <w:noProof/>
                <w:webHidden/>
              </w:rPr>
              <w:fldChar w:fldCharType="end"/>
            </w:r>
          </w:hyperlink>
        </w:p>
        <w:p w14:paraId="1137602C" w14:textId="27F75BFC"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60" w:history="1">
            <w:r w:rsidRPr="004B1B39">
              <w:rPr>
                <w:rStyle w:val="Hyperlink"/>
                <w:rFonts w:asciiTheme="minorBidi" w:hAnsiTheme="minorBidi"/>
                <w:noProof/>
              </w:rPr>
              <w:t>3.3 Recommended Restructuring Options</w:t>
            </w:r>
            <w:r>
              <w:rPr>
                <w:noProof/>
                <w:webHidden/>
              </w:rPr>
              <w:tab/>
            </w:r>
            <w:r>
              <w:rPr>
                <w:noProof/>
                <w:webHidden/>
              </w:rPr>
              <w:fldChar w:fldCharType="begin"/>
            </w:r>
            <w:r>
              <w:rPr>
                <w:noProof/>
                <w:webHidden/>
              </w:rPr>
              <w:instrText xml:space="preserve"> PAGEREF _Toc213265060 \h </w:instrText>
            </w:r>
            <w:r>
              <w:rPr>
                <w:noProof/>
                <w:webHidden/>
              </w:rPr>
            </w:r>
            <w:r>
              <w:rPr>
                <w:noProof/>
                <w:webHidden/>
              </w:rPr>
              <w:fldChar w:fldCharType="separate"/>
            </w:r>
            <w:r>
              <w:rPr>
                <w:noProof/>
                <w:webHidden/>
              </w:rPr>
              <w:t>13</w:t>
            </w:r>
            <w:r>
              <w:rPr>
                <w:noProof/>
                <w:webHidden/>
              </w:rPr>
              <w:fldChar w:fldCharType="end"/>
            </w:r>
          </w:hyperlink>
        </w:p>
        <w:p w14:paraId="14712804" w14:textId="7C9EBB23"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61" w:history="1">
            <w:r w:rsidRPr="004B1B39">
              <w:rPr>
                <w:rStyle w:val="Hyperlink"/>
                <w:rFonts w:asciiTheme="minorBidi" w:hAnsiTheme="minorBidi"/>
                <w:noProof/>
              </w:rPr>
              <w:t>3.4 Impact Assessment</w:t>
            </w:r>
            <w:r>
              <w:rPr>
                <w:noProof/>
                <w:webHidden/>
              </w:rPr>
              <w:tab/>
            </w:r>
            <w:r>
              <w:rPr>
                <w:noProof/>
                <w:webHidden/>
              </w:rPr>
              <w:fldChar w:fldCharType="begin"/>
            </w:r>
            <w:r>
              <w:rPr>
                <w:noProof/>
                <w:webHidden/>
              </w:rPr>
              <w:instrText xml:space="preserve"> PAGEREF _Toc213265061 \h </w:instrText>
            </w:r>
            <w:r>
              <w:rPr>
                <w:noProof/>
                <w:webHidden/>
              </w:rPr>
            </w:r>
            <w:r>
              <w:rPr>
                <w:noProof/>
                <w:webHidden/>
              </w:rPr>
              <w:fldChar w:fldCharType="separate"/>
            </w:r>
            <w:r>
              <w:rPr>
                <w:noProof/>
                <w:webHidden/>
              </w:rPr>
              <w:t>14</w:t>
            </w:r>
            <w:r>
              <w:rPr>
                <w:noProof/>
                <w:webHidden/>
              </w:rPr>
              <w:fldChar w:fldCharType="end"/>
            </w:r>
          </w:hyperlink>
        </w:p>
        <w:p w14:paraId="5418E57D" w14:textId="0676ACB4"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62" w:history="1">
            <w:r w:rsidRPr="004B1B39">
              <w:rPr>
                <w:rStyle w:val="Hyperlink"/>
                <w:rFonts w:asciiTheme="minorBidi" w:hAnsiTheme="minorBidi"/>
                <w:noProof/>
              </w:rPr>
              <w:t>3.5 International and Ethical Considerations</w:t>
            </w:r>
            <w:r>
              <w:rPr>
                <w:noProof/>
                <w:webHidden/>
              </w:rPr>
              <w:tab/>
            </w:r>
            <w:r>
              <w:rPr>
                <w:noProof/>
                <w:webHidden/>
              </w:rPr>
              <w:fldChar w:fldCharType="begin"/>
            </w:r>
            <w:r>
              <w:rPr>
                <w:noProof/>
                <w:webHidden/>
              </w:rPr>
              <w:instrText xml:space="preserve"> PAGEREF _Toc213265062 \h </w:instrText>
            </w:r>
            <w:r>
              <w:rPr>
                <w:noProof/>
                <w:webHidden/>
              </w:rPr>
            </w:r>
            <w:r>
              <w:rPr>
                <w:noProof/>
                <w:webHidden/>
              </w:rPr>
              <w:fldChar w:fldCharType="separate"/>
            </w:r>
            <w:r>
              <w:rPr>
                <w:noProof/>
                <w:webHidden/>
              </w:rPr>
              <w:t>15</w:t>
            </w:r>
            <w:r>
              <w:rPr>
                <w:noProof/>
                <w:webHidden/>
              </w:rPr>
              <w:fldChar w:fldCharType="end"/>
            </w:r>
          </w:hyperlink>
        </w:p>
        <w:p w14:paraId="5A28C38D" w14:textId="43C65F68"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63" w:history="1">
            <w:r w:rsidRPr="004B1B39">
              <w:rPr>
                <w:rStyle w:val="Hyperlink"/>
                <w:rFonts w:asciiTheme="minorBidi" w:hAnsiTheme="minorBidi"/>
                <w:noProof/>
                <w:lang w:val="en-GB"/>
              </w:rPr>
              <w:t>3.6 Summary of strategic recommendations</w:t>
            </w:r>
            <w:r>
              <w:rPr>
                <w:noProof/>
                <w:webHidden/>
              </w:rPr>
              <w:tab/>
            </w:r>
            <w:r>
              <w:rPr>
                <w:noProof/>
                <w:webHidden/>
              </w:rPr>
              <w:fldChar w:fldCharType="begin"/>
            </w:r>
            <w:r>
              <w:rPr>
                <w:noProof/>
                <w:webHidden/>
              </w:rPr>
              <w:instrText xml:space="preserve"> PAGEREF _Toc213265063 \h </w:instrText>
            </w:r>
            <w:r>
              <w:rPr>
                <w:noProof/>
                <w:webHidden/>
              </w:rPr>
            </w:r>
            <w:r>
              <w:rPr>
                <w:noProof/>
                <w:webHidden/>
              </w:rPr>
              <w:fldChar w:fldCharType="separate"/>
            </w:r>
            <w:r>
              <w:rPr>
                <w:noProof/>
                <w:webHidden/>
              </w:rPr>
              <w:t>15</w:t>
            </w:r>
            <w:r>
              <w:rPr>
                <w:noProof/>
                <w:webHidden/>
              </w:rPr>
              <w:fldChar w:fldCharType="end"/>
            </w:r>
          </w:hyperlink>
        </w:p>
        <w:p w14:paraId="68E2DB93" w14:textId="533B1DF1" w:rsidR="001817FE" w:rsidRDefault="001817FE">
          <w:pPr>
            <w:pStyle w:val="TOC1"/>
            <w:tabs>
              <w:tab w:val="right" w:leader="dot" w:pos="9016"/>
            </w:tabs>
            <w:rPr>
              <w:rFonts w:asciiTheme="minorHAnsi" w:eastAsiaTheme="minorEastAsia" w:hAnsiTheme="minorHAnsi"/>
              <w:noProof/>
              <w:kern w:val="0"/>
              <w:sz w:val="22"/>
              <w:szCs w:val="22"/>
              <w:lang w:eastAsia="en-IN"/>
              <w14:ligatures w14:val="none"/>
            </w:rPr>
          </w:pPr>
          <w:hyperlink w:anchor="_Toc213265064" w:history="1">
            <w:r w:rsidRPr="004B1B39">
              <w:rPr>
                <w:rStyle w:val="Hyperlink"/>
                <w:rFonts w:asciiTheme="minorBidi" w:hAnsiTheme="minorBidi"/>
                <w:noProof/>
              </w:rPr>
              <w:t>4. Investment Appraisal and Capital Budgeting</w:t>
            </w:r>
            <w:r>
              <w:rPr>
                <w:noProof/>
                <w:webHidden/>
              </w:rPr>
              <w:tab/>
            </w:r>
            <w:r>
              <w:rPr>
                <w:noProof/>
                <w:webHidden/>
              </w:rPr>
              <w:fldChar w:fldCharType="begin"/>
            </w:r>
            <w:r>
              <w:rPr>
                <w:noProof/>
                <w:webHidden/>
              </w:rPr>
              <w:instrText xml:space="preserve"> PAGEREF _Toc213265064 \h </w:instrText>
            </w:r>
            <w:r>
              <w:rPr>
                <w:noProof/>
                <w:webHidden/>
              </w:rPr>
            </w:r>
            <w:r>
              <w:rPr>
                <w:noProof/>
                <w:webHidden/>
              </w:rPr>
              <w:fldChar w:fldCharType="separate"/>
            </w:r>
            <w:r>
              <w:rPr>
                <w:noProof/>
                <w:webHidden/>
              </w:rPr>
              <w:t>16</w:t>
            </w:r>
            <w:r>
              <w:rPr>
                <w:noProof/>
                <w:webHidden/>
              </w:rPr>
              <w:fldChar w:fldCharType="end"/>
            </w:r>
          </w:hyperlink>
        </w:p>
        <w:p w14:paraId="620E910F" w14:textId="5DF59A26"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65" w:history="1">
            <w:r w:rsidRPr="004B1B39">
              <w:rPr>
                <w:rStyle w:val="Hyperlink"/>
                <w:rFonts w:asciiTheme="minorBidi" w:hAnsiTheme="minorBidi"/>
                <w:noProof/>
              </w:rPr>
              <w:t>4.1 Introduction to Investment Appraisal</w:t>
            </w:r>
            <w:r>
              <w:rPr>
                <w:noProof/>
                <w:webHidden/>
              </w:rPr>
              <w:tab/>
            </w:r>
            <w:r>
              <w:rPr>
                <w:noProof/>
                <w:webHidden/>
              </w:rPr>
              <w:fldChar w:fldCharType="begin"/>
            </w:r>
            <w:r>
              <w:rPr>
                <w:noProof/>
                <w:webHidden/>
              </w:rPr>
              <w:instrText xml:space="preserve"> PAGEREF _Toc213265065 \h </w:instrText>
            </w:r>
            <w:r>
              <w:rPr>
                <w:noProof/>
                <w:webHidden/>
              </w:rPr>
            </w:r>
            <w:r>
              <w:rPr>
                <w:noProof/>
                <w:webHidden/>
              </w:rPr>
              <w:fldChar w:fldCharType="separate"/>
            </w:r>
            <w:r>
              <w:rPr>
                <w:noProof/>
                <w:webHidden/>
              </w:rPr>
              <w:t>16</w:t>
            </w:r>
            <w:r>
              <w:rPr>
                <w:noProof/>
                <w:webHidden/>
              </w:rPr>
              <w:fldChar w:fldCharType="end"/>
            </w:r>
          </w:hyperlink>
        </w:p>
        <w:p w14:paraId="63DFD38C" w14:textId="1D0451C5"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66" w:history="1">
            <w:r w:rsidRPr="004B1B39">
              <w:rPr>
                <w:rStyle w:val="Hyperlink"/>
                <w:rFonts w:asciiTheme="minorBidi" w:hAnsiTheme="minorBidi"/>
                <w:noProof/>
              </w:rPr>
              <w:t>4.2 Project Overview</w:t>
            </w:r>
            <w:r>
              <w:rPr>
                <w:noProof/>
                <w:webHidden/>
              </w:rPr>
              <w:tab/>
            </w:r>
            <w:r>
              <w:rPr>
                <w:noProof/>
                <w:webHidden/>
              </w:rPr>
              <w:fldChar w:fldCharType="begin"/>
            </w:r>
            <w:r>
              <w:rPr>
                <w:noProof/>
                <w:webHidden/>
              </w:rPr>
              <w:instrText xml:space="preserve"> PAGEREF _Toc213265066 \h </w:instrText>
            </w:r>
            <w:r>
              <w:rPr>
                <w:noProof/>
                <w:webHidden/>
              </w:rPr>
            </w:r>
            <w:r>
              <w:rPr>
                <w:noProof/>
                <w:webHidden/>
              </w:rPr>
              <w:fldChar w:fldCharType="separate"/>
            </w:r>
            <w:r>
              <w:rPr>
                <w:noProof/>
                <w:webHidden/>
              </w:rPr>
              <w:t>16</w:t>
            </w:r>
            <w:r>
              <w:rPr>
                <w:noProof/>
                <w:webHidden/>
              </w:rPr>
              <w:fldChar w:fldCharType="end"/>
            </w:r>
          </w:hyperlink>
        </w:p>
        <w:p w14:paraId="1CC39FAB" w14:textId="64CAF6E8"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67" w:history="1">
            <w:r w:rsidRPr="004B1B39">
              <w:rPr>
                <w:rStyle w:val="Hyperlink"/>
                <w:rFonts w:asciiTheme="minorBidi" w:hAnsiTheme="minorBidi"/>
                <w:noProof/>
              </w:rPr>
              <w:t>4.3 Evaluation Using Quantitative Techniques</w:t>
            </w:r>
            <w:r>
              <w:rPr>
                <w:noProof/>
                <w:webHidden/>
              </w:rPr>
              <w:tab/>
            </w:r>
            <w:r>
              <w:rPr>
                <w:noProof/>
                <w:webHidden/>
              </w:rPr>
              <w:fldChar w:fldCharType="begin"/>
            </w:r>
            <w:r>
              <w:rPr>
                <w:noProof/>
                <w:webHidden/>
              </w:rPr>
              <w:instrText xml:space="preserve"> PAGEREF _Toc213265067 \h </w:instrText>
            </w:r>
            <w:r>
              <w:rPr>
                <w:noProof/>
                <w:webHidden/>
              </w:rPr>
            </w:r>
            <w:r>
              <w:rPr>
                <w:noProof/>
                <w:webHidden/>
              </w:rPr>
              <w:fldChar w:fldCharType="separate"/>
            </w:r>
            <w:r>
              <w:rPr>
                <w:noProof/>
                <w:webHidden/>
              </w:rPr>
              <w:t>16</w:t>
            </w:r>
            <w:r>
              <w:rPr>
                <w:noProof/>
                <w:webHidden/>
              </w:rPr>
              <w:fldChar w:fldCharType="end"/>
            </w:r>
          </w:hyperlink>
        </w:p>
        <w:p w14:paraId="17D115A0" w14:textId="2D8FA1E3"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68" w:history="1">
            <w:r w:rsidRPr="004B1B39">
              <w:rPr>
                <w:rStyle w:val="Hyperlink"/>
                <w:rFonts w:asciiTheme="minorBidi" w:hAnsiTheme="minorBidi"/>
                <w:noProof/>
              </w:rPr>
              <w:t>4.4 Risk Analysis</w:t>
            </w:r>
            <w:r>
              <w:rPr>
                <w:noProof/>
                <w:webHidden/>
              </w:rPr>
              <w:tab/>
            </w:r>
            <w:r>
              <w:rPr>
                <w:noProof/>
                <w:webHidden/>
              </w:rPr>
              <w:fldChar w:fldCharType="begin"/>
            </w:r>
            <w:r>
              <w:rPr>
                <w:noProof/>
                <w:webHidden/>
              </w:rPr>
              <w:instrText xml:space="preserve"> PAGEREF _Toc213265068 \h </w:instrText>
            </w:r>
            <w:r>
              <w:rPr>
                <w:noProof/>
                <w:webHidden/>
              </w:rPr>
            </w:r>
            <w:r>
              <w:rPr>
                <w:noProof/>
                <w:webHidden/>
              </w:rPr>
              <w:fldChar w:fldCharType="separate"/>
            </w:r>
            <w:r>
              <w:rPr>
                <w:noProof/>
                <w:webHidden/>
              </w:rPr>
              <w:t>19</w:t>
            </w:r>
            <w:r>
              <w:rPr>
                <w:noProof/>
                <w:webHidden/>
              </w:rPr>
              <w:fldChar w:fldCharType="end"/>
            </w:r>
          </w:hyperlink>
        </w:p>
        <w:p w14:paraId="4B375EEF" w14:textId="619F9056"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69" w:history="1">
            <w:r w:rsidRPr="004B1B39">
              <w:rPr>
                <w:rStyle w:val="Hyperlink"/>
                <w:rFonts w:asciiTheme="minorBidi" w:hAnsiTheme="minorBidi"/>
                <w:noProof/>
              </w:rPr>
              <w:t>4.5 Capital Rationing, Final Investment Decision.</w:t>
            </w:r>
            <w:r>
              <w:rPr>
                <w:noProof/>
                <w:webHidden/>
              </w:rPr>
              <w:tab/>
            </w:r>
            <w:r>
              <w:rPr>
                <w:noProof/>
                <w:webHidden/>
              </w:rPr>
              <w:fldChar w:fldCharType="begin"/>
            </w:r>
            <w:r>
              <w:rPr>
                <w:noProof/>
                <w:webHidden/>
              </w:rPr>
              <w:instrText xml:space="preserve"> PAGEREF _Toc213265069 \h </w:instrText>
            </w:r>
            <w:r>
              <w:rPr>
                <w:noProof/>
                <w:webHidden/>
              </w:rPr>
            </w:r>
            <w:r>
              <w:rPr>
                <w:noProof/>
                <w:webHidden/>
              </w:rPr>
              <w:fldChar w:fldCharType="separate"/>
            </w:r>
            <w:r>
              <w:rPr>
                <w:noProof/>
                <w:webHidden/>
              </w:rPr>
              <w:t>20</w:t>
            </w:r>
            <w:r>
              <w:rPr>
                <w:noProof/>
                <w:webHidden/>
              </w:rPr>
              <w:fldChar w:fldCharType="end"/>
            </w:r>
          </w:hyperlink>
        </w:p>
        <w:p w14:paraId="2641DF6D" w14:textId="5F79576A"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70" w:history="1">
            <w:r w:rsidRPr="004B1B39">
              <w:rPr>
                <w:rStyle w:val="Hyperlink"/>
                <w:rFonts w:asciiTheme="minorBidi" w:hAnsiTheme="minorBidi"/>
                <w:noProof/>
              </w:rPr>
              <w:t>4.6 Strategic Justification</w:t>
            </w:r>
            <w:r>
              <w:rPr>
                <w:noProof/>
                <w:webHidden/>
              </w:rPr>
              <w:tab/>
            </w:r>
            <w:r>
              <w:rPr>
                <w:noProof/>
                <w:webHidden/>
              </w:rPr>
              <w:fldChar w:fldCharType="begin"/>
            </w:r>
            <w:r>
              <w:rPr>
                <w:noProof/>
                <w:webHidden/>
              </w:rPr>
              <w:instrText xml:space="preserve"> PAGEREF _Toc213265070 \h </w:instrText>
            </w:r>
            <w:r>
              <w:rPr>
                <w:noProof/>
                <w:webHidden/>
              </w:rPr>
            </w:r>
            <w:r>
              <w:rPr>
                <w:noProof/>
                <w:webHidden/>
              </w:rPr>
              <w:fldChar w:fldCharType="separate"/>
            </w:r>
            <w:r>
              <w:rPr>
                <w:noProof/>
                <w:webHidden/>
              </w:rPr>
              <w:t>20</w:t>
            </w:r>
            <w:r>
              <w:rPr>
                <w:noProof/>
                <w:webHidden/>
              </w:rPr>
              <w:fldChar w:fldCharType="end"/>
            </w:r>
          </w:hyperlink>
        </w:p>
        <w:p w14:paraId="482521F4" w14:textId="206F9A4D"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71" w:history="1">
            <w:r w:rsidRPr="004B1B39">
              <w:rPr>
                <w:rStyle w:val="Hyperlink"/>
                <w:rFonts w:asciiTheme="minorBidi" w:hAnsiTheme="minorBidi"/>
                <w:noProof/>
              </w:rPr>
              <w:t>4.7 Final Investment Appraisal Conclusion.</w:t>
            </w:r>
            <w:r>
              <w:rPr>
                <w:noProof/>
                <w:webHidden/>
              </w:rPr>
              <w:tab/>
            </w:r>
            <w:r>
              <w:rPr>
                <w:noProof/>
                <w:webHidden/>
              </w:rPr>
              <w:fldChar w:fldCharType="begin"/>
            </w:r>
            <w:r>
              <w:rPr>
                <w:noProof/>
                <w:webHidden/>
              </w:rPr>
              <w:instrText xml:space="preserve"> PAGEREF _Toc213265071 \h </w:instrText>
            </w:r>
            <w:r>
              <w:rPr>
                <w:noProof/>
                <w:webHidden/>
              </w:rPr>
            </w:r>
            <w:r>
              <w:rPr>
                <w:noProof/>
                <w:webHidden/>
              </w:rPr>
              <w:fldChar w:fldCharType="separate"/>
            </w:r>
            <w:r>
              <w:rPr>
                <w:noProof/>
                <w:webHidden/>
              </w:rPr>
              <w:t>20</w:t>
            </w:r>
            <w:r>
              <w:rPr>
                <w:noProof/>
                <w:webHidden/>
              </w:rPr>
              <w:fldChar w:fldCharType="end"/>
            </w:r>
          </w:hyperlink>
        </w:p>
        <w:p w14:paraId="539460CF" w14:textId="566719A2" w:rsidR="001817FE" w:rsidRDefault="001817FE">
          <w:pPr>
            <w:pStyle w:val="TOC1"/>
            <w:tabs>
              <w:tab w:val="right" w:leader="dot" w:pos="9016"/>
            </w:tabs>
            <w:rPr>
              <w:rFonts w:asciiTheme="minorHAnsi" w:eastAsiaTheme="minorEastAsia" w:hAnsiTheme="minorHAnsi"/>
              <w:noProof/>
              <w:kern w:val="0"/>
              <w:sz w:val="22"/>
              <w:szCs w:val="22"/>
              <w:lang w:eastAsia="en-IN"/>
              <w14:ligatures w14:val="none"/>
            </w:rPr>
          </w:pPr>
          <w:hyperlink w:anchor="_Toc213265072" w:history="1">
            <w:r w:rsidRPr="004B1B39">
              <w:rPr>
                <w:rStyle w:val="Hyperlink"/>
                <w:rFonts w:asciiTheme="minorBidi" w:hAnsiTheme="minorBidi"/>
                <w:noProof/>
                <w:lang w:val="en-GB"/>
              </w:rPr>
              <w:t>5. Overall Conclusion</w:t>
            </w:r>
            <w:r>
              <w:rPr>
                <w:noProof/>
                <w:webHidden/>
              </w:rPr>
              <w:tab/>
            </w:r>
            <w:r>
              <w:rPr>
                <w:noProof/>
                <w:webHidden/>
              </w:rPr>
              <w:fldChar w:fldCharType="begin"/>
            </w:r>
            <w:r>
              <w:rPr>
                <w:noProof/>
                <w:webHidden/>
              </w:rPr>
              <w:instrText xml:space="preserve"> PAGEREF _Toc213265072 \h </w:instrText>
            </w:r>
            <w:r>
              <w:rPr>
                <w:noProof/>
                <w:webHidden/>
              </w:rPr>
            </w:r>
            <w:r>
              <w:rPr>
                <w:noProof/>
                <w:webHidden/>
              </w:rPr>
              <w:fldChar w:fldCharType="separate"/>
            </w:r>
            <w:r>
              <w:rPr>
                <w:noProof/>
                <w:webHidden/>
              </w:rPr>
              <w:t>20</w:t>
            </w:r>
            <w:r>
              <w:rPr>
                <w:noProof/>
                <w:webHidden/>
              </w:rPr>
              <w:fldChar w:fldCharType="end"/>
            </w:r>
          </w:hyperlink>
        </w:p>
        <w:p w14:paraId="7E52D6DD" w14:textId="011A429B" w:rsidR="001817FE" w:rsidRDefault="001817FE">
          <w:pPr>
            <w:pStyle w:val="TOC1"/>
            <w:tabs>
              <w:tab w:val="right" w:leader="dot" w:pos="9016"/>
            </w:tabs>
            <w:rPr>
              <w:rFonts w:asciiTheme="minorHAnsi" w:eastAsiaTheme="minorEastAsia" w:hAnsiTheme="minorHAnsi"/>
              <w:noProof/>
              <w:kern w:val="0"/>
              <w:sz w:val="22"/>
              <w:szCs w:val="22"/>
              <w:lang w:eastAsia="en-IN"/>
              <w14:ligatures w14:val="none"/>
            </w:rPr>
          </w:pPr>
          <w:hyperlink w:anchor="_Toc213265073" w:history="1">
            <w:r w:rsidRPr="004B1B39">
              <w:rPr>
                <w:rStyle w:val="Hyperlink"/>
                <w:rFonts w:asciiTheme="minorBidi" w:hAnsiTheme="minorBidi"/>
                <w:noProof/>
              </w:rPr>
              <w:t>Reference List</w:t>
            </w:r>
            <w:r>
              <w:rPr>
                <w:noProof/>
                <w:webHidden/>
              </w:rPr>
              <w:tab/>
            </w:r>
            <w:r>
              <w:rPr>
                <w:noProof/>
                <w:webHidden/>
              </w:rPr>
              <w:fldChar w:fldCharType="begin"/>
            </w:r>
            <w:r>
              <w:rPr>
                <w:noProof/>
                <w:webHidden/>
              </w:rPr>
              <w:instrText xml:space="preserve"> PAGEREF _Toc213265073 \h </w:instrText>
            </w:r>
            <w:r>
              <w:rPr>
                <w:noProof/>
                <w:webHidden/>
              </w:rPr>
            </w:r>
            <w:r>
              <w:rPr>
                <w:noProof/>
                <w:webHidden/>
              </w:rPr>
              <w:fldChar w:fldCharType="separate"/>
            </w:r>
            <w:r>
              <w:rPr>
                <w:noProof/>
                <w:webHidden/>
              </w:rPr>
              <w:t>22</w:t>
            </w:r>
            <w:r>
              <w:rPr>
                <w:noProof/>
                <w:webHidden/>
              </w:rPr>
              <w:fldChar w:fldCharType="end"/>
            </w:r>
          </w:hyperlink>
        </w:p>
        <w:p w14:paraId="4B09CB2E" w14:textId="241E48A0" w:rsidR="001817FE" w:rsidRDefault="001817FE">
          <w:pPr>
            <w:pStyle w:val="TOC1"/>
            <w:tabs>
              <w:tab w:val="right" w:leader="dot" w:pos="9016"/>
            </w:tabs>
            <w:rPr>
              <w:rFonts w:asciiTheme="minorHAnsi" w:eastAsiaTheme="minorEastAsia" w:hAnsiTheme="minorHAnsi"/>
              <w:noProof/>
              <w:kern w:val="0"/>
              <w:sz w:val="22"/>
              <w:szCs w:val="22"/>
              <w:lang w:eastAsia="en-IN"/>
              <w14:ligatures w14:val="none"/>
            </w:rPr>
          </w:pPr>
          <w:hyperlink w:anchor="_Toc213265074" w:history="1">
            <w:r w:rsidRPr="004B1B39">
              <w:rPr>
                <w:rStyle w:val="Hyperlink"/>
                <w:rFonts w:asciiTheme="minorBidi" w:hAnsiTheme="minorBidi"/>
                <w:noProof/>
              </w:rPr>
              <w:t>Appendices</w:t>
            </w:r>
            <w:r>
              <w:rPr>
                <w:noProof/>
                <w:webHidden/>
              </w:rPr>
              <w:tab/>
            </w:r>
            <w:r>
              <w:rPr>
                <w:noProof/>
                <w:webHidden/>
              </w:rPr>
              <w:fldChar w:fldCharType="begin"/>
            </w:r>
            <w:r>
              <w:rPr>
                <w:noProof/>
                <w:webHidden/>
              </w:rPr>
              <w:instrText xml:space="preserve"> PAGEREF _Toc213265074 \h </w:instrText>
            </w:r>
            <w:r>
              <w:rPr>
                <w:noProof/>
                <w:webHidden/>
              </w:rPr>
            </w:r>
            <w:r>
              <w:rPr>
                <w:noProof/>
                <w:webHidden/>
              </w:rPr>
              <w:fldChar w:fldCharType="separate"/>
            </w:r>
            <w:r>
              <w:rPr>
                <w:noProof/>
                <w:webHidden/>
              </w:rPr>
              <w:t>27</w:t>
            </w:r>
            <w:r>
              <w:rPr>
                <w:noProof/>
                <w:webHidden/>
              </w:rPr>
              <w:fldChar w:fldCharType="end"/>
            </w:r>
          </w:hyperlink>
        </w:p>
        <w:p w14:paraId="51C476F5" w14:textId="6C868840"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75" w:history="1">
            <w:r w:rsidRPr="004B1B39">
              <w:rPr>
                <w:rStyle w:val="Hyperlink"/>
                <w:rFonts w:asciiTheme="minorBidi" w:hAnsiTheme="minorBidi"/>
                <w:noProof/>
              </w:rPr>
              <w:t>Appendix 1: Profitability ratio</w:t>
            </w:r>
            <w:r>
              <w:rPr>
                <w:noProof/>
                <w:webHidden/>
              </w:rPr>
              <w:tab/>
            </w:r>
            <w:r>
              <w:rPr>
                <w:noProof/>
                <w:webHidden/>
              </w:rPr>
              <w:fldChar w:fldCharType="begin"/>
            </w:r>
            <w:r>
              <w:rPr>
                <w:noProof/>
                <w:webHidden/>
              </w:rPr>
              <w:instrText xml:space="preserve"> PAGEREF _Toc213265075 \h </w:instrText>
            </w:r>
            <w:r>
              <w:rPr>
                <w:noProof/>
                <w:webHidden/>
              </w:rPr>
            </w:r>
            <w:r>
              <w:rPr>
                <w:noProof/>
                <w:webHidden/>
              </w:rPr>
              <w:fldChar w:fldCharType="separate"/>
            </w:r>
            <w:r>
              <w:rPr>
                <w:noProof/>
                <w:webHidden/>
              </w:rPr>
              <w:t>27</w:t>
            </w:r>
            <w:r>
              <w:rPr>
                <w:noProof/>
                <w:webHidden/>
              </w:rPr>
              <w:fldChar w:fldCharType="end"/>
            </w:r>
          </w:hyperlink>
        </w:p>
        <w:p w14:paraId="79146746" w14:textId="4137A65C"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76" w:history="1">
            <w:r w:rsidRPr="004B1B39">
              <w:rPr>
                <w:rStyle w:val="Hyperlink"/>
                <w:rFonts w:asciiTheme="minorBidi" w:hAnsiTheme="minorBidi"/>
                <w:noProof/>
              </w:rPr>
              <w:t>Appendix 2: Liquidity Ratio</w:t>
            </w:r>
            <w:r>
              <w:rPr>
                <w:noProof/>
                <w:webHidden/>
              </w:rPr>
              <w:tab/>
            </w:r>
            <w:r>
              <w:rPr>
                <w:noProof/>
                <w:webHidden/>
              </w:rPr>
              <w:fldChar w:fldCharType="begin"/>
            </w:r>
            <w:r>
              <w:rPr>
                <w:noProof/>
                <w:webHidden/>
              </w:rPr>
              <w:instrText xml:space="preserve"> PAGEREF _Toc213265076 \h </w:instrText>
            </w:r>
            <w:r>
              <w:rPr>
                <w:noProof/>
                <w:webHidden/>
              </w:rPr>
            </w:r>
            <w:r>
              <w:rPr>
                <w:noProof/>
                <w:webHidden/>
              </w:rPr>
              <w:fldChar w:fldCharType="separate"/>
            </w:r>
            <w:r>
              <w:rPr>
                <w:noProof/>
                <w:webHidden/>
              </w:rPr>
              <w:t>27</w:t>
            </w:r>
            <w:r>
              <w:rPr>
                <w:noProof/>
                <w:webHidden/>
              </w:rPr>
              <w:fldChar w:fldCharType="end"/>
            </w:r>
          </w:hyperlink>
        </w:p>
        <w:p w14:paraId="1ECAD334" w14:textId="22971644"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77" w:history="1">
            <w:r w:rsidRPr="004B1B39">
              <w:rPr>
                <w:rStyle w:val="Hyperlink"/>
                <w:rFonts w:asciiTheme="minorBidi" w:hAnsiTheme="minorBidi"/>
                <w:noProof/>
              </w:rPr>
              <w:t>Appendix 3: Efficiency and working capital ratios</w:t>
            </w:r>
            <w:r>
              <w:rPr>
                <w:noProof/>
                <w:webHidden/>
              </w:rPr>
              <w:tab/>
            </w:r>
            <w:r>
              <w:rPr>
                <w:noProof/>
                <w:webHidden/>
              </w:rPr>
              <w:fldChar w:fldCharType="begin"/>
            </w:r>
            <w:r>
              <w:rPr>
                <w:noProof/>
                <w:webHidden/>
              </w:rPr>
              <w:instrText xml:space="preserve"> PAGEREF _Toc213265077 \h </w:instrText>
            </w:r>
            <w:r>
              <w:rPr>
                <w:noProof/>
                <w:webHidden/>
              </w:rPr>
            </w:r>
            <w:r>
              <w:rPr>
                <w:noProof/>
                <w:webHidden/>
              </w:rPr>
              <w:fldChar w:fldCharType="separate"/>
            </w:r>
            <w:r>
              <w:rPr>
                <w:noProof/>
                <w:webHidden/>
              </w:rPr>
              <w:t>28</w:t>
            </w:r>
            <w:r>
              <w:rPr>
                <w:noProof/>
                <w:webHidden/>
              </w:rPr>
              <w:fldChar w:fldCharType="end"/>
            </w:r>
          </w:hyperlink>
        </w:p>
        <w:p w14:paraId="66154595" w14:textId="12F2E5EF"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78" w:history="1">
            <w:r w:rsidRPr="004B1B39">
              <w:rPr>
                <w:rStyle w:val="Hyperlink"/>
                <w:rFonts w:asciiTheme="minorBidi" w:hAnsiTheme="minorBidi"/>
                <w:noProof/>
              </w:rPr>
              <w:t>Appendix 4: Leverage and solvency ratios</w:t>
            </w:r>
            <w:r>
              <w:rPr>
                <w:noProof/>
                <w:webHidden/>
              </w:rPr>
              <w:tab/>
            </w:r>
            <w:r>
              <w:rPr>
                <w:noProof/>
                <w:webHidden/>
              </w:rPr>
              <w:fldChar w:fldCharType="begin"/>
            </w:r>
            <w:r>
              <w:rPr>
                <w:noProof/>
                <w:webHidden/>
              </w:rPr>
              <w:instrText xml:space="preserve"> PAGEREF _Toc213265078 \h </w:instrText>
            </w:r>
            <w:r>
              <w:rPr>
                <w:noProof/>
                <w:webHidden/>
              </w:rPr>
            </w:r>
            <w:r>
              <w:rPr>
                <w:noProof/>
                <w:webHidden/>
              </w:rPr>
              <w:fldChar w:fldCharType="separate"/>
            </w:r>
            <w:r>
              <w:rPr>
                <w:noProof/>
                <w:webHidden/>
              </w:rPr>
              <w:t>28</w:t>
            </w:r>
            <w:r>
              <w:rPr>
                <w:noProof/>
                <w:webHidden/>
              </w:rPr>
              <w:fldChar w:fldCharType="end"/>
            </w:r>
          </w:hyperlink>
        </w:p>
        <w:p w14:paraId="591B6135" w14:textId="1560E4DC"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79" w:history="1">
            <w:r w:rsidRPr="004B1B39">
              <w:rPr>
                <w:rStyle w:val="Hyperlink"/>
                <w:rFonts w:asciiTheme="minorBidi" w:hAnsiTheme="minorBidi"/>
                <w:noProof/>
              </w:rPr>
              <w:t>Appendix 5: Investment and market ratios</w:t>
            </w:r>
            <w:r>
              <w:rPr>
                <w:noProof/>
                <w:webHidden/>
              </w:rPr>
              <w:tab/>
            </w:r>
            <w:r>
              <w:rPr>
                <w:noProof/>
                <w:webHidden/>
              </w:rPr>
              <w:fldChar w:fldCharType="begin"/>
            </w:r>
            <w:r>
              <w:rPr>
                <w:noProof/>
                <w:webHidden/>
              </w:rPr>
              <w:instrText xml:space="preserve"> PAGEREF _Toc213265079 \h </w:instrText>
            </w:r>
            <w:r>
              <w:rPr>
                <w:noProof/>
                <w:webHidden/>
              </w:rPr>
            </w:r>
            <w:r>
              <w:rPr>
                <w:noProof/>
                <w:webHidden/>
              </w:rPr>
              <w:fldChar w:fldCharType="separate"/>
            </w:r>
            <w:r>
              <w:rPr>
                <w:noProof/>
                <w:webHidden/>
              </w:rPr>
              <w:t>29</w:t>
            </w:r>
            <w:r>
              <w:rPr>
                <w:noProof/>
                <w:webHidden/>
              </w:rPr>
              <w:fldChar w:fldCharType="end"/>
            </w:r>
          </w:hyperlink>
        </w:p>
        <w:p w14:paraId="0A6D26AB" w14:textId="0431DE67"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80" w:history="1">
            <w:r w:rsidRPr="004B1B39">
              <w:rPr>
                <w:rStyle w:val="Hyperlink"/>
                <w:rFonts w:asciiTheme="minorBidi" w:hAnsiTheme="minorBidi"/>
                <w:noProof/>
              </w:rPr>
              <w:t>Appendix 6: Cash flow analysis</w:t>
            </w:r>
            <w:r>
              <w:rPr>
                <w:noProof/>
                <w:webHidden/>
              </w:rPr>
              <w:tab/>
            </w:r>
            <w:r>
              <w:rPr>
                <w:noProof/>
                <w:webHidden/>
              </w:rPr>
              <w:fldChar w:fldCharType="begin"/>
            </w:r>
            <w:r>
              <w:rPr>
                <w:noProof/>
                <w:webHidden/>
              </w:rPr>
              <w:instrText xml:space="preserve"> PAGEREF _Toc213265080 \h </w:instrText>
            </w:r>
            <w:r>
              <w:rPr>
                <w:noProof/>
                <w:webHidden/>
              </w:rPr>
            </w:r>
            <w:r>
              <w:rPr>
                <w:noProof/>
                <w:webHidden/>
              </w:rPr>
              <w:fldChar w:fldCharType="separate"/>
            </w:r>
            <w:r>
              <w:rPr>
                <w:noProof/>
                <w:webHidden/>
              </w:rPr>
              <w:t>29</w:t>
            </w:r>
            <w:r>
              <w:rPr>
                <w:noProof/>
                <w:webHidden/>
              </w:rPr>
              <w:fldChar w:fldCharType="end"/>
            </w:r>
          </w:hyperlink>
        </w:p>
        <w:p w14:paraId="18711DA1" w14:textId="4AF988AD"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81" w:history="1">
            <w:r w:rsidRPr="004B1B39">
              <w:rPr>
                <w:rStyle w:val="Hyperlink"/>
                <w:rFonts w:asciiTheme="minorBidi" w:hAnsiTheme="minorBidi"/>
                <w:noProof/>
              </w:rPr>
              <w:t>Appendix 7 : Cash Conversion Cycle</w:t>
            </w:r>
            <w:r>
              <w:rPr>
                <w:noProof/>
                <w:webHidden/>
              </w:rPr>
              <w:tab/>
            </w:r>
            <w:r>
              <w:rPr>
                <w:noProof/>
                <w:webHidden/>
              </w:rPr>
              <w:fldChar w:fldCharType="begin"/>
            </w:r>
            <w:r>
              <w:rPr>
                <w:noProof/>
                <w:webHidden/>
              </w:rPr>
              <w:instrText xml:space="preserve"> PAGEREF _Toc213265081 \h </w:instrText>
            </w:r>
            <w:r>
              <w:rPr>
                <w:noProof/>
                <w:webHidden/>
              </w:rPr>
            </w:r>
            <w:r>
              <w:rPr>
                <w:noProof/>
                <w:webHidden/>
              </w:rPr>
              <w:fldChar w:fldCharType="separate"/>
            </w:r>
            <w:r>
              <w:rPr>
                <w:noProof/>
                <w:webHidden/>
              </w:rPr>
              <w:t>30</w:t>
            </w:r>
            <w:r>
              <w:rPr>
                <w:noProof/>
                <w:webHidden/>
              </w:rPr>
              <w:fldChar w:fldCharType="end"/>
            </w:r>
          </w:hyperlink>
        </w:p>
        <w:p w14:paraId="468A631C" w14:textId="202DC650"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82" w:history="1">
            <w:r w:rsidRPr="004B1B39">
              <w:rPr>
                <w:rStyle w:val="Hyperlink"/>
                <w:rFonts w:asciiTheme="minorBidi" w:hAnsiTheme="minorBidi"/>
                <w:noProof/>
              </w:rPr>
              <w:t>Appendix 8: Investment Appraisal of Project A</w:t>
            </w:r>
            <w:r>
              <w:rPr>
                <w:noProof/>
                <w:webHidden/>
              </w:rPr>
              <w:tab/>
            </w:r>
            <w:r>
              <w:rPr>
                <w:noProof/>
                <w:webHidden/>
              </w:rPr>
              <w:fldChar w:fldCharType="begin"/>
            </w:r>
            <w:r>
              <w:rPr>
                <w:noProof/>
                <w:webHidden/>
              </w:rPr>
              <w:instrText xml:space="preserve"> PAGEREF _Toc213265082 \h </w:instrText>
            </w:r>
            <w:r>
              <w:rPr>
                <w:noProof/>
                <w:webHidden/>
              </w:rPr>
            </w:r>
            <w:r>
              <w:rPr>
                <w:noProof/>
                <w:webHidden/>
              </w:rPr>
              <w:fldChar w:fldCharType="separate"/>
            </w:r>
            <w:r>
              <w:rPr>
                <w:noProof/>
                <w:webHidden/>
              </w:rPr>
              <w:t>31</w:t>
            </w:r>
            <w:r>
              <w:rPr>
                <w:noProof/>
                <w:webHidden/>
              </w:rPr>
              <w:fldChar w:fldCharType="end"/>
            </w:r>
          </w:hyperlink>
        </w:p>
        <w:p w14:paraId="4608F6CC" w14:textId="4798C9F6"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83" w:history="1">
            <w:r w:rsidRPr="004B1B39">
              <w:rPr>
                <w:rStyle w:val="Hyperlink"/>
                <w:rFonts w:asciiTheme="minorBidi" w:hAnsiTheme="minorBidi"/>
                <w:noProof/>
              </w:rPr>
              <w:t>Appendix 9: Investment Appraisal of Project B</w:t>
            </w:r>
            <w:r>
              <w:rPr>
                <w:noProof/>
                <w:webHidden/>
              </w:rPr>
              <w:tab/>
            </w:r>
            <w:r>
              <w:rPr>
                <w:noProof/>
                <w:webHidden/>
              </w:rPr>
              <w:fldChar w:fldCharType="begin"/>
            </w:r>
            <w:r>
              <w:rPr>
                <w:noProof/>
                <w:webHidden/>
              </w:rPr>
              <w:instrText xml:space="preserve"> PAGEREF _Toc213265083 \h </w:instrText>
            </w:r>
            <w:r>
              <w:rPr>
                <w:noProof/>
                <w:webHidden/>
              </w:rPr>
            </w:r>
            <w:r>
              <w:rPr>
                <w:noProof/>
                <w:webHidden/>
              </w:rPr>
              <w:fldChar w:fldCharType="separate"/>
            </w:r>
            <w:r>
              <w:rPr>
                <w:noProof/>
                <w:webHidden/>
              </w:rPr>
              <w:t>31</w:t>
            </w:r>
            <w:r>
              <w:rPr>
                <w:noProof/>
                <w:webHidden/>
              </w:rPr>
              <w:fldChar w:fldCharType="end"/>
            </w:r>
          </w:hyperlink>
        </w:p>
        <w:p w14:paraId="60F0D0D7" w14:textId="10E6B764" w:rsidR="001817FE" w:rsidRDefault="001817FE">
          <w:pPr>
            <w:pStyle w:val="TOC2"/>
            <w:tabs>
              <w:tab w:val="right" w:leader="dot" w:pos="9016"/>
            </w:tabs>
            <w:rPr>
              <w:rFonts w:asciiTheme="minorHAnsi" w:eastAsiaTheme="minorEastAsia" w:hAnsiTheme="minorHAnsi"/>
              <w:noProof/>
              <w:kern w:val="0"/>
              <w:sz w:val="22"/>
              <w:szCs w:val="22"/>
              <w:lang w:eastAsia="en-IN"/>
              <w14:ligatures w14:val="none"/>
            </w:rPr>
          </w:pPr>
          <w:hyperlink w:anchor="_Toc213265084" w:history="1">
            <w:r w:rsidRPr="004B1B39">
              <w:rPr>
                <w:rStyle w:val="Hyperlink"/>
                <w:rFonts w:asciiTheme="minorBidi" w:hAnsiTheme="minorBidi"/>
                <w:noProof/>
              </w:rPr>
              <w:t>Appendix 10: Investment Appraisal of Project C</w:t>
            </w:r>
            <w:r>
              <w:rPr>
                <w:noProof/>
                <w:webHidden/>
              </w:rPr>
              <w:tab/>
            </w:r>
            <w:r>
              <w:rPr>
                <w:noProof/>
                <w:webHidden/>
              </w:rPr>
              <w:fldChar w:fldCharType="begin"/>
            </w:r>
            <w:r>
              <w:rPr>
                <w:noProof/>
                <w:webHidden/>
              </w:rPr>
              <w:instrText xml:space="preserve"> PAGEREF _Toc213265084 \h </w:instrText>
            </w:r>
            <w:r>
              <w:rPr>
                <w:noProof/>
                <w:webHidden/>
              </w:rPr>
            </w:r>
            <w:r>
              <w:rPr>
                <w:noProof/>
                <w:webHidden/>
              </w:rPr>
              <w:fldChar w:fldCharType="separate"/>
            </w:r>
            <w:r>
              <w:rPr>
                <w:noProof/>
                <w:webHidden/>
              </w:rPr>
              <w:t>31</w:t>
            </w:r>
            <w:r>
              <w:rPr>
                <w:noProof/>
                <w:webHidden/>
              </w:rPr>
              <w:fldChar w:fldCharType="end"/>
            </w:r>
          </w:hyperlink>
        </w:p>
        <w:p w14:paraId="69C37C06" w14:textId="1B8AAEA3" w:rsidR="009A31A6" w:rsidRPr="006D39E3" w:rsidRDefault="009A31A6">
          <w:pPr>
            <w:rPr>
              <w:rFonts w:asciiTheme="minorBidi" w:hAnsiTheme="minorBidi"/>
            </w:rPr>
          </w:pPr>
          <w:r w:rsidRPr="006D39E3">
            <w:rPr>
              <w:rFonts w:asciiTheme="minorBidi" w:hAnsiTheme="minorBidi"/>
              <w:b/>
              <w:bCs/>
              <w:noProof/>
            </w:rPr>
            <w:fldChar w:fldCharType="end"/>
          </w:r>
        </w:p>
      </w:sdtContent>
    </w:sdt>
    <w:p w14:paraId="226CCD8E" w14:textId="77777777" w:rsidR="00940064" w:rsidRPr="006D39E3" w:rsidRDefault="00940064" w:rsidP="00940064">
      <w:pPr>
        <w:jc w:val="center"/>
        <w:rPr>
          <w:rFonts w:asciiTheme="minorBidi" w:hAnsiTheme="minorBidi"/>
          <w:b/>
          <w:bCs/>
          <w:sz w:val="36"/>
          <w:szCs w:val="36"/>
        </w:rPr>
      </w:pPr>
    </w:p>
    <w:p w14:paraId="001D44FE" w14:textId="42A5F3B8" w:rsidR="00617416" w:rsidRPr="006D39E3" w:rsidRDefault="00617416" w:rsidP="00940064">
      <w:pPr>
        <w:jc w:val="center"/>
        <w:rPr>
          <w:rFonts w:asciiTheme="minorBidi" w:eastAsiaTheme="majorEastAsia" w:hAnsiTheme="minorBidi"/>
          <w:sz w:val="28"/>
          <w:szCs w:val="40"/>
        </w:rPr>
      </w:pPr>
      <w:r w:rsidRPr="006D39E3">
        <w:rPr>
          <w:rFonts w:asciiTheme="minorBidi" w:hAnsiTheme="minorBidi"/>
        </w:rPr>
        <w:br w:type="page"/>
      </w:r>
    </w:p>
    <w:p w14:paraId="6FFDAF50" w14:textId="77777777" w:rsidR="00CF13D0" w:rsidRPr="006D39E3" w:rsidRDefault="00CF13D0" w:rsidP="00CF13D0">
      <w:pPr>
        <w:pStyle w:val="Heading1"/>
        <w:rPr>
          <w:rFonts w:asciiTheme="minorBidi" w:hAnsiTheme="minorBidi" w:cstheme="minorBidi"/>
          <w:lang w:val="en-GB"/>
        </w:rPr>
      </w:pPr>
      <w:bookmarkStart w:id="1" w:name="_Toc213265041"/>
      <w:r w:rsidRPr="006D39E3">
        <w:rPr>
          <w:rFonts w:asciiTheme="minorBidi" w:hAnsiTheme="minorBidi" w:cstheme="minorBidi"/>
          <w:lang w:val="en-GB"/>
        </w:rPr>
        <w:lastRenderedPageBreak/>
        <w:t>Introduction</w:t>
      </w:r>
      <w:bookmarkEnd w:id="1"/>
      <w:r w:rsidRPr="006D39E3">
        <w:rPr>
          <w:rFonts w:asciiTheme="minorBidi" w:hAnsiTheme="minorBidi" w:cstheme="minorBidi"/>
          <w:lang w:val="en-GB"/>
        </w:rPr>
        <w:t xml:space="preserve"> </w:t>
      </w:r>
    </w:p>
    <w:p w14:paraId="723B7118" w14:textId="77777777" w:rsidR="00CF13D0" w:rsidRPr="006D39E3" w:rsidRDefault="00CF13D0" w:rsidP="00CF13D0">
      <w:pPr>
        <w:rPr>
          <w:rFonts w:asciiTheme="minorBidi" w:hAnsiTheme="minorBidi"/>
          <w:lang w:val="en-GB"/>
        </w:rPr>
      </w:pPr>
      <w:r w:rsidRPr="006D39E3">
        <w:rPr>
          <w:rFonts w:asciiTheme="minorBidi" w:hAnsiTheme="minorBidi"/>
          <w:lang w:val="en-GB"/>
        </w:rPr>
        <w:t xml:space="preserve">The following report will have an in-depth analysis of the overall financial health of the company, its working capital management, and the possibility of restructuring it. It looks at the key performance indicators used in evaluating the stability and growth potential of operations including profitability, liquidity, solvency, and efficiency. The analysis also examines the effectiveness of the company to use its current assets and liabilities to sustain both liquidity and operation balance. Moreover, it is also suggested that the organisational financial sustainability can be improved, investor confidence will be increased, and the future financial strategies need to be aligned with long-term business objectives. </w:t>
      </w:r>
    </w:p>
    <w:p w14:paraId="6D6E883F" w14:textId="77777777" w:rsidR="00CF13D0" w:rsidRPr="006D39E3" w:rsidRDefault="00CF13D0" w:rsidP="00CF13D0">
      <w:pPr>
        <w:pStyle w:val="Heading1"/>
        <w:rPr>
          <w:rFonts w:asciiTheme="minorBidi" w:hAnsiTheme="minorBidi" w:cstheme="minorBidi"/>
          <w:lang w:val="en-GB"/>
        </w:rPr>
      </w:pPr>
      <w:bookmarkStart w:id="2" w:name="_Toc213265042"/>
      <w:r w:rsidRPr="006D39E3">
        <w:rPr>
          <w:rFonts w:asciiTheme="minorBidi" w:hAnsiTheme="minorBidi" w:cstheme="minorBidi"/>
          <w:lang w:val="en-GB"/>
        </w:rPr>
        <w:t>1. Financial Health Check of General Electric</w:t>
      </w:r>
      <w:bookmarkEnd w:id="2"/>
      <w:r w:rsidRPr="006D39E3">
        <w:rPr>
          <w:rFonts w:asciiTheme="minorBidi" w:hAnsiTheme="minorBidi" w:cstheme="minorBidi"/>
          <w:lang w:val="en-GB"/>
        </w:rPr>
        <w:t xml:space="preserve"> </w:t>
      </w:r>
    </w:p>
    <w:p w14:paraId="446DD3B2" w14:textId="77777777" w:rsidR="00CF13D0" w:rsidRPr="006D39E3" w:rsidRDefault="00CF13D0" w:rsidP="00CF13D0">
      <w:pPr>
        <w:pStyle w:val="Heading2"/>
        <w:rPr>
          <w:rFonts w:asciiTheme="minorBidi" w:hAnsiTheme="minorBidi" w:cstheme="minorBidi"/>
          <w:lang w:val="en-GB"/>
        </w:rPr>
      </w:pPr>
      <w:bookmarkStart w:id="3" w:name="_Toc213265043"/>
      <w:r w:rsidRPr="006D39E3">
        <w:rPr>
          <w:rFonts w:asciiTheme="minorBidi" w:hAnsiTheme="minorBidi" w:cstheme="minorBidi"/>
          <w:lang w:val="en-GB"/>
        </w:rPr>
        <w:t>1.1 Introduction to Financial Analysis</w:t>
      </w:r>
      <w:bookmarkEnd w:id="3"/>
      <w:r w:rsidRPr="006D39E3">
        <w:rPr>
          <w:rFonts w:asciiTheme="minorBidi" w:hAnsiTheme="minorBidi" w:cstheme="minorBidi"/>
          <w:lang w:val="en-GB"/>
        </w:rPr>
        <w:t xml:space="preserve"> </w:t>
      </w:r>
    </w:p>
    <w:p w14:paraId="445F226A" w14:textId="77777777" w:rsidR="00CF13D0" w:rsidRPr="006D39E3" w:rsidRDefault="00CF13D0" w:rsidP="00CF13D0">
      <w:pPr>
        <w:rPr>
          <w:rFonts w:asciiTheme="minorBidi" w:hAnsiTheme="minorBidi"/>
          <w:lang w:val="en-GB"/>
        </w:rPr>
      </w:pPr>
      <w:r w:rsidRPr="006D39E3">
        <w:rPr>
          <w:rFonts w:asciiTheme="minorBidi" w:hAnsiTheme="minorBidi"/>
          <w:lang w:val="en-GB"/>
        </w:rPr>
        <w:t xml:space="preserve">The paper gives a thorough analysis of the five-year performance and stability of General Electric (GE) between 2020 and 2024 regarding their financial performance. GE is a foreign industrial conglomerate that trades in aviation, energy, healthcare, and renewable sectors (GE, 2025). The company has experienced massive reorganization in the process, disposing non-core business and re-strategic on high value industries. The main aim of the present financial analysis is to evaluate the profitability, liquidity, efficiency, solvency, attractiveness to investment and financial sustainability of GE. </w:t>
      </w:r>
    </w:p>
    <w:p w14:paraId="10B812AE" w14:textId="77777777" w:rsidR="00CF13D0" w:rsidRPr="006D39E3" w:rsidRDefault="00CF13D0" w:rsidP="00CF13D0">
      <w:pPr>
        <w:pStyle w:val="Heading2"/>
        <w:rPr>
          <w:rFonts w:asciiTheme="minorBidi" w:hAnsiTheme="minorBidi" w:cstheme="minorBidi"/>
          <w:lang w:val="en-GB"/>
        </w:rPr>
      </w:pPr>
      <w:bookmarkStart w:id="4" w:name="_Toc213265044"/>
      <w:r w:rsidRPr="006D39E3">
        <w:rPr>
          <w:rFonts w:asciiTheme="minorBidi" w:hAnsiTheme="minorBidi" w:cstheme="minorBidi"/>
          <w:lang w:val="en-GB"/>
        </w:rPr>
        <w:t xml:space="preserve">1.2 Profitability </w:t>
      </w:r>
      <w:r w:rsidRPr="006D39E3">
        <w:rPr>
          <w:rStyle w:val="Heading2Char"/>
          <w:rFonts w:asciiTheme="minorBidi" w:hAnsiTheme="minorBidi" w:cstheme="minorBidi"/>
          <w:b/>
        </w:rPr>
        <w:t>Analysis</w:t>
      </w:r>
      <w:bookmarkEnd w:id="4"/>
      <w:r w:rsidRPr="006D39E3">
        <w:rPr>
          <w:rFonts w:asciiTheme="minorBidi" w:hAnsiTheme="minorBidi" w:cstheme="minorBidi"/>
          <w:lang w:val="en-GB"/>
        </w:rPr>
        <w:t xml:space="preserve"> </w:t>
      </w:r>
    </w:p>
    <w:p w14:paraId="00B14C58" w14:textId="77777777" w:rsidR="00CF13D0" w:rsidRPr="006D39E3" w:rsidRDefault="00CF13D0" w:rsidP="00CF13D0">
      <w:pPr>
        <w:rPr>
          <w:rFonts w:asciiTheme="minorBidi" w:hAnsiTheme="minorBidi"/>
          <w:lang w:val="en-GB"/>
        </w:rPr>
      </w:pPr>
      <w:r w:rsidRPr="006D39E3">
        <w:rPr>
          <w:rFonts w:asciiTheme="minorBidi" w:hAnsiTheme="minorBidi"/>
          <w:lang w:val="en-GB"/>
        </w:rPr>
        <w:t>Profitability ratios will show how well GE has been able to make use of its revenue and capital base to make profits.</w:t>
      </w:r>
    </w:p>
    <w:p w14:paraId="2CCA891D" w14:textId="77777777" w:rsidR="00CF13D0" w:rsidRPr="006D39E3" w:rsidRDefault="00CF13D0" w:rsidP="00CF13D0">
      <w:pPr>
        <w:rPr>
          <w:rFonts w:asciiTheme="minorBidi" w:hAnsiTheme="minorBidi"/>
          <w:lang w:val="en-GB"/>
        </w:rPr>
      </w:pPr>
      <w:r w:rsidRPr="006D39E3">
        <w:rPr>
          <w:rFonts w:asciiTheme="minorBidi" w:hAnsiTheme="minorBidi"/>
          <w:lang w:val="en-GB"/>
        </w:rPr>
        <w:t>Gross Profit Margin (GPM) was 29 in 2024, 23 in 2023, 28 in 2022, 32 in 2021, and 29 in 2020. The fall in 2023 showed the cost pressure and reorganization cost, but the 29 percent recovery in 2024 shows the cost control and pricing strategy was improved. Nevertheless, the margin is still lower than pre-pandemic efficiency, which indicates the existence of unresolved inefficiencies in the production cost or the limitation of the supply chain.</w:t>
      </w:r>
    </w:p>
    <w:p w14:paraId="70FAD967" w14:textId="77777777" w:rsidR="00CF13D0" w:rsidRPr="006D39E3" w:rsidRDefault="00CF13D0" w:rsidP="00CF13D0">
      <w:pPr>
        <w:rPr>
          <w:rFonts w:asciiTheme="minorBidi" w:hAnsiTheme="minorBidi"/>
          <w:lang w:val="en-GB"/>
        </w:rPr>
      </w:pPr>
      <w:r w:rsidRPr="006D39E3">
        <w:rPr>
          <w:rFonts w:asciiTheme="minorBidi" w:hAnsiTheme="minorBidi"/>
          <w:lang w:val="en-GB"/>
        </w:rPr>
        <w:lastRenderedPageBreak/>
        <w:t>Net Profit Margin (NPM) is also very unstable with net profit margin of -6% in 2024, -23% in 2023, 0% in 2022, 1% in 2021 and 6% in 2020. Continued net losses in the form of interest, restructuring costs and lower post-divestment revenues suggest continued negative margins in 2023-2024 [</w:t>
      </w:r>
      <w:r w:rsidRPr="006D39E3">
        <w:rPr>
          <w:rFonts w:asciiTheme="minorBidi" w:hAnsiTheme="minorBidi"/>
          <w:b/>
          <w:bCs/>
          <w:i/>
          <w:iCs/>
          <w:lang w:val="en-GB"/>
        </w:rPr>
        <w:t>Refer to Appendix 1</w:t>
      </w:r>
      <w:r w:rsidRPr="006D39E3">
        <w:rPr>
          <w:rFonts w:asciiTheme="minorBidi" w:hAnsiTheme="minorBidi"/>
          <w:lang w:val="en-GB"/>
        </w:rPr>
        <w:t>].</w:t>
      </w:r>
    </w:p>
    <w:p w14:paraId="62732EC7" w14:textId="77777777" w:rsidR="00CF13D0" w:rsidRPr="006D39E3" w:rsidRDefault="00CF13D0" w:rsidP="00CF13D0">
      <w:pPr>
        <w:rPr>
          <w:rFonts w:asciiTheme="minorBidi" w:hAnsiTheme="minorBidi"/>
          <w:lang w:val="en-GB"/>
        </w:rPr>
      </w:pPr>
      <w:r w:rsidRPr="006D39E3">
        <w:rPr>
          <w:rFonts w:asciiTheme="minorBidi" w:hAnsiTheme="minorBidi"/>
          <w:lang w:val="en-GB"/>
        </w:rPr>
        <w:t>The trend of Return on Assets (ROA) and Return on Equity (ROE) is also similar. The negative net income had a drastic impact on the ROA, which reflected the low efficiency of the total assets used in generating returns. Similarly, the ROE became negative because the equity of shareholders had reduced through the losses (El-Chaarani and Abraham, 2022). These values show that the profitability position of the firm is still weak even though the gross margins have shown signs of recovery.</w:t>
      </w:r>
    </w:p>
    <w:p w14:paraId="77D66F2B" w14:textId="77777777" w:rsidR="00CF13D0" w:rsidRPr="006D39E3" w:rsidRDefault="00CF13D0" w:rsidP="00CF13D0">
      <w:pPr>
        <w:pStyle w:val="Heading2"/>
        <w:rPr>
          <w:rFonts w:asciiTheme="minorBidi" w:hAnsiTheme="minorBidi" w:cstheme="minorBidi"/>
          <w:lang w:val="en-GB"/>
        </w:rPr>
      </w:pPr>
      <w:bookmarkStart w:id="5" w:name="_Toc213265045"/>
      <w:r w:rsidRPr="006D39E3">
        <w:rPr>
          <w:rFonts w:asciiTheme="minorBidi" w:hAnsiTheme="minorBidi" w:cstheme="minorBidi"/>
          <w:lang w:val="en-GB"/>
        </w:rPr>
        <w:t>1.3 Liquidity Analysis</w:t>
      </w:r>
      <w:bookmarkEnd w:id="5"/>
      <w:r w:rsidRPr="006D39E3">
        <w:rPr>
          <w:rFonts w:asciiTheme="minorBidi" w:hAnsiTheme="minorBidi" w:cstheme="minorBidi"/>
          <w:lang w:val="en-GB"/>
        </w:rPr>
        <w:t xml:space="preserve"> </w:t>
      </w:r>
    </w:p>
    <w:p w14:paraId="7873AD85" w14:textId="77777777" w:rsidR="00CF13D0" w:rsidRPr="006D39E3" w:rsidRDefault="00CF13D0" w:rsidP="00CF13D0">
      <w:pPr>
        <w:rPr>
          <w:rFonts w:asciiTheme="minorBidi" w:hAnsiTheme="minorBidi"/>
          <w:lang w:val="en-GB"/>
        </w:rPr>
      </w:pPr>
      <w:r w:rsidRPr="006D39E3">
        <w:rPr>
          <w:rFonts w:asciiTheme="minorBidi" w:hAnsiTheme="minorBidi"/>
          <w:lang w:val="en-GB"/>
        </w:rPr>
        <w:t>The liquidity analysis is used to determine how GE can pay for its short-term liabilities using its current assets.</w:t>
      </w:r>
    </w:p>
    <w:p w14:paraId="08D4AC8C" w14:textId="77777777" w:rsidR="00CF13D0" w:rsidRPr="006D39E3" w:rsidRDefault="00CF13D0" w:rsidP="00CF13D0">
      <w:pPr>
        <w:rPr>
          <w:rFonts w:asciiTheme="minorBidi" w:hAnsiTheme="minorBidi"/>
          <w:lang w:val="en-GB"/>
        </w:rPr>
      </w:pPr>
      <w:r w:rsidRPr="006D39E3">
        <w:rPr>
          <w:rFonts w:asciiTheme="minorBidi" w:hAnsiTheme="minorBidi"/>
          <w:lang w:val="en-GB"/>
        </w:rPr>
        <w:t>The Current Ratio was 1.53-1.61 over the 5 years period, whereas the Quick Ratio was 1.03-1.15. Both ratios reveal the average but prudent liquidity position, i.e., GE has slightly higher current assets as compared with current liabilities. Current ratio of 1.5 and above is good short-term solvency, which means that the obligations will be paid without overreliance on any outside funds [</w:t>
      </w:r>
      <w:r w:rsidRPr="006D39E3">
        <w:rPr>
          <w:rFonts w:asciiTheme="minorBidi" w:hAnsiTheme="minorBidi"/>
          <w:b/>
          <w:bCs/>
          <w:i/>
          <w:iCs/>
          <w:lang w:val="en-GB"/>
        </w:rPr>
        <w:t>Refer to Appendix 2</w:t>
      </w:r>
      <w:r w:rsidRPr="006D39E3">
        <w:rPr>
          <w:rFonts w:asciiTheme="minorBidi" w:hAnsiTheme="minorBidi"/>
          <w:lang w:val="en-GB"/>
        </w:rPr>
        <w:t>].</w:t>
      </w:r>
    </w:p>
    <w:p w14:paraId="61EC399E" w14:textId="77777777" w:rsidR="00CF13D0" w:rsidRPr="006D39E3" w:rsidRDefault="00CF13D0" w:rsidP="00CF13D0">
      <w:pPr>
        <w:rPr>
          <w:rFonts w:asciiTheme="minorBidi" w:hAnsiTheme="minorBidi"/>
          <w:lang w:val="en-GB"/>
        </w:rPr>
      </w:pPr>
      <w:r w:rsidRPr="006D39E3">
        <w:rPr>
          <w:rFonts w:asciiTheme="minorBidi" w:hAnsiTheme="minorBidi"/>
          <w:lang w:val="en-GB"/>
        </w:rPr>
        <w:t>The Quick Ratio without the inventory remained above 1.0 also demonstrated that the company has sufficient liquid reserves. Even though industry standards tend to indicate a 2:1 optimal current ratio, the fact that GE has always had stability in the 1.5 band indicates a balanced working capital strategy, which can be attributed to its large-scale industrial nature. The company seems to be able to handle short term liabilities effectively as the current assets are periodically varying.</w:t>
      </w:r>
    </w:p>
    <w:p w14:paraId="3E6B5C88" w14:textId="77777777" w:rsidR="00CF13D0" w:rsidRPr="006D39E3" w:rsidRDefault="00CF13D0" w:rsidP="00CF13D0">
      <w:pPr>
        <w:pStyle w:val="Heading2"/>
        <w:rPr>
          <w:rFonts w:asciiTheme="minorBidi" w:hAnsiTheme="minorBidi" w:cstheme="minorBidi"/>
          <w:lang w:val="en-GB"/>
        </w:rPr>
      </w:pPr>
      <w:bookmarkStart w:id="6" w:name="_Toc213265046"/>
      <w:r w:rsidRPr="006D39E3">
        <w:rPr>
          <w:rFonts w:asciiTheme="minorBidi" w:hAnsiTheme="minorBidi" w:cstheme="minorBidi"/>
          <w:lang w:val="en-GB"/>
        </w:rPr>
        <w:t>1.4 Efficiency and working capital ratios</w:t>
      </w:r>
      <w:bookmarkEnd w:id="6"/>
    </w:p>
    <w:p w14:paraId="37C9AA18" w14:textId="77777777" w:rsidR="00CF13D0" w:rsidRPr="006D39E3" w:rsidRDefault="00CF13D0" w:rsidP="00CF13D0">
      <w:pPr>
        <w:rPr>
          <w:rFonts w:asciiTheme="minorBidi" w:hAnsiTheme="minorBidi"/>
          <w:lang w:val="en-GB"/>
        </w:rPr>
      </w:pPr>
      <w:r w:rsidRPr="006D39E3">
        <w:rPr>
          <w:rFonts w:asciiTheme="minorBidi" w:hAnsiTheme="minorBidi"/>
          <w:lang w:val="en-GB"/>
        </w:rPr>
        <w:t>The efficiency ratios assess how GE uses its resources and liquidity to manage working capital.</w:t>
      </w:r>
    </w:p>
    <w:p w14:paraId="4E8F28A5" w14:textId="77777777" w:rsidR="00CF13D0" w:rsidRPr="006D39E3" w:rsidRDefault="00CF13D0" w:rsidP="00CF13D0">
      <w:pPr>
        <w:rPr>
          <w:rFonts w:asciiTheme="minorBidi" w:hAnsiTheme="minorBidi"/>
          <w:lang w:val="en-GB"/>
        </w:rPr>
      </w:pPr>
      <w:r w:rsidRPr="006D39E3">
        <w:rPr>
          <w:rFonts w:asciiTheme="minorBidi" w:hAnsiTheme="minorBidi"/>
          <w:lang w:val="en-GB"/>
        </w:rPr>
        <w:t xml:space="preserve">Inventory Turnover Ratio was between -3.54 in 2024 and -3.19 in 2021 and the inventory days were between 99 to 131 days. These values are signs of low </w:t>
      </w:r>
      <w:r w:rsidRPr="006D39E3">
        <w:rPr>
          <w:rFonts w:asciiTheme="minorBidi" w:hAnsiTheme="minorBidi"/>
          <w:lang w:val="en-GB"/>
        </w:rPr>
        <w:lastRenderedPageBreak/>
        <w:t>inventories movement which is an indication of traditionality of longer production cycle which is characteristic of industries that are capital intensive. Even though there are negative indicators in calculation that are reflected on the style of presentation, the underlying tendency is to point to a consistent, yet slow process of inventory conversion.</w:t>
      </w:r>
    </w:p>
    <w:p w14:paraId="6517182F" w14:textId="77777777" w:rsidR="00CF13D0" w:rsidRPr="006D39E3" w:rsidRDefault="00CF13D0" w:rsidP="00CF13D0">
      <w:pPr>
        <w:rPr>
          <w:rFonts w:asciiTheme="minorBidi" w:hAnsiTheme="minorBidi"/>
          <w:lang w:val="en-GB"/>
        </w:rPr>
      </w:pPr>
      <w:r w:rsidRPr="006D39E3">
        <w:rPr>
          <w:rFonts w:asciiTheme="minorBidi" w:hAnsiTheme="minorBidi"/>
          <w:lang w:val="en-GB"/>
        </w:rPr>
        <w:t>The Receivable Turnover Ratio decreased to 3.46 in 2024, which represents the growth of receivable collections days, previously being around 67 days (2020) and currently being around 105 days (2024). This decline is an indication that customers are paying after a long time, and it may limit liquidity given that it is not carefully handled.</w:t>
      </w:r>
    </w:p>
    <w:p w14:paraId="42079F89" w14:textId="77777777" w:rsidR="00CF13D0" w:rsidRPr="006D39E3" w:rsidRDefault="00CF13D0" w:rsidP="00CF13D0">
      <w:pPr>
        <w:rPr>
          <w:rFonts w:asciiTheme="minorBidi" w:hAnsiTheme="minorBidi"/>
          <w:lang w:val="en-GB"/>
        </w:rPr>
      </w:pPr>
      <w:r w:rsidRPr="006D39E3">
        <w:rPr>
          <w:rFonts w:asciiTheme="minorBidi" w:hAnsiTheme="minorBidi"/>
          <w:lang w:val="en-GB"/>
        </w:rPr>
        <w:t>Payable Period has gone up by decreasing the time to pay by a factor of 99 days in 2020 to 66 days in 2024, i.e. GE is paying off with more speed. Although it can improve the relationship with suppliers, it decreases the cash reserves within the short-term perspective [</w:t>
      </w:r>
      <w:r w:rsidRPr="006D39E3">
        <w:rPr>
          <w:rFonts w:asciiTheme="minorBidi" w:hAnsiTheme="minorBidi"/>
          <w:b/>
          <w:bCs/>
          <w:i/>
          <w:iCs/>
          <w:lang w:val="en-GB"/>
        </w:rPr>
        <w:t>Refer to Appendix 3</w:t>
      </w:r>
      <w:r w:rsidRPr="006D39E3">
        <w:rPr>
          <w:rFonts w:asciiTheme="minorBidi" w:hAnsiTheme="minorBidi"/>
          <w:lang w:val="en-GB"/>
        </w:rPr>
        <w:t>].</w:t>
      </w:r>
    </w:p>
    <w:p w14:paraId="39802A27" w14:textId="77777777" w:rsidR="00CF13D0" w:rsidRPr="006D39E3" w:rsidRDefault="00CF13D0" w:rsidP="00CF13D0">
      <w:pPr>
        <w:rPr>
          <w:rFonts w:asciiTheme="minorBidi" w:hAnsiTheme="minorBidi"/>
          <w:lang w:val="en-GB"/>
        </w:rPr>
      </w:pPr>
      <w:r w:rsidRPr="006D39E3">
        <w:rPr>
          <w:rFonts w:asciiTheme="minorBidi" w:hAnsiTheme="minorBidi"/>
          <w:lang w:val="en-GB"/>
        </w:rPr>
        <w:t>The most important efficiency indicator is Cash Conversion Cycle (CCC), which stood at approximately 68-76 days, which means that GE spends more than two months to turn its investments in inventory and receivables into cash. The length of the cycle is stable but indicates that the working capital efficiency has not improved much.</w:t>
      </w:r>
    </w:p>
    <w:p w14:paraId="04DDFCC7" w14:textId="15DF29D4" w:rsidR="00CF13D0" w:rsidRPr="006D39E3" w:rsidRDefault="00CF13D0" w:rsidP="00CF13D0">
      <w:pPr>
        <w:pStyle w:val="Heading2"/>
        <w:rPr>
          <w:rFonts w:asciiTheme="minorBidi" w:hAnsiTheme="minorBidi" w:cstheme="minorBidi"/>
          <w:lang w:val="en-GB"/>
        </w:rPr>
      </w:pPr>
      <w:bookmarkStart w:id="7" w:name="_Toc213265047"/>
      <w:r w:rsidRPr="006D39E3">
        <w:rPr>
          <w:rFonts w:asciiTheme="minorBidi" w:hAnsiTheme="minorBidi" w:cstheme="minorBidi"/>
          <w:lang w:val="en-GB"/>
        </w:rPr>
        <w:t>1.5 Leverage and solvency analysis</w:t>
      </w:r>
      <w:bookmarkEnd w:id="7"/>
      <w:r w:rsidRPr="006D39E3">
        <w:rPr>
          <w:rFonts w:asciiTheme="minorBidi" w:hAnsiTheme="minorBidi" w:cstheme="minorBidi"/>
          <w:lang w:val="en-GB"/>
        </w:rPr>
        <w:t xml:space="preserve"> </w:t>
      </w:r>
    </w:p>
    <w:p w14:paraId="53371344" w14:textId="77777777" w:rsidR="00CF13D0" w:rsidRPr="006D39E3" w:rsidRDefault="00CF13D0" w:rsidP="00CF13D0">
      <w:pPr>
        <w:rPr>
          <w:rFonts w:asciiTheme="minorBidi" w:hAnsiTheme="minorBidi"/>
          <w:lang w:val="en-GB"/>
        </w:rPr>
      </w:pPr>
      <w:r w:rsidRPr="006D39E3">
        <w:rPr>
          <w:rFonts w:asciiTheme="minorBidi" w:hAnsiTheme="minorBidi"/>
          <w:lang w:val="en-GB"/>
        </w:rPr>
        <w:t>Solvency ratios measure the ability of GE to cover its long-term financial obligations and debt.</w:t>
      </w:r>
    </w:p>
    <w:p w14:paraId="02EB01A8" w14:textId="77777777" w:rsidR="00CF13D0" w:rsidRPr="006D39E3" w:rsidRDefault="00CF13D0" w:rsidP="00CF13D0">
      <w:pPr>
        <w:rPr>
          <w:rFonts w:asciiTheme="minorBidi" w:hAnsiTheme="minorBidi"/>
          <w:lang w:val="en-GB"/>
        </w:rPr>
      </w:pPr>
      <w:r w:rsidRPr="006D39E3">
        <w:rPr>
          <w:rFonts w:asciiTheme="minorBidi" w:hAnsiTheme="minorBidi"/>
          <w:lang w:val="en-GB"/>
        </w:rPr>
        <w:t>The Debt-to-Equity Ratio rose in 2022 (0.7) to 2024 (1.1), which means that, on each dollar of equity, GE has a debt amount of about 1.10. On the same note, Debt Ratio (Debt/Total Assets) increased in 2024 to 0.53 compared to 2023, which is a reaffirmation that more than half of the assets of GE are financed using debt [</w:t>
      </w:r>
      <w:r w:rsidRPr="006D39E3">
        <w:rPr>
          <w:rFonts w:asciiTheme="minorBidi" w:hAnsiTheme="minorBidi"/>
          <w:b/>
          <w:bCs/>
          <w:i/>
          <w:iCs/>
          <w:lang w:val="en-GB"/>
        </w:rPr>
        <w:t>Refer to Appendix 4</w:t>
      </w:r>
      <w:r w:rsidRPr="006D39E3">
        <w:rPr>
          <w:rFonts w:asciiTheme="minorBidi" w:hAnsiTheme="minorBidi"/>
          <w:lang w:val="en-GB"/>
        </w:rPr>
        <w:t>].</w:t>
      </w:r>
    </w:p>
    <w:p w14:paraId="0CAB375E" w14:textId="77777777" w:rsidR="00CF13D0" w:rsidRPr="006D39E3" w:rsidRDefault="00CF13D0" w:rsidP="00CF13D0">
      <w:pPr>
        <w:rPr>
          <w:rFonts w:asciiTheme="minorBidi" w:hAnsiTheme="minorBidi"/>
          <w:lang w:val="en-GB"/>
        </w:rPr>
      </w:pPr>
      <w:r w:rsidRPr="006D39E3">
        <w:rPr>
          <w:rFonts w:asciiTheme="minorBidi" w:hAnsiTheme="minorBidi"/>
          <w:lang w:val="en-GB"/>
        </w:rPr>
        <w:t xml:space="preserve">This increase in leverage indicates increased dependence on borrowed funds by the company and could be an indication of the restructuring or the need to maintain operations when profitability is low. On the other hand, the Equity Ratio decreased in </w:t>
      </w:r>
      <w:r w:rsidRPr="006D39E3">
        <w:rPr>
          <w:rFonts w:asciiTheme="minorBidi" w:hAnsiTheme="minorBidi"/>
          <w:lang w:val="en-GB"/>
        </w:rPr>
        <w:lastRenderedPageBreak/>
        <w:t>2024 by 0.47 as compared to 0.54 in 2021 indicating a reduced equity base because of accruing losses.</w:t>
      </w:r>
    </w:p>
    <w:p w14:paraId="1F77C082" w14:textId="77777777" w:rsidR="00CF13D0" w:rsidRPr="006D39E3" w:rsidRDefault="00CF13D0" w:rsidP="00CF13D0">
      <w:pPr>
        <w:pStyle w:val="Heading2"/>
        <w:rPr>
          <w:rFonts w:asciiTheme="minorBidi" w:hAnsiTheme="minorBidi" w:cstheme="minorBidi"/>
          <w:lang w:val="en-GB"/>
        </w:rPr>
      </w:pPr>
      <w:bookmarkStart w:id="8" w:name="_Toc213265048"/>
      <w:r w:rsidRPr="006D39E3">
        <w:rPr>
          <w:rFonts w:asciiTheme="minorBidi" w:hAnsiTheme="minorBidi" w:cstheme="minorBidi"/>
          <w:lang w:val="en-GB"/>
        </w:rPr>
        <w:t>1.6 Investment and market ratios</w:t>
      </w:r>
      <w:bookmarkEnd w:id="8"/>
    </w:p>
    <w:p w14:paraId="5020FDE7" w14:textId="77777777" w:rsidR="00CF13D0" w:rsidRPr="006D39E3" w:rsidRDefault="00CF13D0" w:rsidP="00CF13D0">
      <w:pPr>
        <w:rPr>
          <w:rFonts w:asciiTheme="minorBidi" w:hAnsiTheme="minorBidi"/>
          <w:lang w:val="en-GB"/>
        </w:rPr>
      </w:pPr>
      <w:r w:rsidRPr="006D39E3">
        <w:rPr>
          <w:rFonts w:asciiTheme="minorBidi" w:hAnsiTheme="minorBidi"/>
          <w:lang w:val="en-GB"/>
        </w:rPr>
        <w:t>Investment ratios bring to the fore investor perception and attractiveness of the company in the capital market.</w:t>
      </w:r>
    </w:p>
    <w:p w14:paraId="1CB96AD6" w14:textId="77777777" w:rsidR="00CF13D0" w:rsidRPr="006D39E3" w:rsidRDefault="00CF13D0" w:rsidP="00CF13D0">
      <w:pPr>
        <w:rPr>
          <w:rFonts w:asciiTheme="minorBidi" w:hAnsiTheme="minorBidi"/>
          <w:lang w:val="en-GB"/>
        </w:rPr>
      </w:pPr>
      <w:r w:rsidRPr="006D39E3">
        <w:rPr>
          <w:rFonts w:asciiTheme="minorBidi" w:hAnsiTheme="minorBidi"/>
          <w:lang w:val="en-GB"/>
        </w:rPr>
        <w:t>Since 2023, the value of Earnings per Share (EPS) has been negative (22.6 in 2024, -75.1 in 2023) following a positive value in 2021-2022. This shows that its shareholders are losing value because of net losses. The Price/Earnings (P/E) Ratio became negative as well during these years and this is the indication of the lack of real earnings to be used in valuation (Sam, 2025) [</w:t>
      </w:r>
      <w:r w:rsidRPr="006D39E3">
        <w:rPr>
          <w:rFonts w:asciiTheme="minorBidi" w:hAnsiTheme="minorBidi"/>
          <w:b/>
          <w:bCs/>
          <w:i/>
          <w:iCs/>
          <w:lang w:val="en-GB"/>
        </w:rPr>
        <w:t>Refer to Appendix 5</w:t>
      </w:r>
      <w:r w:rsidRPr="006D39E3">
        <w:rPr>
          <w:rFonts w:asciiTheme="minorBidi" w:hAnsiTheme="minorBidi"/>
          <w:lang w:val="en-GB"/>
        </w:rPr>
        <w:t>].</w:t>
      </w:r>
    </w:p>
    <w:p w14:paraId="104462B8" w14:textId="77777777" w:rsidR="00CF13D0" w:rsidRPr="006D39E3" w:rsidRDefault="00CF13D0" w:rsidP="00CF13D0">
      <w:pPr>
        <w:rPr>
          <w:rFonts w:asciiTheme="minorBidi" w:hAnsiTheme="minorBidi"/>
          <w:lang w:val="en-GB"/>
        </w:rPr>
      </w:pPr>
      <w:r w:rsidRPr="006D39E3">
        <w:rPr>
          <w:rFonts w:asciiTheme="minorBidi" w:hAnsiTheme="minorBidi"/>
          <w:lang w:val="en-GB"/>
        </w:rPr>
        <w:t>EPS fluctuations and P/E indicate low investor confidence, and the share price performance of GE is highly volatile in the market. The negative earnings will discourage the dividend payments, as well as the ability to reinvest. The P/E ratios were on the one hand relatively stable in the years before (2020-2021), whereas the current decline indicates that the market is not optimistic about profitability in the near-term perspective.</w:t>
      </w:r>
    </w:p>
    <w:p w14:paraId="2A8BF18E" w14:textId="77777777" w:rsidR="00CF13D0" w:rsidRPr="006D39E3" w:rsidRDefault="00CF13D0" w:rsidP="00CF13D0">
      <w:pPr>
        <w:pStyle w:val="Heading2"/>
        <w:rPr>
          <w:rFonts w:asciiTheme="minorBidi" w:hAnsiTheme="minorBidi" w:cstheme="minorBidi"/>
          <w:lang w:val="en-GB"/>
        </w:rPr>
      </w:pPr>
      <w:bookmarkStart w:id="9" w:name="_Toc213265049"/>
      <w:r w:rsidRPr="006D39E3">
        <w:rPr>
          <w:rFonts w:asciiTheme="minorBidi" w:hAnsiTheme="minorBidi" w:cstheme="minorBidi"/>
          <w:lang w:val="en-GB"/>
        </w:rPr>
        <w:t>1.7 Cash flow Analysis</w:t>
      </w:r>
      <w:bookmarkEnd w:id="9"/>
      <w:r w:rsidRPr="006D39E3">
        <w:rPr>
          <w:rFonts w:asciiTheme="minorBidi" w:hAnsiTheme="minorBidi" w:cstheme="minorBidi"/>
          <w:lang w:val="en-GB"/>
        </w:rPr>
        <w:t xml:space="preserve"> </w:t>
      </w:r>
    </w:p>
    <w:p w14:paraId="55BE9DB7" w14:textId="77777777" w:rsidR="00CF13D0" w:rsidRPr="006D39E3" w:rsidRDefault="00CF13D0" w:rsidP="00CF13D0">
      <w:pPr>
        <w:rPr>
          <w:rFonts w:asciiTheme="minorBidi" w:hAnsiTheme="minorBidi"/>
          <w:lang w:val="en-GB"/>
        </w:rPr>
      </w:pPr>
      <w:r w:rsidRPr="006D39E3">
        <w:rPr>
          <w:rFonts w:asciiTheme="minorBidi" w:hAnsiTheme="minorBidi"/>
          <w:lang w:val="en-GB"/>
        </w:rPr>
        <w:t>Cash flow ratios help to know how sustainability of liquidity goes beyond accounting profits.</w:t>
      </w:r>
    </w:p>
    <w:p w14:paraId="0CB55A1D" w14:textId="77777777" w:rsidR="00CF13D0" w:rsidRPr="006D39E3" w:rsidRDefault="00CF13D0" w:rsidP="00CF13D0">
      <w:pPr>
        <w:rPr>
          <w:rFonts w:asciiTheme="minorBidi" w:hAnsiTheme="minorBidi"/>
          <w:lang w:val="en-GB"/>
        </w:rPr>
      </w:pPr>
      <w:r w:rsidRPr="006D39E3">
        <w:rPr>
          <w:rFonts w:asciiTheme="minorBidi" w:hAnsiTheme="minorBidi"/>
          <w:lang w:val="en-GB"/>
        </w:rPr>
        <w:t>Mobility between Operating Cash Flow (OCF) and Current Liabilities was 0.09 to 0.18 and Operating Cash Flow to Debt Ratio was very low (approximately 0.0006-0.0046). These values show that although GE is still having a positive cash flow after operations, the value is not enough to pay off all its debt easily.</w:t>
      </w:r>
    </w:p>
    <w:p w14:paraId="244EBBD7" w14:textId="77777777" w:rsidR="00CF13D0" w:rsidRPr="006D39E3" w:rsidRDefault="00CF13D0" w:rsidP="00CF13D0">
      <w:pPr>
        <w:rPr>
          <w:rFonts w:asciiTheme="minorBidi" w:hAnsiTheme="minorBidi"/>
          <w:lang w:val="en-GB"/>
        </w:rPr>
      </w:pPr>
      <w:r w:rsidRPr="006D39E3">
        <w:rPr>
          <w:rFonts w:asciiTheme="minorBidi" w:hAnsiTheme="minorBidi"/>
          <w:lang w:val="en-GB"/>
        </w:rPr>
        <w:t>However, the company has been operating with a positive operating cash flow although it has negative net income, and this indicates that non-cash expenses (such as depreciation) and working capital modifications have cushioned its liquidity. The increasing trend of the OCF/CL ratio indicates that the company is managing its cash well in 2024 than it was managing it before in previous years.</w:t>
      </w:r>
    </w:p>
    <w:p w14:paraId="7B88EE82" w14:textId="77777777" w:rsidR="00CF13D0" w:rsidRPr="006D39E3" w:rsidRDefault="00CF13D0" w:rsidP="00CF13D0">
      <w:pPr>
        <w:rPr>
          <w:rFonts w:asciiTheme="minorBidi" w:hAnsiTheme="minorBidi"/>
          <w:lang w:val="en-GB"/>
        </w:rPr>
      </w:pPr>
      <w:r w:rsidRPr="006D39E3">
        <w:rPr>
          <w:rFonts w:asciiTheme="minorBidi" w:hAnsiTheme="minorBidi"/>
          <w:lang w:val="en-GB"/>
        </w:rPr>
        <w:lastRenderedPageBreak/>
        <w:t>The Altman Z-Score Model could be used to determine the possible risk of default by using the working capital, retained earnings, EBIT, equity, and sales of GE. Since GE has a moderate leverage level and a history of net losses, the hypothetical Z-score of the company would most likely fall in the so-called grey zone (1.81-2.99), which implies that this firm is not close to financial health, but the situation is not critical [</w:t>
      </w:r>
      <w:r w:rsidRPr="006D39E3">
        <w:rPr>
          <w:rFonts w:asciiTheme="minorBidi" w:hAnsiTheme="minorBidi"/>
          <w:b/>
          <w:bCs/>
          <w:i/>
          <w:iCs/>
          <w:lang w:val="en-GB"/>
        </w:rPr>
        <w:t>Refer to Appendix 6</w:t>
      </w:r>
      <w:r w:rsidRPr="006D39E3">
        <w:rPr>
          <w:rFonts w:asciiTheme="minorBidi" w:hAnsiTheme="minorBidi"/>
          <w:lang w:val="en-GB"/>
        </w:rPr>
        <w:t>].</w:t>
      </w:r>
    </w:p>
    <w:p w14:paraId="4F32F566" w14:textId="77777777" w:rsidR="00CF13D0" w:rsidRPr="006D39E3" w:rsidRDefault="00CF13D0" w:rsidP="00CF13D0">
      <w:pPr>
        <w:pStyle w:val="Heading2"/>
        <w:rPr>
          <w:rFonts w:asciiTheme="minorBidi" w:hAnsiTheme="minorBidi" w:cstheme="minorBidi"/>
          <w:lang w:val="en-GB"/>
        </w:rPr>
      </w:pPr>
      <w:bookmarkStart w:id="10" w:name="_Toc213265050"/>
      <w:r w:rsidRPr="006D39E3">
        <w:rPr>
          <w:rFonts w:asciiTheme="minorBidi" w:hAnsiTheme="minorBidi" w:cstheme="minorBidi"/>
          <w:lang w:val="en-GB"/>
        </w:rPr>
        <w:t>1.9 Summary</w:t>
      </w:r>
      <w:bookmarkEnd w:id="10"/>
      <w:r w:rsidRPr="006D39E3">
        <w:rPr>
          <w:rFonts w:asciiTheme="minorBidi" w:hAnsiTheme="minorBidi" w:cstheme="minorBidi"/>
          <w:lang w:val="en-GB"/>
        </w:rPr>
        <w:t xml:space="preserve"> </w:t>
      </w:r>
    </w:p>
    <w:p w14:paraId="70FD33C7" w14:textId="77777777" w:rsidR="00CF13D0" w:rsidRPr="006D39E3" w:rsidRDefault="00CF13D0" w:rsidP="00CF13D0">
      <w:pPr>
        <w:rPr>
          <w:rFonts w:asciiTheme="minorBidi" w:hAnsiTheme="minorBidi"/>
          <w:lang w:val="en-GB"/>
        </w:rPr>
      </w:pPr>
      <w:r w:rsidRPr="006D39E3">
        <w:rPr>
          <w:rFonts w:asciiTheme="minorBidi" w:hAnsiTheme="minorBidi"/>
          <w:lang w:val="en-GB"/>
        </w:rPr>
        <w:t>The financial analysis shows that it is very profitable, its liquidity is steady, and it manages its assets well. A balance between financing is supported with moderate gearing, whereas operational sustainability is supported through consistent cash flow. There are however threats such as possible pressure on the profit margin, slacken receivable turnover, and increasing debt dependency which might pose threats to financial stability in the future unless it is competently handled.</w:t>
      </w:r>
    </w:p>
    <w:p w14:paraId="3CB83E72" w14:textId="05F80115" w:rsidR="00CF13D0" w:rsidRPr="006D39E3" w:rsidRDefault="00CF13D0" w:rsidP="00CF13D0">
      <w:pPr>
        <w:pStyle w:val="Heading1"/>
        <w:rPr>
          <w:rFonts w:asciiTheme="minorBidi" w:hAnsiTheme="minorBidi" w:cstheme="minorBidi"/>
          <w:lang w:val="en-GB"/>
        </w:rPr>
      </w:pPr>
      <w:bookmarkStart w:id="11" w:name="_Toc213265051"/>
      <w:r w:rsidRPr="006D39E3">
        <w:rPr>
          <w:rFonts w:asciiTheme="minorBidi" w:hAnsiTheme="minorBidi" w:cstheme="minorBidi"/>
          <w:lang w:val="en-GB"/>
        </w:rPr>
        <w:t>2. Working Capital Management Analysis</w:t>
      </w:r>
      <w:bookmarkEnd w:id="11"/>
    </w:p>
    <w:p w14:paraId="7B11C739" w14:textId="734B4BFD" w:rsidR="00506562" w:rsidRPr="006D39E3" w:rsidRDefault="00506562" w:rsidP="00506562">
      <w:pPr>
        <w:pStyle w:val="Heading2"/>
        <w:rPr>
          <w:rFonts w:asciiTheme="minorBidi" w:hAnsiTheme="minorBidi" w:cstheme="minorBidi"/>
          <w:lang w:val="en-GB"/>
        </w:rPr>
      </w:pPr>
      <w:bookmarkStart w:id="12" w:name="_Toc213265052"/>
      <w:r w:rsidRPr="006D39E3">
        <w:rPr>
          <w:rFonts w:asciiTheme="minorBidi" w:hAnsiTheme="minorBidi" w:cstheme="minorBidi"/>
          <w:lang w:val="en-GB"/>
        </w:rPr>
        <w:t>2.1 Introduction to Working Capital</w:t>
      </w:r>
      <w:bookmarkEnd w:id="12"/>
      <w:r w:rsidRPr="006D39E3">
        <w:rPr>
          <w:rFonts w:asciiTheme="minorBidi" w:hAnsiTheme="minorBidi" w:cstheme="minorBidi"/>
          <w:lang w:val="en-GB"/>
        </w:rPr>
        <w:t xml:space="preserve"> </w:t>
      </w:r>
    </w:p>
    <w:p w14:paraId="2AAF1A94" w14:textId="23134105" w:rsidR="00506562" w:rsidRPr="006D39E3" w:rsidRDefault="00506562" w:rsidP="00506562">
      <w:pPr>
        <w:rPr>
          <w:rFonts w:asciiTheme="minorBidi" w:hAnsiTheme="minorBidi"/>
          <w:lang w:val="en-GB"/>
        </w:rPr>
      </w:pPr>
      <w:r w:rsidRPr="006D39E3">
        <w:rPr>
          <w:rFonts w:asciiTheme="minorBidi" w:hAnsiTheme="minorBidi"/>
        </w:rPr>
        <w:t>Efficient working capital management can be defined as effective management of current assets and current liabilities so that a business has a sufficient amount of liquidity so as to pay current liabilities and at the same time use its resources in the most economical way. It is concerned with cash, inventories, and receivables management to maintain a smooth operation of the company and prevent liquidity crisis. Working capital management ensures that idle money is minimized, the cost of financing is low as well as profitability as working capital increases the efficiency of conversion of resources into cash. There must be a proper balance between profitability and liquidity where a large amount of working capital results to inefficiency whereas a small amount of working capital can lead to havoc. It is also important in enhancing cash, as well as operational resilience in times of market fluctuations. The role of the working capital management in terms of liquidity restoration and operational performance enhancement is crucial in the situation of General Electronics to address the financial issues and help the company to survive in a competitive world.</w:t>
      </w:r>
    </w:p>
    <w:p w14:paraId="5F02F5F1" w14:textId="03105379" w:rsidR="00506562" w:rsidRPr="006D39E3" w:rsidRDefault="00506562" w:rsidP="00506562">
      <w:pPr>
        <w:pStyle w:val="Heading2"/>
        <w:rPr>
          <w:rFonts w:asciiTheme="minorBidi" w:hAnsiTheme="minorBidi" w:cstheme="minorBidi"/>
          <w:lang w:val="en-GB"/>
        </w:rPr>
      </w:pPr>
      <w:bookmarkStart w:id="13" w:name="_Toc213265053"/>
      <w:r w:rsidRPr="006D39E3">
        <w:rPr>
          <w:rFonts w:asciiTheme="minorBidi" w:hAnsiTheme="minorBidi" w:cstheme="minorBidi"/>
          <w:lang w:val="en-GB"/>
        </w:rPr>
        <w:lastRenderedPageBreak/>
        <w:t>2.2 Evaluation of Cash Operating Cycle</w:t>
      </w:r>
      <w:bookmarkEnd w:id="13"/>
      <w:r w:rsidRPr="006D39E3">
        <w:rPr>
          <w:rFonts w:asciiTheme="minorBidi" w:hAnsiTheme="minorBidi" w:cstheme="minorBidi"/>
          <w:lang w:val="en-GB"/>
        </w:rPr>
        <w:t xml:space="preserve"> </w:t>
      </w:r>
    </w:p>
    <w:p w14:paraId="141B1812" w14:textId="77777777" w:rsidR="00506562" w:rsidRPr="006D39E3" w:rsidRDefault="00506562" w:rsidP="00506562">
      <w:pPr>
        <w:rPr>
          <w:rFonts w:asciiTheme="minorBidi" w:hAnsiTheme="minorBidi"/>
          <w:b/>
          <w:bCs/>
          <w:i/>
          <w:iCs/>
          <w:lang w:eastAsia="en-IN"/>
        </w:rPr>
      </w:pPr>
      <w:r w:rsidRPr="006D39E3">
        <w:rPr>
          <w:rFonts w:asciiTheme="minorBidi" w:hAnsiTheme="minorBidi"/>
          <w:b/>
          <w:bCs/>
          <w:i/>
          <w:iCs/>
          <w:lang w:eastAsia="en-IN"/>
        </w:rPr>
        <w:t>Cash Conversion Cycle (CCC) Analysis Calculation</w:t>
      </w:r>
    </w:p>
    <w:p w14:paraId="07088795" w14:textId="26EEEB76" w:rsidR="00506562" w:rsidRPr="006D39E3" w:rsidRDefault="00506562" w:rsidP="00506562">
      <w:pPr>
        <w:rPr>
          <w:rFonts w:asciiTheme="minorBidi" w:hAnsiTheme="minorBidi"/>
          <w:lang w:eastAsia="en-IN"/>
        </w:rPr>
      </w:pPr>
      <w:r w:rsidRPr="006D39E3">
        <w:rPr>
          <w:rFonts w:asciiTheme="minorBidi" w:hAnsiTheme="minorBidi"/>
          <w:lang w:eastAsia="en-IN"/>
        </w:rPr>
        <w:t>The Cash Conversion Cycle (CCC) is the efficiency or ability of the company to transform its investments in inventory and receivables into a cash flow</w:t>
      </w:r>
      <w:r w:rsidR="009B5666" w:rsidRPr="006D39E3">
        <w:rPr>
          <w:rFonts w:asciiTheme="minorBidi" w:hAnsiTheme="minorBidi"/>
          <w:lang w:eastAsia="en-IN"/>
        </w:rPr>
        <w:t xml:space="preserve"> (Ishikawa, GEMBA and Oda, 2024)</w:t>
      </w:r>
      <w:r w:rsidRPr="006D39E3">
        <w:rPr>
          <w:rFonts w:asciiTheme="minorBidi" w:hAnsiTheme="minorBidi"/>
          <w:lang w:eastAsia="en-IN"/>
        </w:rPr>
        <w:t xml:space="preserve">. </w:t>
      </w:r>
    </w:p>
    <w:p w14:paraId="5B28EE7E" w14:textId="77777777" w:rsidR="00506562" w:rsidRPr="006D39E3" w:rsidRDefault="00506562" w:rsidP="00506562">
      <w:pPr>
        <w:pStyle w:val="ListParagraph"/>
        <w:numPr>
          <w:ilvl w:val="0"/>
          <w:numId w:val="1"/>
        </w:numPr>
        <w:rPr>
          <w:rFonts w:asciiTheme="minorBidi" w:hAnsiTheme="minorBidi"/>
          <w:lang w:eastAsia="en-IN"/>
        </w:rPr>
      </w:pPr>
      <w:r w:rsidRPr="006D39E3">
        <w:rPr>
          <w:rFonts w:asciiTheme="minorBidi" w:hAnsiTheme="minorBidi"/>
          <w:lang w:eastAsia="en-IN"/>
        </w:rPr>
        <w:t xml:space="preserve">General Electronics has indicated CCC of about 68.78 days in 2024 which is slightly higher than 68.55 days in 2023 indicating some slight worsening in liquidity efficiency. </w:t>
      </w:r>
    </w:p>
    <w:p w14:paraId="08ECDE36" w14:textId="77777777" w:rsidR="00506562" w:rsidRPr="006D39E3" w:rsidRDefault="00506562" w:rsidP="00506562">
      <w:pPr>
        <w:pStyle w:val="ListParagraph"/>
        <w:numPr>
          <w:ilvl w:val="0"/>
          <w:numId w:val="1"/>
        </w:numPr>
        <w:rPr>
          <w:rFonts w:asciiTheme="minorBidi" w:hAnsiTheme="minorBidi"/>
          <w:lang w:eastAsia="en-IN"/>
        </w:rPr>
      </w:pPr>
      <w:r w:rsidRPr="006D39E3">
        <w:rPr>
          <w:rFonts w:asciiTheme="minorBidi" w:hAnsiTheme="minorBidi"/>
          <w:lang w:eastAsia="en-IN"/>
        </w:rPr>
        <w:t xml:space="preserve">Inventory Days was showing negative values that showed that there might be overestimation of inventory or something was wrong with the production and turnover control. </w:t>
      </w:r>
    </w:p>
    <w:p w14:paraId="0A3C076E" w14:textId="77777777" w:rsidR="00506562" w:rsidRPr="006D39E3" w:rsidRDefault="00506562" w:rsidP="00506562">
      <w:pPr>
        <w:pStyle w:val="ListParagraph"/>
        <w:numPr>
          <w:ilvl w:val="0"/>
          <w:numId w:val="1"/>
        </w:numPr>
        <w:rPr>
          <w:rFonts w:asciiTheme="minorBidi" w:hAnsiTheme="minorBidi"/>
          <w:lang w:eastAsia="en-IN"/>
        </w:rPr>
      </w:pPr>
      <w:r w:rsidRPr="006D39E3">
        <w:rPr>
          <w:rFonts w:asciiTheme="minorBidi" w:hAnsiTheme="minorBidi"/>
          <w:lang w:eastAsia="en-IN"/>
        </w:rPr>
        <w:t xml:space="preserve">The Receivable Days improved at a gradual pace, as in the previous 97.7 days it had been 105.5 days indicating that the company was receiving slow payment in turn, limiting cash inflows. </w:t>
      </w:r>
    </w:p>
    <w:p w14:paraId="5EC46EEB" w14:textId="77777777" w:rsidR="00506562" w:rsidRPr="006D39E3" w:rsidRDefault="00506562" w:rsidP="00506562">
      <w:pPr>
        <w:pStyle w:val="ListParagraph"/>
        <w:numPr>
          <w:ilvl w:val="0"/>
          <w:numId w:val="1"/>
        </w:numPr>
        <w:rPr>
          <w:rFonts w:asciiTheme="minorBidi" w:hAnsiTheme="minorBidi"/>
          <w:lang w:eastAsia="en-IN"/>
        </w:rPr>
      </w:pPr>
      <w:r w:rsidRPr="006D39E3">
        <w:rPr>
          <w:rFonts w:asciiTheme="minorBidi" w:hAnsiTheme="minorBidi"/>
          <w:lang w:eastAsia="en-IN"/>
        </w:rPr>
        <w:t xml:space="preserve">Payable Days went down a bit to 66.36 and this is an indication that the company is releasing its money to the suppliers sooner, which is putting a strain on the cash reserves. </w:t>
      </w:r>
    </w:p>
    <w:p w14:paraId="7F6BFAA2" w14:textId="5FC6425E" w:rsidR="00506562" w:rsidRPr="006D39E3" w:rsidRDefault="00506562" w:rsidP="00506562">
      <w:pPr>
        <w:ind w:left="360"/>
        <w:rPr>
          <w:rFonts w:asciiTheme="minorBidi" w:hAnsiTheme="minorBidi"/>
          <w:lang w:eastAsia="en-IN"/>
        </w:rPr>
      </w:pPr>
      <w:r w:rsidRPr="006D39E3">
        <w:rPr>
          <w:rFonts w:asciiTheme="minorBidi" w:hAnsiTheme="minorBidi"/>
          <w:lang w:eastAsia="en-IN"/>
        </w:rPr>
        <w:t xml:space="preserve">In general, the CCC trend suggests longer cash conversion times, i.e. the funds remain longer in activities, resulting in the lack of access to the short-term liquidity, and influences the working capital efficiency. </w:t>
      </w:r>
      <w:r w:rsidRPr="006D39E3">
        <w:rPr>
          <w:rFonts w:asciiTheme="minorBidi" w:hAnsiTheme="minorBidi"/>
          <w:b/>
          <w:bCs/>
          <w:i/>
          <w:iCs/>
          <w:lang w:eastAsia="en-IN"/>
        </w:rPr>
        <w:t>[Referred to Appendix 7]</w:t>
      </w:r>
    </w:p>
    <w:p w14:paraId="4B8DE809" w14:textId="3BD497F2" w:rsidR="00506562" w:rsidRPr="006D39E3" w:rsidRDefault="00506562" w:rsidP="00506562">
      <w:pPr>
        <w:ind w:left="360"/>
        <w:rPr>
          <w:rFonts w:asciiTheme="minorBidi" w:hAnsiTheme="minorBidi"/>
          <w:b/>
          <w:bCs/>
          <w:i/>
          <w:iCs/>
          <w:lang w:eastAsia="en-IN"/>
        </w:rPr>
      </w:pPr>
      <w:r w:rsidRPr="006D39E3">
        <w:rPr>
          <w:rFonts w:asciiTheme="minorBidi" w:hAnsiTheme="minorBidi"/>
          <w:b/>
          <w:bCs/>
          <w:i/>
          <w:iCs/>
          <w:lang w:eastAsia="en-IN"/>
        </w:rPr>
        <w:t>Evaluation of Existing Liquidity Position</w:t>
      </w:r>
    </w:p>
    <w:p w14:paraId="5C3F6C61" w14:textId="42CE463B" w:rsidR="00A6093D" w:rsidRPr="006D39E3" w:rsidRDefault="00506562" w:rsidP="00A6093D">
      <w:pPr>
        <w:ind w:left="360"/>
        <w:rPr>
          <w:rFonts w:asciiTheme="minorBidi" w:hAnsiTheme="minorBidi"/>
          <w:lang w:eastAsia="en-IN"/>
        </w:rPr>
      </w:pPr>
      <w:r w:rsidRPr="006D39E3">
        <w:rPr>
          <w:rFonts w:asciiTheme="minorBidi" w:hAnsiTheme="minorBidi"/>
          <w:lang w:eastAsia="en-IN"/>
        </w:rPr>
        <w:t>The change in liquidity position of General Electronics shows that it is under stress and the trend shows increased receivables and decreased payable days prove the situation is not good any longer and needs urgent actions to improve liquidity through efficient collection methods, access of supplier payments and inventory optimization. The liquidity position has not been only tense but also shows that the firm is unable to increase its liquidity in terms of cash receivables and reduction in days payable as indicated by supplier payment and increasing working cash days</w:t>
      </w:r>
      <w:r w:rsidR="000218A7" w:rsidRPr="006D39E3">
        <w:rPr>
          <w:rFonts w:asciiTheme="minorBidi" w:hAnsiTheme="minorBidi"/>
          <w:lang w:eastAsia="en-IN"/>
        </w:rPr>
        <w:t xml:space="preserve"> (Karim, </w:t>
      </w:r>
      <w:proofErr w:type="spellStart"/>
      <w:r w:rsidR="000218A7" w:rsidRPr="006D39E3">
        <w:rPr>
          <w:rFonts w:asciiTheme="minorBidi" w:hAnsiTheme="minorBidi"/>
          <w:lang w:eastAsia="en-IN"/>
        </w:rPr>
        <w:t>Shetu</w:t>
      </w:r>
      <w:proofErr w:type="spellEnd"/>
      <w:r w:rsidR="000218A7" w:rsidRPr="006D39E3">
        <w:rPr>
          <w:rFonts w:asciiTheme="minorBidi" w:hAnsiTheme="minorBidi"/>
          <w:lang w:eastAsia="en-IN"/>
        </w:rPr>
        <w:t xml:space="preserve"> and Razia, 2021)</w:t>
      </w:r>
      <w:r w:rsidRPr="006D39E3">
        <w:rPr>
          <w:rFonts w:asciiTheme="minorBidi" w:hAnsiTheme="minorBidi"/>
          <w:lang w:eastAsia="en-IN"/>
        </w:rPr>
        <w:t xml:space="preserve">. To improve the liquidity position, the company must adopt efficient collection processes, changes to supplier payment terms and </w:t>
      </w:r>
      <w:r w:rsidRPr="006D39E3">
        <w:rPr>
          <w:rFonts w:asciiTheme="minorBidi" w:hAnsiTheme="minorBidi"/>
          <w:lang w:eastAsia="en-IN"/>
        </w:rPr>
        <w:lastRenderedPageBreak/>
        <w:t>optimization Enhanced cash forecast and working capital discipline are paramount in making sure that there is sustainable liquidity recovery and continuity in operations.</w:t>
      </w:r>
    </w:p>
    <w:p w14:paraId="03407DA6" w14:textId="082DAD78" w:rsidR="00CF13D0" w:rsidRPr="006D39E3" w:rsidRDefault="00CF13D0" w:rsidP="00A6093D">
      <w:pPr>
        <w:pStyle w:val="Heading2"/>
        <w:rPr>
          <w:rFonts w:asciiTheme="minorBidi" w:hAnsiTheme="minorBidi" w:cstheme="minorBidi"/>
          <w:lang w:eastAsia="en-IN"/>
        </w:rPr>
      </w:pPr>
      <w:bookmarkStart w:id="14" w:name="_Toc213265054"/>
      <w:r w:rsidRPr="006D39E3">
        <w:rPr>
          <w:rFonts w:asciiTheme="minorBidi" w:hAnsiTheme="minorBidi" w:cstheme="minorBidi"/>
          <w:lang w:val="en-GB"/>
        </w:rPr>
        <w:t>2.3 Assessment of Current Liquidity Position</w:t>
      </w:r>
      <w:bookmarkEnd w:id="14"/>
    </w:p>
    <w:p w14:paraId="5C2101CD" w14:textId="77777777" w:rsidR="00CF13D0" w:rsidRPr="006D39E3" w:rsidRDefault="00CF13D0" w:rsidP="00CF13D0">
      <w:pPr>
        <w:rPr>
          <w:rFonts w:asciiTheme="minorBidi" w:hAnsiTheme="minorBidi"/>
          <w:lang w:val="en-GB"/>
        </w:rPr>
      </w:pPr>
      <w:r w:rsidRPr="006D39E3">
        <w:rPr>
          <w:rFonts w:asciiTheme="minorBidi" w:hAnsiTheme="minorBidi"/>
          <w:lang w:val="en-GB"/>
        </w:rPr>
        <w:t xml:space="preserve">The working capital position of the company is an indication of the capacity to pay the short-term bills and enables the company to continue with its operations. Current ratio and quick ratio give the general account of solvency within a short period, and both the values are above 1.0, which depicts that it has sufficient liquidity (Blessing and </w:t>
      </w:r>
      <w:proofErr w:type="spellStart"/>
      <w:r w:rsidRPr="006D39E3">
        <w:rPr>
          <w:rFonts w:asciiTheme="minorBidi" w:hAnsiTheme="minorBidi"/>
          <w:lang w:val="en-GB"/>
        </w:rPr>
        <w:t>Sakouvogui</w:t>
      </w:r>
      <w:proofErr w:type="spellEnd"/>
      <w:r w:rsidRPr="006D39E3">
        <w:rPr>
          <w:rFonts w:asciiTheme="minorBidi" w:hAnsiTheme="minorBidi"/>
          <w:lang w:val="en-GB"/>
        </w:rPr>
        <w:t xml:space="preserve">, 2023). This will show that the company has enough current assets including cash, receivables, and inventories to meet the immediate liabilities. The fact that the quick ratio, less the inventories, narrates that the liquidity of the firm is backed by liquid assets and not stockpiles indicates that there is wise management of cash flows (Ugwu et al., 2021). The efficiency indicators including the receivables collection period, inventory turnover and cash conversion cycle indicate that though the company manages its short-term resources in an efficient manner, there is still some room to be improved. </w:t>
      </w:r>
    </w:p>
    <w:p w14:paraId="794EEDAA" w14:textId="77777777" w:rsidR="00CF13D0" w:rsidRPr="006D39E3" w:rsidRDefault="00CF13D0" w:rsidP="00CF13D0">
      <w:pPr>
        <w:pStyle w:val="Heading2"/>
        <w:rPr>
          <w:rFonts w:asciiTheme="minorBidi" w:hAnsiTheme="minorBidi" w:cstheme="minorBidi"/>
          <w:lang w:val="en-GB"/>
        </w:rPr>
      </w:pPr>
      <w:bookmarkStart w:id="15" w:name="_Toc213265055"/>
      <w:r w:rsidRPr="006D39E3">
        <w:rPr>
          <w:rFonts w:asciiTheme="minorBidi" w:hAnsiTheme="minorBidi" w:cstheme="minorBidi"/>
          <w:lang w:val="en-GB"/>
        </w:rPr>
        <w:t>2.4 Strategies for Improving Liquidity</w:t>
      </w:r>
      <w:bookmarkEnd w:id="15"/>
    </w:p>
    <w:p w14:paraId="64007B95" w14:textId="77777777" w:rsidR="00CF13D0" w:rsidRPr="006D39E3" w:rsidRDefault="00CF13D0" w:rsidP="00CF13D0">
      <w:pPr>
        <w:rPr>
          <w:rFonts w:asciiTheme="minorBidi" w:hAnsiTheme="minorBidi"/>
          <w:lang w:val="en-GB"/>
        </w:rPr>
      </w:pPr>
      <w:r w:rsidRPr="006D39E3">
        <w:rPr>
          <w:rFonts w:asciiTheme="minorBidi" w:hAnsiTheme="minorBidi"/>
          <w:lang w:val="en-GB"/>
        </w:rPr>
        <w:t>The firm can employ both financial and operational strategies to increase its liquidity. Cash inflows can be increased by reducing the period of the collection of receivables by means of tightening credit policy, providing early payment discounts, or the introduction of electronic invoicing systems. Just-in-time (JIT) or demand forecasting systems should be used to keep a close eye on the inventory to minimize overstocking and lower the cost of storage (</w:t>
      </w:r>
      <w:proofErr w:type="spellStart"/>
      <w:r w:rsidRPr="006D39E3">
        <w:rPr>
          <w:rFonts w:asciiTheme="minorBidi" w:hAnsiTheme="minorBidi"/>
          <w:lang w:val="en-GB"/>
        </w:rPr>
        <w:t>Ogunyankinnu</w:t>
      </w:r>
      <w:proofErr w:type="spellEnd"/>
      <w:r w:rsidRPr="006D39E3">
        <w:rPr>
          <w:rFonts w:asciiTheme="minorBidi" w:hAnsiTheme="minorBidi"/>
          <w:lang w:val="en-GB"/>
        </w:rPr>
        <w:t xml:space="preserve"> et al., 2024). Lengthening of the payables period through negotiations of longer credit terms with the suppliers can be used to save the short-term cash. Responsiveness to changes in cash flow can also be enhanced by enhancing internal cash controls such as automated payment scheduling and real time liquidity tracking.</w:t>
      </w:r>
    </w:p>
    <w:p w14:paraId="0191E178" w14:textId="77777777" w:rsidR="00CF13D0" w:rsidRPr="006D39E3" w:rsidRDefault="00CF13D0" w:rsidP="00CF13D0">
      <w:pPr>
        <w:pStyle w:val="Heading2"/>
        <w:rPr>
          <w:rFonts w:asciiTheme="minorBidi" w:hAnsiTheme="minorBidi" w:cstheme="minorBidi"/>
          <w:lang w:val="en-GB"/>
        </w:rPr>
      </w:pPr>
      <w:bookmarkStart w:id="16" w:name="_Toc213265056"/>
      <w:r w:rsidRPr="006D39E3">
        <w:rPr>
          <w:rFonts w:asciiTheme="minorBidi" w:hAnsiTheme="minorBidi" w:cstheme="minorBidi"/>
          <w:lang w:val="en-GB"/>
        </w:rPr>
        <w:t>2.5 Financing of Working Capital</w:t>
      </w:r>
      <w:bookmarkEnd w:id="16"/>
    </w:p>
    <w:p w14:paraId="4346F0D0" w14:textId="54836001" w:rsidR="00CF13D0" w:rsidRPr="006D39E3" w:rsidRDefault="00CF13D0" w:rsidP="00CF13D0">
      <w:pPr>
        <w:rPr>
          <w:rFonts w:asciiTheme="minorBidi" w:hAnsiTheme="minorBidi"/>
        </w:rPr>
      </w:pPr>
      <w:r w:rsidRPr="006D39E3">
        <w:rPr>
          <w:rFonts w:asciiTheme="minorBidi" w:hAnsiTheme="minorBidi"/>
          <w:lang w:val="en-GB"/>
        </w:rPr>
        <w:t xml:space="preserve">The working capital financing approach used by the company should provide a balance between the cost, flexibility, and risk. Other short-term sources of finance, </w:t>
      </w:r>
      <w:r w:rsidRPr="006D39E3">
        <w:rPr>
          <w:rFonts w:asciiTheme="minorBidi" w:hAnsiTheme="minorBidi"/>
          <w:lang w:val="en-GB"/>
        </w:rPr>
        <w:lastRenderedPageBreak/>
        <w:t>including overdrafts, trade credit, and invoice factoring, are flexible and simple to obtain cash but when abused it can be very expensive. Supplier trade credit offers a cheap source of finance, although excessive use might put pressure on relations (Ahsan et al., 2023). On the other hand, long-term sources of finance such as term loans, retained earnings or debentures are more stable in meeting larger working capital requirements but come with higher interest and repayment requirements. The current moderate gearing of this firm would indicate that it would be wise to depend on internal funding and short-term facilities to provide more seasonal liquidity requirements, as opposed to long-term borrowing.</w:t>
      </w:r>
    </w:p>
    <w:p w14:paraId="5DF23C0C" w14:textId="3CD7F10A" w:rsidR="00617416" w:rsidRPr="006D39E3" w:rsidRDefault="00617416" w:rsidP="00617416">
      <w:pPr>
        <w:pStyle w:val="Heading1"/>
        <w:rPr>
          <w:rFonts w:asciiTheme="minorBidi" w:hAnsiTheme="minorBidi" w:cstheme="minorBidi"/>
        </w:rPr>
      </w:pPr>
      <w:bookmarkStart w:id="17" w:name="_Toc213265057"/>
      <w:r w:rsidRPr="006D39E3">
        <w:rPr>
          <w:rFonts w:asciiTheme="minorBidi" w:hAnsiTheme="minorBidi" w:cstheme="minorBidi"/>
        </w:rPr>
        <w:t>3. Strategic Financial Restructuring Plan</w:t>
      </w:r>
      <w:bookmarkEnd w:id="17"/>
    </w:p>
    <w:p w14:paraId="30F66E74" w14:textId="77777777" w:rsidR="00617416" w:rsidRPr="006D39E3" w:rsidRDefault="00617416" w:rsidP="00617416">
      <w:pPr>
        <w:pStyle w:val="Heading2"/>
        <w:rPr>
          <w:rFonts w:asciiTheme="minorBidi" w:hAnsiTheme="minorBidi" w:cstheme="minorBidi"/>
        </w:rPr>
      </w:pPr>
      <w:bookmarkStart w:id="18" w:name="_Toc213265058"/>
      <w:r w:rsidRPr="006D39E3">
        <w:rPr>
          <w:rFonts w:asciiTheme="minorBidi" w:hAnsiTheme="minorBidi" w:cstheme="minorBidi"/>
        </w:rPr>
        <w:t>3.1 Introduction to Financial Restructuring</w:t>
      </w:r>
      <w:bookmarkEnd w:id="18"/>
      <w:r w:rsidRPr="006D39E3">
        <w:rPr>
          <w:rFonts w:asciiTheme="minorBidi" w:hAnsiTheme="minorBidi" w:cstheme="minorBidi"/>
        </w:rPr>
        <w:t> </w:t>
      </w:r>
    </w:p>
    <w:p w14:paraId="78F826AA" w14:textId="77777777" w:rsidR="00617416" w:rsidRPr="006D39E3" w:rsidRDefault="00617416" w:rsidP="00617416">
      <w:pPr>
        <w:rPr>
          <w:rFonts w:asciiTheme="minorBidi" w:hAnsiTheme="minorBidi"/>
        </w:rPr>
      </w:pPr>
      <w:r w:rsidRPr="006D39E3">
        <w:rPr>
          <w:rFonts w:asciiTheme="minorBidi" w:hAnsiTheme="minorBidi"/>
        </w:rPr>
        <w:t>The brand of GE needs to be restructured through the consideration of the financial landscape in order to get itself back on track in regard for profitability as well as excessive leverage and liquidity. The most important goal in this context would be to stabilise the structure of capital, restore confidence of investors and establish a long-term global competitiveness along with an ethical financial growth base.</w:t>
      </w:r>
    </w:p>
    <w:p w14:paraId="62F02F62" w14:textId="77777777" w:rsidR="00617416" w:rsidRPr="006D39E3" w:rsidRDefault="00617416" w:rsidP="00617416">
      <w:pPr>
        <w:pStyle w:val="Heading2"/>
        <w:rPr>
          <w:rFonts w:asciiTheme="minorBidi" w:hAnsiTheme="minorBidi" w:cstheme="minorBidi"/>
        </w:rPr>
      </w:pPr>
      <w:bookmarkStart w:id="19" w:name="_Toc213265059"/>
      <w:r w:rsidRPr="006D39E3">
        <w:rPr>
          <w:rFonts w:asciiTheme="minorBidi" w:hAnsiTheme="minorBidi" w:cstheme="minorBidi"/>
        </w:rPr>
        <w:t>3.2 Identification of Strategic Challenges</w:t>
      </w:r>
      <w:bookmarkEnd w:id="19"/>
      <w:r w:rsidRPr="006D39E3">
        <w:rPr>
          <w:rFonts w:asciiTheme="minorBidi" w:hAnsiTheme="minorBidi" w:cstheme="minorBidi"/>
        </w:rPr>
        <w:t> </w:t>
      </w:r>
    </w:p>
    <w:p w14:paraId="3356A489" w14:textId="77777777" w:rsidR="00617416" w:rsidRPr="006D39E3" w:rsidRDefault="00617416" w:rsidP="00617416">
      <w:pPr>
        <w:rPr>
          <w:rFonts w:asciiTheme="minorBidi" w:hAnsiTheme="minorBidi"/>
        </w:rPr>
      </w:pPr>
      <w:r w:rsidRPr="006D39E3">
        <w:rPr>
          <w:rFonts w:asciiTheme="minorBidi" w:hAnsiTheme="minorBidi"/>
        </w:rPr>
        <w:t>It can be noted and identified that GE is in a dire financial state, as seen by failures in revenues and the drop in efficiency of its assets. The factor in this case of severe profitability loss is also illustrated by the fact that net income fell to £ 98,238 million and more than £24 million in 2023 and 2024, respectively. In this case, the operating income also worsened by a loss of £15,297 million in 2024 compared to £37,267 million in 2020 as the sales decreased in a considerable manner and the operating expenses thereby increased. </w:t>
      </w:r>
    </w:p>
    <w:p w14:paraId="1DF2DEC2" w14:textId="77777777" w:rsidR="00617416" w:rsidRPr="006D39E3" w:rsidRDefault="00617416" w:rsidP="00617416">
      <w:pPr>
        <w:rPr>
          <w:rFonts w:asciiTheme="minorBidi" w:hAnsiTheme="minorBidi"/>
        </w:rPr>
      </w:pPr>
      <w:r w:rsidRPr="006D39E3">
        <w:rPr>
          <w:rFonts w:asciiTheme="minorBidi" w:hAnsiTheme="minorBidi"/>
        </w:rPr>
        <w:t>Liquidity has further deteriorated in a drastic manner, and it is now £26,783 million, as compared to £66,740 million which was present in 2022, indicating poor cash burn and weak working capital management. On the other hand, over-reliance on short-term funding, such as £36,960 million of lines of credit in 2024, is indicative of over-leverage and a lack of flexibility in funding.</w:t>
      </w:r>
    </w:p>
    <w:p w14:paraId="11F93869" w14:textId="3EB2C7DC" w:rsidR="00617416" w:rsidRPr="006D39E3" w:rsidRDefault="00617416">
      <w:pPr>
        <w:rPr>
          <w:rFonts w:asciiTheme="minorBidi" w:hAnsiTheme="minorBidi"/>
        </w:rPr>
      </w:pPr>
      <w:r w:rsidRPr="006D39E3">
        <w:rPr>
          <w:rFonts w:asciiTheme="minorBidi" w:hAnsiTheme="minorBidi"/>
        </w:rPr>
        <w:lastRenderedPageBreak/>
        <w:t>Inventory, though less than it was in 2022, is still high, and it is holding up the cash and restricting cash flow. These trends, together with aspects such as inflation in the global landscape, fluctuations in exchange rates and the fall in consumer demand highlight unsustainable operations (</w:t>
      </w:r>
      <w:proofErr w:type="spellStart"/>
      <w:r w:rsidRPr="006D39E3">
        <w:rPr>
          <w:rFonts w:asciiTheme="minorBidi" w:hAnsiTheme="minorBidi"/>
        </w:rPr>
        <w:t>Arkadeva</w:t>
      </w:r>
      <w:proofErr w:type="spellEnd"/>
      <w:r w:rsidRPr="006D39E3">
        <w:rPr>
          <w:rFonts w:asciiTheme="minorBidi" w:hAnsiTheme="minorBidi"/>
        </w:rPr>
        <w:t xml:space="preserve">, Berezina and </w:t>
      </w:r>
      <w:proofErr w:type="spellStart"/>
      <w:r w:rsidRPr="006D39E3">
        <w:rPr>
          <w:rFonts w:asciiTheme="minorBidi" w:hAnsiTheme="minorBidi"/>
        </w:rPr>
        <w:t>Arkadev</w:t>
      </w:r>
      <w:proofErr w:type="spellEnd"/>
      <w:r w:rsidRPr="006D39E3">
        <w:rPr>
          <w:rFonts w:asciiTheme="minorBidi" w:hAnsiTheme="minorBidi"/>
        </w:rPr>
        <w:t>, 2022). General Electronics is facing the risk of surviving pressure, investor loss and strategy loss unless radical restructuring is undertaken.</w:t>
      </w:r>
    </w:p>
    <w:p w14:paraId="24B0B845" w14:textId="21F62974" w:rsidR="00691843" w:rsidRPr="006D39E3" w:rsidRDefault="00691843" w:rsidP="00691843">
      <w:pPr>
        <w:pStyle w:val="Heading2"/>
        <w:rPr>
          <w:rFonts w:asciiTheme="minorBidi" w:hAnsiTheme="minorBidi" w:cstheme="minorBidi"/>
        </w:rPr>
      </w:pPr>
      <w:bookmarkStart w:id="20" w:name="_Toc213265060"/>
      <w:r w:rsidRPr="006D39E3">
        <w:rPr>
          <w:rFonts w:asciiTheme="minorBidi" w:hAnsiTheme="minorBidi" w:cstheme="minorBidi"/>
        </w:rPr>
        <w:t>3.3 Recommended Restructuring Options</w:t>
      </w:r>
      <w:bookmarkEnd w:id="20"/>
      <w:r w:rsidRPr="006D39E3">
        <w:rPr>
          <w:rFonts w:asciiTheme="minorBidi" w:hAnsiTheme="minorBidi" w:cstheme="minorBidi"/>
        </w:rPr>
        <w:t xml:space="preserve"> </w:t>
      </w:r>
    </w:p>
    <w:tbl>
      <w:tblPr>
        <w:tblStyle w:val="PlainTable1"/>
        <w:tblW w:w="0" w:type="auto"/>
        <w:tblLook w:val="04A0" w:firstRow="1" w:lastRow="0" w:firstColumn="1" w:lastColumn="0" w:noHBand="0" w:noVBand="1"/>
      </w:tblPr>
      <w:tblGrid>
        <w:gridCol w:w="1739"/>
        <w:gridCol w:w="2665"/>
        <w:gridCol w:w="2151"/>
        <w:gridCol w:w="2461"/>
      </w:tblGrid>
      <w:tr w:rsidR="00691843" w:rsidRPr="006D39E3" w14:paraId="4A1B99A3" w14:textId="77777777" w:rsidTr="00691843">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0" w:type="auto"/>
            <w:hideMark/>
          </w:tcPr>
          <w:p w14:paraId="2A99EAC9" w14:textId="77777777" w:rsidR="00691843" w:rsidRPr="006D39E3" w:rsidRDefault="00691843" w:rsidP="00691843">
            <w:pPr>
              <w:spacing w:before="120" w:after="120" w:line="240" w:lineRule="auto"/>
              <w:rPr>
                <w:rFonts w:asciiTheme="minorBidi" w:hAnsiTheme="minorBidi"/>
                <w:sz w:val="20"/>
                <w:szCs w:val="20"/>
              </w:rPr>
            </w:pPr>
            <w:r w:rsidRPr="006D39E3">
              <w:rPr>
                <w:rFonts w:asciiTheme="minorBidi" w:hAnsiTheme="minorBidi"/>
                <w:i/>
                <w:iCs/>
                <w:sz w:val="20"/>
                <w:szCs w:val="20"/>
              </w:rPr>
              <w:t>Restructuring Option</w:t>
            </w:r>
          </w:p>
        </w:tc>
        <w:tc>
          <w:tcPr>
            <w:tcW w:w="0" w:type="auto"/>
            <w:hideMark/>
          </w:tcPr>
          <w:p w14:paraId="6DD0F1F1" w14:textId="77777777" w:rsidR="00691843" w:rsidRPr="006D39E3" w:rsidRDefault="00691843" w:rsidP="00691843">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Theme="minorBidi" w:hAnsiTheme="minorBidi"/>
                <w:sz w:val="20"/>
                <w:szCs w:val="20"/>
              </w:rPr>
            </w:pPr>
            <w:r w:rsidRPr="006D39E3">
              <w:rPr>
                <w:rFonts w:asciiTheme="minorBidi" w:hAnsiTheme="minorBidi"/>
                <w:i/>
                <w:iCs/>
                <w:sz w:val="20"/>
                <w:szCs w:val="20"/>
              </w:rPr>
              <w:t>Description</w:t>
            </w:r>
          </w:p>
        </w:tc>
        <w:tc>
          <w:tcPr>
            <w:tcW w:w="0" w:type="auto"/>
            <w:hideMark/>
          </w:tcPr>
          <w:p w14:paraId="03DE8AFD" w14:textId="77777777" w:rsidR="00691843" w:rsidRPr="006D39E3" w:rsidRDefault="00691843" w:rsidP="00691843">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Theme="minorBidi" w:hAnsiTheme="minorBidi"/>
                <w:sz w:val="20"/>
                <w:szCs w:val="20"/>
              </w:rPr>
            </w:pPr>
            <w:r w:rsidRPr="006D39E3">
              <w:rPr>
                <w:rFonts w:asciiTheme="minorBidi" w:hAnsiTheme="minorBidi"/>
                <w:i/>
                <w:iCs/>
                <w:sz w:val="20"/>
                <w:szCs w:val="20"/>
              </w:rPr>
              <w:t>Feasibility</w:t>
            </w:r>
          </w:p>
        </w:tc>
        <w:tc>
          <w:tcPr>
            <w:tcW w:w="0" w:type="auto"/>
            <w:hideMark/>
          </w:tcPr>
          <w:p w14:paraId="0B86B6B3" w14:textId="77777777" w:rsidR="00691843" w:rsidRPr="006D39E3" w:rsidRDefault="00691843" w:rsidP="00691843">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Theme="minorBidi" w:hAnsiTheme="minorBidi"/>
                <w:sz w:val="20"/>
                <w:szCs w:val="20"/>
              </w:rPr>
            </w:pPr>
            <w:r w:rsidRPr="006D39E3">
              <w:rPr>
                <w:rFonts w:asciiTheme="minorBidi" w:hAnsiTheme="minorBidi"/>
                <w:i/>
                <w:iCs/>
                <w:sz w:val="20"/>
                <w:szCs w:val="20"/>
              </w:rPr>
              <w:t>Long-Term Implications</w:t>
            </w:r>
          </w:p>
        </w:tc>
      </w:tr>
      <w:tr w:rsidR="00691843" w:rsidRPr="006D39E3" w14:paraId="548416FF" w14:textId="77777777" w:rsidTr="00691843">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0" w:type="auto"/>
            <w:hideMark/>
          </w:tcPr>
          <w:p w14:paraId="1FE1ED4A" w14:textId="77777777" w:rsidR="00691843" w:rsidRPr="006D39E3" w:rsidRDefault="00691843" w:rsidP="00691843">
            <w:pPr>
              <w:spacing w:before="120" w:after="120" w:line="240" w:lineRule="auto"/>
              <w:rPr>
                <w:rFonts w:asciiTheme="minorBidi" w:hAnsiTheme="minorBidi"/>
                <w:sz w:val="20"/>
                <w:szCs w:val="20"/>
              </w:rPr>
            </w:pPr>
            <w:r w:rsidRPr="006D39E3">
              <w:rPr>
                <w:rFonts w:asciiTheme="minorBidi" w:hAnsiTheme="minorBidi"/>
                <w:i/>
                <w:iCs/>
                <w:sz w:val="20"/>
                <w:szCs w:val="20"/>
              </w:rPr>
              <w:t>Divestiture</w:t>
            </w:r>
          </w:p>
        </w:tc>
        <w:tc>
          <w:tcPr>
            <w:tcW w:w="0" w:type="auto"/>
            <w:hideMark/>
          </w:tcPr>
          <w:p w14:paraId="3958F903" w14:textId="77777777" w:rsidR="00691843" w:rsidRPr="006D39E3" w:rsidRDefault="00691843" w:rsidP="00691843">
            <w:pPr>
              <w:spacing w:before="120" w:after="120" w:line="24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0"/>
                <w:szCs w:val="20"/>
              </w:rPr>
            </w:pPr>
            <w:r w:rsidRPr="006D39E3">
              <w:rPr>
                <w:rFonts w:asciiTheme="minorBidi" w:hAnsiTheme="minorBidi"/>
                <w:sz w:val="20"/>
                <w:szCs w:val="20"/>
              </w:rPr>
              <w:t>Disposal of non-core or underperforming assets to free up cash and streamline operations.</w:t>
            </w:r>
          </w:p>
        </w:tc>
        <w:tc>
          <w:tcPr>
            <w:tcW w:w="0" w:type="auto"/>
            <w:hideMark/>
          </w:tcPr>
          <w:p w14:paraId="2555CCB8" w14:textId="77777777" w:rsidR="00691843" w:rsidRPr="006D39E3" w:rsidRDefault="00691843" w:rsidP="00691843">
            <w:pPr>
              <w:spacing w:before="120" w:after="120" w:line="24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0"/>
                <w:szCs w:val="20"/>
              </w:rPr>
            </w:pPr>
            <w:r w:rsidRPr="006D39E3">
              <w:rPr>
                <w:rFonts w:asciiTheme="minorBidi" w:hAnsiTheme="minorBidi"/>
                <w:sz w:val="20"/>
                <w:szCs w:val="20"/>
              </w:rPr>
              <w:t>Highly feasible in the short term if assets have market demand; may face valuation or buyer constraints.</w:t>
            </w:r>
          </w:p>
        </w:tc>
        <w:tc>
          <w:tcPr>
            <w:tcW w:w="0" w:type="auto"/>
            <w:hideMark/>
          </w:tcPr>
          <w:p w14:paraId="679B8682" w14:textId="1E3E26F4" w:rsidR="00691843" w:rsidRPr="006D39E3" w:rsidRDefault="00691843" w:rsidP="00691843">
            <w:pPr>
              <w:spacing w:before="120" w:after="120" w:line="24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0"/>
                <w:szCs w:val="20"/>
              </w:rPr>
            </w:pPr>
            <w:r w:rsidRPr="006D39E3">
              <w:rPr>
                <w:rFonts w:asciiTheme="minorBidi" w:hAnsiTheme="minorBidi"/>
                <w:sz w:val="20"/>
                <w:szCs w:val="20"/>
              </w:rPr>
              <w:t>Improves liquidity and focus on core business but may reduce diversification and future revenue potential (Xie et al., 2022).</w:t>
            </w:r>
          </w:p>
        </w:tc>
      </w:tr>
      <w:tr w:rsidR="00691843" w:rsidRPr="006D39E3" w14:paraId="2EA2CCDC" w14:textId="77777777" w:rsidTr="00691843">
        <w:trPr>
          <w:trHeight w:val="375"/>
        </w:trPr>
        <w:tc>
          <w:tcPr>
            <w:cnfStyle w:val="001000000000" w:firstRow="0" w:lastRow="0" w:firstColumn="1" w:lastColumn="0" w:oddVBand="0" w:evenVBand="0" w:oddHBand="0" w:evenHBand="0" w:firstRowFirstColumn="0" w:firstRowLastColumn="0" w:lastRowFirstColumn="0" w:lastRowLastColumn="0"/>
            <w:tcW w:w="0" w:type="auto"/>
            <w:hideMark/>
          </w:tcPr>
          <w:p w14:paraId="6A731272" w14:textId="77777777" w:rsidR="00691843" w:rsidRPr="006D39E3" w:rsidRDefault="00691843" w:rsidP="00691843">
            <w:pPr>
              <w:spacing w:before="120" w:after="120" w:line="240" w:lineRule="auto"/>
              <w:rPr>
                <w:rFonts w:asciiTheme="minorBidi" w:hAnsiTheme="minorBidi"/>
                <w:sz w:val="20"/>
                <w:szCs w:val="20"/>
              </w:rPr>
            </w:pPr>
            <w:r w:rsidRPr="006D39E3">
              <w:rPr>
                <w:rFonts w:asciiTheme="minorBidi" w:hAnsiTheme="minorBidi"/>
                <w:i/>
                <w:iCs/>
                <w:sz w:val="20"/>
                <w:szCs w:val="20"/>
              </w:rPr>
              <w:t>Merger or Acquisition (M&amp;A)</w:t>
            </w:r>
          </w:p>
        </w:tc>
        <w:tc>
          <w:tcPr>
            <w:tcW w:w="0" w:type="auto"/>
            <w:hideMark/>
          </w:tcPr>
          <w:p w14:paraId="5B978923" w14:textId="77777777" w:rsidR="00691843" w:rsidRPr="006D39E3" w:rsidRDefault="00691843" w:rsidP="00691843">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0"/>
                <w:szCs w:val="20"/>
              </w:rPr>
            </w:pPr>
            <w:r w:rsidRPr="006D39E3">
              <w:rPr>
                <w:rFonts w:asciiTheme="minorBidi" w:hAnsiTheme="minorBidi"/>
                <w:sz w:val="20"/>
                <w:szCs w:val="20"/>
              </w:rPr>
              <w:t xml:space="preserve">Combining with or acquiring another firm to achieve economies of scale and market expansion (Blessing and </w:t>
            </w:r>
            <w:proofErr w:type="spellStart"/>
            <w:r w:rsidRPr="006D39E3">
              <w:rPr>
                <w:rFonts w:asciiTheme="minorBidi" w:hAnsiTheme="minorBidi"/>
                <w:sz w:val="20"/>
                <w:szCs w:val="20"/>
              </w:rPr>
              <w:t>Sakouvogui</w:t>
            </w:r>
            <w:proofErr w:type="spellEnd"/>
            <w:r w:rsidRPr="006D39E3">
              <w:rPr>
                <w:rFonts w:asciiTheme="minorBidi" w:hAnsiTheme="minorBidi"/>
                <w:sz w:val="20"/>
                <w:szCs w:val="20"/>
              </w:rPr>
              <w:t>, 2023).</w:t>
            </w:r>
          </w:p>
        </w:tc>
        <w:tc>
          <w:tcPr>
            <w:tcW w:w="0" w:type="auto"/>
            <w:hideMark/>
          </w:tcPr>
          <w:p w14:paraId="5F74E8DE" w14:textId="77777777" w:rsidR="00691843" w:rsidRPr="006D39E3" w:rsidRDefault="00691843" w:rsidP="00691843">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0"/>
                <w:szCs w:val="20"/>
              </w:rPr>
            </w:pPr>
            <w:r w:rsidRPr="006D39E3">
              <w:rPr>
                <w:rFonts w:asciiTheme="minorBidi" w:hAnsiTheme="minorBidi"/>
                <w:sz w:val="20"/>
                <w:szCs w:val="20"/>
              </w:rPr>
              <w:t>Moderately feasible; depends on regulatory approval, cultural compatibility, and financing capacity.</w:t>
            </w:r>
          </w:p>
        </w:tc>
        <w:tc>
          <w:tcPr>
            <w:tcW w:w="0" w:type="auto"/>
            <w:hideMark/>
          </w:tcPr>
          <w:p w14:paraId="23166EBB" w14:textId="77777777" w:rsidR="00691843" w:rsidRPr="006D39E3" w:rsidRDefault="00691843" w:rsidP="00691843">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0"/>
                <w:szCs w:val="20"/>
              </w:rPr>
            </w:pPr>
            <w:r w:rsidRPr="006D39E3">
              <w:rPr>
                <w:rFonts w:asciiTheme="minorBidi" w:hAnsiTheme="minorBidi"/>
                <w:sz w:val="20"/>
                <w:szCs w:val="20"/>
              </w:rPr>
              <w:t>Can create synergies and competitive advantage, but integration risk and cultural mismatch may reduce effectiveness.</w:t>
            </w:r>
          </w:p>
        </w:tc>
      </w:tr>
      <w:tr w:rsidR="00691843" w:rsidRPr="006D39E3" w14:paraId="0A242B72" w14:textId="77777777" w:rsidTr="00691843">
        <w:trPr>
          <w:cnfStyle w:val="000000100000" w:firstRow="0" w:lastRow="0" w:firstColumn="0" w:lastColumn="0" w:oddVBand="0" w:evenVBand="0" w:oddHBand="1" w:evenHBand="0" w:firstRowFirstColumn="0" w:firstRowLastColumn="0" w:lastRowFirstColumn="0" w:lastRowLastColumn="0"/>
          <w:trHeight w:val="157"/>
        </w:trPr>
        <w:tc>
          <w:tcPr>
            <w:cnfStyle w:val="001000000000" w:firstRow="0" w:lastRow="0" w:firstColumn="1" w:lastColumn="0" w:oddVBand="0" w:evenVBand="0" w:oddHBand="0" w:evenHBand="0" w:firstRowFirstColumn="0" w:firstRowLastColumn="0" w:lastRowFirstColumn="0" w:lastRowLastColumn="0"/>
            <w:tcW w:w="0" w:type="auto"/>
            <w:hideMark/>
          </w:tcPr>
          <w:p w14:paraId="3699CDFE" w14:textId="77777777" w:rsidR="00691843" w:rsidRPr="006D39E3" w:rsidRDefault="00691843" w:rsidP="00691843">
            <w:pPr>
              <w:spacing w:before="120" w:after="120" w:line="240" w:lineRule="auto"/>
              <w:rPr>
                <w:rFonts w:asciiTheme="minorBidi" w:hAnsiTheme="minorBidi"/>
                <w:sz w:val="20"/>
                <w:szCs w:val="20"/>
              </w:rPr>
            </w:pPr>
            <w:r w:rsidRPr="006D39E3">
              <w:rPr>
                <w:rFonts w:asciiTheme="minorBidi" w:hAnsiTheme="minorBidi"/>
                <w:i/>
                <w:iCs/>
                <w:sz w:val="20"/>
                <w:szCs w:val="20"/>
              </w:rPr>
              <w:t>Equity Injection or Debt Refinancing</w:t>
            </w:r>
          </w:p>
        </w:tc>
        <w:tc>
          <w:tcPr>
            <w:tcW w:w="0" w:type="auto"/>
            <w:hideMark/>
          </w:tcPr>
          <w:p w14:paraId="45805A59" w14:textId="77777777" w:rsidR="00691843" w:rsidRPr="006D39E3" w:rsidRDefault="00691843" w:rsidP="00691843">
            <w:pPr>
              <w:spacing w:before="120" w:after="120" w:line="24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0"/>
                <w:szCs w:val="20"/>
              </w:rPr>
            </w:pPr>
            <w:r w:rsidRPr="006D39E3">
              <w:rPr>
                <w:rFonts w:asciiTheme="minorBidi" w:hAnsiTheme="minorBidi"/>
                <w:sz w:val="20"/>
                <w:szCs w:val="20"/>
              </w:rPr>
              <w:t>Raising capital through new equity or restructuring existing debt to reduce interest burden.</w:t>
            </w:r>
          </w:p>
        </w:tc>
        <w:tc>
          <w:tcPr>
            <w:tcW w:w="0" w:type="auto"/>
            <w:hideMark/>
          </w:tcPr>
          <w:p w14:paraId="6816D056" w14:textId="77777777" w:rsidR="00691843" w:rsidRPr="006D39E3" w:rsidRDefault="00691843" w:rsidP="00691843">
            <w:pPr>
              <w:spacing w:before="120" w:after="120" w:line="24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0"/>
                <w:szCs w:val="20"/>
              </w:rPr>
            </w:pPr>
            <w:r w:rsidRPr="006D39E3">
              <w:rPr>
                <w:rFonts w:asciiTheme="minorBidi" w:hAnsiTheme="minorBidi"/>
                <w:sz w:val="20"/>
                <w:szCs w:val="20"/>
              </w:rPr>
              <w:t>Feasible if investor confidence and market conditions are favourable.</w:t>
            </w:r>
          </w:p>
        </w:tc>
        <w:tc>
          <w:tcPr>
            <w:tcW w:w="0" w:type="auto"/>
            <w:hideMark/>
          </w:tcPr>
          <w:p w14:paraId="4E43626F" w14:textId="77777777" w:rsidR="00691843" w:rsidRPr="006D39E3" w:rsidRDefault="00691843" w:rsidP="00691843">
            <w:pPr>
              <w:spacing w:before="120" w:after="120" w:line="24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0"/>
                <w:szCs w:val="20"/>
              </w:rPr>
            </w:pPr>
            <w:r w:rsidRPr="006D39E3">
              <w:rPr>
                <w:rFonts w:asciiTheme="minorBidi" w:hAnsiTheme="minorBidi"/>
                <w:sz w:val="20"/>
                <w:szCs w:val="20"/>
              </w:rPr>
              <w:t>Strengthens balance sheet and solvency, though equity dilution or extended debt maturity may affect returns (</w:t>
            </w:r>
            <w:proofErr w:type="spellStart"/>
            <w:r w:rsidRPr="006D39E3">
              <w:rPr>
                <w:rFonts w:asciiTheme="minorBidi" w:hAnsiTheme="minorBidi"/>
                <w:sz w:val="20"/>
                <w:szCs w:val="20"/>
              </w:rPr>
              <w:t>Oyeyipo</w:t>
            </w:r>
            <w:proofErr w:type="spellEnd"/>
            <w:r w:rsidRPr="006D39E3">
              <w:rPr>
                <w:rFonts w:asciiTheme="minorBidi" w:hAnsiTheme="minorBidi"/>
                <w:sz w:val="20"/>
                <w:szCs w:val="20"/>
              </w:rPr>
              <w:t xml:space="preserve"> et al., 2023).</w:t>
            </w:r>
          </w:p>
        </w:tc>
      </w:tr>
    </w:tbl>
    <w:p w14:paraId="7D1AB4F3" w14:textId="77777777" w:rsidR="00691843" w:rsidRPr="006D39E3" w:rsidRDefault="00691843">
      <w:pPr>
        <w:rPr>
          <w:rFonts w:asciiTheme="minorBidi" w:hAnsiTheme="minorBidi"/>
        </w:rPr>
      </w:pPr>
      <w:r w:rsidRPr="006D39E3">
        <w:rPr>
          <w:rFonts w:asciiTheme="minorBidi" w:hAnsiTheme="minorBidi"/>
        </w:rPr>
        <w:t>The restructuring strategy which would be the most feasible are required to strike a balance between the requirements based on short-term liquidity and long-term development and also involves the refocus strategy (</w:t>
      </w:r>
      <w:proofErr w:type="spellStart"/>
      <w:r w:rsidRPr="006D39E3">
        <w:rPr>
          <w:rFonts w:asciiTheme="minorBidi" w:hAnsiTheme="minorBidi"/>
        </w:rPr>
        <w:t>Moridu</w:t>
      </w:r>
      <w:proofErr w:type="spellEnd"/>
      <w:r w:rsidRPr="006D39E3">
        <w:rPr>
          <w:rFonts w:asciiTheme="minorBidi" w:hAnsiTheme="minorBidi"/>
        </w:rPr>
        <w:t xml:space="preserve"> and Abidin, 2023). This has the ability to be achieved by a quick sale of assets; however, over-selling assets might result in undermining future operational potential. A merger or acquisition has the prospect of strategic expansion and cost-effectiveness and required to be diligence towards discourage issues of integration and regulatory hurdles. This is because equity injection or debt refinancing is a way of increasing stability in financial aspects by improving adequacy of capital and reducing risks of financial distress (Han, 2025). </w:t>
      </w:r>
    </w:p>
    <w:p w14:paraId="2267ABC3" w14:textId="10969D3C" w:rsidR="00691843" w:rsidRPr="006D39E3" w:rsidRDefault="00691843">
      <w:pPr>
        <w:rPr>
          <w:rFonts w:asciiTheme="minorBidi" w:hAnsiTheme="minorBidi"/>
        </w:rPr>
      </w:pPr>
      <w:r w:rsidRPr="006D39E3">
        <w:rPr>
          <w:rFonts w:asciiTheme="minorBidi" w:hAnsiTheme="minorBidi"/>
        </w:rPr>
        <w:t xml:space="preserve">However, new equity will reduce the value of the existing shareholders whereas refinancing will focus on pushing the obligations into future. The best reorganization </w:t>
      </w:r>
      <w:r w:rsidRPr="006D39E3">
        <w:rPr>
          <w:rFonts w:asciiTheme="minorBidi" w:hAnsiTheme="minorBidi"/>
        </w:rPr>
        <w:lastRenderedPageBreak/>
        <w:t>strategy might be considered to be a combination of selective divestiture for the purpose of achieving liquidity in a better manner, and debt refinancing for achieving better solvency (Akinsola and Kingsley Onu, 2025). This combined strategy focuses on ensuring the short-term relief and competitiveness based on long-term aspects and the preservation of investor confidence and promoting the principles of sustainable financial management.</w:t>
      </w:r>
    </w:p>
    <w:p w14:paraId="78353579" w14:textId="68744487" w:rsidR="00617416" w:rsidRPr="006D39E3" w:rsidRDefault="00617416" w:rsidP="00617416">
      <w:pPr>
        <w:pStyle w:val="Heading2"/>
        <w:rPr>
          <w:rFonts w:asciiTheme="minorBidi" w:hAnsiTheme="minorBidi" w:cstheme="minorBidi"/>
        </w:rPr>
      </w:pPr>
      <w:bookmarkStart w:id="21" w:name="_Toc213265061"/>
      <w:r w:rsidRPr="006D39E3">
        <w:rPr>
          <w:rFonts w:asciiTheme="minorBidi" w:hAnsiTheme="minorBidi" w:cstheme="minorBidi"/>
        </w:rPr>
        <w:t>3.4 Impact Assessment</w:t>
      </w:r>
      <w:bookmarkEnd w:id="21"/>
    </w:p>
    <w:tbl>
      <w:tblPr>
        <w:tblStyle w:val="TableGrid"/>
        <w:tblW w:w="0" w:type="auto"/>
        <w:tblLook w:val="04A0" w:firstRow="1" w:lastRow="0" w:firstColumn="1" w:lastColumn="0" w:noHBand="0" w:noVBand="1"/>
      </w:tblPr>
      <w:tblGrid>
        <w:gridCol w:w="1577"/>
        <w:gridCol w:w="1452"/>
        <w:gridCol w:w="1165"/>
        <w:gridCol w:w="1444"/>
        <w:gridCol w:w="1789"/>
        <w:gridCol w:w="1589"/>
      </w:tblGrid>
      <w:tr w:rsidR="00617416" w:rsidRPr="006D39E3" w14:paraId="63D16DF7" w14:textId="77777777" w:rsidTr="007F3500">
        <w:trPr>
          <w:trHeight w:val="132"/>
        </w:trPr>
        <w:tc>
          <w:tcPr>
            <w:tcW w:w="0" w:type="auto"/>
            <w:shd w:val="clear" w:color="auto" w:fill="E8E8E8" w:themeFill="background2"/>
            <w:hideMark/>
          </w:tcPr>
          <w:p w14:paraId="54F89B60" w14:textId="77777777" w:rsidR="00617416" w:rsidRPr="006D39E3" w:rsidRDefault="00617416" w:rsidP="007F3500">
            <w:pPr>
              <w:spacing w:before="120" w:after="120" w:line="240" w:lineRule="auto"/>
              <w:jc w:val="center"/>
              <w:rPr>
                <w:rFonts w:asciiTheme="minorBidi" w:hAnsiTheme="minorBidi"/>
                <w:b/>
                <w:bCs/>
                <w:sz w:val="20"/>
                <w:szCs w:val="20"/>
              </w:rPr>
            </w:pPr>
            <w:r w:rsidRPr="006D39E3">
              <w:rPr>
                <w:rFonts w:asciiTheme="minorBidi" w:hAnsiTheme="minorBidi"/>
                <w:b/>
                <w:bCs/>
                <w:sz w:val="20"/>
                <w:szCs w:val="20"/>
              </w:rPr>
              <w:t>Criteria for Initiative</w:t>
            </w:r>
          </w:p>
        </w:tc>
        <w:tc>
          <w:tcPr>
            <w:tcW w:w="0" w:type="auto"/>
            <w:shd w:val="clear" w:color="auto" w:fill="E8E8E8" w:themeFill="background2"/>
            <w:hideMark/>
          </w:tcPr>
          <w:p w14:paraId="606D9F6B" w14:textId="77777777" w:rsidR="00617416" w:rsidRPr="006D39E3" w:rsidRDefault="00617416" w:rsidP="007F3500">
            <w:pPr>
              <w:spacing w:before="120" w:after="120" w:line="240" w:lineRule="auto"/>
              <w:jc w:val="center"/>
              <w:rPr>
                <w:rFonts w:asciiTheme="minorBidi" w:hAnsiTheme="minorBidi"/>
                <w:b/>
                <w:bCs/>
                <w:sz w:val="20"/>
                <w:szCs w:val="20"/>
              </w:rPr>
            </w:pPr>
            <w:r w:rsidRPr="006D39E3">
              <w:rPr>
                <w:rFonts w:asciiTheme="minorBidi" w:hAnsiTheme="minorBidi"/>
                <w:b/>
                <w:bCs/>
                <w:sz w:val="20"/>
                <w:szCs w:val="20"/>
              </w:rPr>
              <w:t>Shareholder Value</w:t>
            </w:r>
          </w:p>
        </w:tc>
        <w:tc>
          <w:tcPr>
            <w:tcW w:w="0" w:type="auto"/>
            <w:shd w:val="clear" w:color="auto" w:fill="E8E8E8" w:themeFill="background2"/>
            <w:hideMark/>
          </w:tcPr>
          <w:p w14:paraId="6889BB23" w14:textId="77777777" w:rsidR="00617416" w:rsidRPr="006D39E3" w:rsidRDefault="00617416" w:rsidP="007F3500">
            <w:pPr>
              <w:spacing w:before="120" w:after="120" w:line="240" w:lineRule="auto"/>
              <w:jc w:val="center"/>
              <w:rPr>
                <w:rFonts w:asciiTheme="minorBidi" w:hAnsiTheme="minorBidi"/>
                <w:b/>
                <w:bCs/>
                <w:sz w:val="20"/>
                <w:szCs w:val="20"/>
              </w:rPr>
            </w:pPr>
            <w:r w:rsidRPr="006D39E3">
              <w:rPr>
                <w:rFonts w:asciiTheme="minorBidi" w:hAnsiTheme="minorBidi"/>
                <w:b/>
                <w:bCs/>
                <w:sz w:val="20"/>
                <w:szCs w:val="20"/>
              </w:rPr>
              <w:t>Debt Structure</w:t>
            </w:r>
          </w:p>
        </w:tc>
        <w:tc>
          <w:tcPr>
            <w:tcW w:w="0" w:type="auto"/>
            <w:shd w:val="clear" w:color="auto" w:fill="E8E8E8" w:themeFill="background2"/>
            <w:hideMark/>
          </w:tcPr>
          <w:p w14:paraId="06DD23CE" w14:textId="77777777" w:rsidR="00617416" w:rsidRPr="006D39E3" w:rsidRDefault="00617416" w:rsidP="007F3500">
            <w:pPr>
              <w:spacing w:before="120" w:after="120" w:line="240" w:lineRule="auto"/>
              <w:jc w:val="center"/>
              <w:rPr>
                <w:rFonts w:asciiTheme="minorBidi" w:hAnsiTheme="minorBidi"/>
                <w:b/>
                <w:bCs/>
                <w:sz w:val="20"/>
                <w:szCs w:val="20"/>
              </w:rPr>
            </w:pPr>
            <w:r w:rsidRPr="006D39E3">
              <w:rPr>
                <w:rFonts w:asciiTheme="minorBidi" w:hAnsiTheme="minorBidi"/>
                <w:b/>
                <w:bCs/>
                <w:sz w:val="20"/>
                <w:szCs w:val="20"/>
              </w:rPr>
              <w:t>Operational Flexibility</w:t>
            </w:r>
          </w:p>
        </w:tc>
        <w:tc>
          <w:tcPr>
            <w:tcW w:w="0" w:type="auto"/>
            <w:shd w:val="clear" w:color="auto" w:fill="E8E8E8" w:themeFill="background2"/>
            <w:hideMark/>
          </w:tcPr>
          <w:p w14:paraId="6CB35380" w14:textId="77777777" w:rsidR="00617416" w:rsidRPr="006D39E3" w:rsidRDefault="00617416" w:rsidP="007F3500">
            <w:pPr>
              <w:spacing w:before="120" w:after="120" w:line="240" w:lineRule="auto"/>
              <w:jc w:val="center"/>
              <w:rPr>
                <w:rFonts w:asciiTheme="minorBidi" w:hAnsiTheme="minorBidi"/>
                <w:b/>
                <w:bCs/>
                <w:sz w:val="20"/>
                <w:szCs w:val="20"/>
              </w:rPr>
            </w:pPr>
            <w:r w:rsidRPr="006D39E3">
              <w:rPr>
                <w:rFonts w:asciiTheme="minorBidi" w:hAnsiTheme="minorBidi"/>
                <w:b/>
                <w:bCs/>
                <w:sz w:val="20"/>
                <w:szCs w:val="20"/>
              </w:rPr>
              <w:t>Strategic/Brand Impact</w:t>
            </w:r>
          </w:p>
        </w:tc>
        <w:tc>
          <w:tcPr>
            <w:tcW w:w="0" w:type="auto"/>
            <w:shd w:val="clear" w:color="auto" w:fill="E8E8E8" w:themeFill="background2"/>
            <w:hideMark/>
          </w:tcPr>
          <w:p w14:paraId="36974226" w14:textId="77777777" w:rsidR="00617416" w:rsidRPr="006D39E3" w:rsidRDefault="00617416" w:rsidP="007F3500">
            <w:pPr>
              <w:spacing w:before="120" w:after="120" w:line="240" w:lineRule="auto"/>
              <w:jc w:val="center"/>
              <w:rPr>
                <w:rFonts w:asciiTheme="minorBidi" w:hAnsiTheme="minorBidi"/>
                <w:b/>
                <w:bCs/>
                <w:sz w:val="20"/>
                <w:szCs w:val="20"/>
              </w:rPr>
            </w:pPr>
            <w:r w:rsidRPr="006D39E3">
              <w:rPr>
                <w:rFonts w:asciiTheme="minorBidi" w:hAnsiTheme="minorBidi"/>
                <w:b/>
                <w:bCs/>
                <w:sz w:val="20"/>
                <w:szCs w:val="20"/>
              </w:rPr>
              <w:t>Regulatory &amp; Ethical Compliance</w:t>
            </w:r>
          </w:p>
        </w:tc>
      </w:tr>
      <w:tr w:rsidR="00617416" w:rsidRPr="006D39E3" w14:paraId="512572C2" w14:textId="77777777" w:rsidTr="007F3500">
        <w:trPr>
          <w:trHeight w:val="70"/>
        </w:trPr>
        <w:tc>
          <w:tcPr>
            <w:tcW w:w="0" w:type="auto"/>
            <w:shd w:val="clear" w:color="auto" w:fill="E8E8E8" w:themeFill="background2"/>
            <w:hideMark/>
          </w:tcPr>
          <w:p w14:paraId="7474857A" w14:textId="77777777" w:rsidR="00617416" w:rsidRPr="006D39E3" w:rsidRDefault="00617416" w:rsidP="007F3500">
            <w:pPr>
              <w:spacing w:before="120" w:after="120" w:line="240" w:lineRule="auto"/>
              <w:rPr>
                <w:rFonts w:asciiTheme="minorBidi" w:hAnsiTheme="minorBidi"/>
                <w:b/>
                <w:bCs/>
                <w:i/>
                <w:iCs/>
                <w:sz w:val="20"/>
                <w:szCs w:val="20"/>
              </w:rPr>
            </w:pPr>
            <w:r w:rsidRPr="006D39E3">
              <w:rPr>
                <w:rFonts w:asciiTheme="minorBidi" w:hAnsiTheme="minorBidi"/>
                <w:b/>
                <w:bCs/>
                <w:i/>
                <w:iCs/>
                <w:sz w:val="20"/>
                <w:szCs w:val="20"/>
              </w:rPr>
              <w:t>Divestiture of Non-Core Assets</w:t>
            </w:r>
          </w:p>
        </w:tc>
        <w:tc>
          <w:tcPr>
            <w:tcW w:w="0" w:type="auto"/>
            <w:shd w:val="clear" w:color="auto" w:fill="FFC000"/>
            <w:hideMark/>
          </w:tcPr>
          <w:p w14:paraId="353196FA"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Medium</w:t>
            </w:r>
          </w:p>
        </w:tc>
        <w:tc>
          <w:tcPr>
            <w:tcW w:w="0" w:type="auto"/>
            <w:shd w:val="clear" w:color="auto" w:fill="EE0000"/>
            <w:hideMark/>
          </w:tcPr>
          <w:p w14:paraId="4A79BFD3"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High</w:t>
            </w:r>
          </w:p>
        </w:tc>
        <w:tc>
          <w:tcPr>
            <w:tcW w:w="0" w:type="auto"/>
            <w:shd w:val="clear" w:color="auto" w:fill="EE0000"/>
            <w:hideMark/>
          </w:tcPr>
          <w:p w14:paraId="3BC0D4AC"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High</w:t>
            </w:r>
          </w:p>
        </w:tc>
        <w:tc>
          <w:tcPr>
            <w:tcW w:w="0" w:type="auto"/>
            <w:shd w:val="clear" w:color="auto" w:fill="FFC000"/>
            <w:hideMark/>
          </w:tcPr>
          <w:p w14:paraId="6FABAE36"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Medium</w:t>
            </w:r>
          </w:p>
        </w:tc>
        <w:tc>
          <w:tcPr>
            <w:tcW w:w="0" w:type="auto"/>
            <w:shd w:val="clear" w:color="auto" w:fill="FFC000"/>
            <w:hideMark/>
          </w:tcPr>
          <w:p w14:paraId="284744C1"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Medium</w:t>
            </w:r>
          </w:p>
        </w:tc>
      </w:tr>
      <w:tr w:rsidR="00617416" w:rsidRPr="006D39E3" w14:paraId="7AC4A1CD" w14:textId="77777777" w:rsidTr="007F3500">
        <w:trPr>
          <w:trHeight w:val="70"/>
        </w:trPr>
        <w:tc>
          <w:tcPr>
            <w:tcW w:w="0" w:type="auto"/>
            <w:shd w:val="clear" w:color="auto" w:fill="E8E8E8" w:themeFill="background2"/>
            <w:hideMark/>
          </w:tcPr>
          <w:p w14:paraId="24B063BB" w14:textId="77777777" w:rsidR="00617416" w:rsidRPr="006D39E3" w:rsidRDefault="00617416" w:rsidP="007F3500">
            <w:pPr>
              <w:spacing w:before="120" w:after="120" w:line="240" w:lineRule="auto"/>
              <w:rPr>
                <w:rFonts w:asciiTheme="minorBidi" w:hAnsiTheme="minorBidi"/>
                <w:b/>
                <w:bCs/>
                <w:i/>
                <w:iCs/>
                <w:sz w:val="20"/>
                <w:szCs w:val="20"/>
              </w:rPr>
            </w:pPr>
            <w:r w:rsidRPr="006D39E3">
              <w:rPr>
                <w:rFonts w:asciiTheme="minorBidi" w:hAnsiTheme="minorBidi"/>
                <w:b/>
                <w:bCs/>
                <w:i/>
                <w:iCs/>
                <w:sz w:val="20"/>
                <w:szCs w:val="20"/>
              </w:rPr>
              <w:t>Merger or Acquisition</w:t>
            </w:r>
          </w:p>
        </w:tc>
        <w:tc>
          <w:tcPr>
            <w:tcW w:w="0" w:type="auto"/>
            <w:shd w:val="clear" w:color="auto" w:fill="EE0000"/>
            <w:hideMark/>
          </w:tcPr>
          <w:p w14:paraId="1DEEBBF3"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High</w:t>
            </w:r>
          </w:p>
        </w:tc>
        <w:tc>
          <w:tcPr>
            <w:tcW w:w="0" w:type="auto"/>
            <w:shd w:val="clear" w:color="auto" w:fill="EE0000"/>
            <w:hideMark/>
          </w:tcPr>
          <w:p w14:paraId="6AAD29E6"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High</w:t>
            </w:r>
          </w:p>
        </w:tc>
        <w:tc>
          <w:tcPr>
            <w:tcW w:w="0" w:type="auto"/>
            <w:shd w:val="clear" w:color="auto" w:fill="FFC000"/>
            <w:hideMark/>
          </w:tcPr>
          <w:p w14:paraId="102D477B"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Medium</w:t>
            </w:r>
          </w:p>
        </w:tc>
        <w:tc>
          <w:tcPr>
            <w:tcW w:w="0" w:type="auto"/>
            <w:shd w:val="clear" w:color="auto" w:fill="EE0000"/>
            <w:hideMark/>
          </w:tcPr>
          <w:p w14:paraId="341BF4E1"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High</w:t>
            </w:r>
          </w:p>
        </w:tc>
        <w:tc>
          <w:tcPr>
            <w:tcW w:w="0" w:type="auto"/>
            <w:shd w:val="clear" w:color="auto" w:fill="EE0000"/>
            <w:hideMark/>
          </w:tcPr>
          <w:p w14:paraId="2F8E223F"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High</w:t>
            </w:r>
          </w:p>
        </w:tc>
      </w:tr>
      <w:tr w:rsidR="00617416" w:rsidRPr="006D39E3" w14:paraId="1AEA0192" w14:textId="77777777" w:rsidTr="007F3500">
        <w:trPr>
          <w:trHeight w:val="70"/>
        </w:trPr>
        <w:tc>
          <w:tcPr>
            <w:tcW w:w="0" w:type="auto"/>
            <w:shd w:val="clear" w:color="auto" w:fill="E8E8E8" w:themeFill="background2"/>
            <w:hideMark/>
          </w:tcPr>
          <w:p w14:paraId="64802A49" w14:textId="77777777" w:rsidR="00617416" w:rsidRPr="006D39E3" w:rsidRDefault="00617416" w:rsidP="007F3500">
            <w:pPr>
              <w:spacing w:before="120" w:after="120" w:line="240" w:lineRule="auto"/>
              <w:rPr>
                <w:rFonts w:asciiTheme="minorBidi" w:hAnsiTheme="minorBidi"/>
                <w:b/>
                <w:bCs/>
                <w:i/>
                <w:iCs/>
                <w:sz w:val="20"/>
                <w:szCs w:val="20"/>
              </w:rPr>
            </w:pPr>
            <w:r w:rsidRPr="006D39E3">
              <w:rPr>
                <w:rFonts w:asciiTheme="minorBidi" w:hAnsiTheme="minorBidi"/>
                <w:b/>
                <w:bCs/>
                <w:i/>
                <w:iCs/>
                <w:sz w:val="20"/>
                <w:szCs w:val="20"/>
              </w:rPr>
              <w:t>Equity Injection</w:t>
            </w:r>
          </w:p>
        </w:tc>
        <w:tc>
          <w:tcPr>
            <w:tcW w:w="0" w:type="auto"/>
            <w:shd w:val="clear" w:color="auto" w:fill="FFC000"/>
            <w:hideMark/>
          </w:tcPr>
          <w:p w14:paraId="23E31341"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Medium</w:t>
            </w:r>
          </w:p>
        </w:tc>
        <w:tc>
          <w:tcPr>
            <w:tcW w:w="0" w:type="auto"/>
            <w:shd w:val="clear" w:color="auto" w:fill="FFC000"/>
            <w:hideMark/>
          </w:tcPr>
          <w:p w14:paraId="59666B32"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Medium</w:t>
            </w:r>
          </w:p>
        </w:tc>
        <w:tc>
          <w:tcPr>
            <w:tcW w:w="0" w:type="auto"/>
            <w:shd w:val="clear" w:color="auto" w:fill="EE0000"/>
            <w:hideMark/>
          </w:tcPr>
          <w:p w14:paraId="492B3B0D"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High</w:t>
            </w:r>
          </w:p>
        </w:tc>
        <w:tc>
          <w:tcPr>
            <w:tcW w:w="0" w:type="auto"/>
            <w:shd w:val="clear" w:color="auto" w:fill="EE0000"/>
            <w:hideMark/>
          </w:tcPr>
          <w:p w14:paraId="1A852C0E"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High</w:t>
            </w:r>
          </w:p>
        </w:tc>
        <w:tc>
          <w:tcPr>
            <w:tcW w:w="0" w:type="auto"/>
            <w:shd w:val="clear" w:color="auto" w:fill="FFC000"/>
            <w:hideMark/>
          </w:tcPr>
          <w:p w14:paraId="01F7CFC2"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Medium</w:t>
            </w:r>
          </w:p>
        </w:tc>
      </w:tr>
      <w:tr w:rsidR="00617416" w:rsidRPr="006D39E3" w14:paraId="5BA1CFDB" w14:textId="77777777" w:rsidTr="007F3500">
        <w:trPr>
          <w:trHeight w:val="70"/>
        </w:trPr>
        <w:tc>
          <w:tcPr>
            <w:tcW w:w="0" w:type="auto"/>
            <w:shd w:val="clear" w:color="auto" w:fill="E8E8E8" w:themeFill="background2"/>
            <w:hideMark/>
          </w:tcPr>
          <w:p w14:paraId="1E4B0B72" w14:textId="77777777" w:rsidR="00617416" w:rsidRPr="006D39E3" w:rsidRDefault="00617416" w:rsidP="007F3500">
            <w:pPr>
              <w:spacing w:before="120" w:after="120" w:line="240" w:lineRule="auto"/>
              <w:rPr>
                <w:rFonts w:asciiTheme="minorBidi" w:hAnsiTheme="minorBidi"/>
                <w:b/>
                <w:bCs/>
                <w:i/>
                <w:iCs/>
                <w:sz w:val="20"/>
                <w:szCs w:val="20"/>
              </w:rPr>
            </w:pPr>
            <w:r w:rsidRPr="006D39E3">
              <w:rPr>
                <w:rFonts w:asciiTheme="minorBidi" w:hAnsiTheme="minorBidi"/>
                <w:b/>
                <w:bCs/>
                <w:i/>
                <w:iCs/>
                <w:sz w:val="20"/>
                <w:szCs w:val="20"/>
              </w:rPr>
              <w:t>Debt Refinancing</w:t>
            </w:r>
          </w:p>
        </w:tc>
        <w:tc>
          <w:tcPr>
            <w:tcW w:w="0" w:type="auto"/>
            <w:shd w:val="clear" w:color="auto" w:fill="FFC000"/>
            <w:hideMark/>
          </w:tcPr>
          <w:p w14:paraId="4002D0E2"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Medium</w:t>
            </w:r>
          </w:p>
        </w:tc>
        <w:tc>
          <w:tcPr>
            <w:tcW w:w="0" w:type="auto"/>
            <w:shd w:val="clear" w:color="auto" w:fill="EE0000"/>
            <w:hideMark/>
          </w:tcPr>
          <w:p w14:paraId="471437FB"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High</w:t>
            </w:r>
          </w:p>
        </w:tc>
        <w:tc>
          <w:tcPr>
            <w:tcW w:w="0" w:type="auto"/>
            <w:shd w:val="clear" w:color="auto" w:fill="FFC000"/>
            <w:hideMark/>
          </w:tcPr>
          <w:p w14:paraId="6DB475C4"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Medium</w:t>
            </w:r>
          </w:p>
        </w:tc>
        <w:tc>
          <w:tcPr>
            <w:tcW w:w="0" w:type="auto"/>
            <w:shd w:val="clear" w:color="auto" w:fill="FFC000"/>
            <w:hideMark/>
          </w:tcPr>
          <w:p w14:paraId="3F16DB63"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Medium</w:t>
            </w:r>
          </w:p>
        </w:tc>
        <w:tc>
          <w:tcPr>
            <w:tcW w:w="0" w:type="auto"/>
            <w:shd w:val="clear" w:color="auto" w:fill="EE0000"/>
            <w:hideMark/>
          </w:tcPr>
          <w:p w14:paraId="6AEB301E"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High</w:t>
            </w:r>
          </w:p>
        </w:tc>
      </w:tr>
      <w:tr w:rsidR="00617416" w:rsidRPr="006D39E3" w14:paraId="3FA2A3EA" w14:textId="77777777" w:rsidTr="007F3500">
        <w:trPr>
          <w:trHeight w:val="70"/>
        </w:trPr>
        <w:tc>
          <w:tcPr>
            <w:tcW w:w="0" w:type="auto"/>
            <w:shd w:val="clear" w:color="auto" w:fill="E8E8E8" w:themeFill="background2"/>
            <w:hideMark/>
          </w:tcPr>
          <w:p w14:paraId="69AFE032" w14:textId="77777777" w:rsidR="00617416" w:rsidRPr="006D39E3" w:rsidRDefault="00617416" w:rsidP="007F3500">
            <w:pPr>
              <w:spacing w:before="120" w:after="120" w:line="240" w:lineRule="auto"/>
              <w:rPr>
                <w:rFonts w:asciiTheme="minorBidi" w:hAnsiTheme="minorBidi"/>
                <w:b/>
                <w:bCs/>
                <w:i/>
                <w:iCs/>
                <w:sz w:val="20"/>
                <w:szCs w:val="20"/>
              </w:rPr>
            </w:pPr>
            <w:r w:rsidRPr="006D39E3">
              <w:rPr>
                <w:rFonts w:asciiTheme="minorBidi" w:hAnsiTheme="minorBidi"/>
                <w:b/>
                <w:bCs/>
                <w:i/>
                <w:iCs/>
                <w:sz w:val="20"/>
                <w:szCs w:val="20"/>
              </w:rPr>
              <w:t>Working Capital Reforms</w:t>
            </w:r>
          </w:p>
        </w:tc>
        <w:tc>
          <w:tcPr>
            <w:tcW w:w="0" w:type="auto"/>
            <w:shd w:val="clear" w:color="auto" w:fill="EE0000"/>
            <w:hideMark/>
          </w:tcPr>
          <w:p w14:paraId="1B38BDA0"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High</w:t>
            </w:r>
          </w:p>
        </w:tc>
        <w:tc>
          <w:tcPr>
            <w:tcW w:w="0" w:type="auto"/>
            <w:shd w:val="clear" w:color="auto" w:fill="FFC000"/>
            <w:hideMark/>
          </w:tcPr>
          <w:p w14:paraId="6ACF6655"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Medium</w:t>
            </w:r>
          </w:p>
        </w:tc>
        <w:tc>
          <w:tcPr>
            <w:tcW w:w="0" w:type="auto"/>
            <w:shd w:val="clear" w:color="auto" w:fill="EE0000"/>
            <w:hideMark/>
          </w:tcPr>
          <w:p w14:paraId="3195C876"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High</w:t>
            </w:r>
          </w:p>
        </w:tc>
        <w:tc>
          <w:tcPr>
            <w:tcW w:w="0" w:type="auto"/>
            <w:shd w:val="clear" w:color="auto" w:fill="FFC000"/>
            <w:hideMark/>
          </w:tcPr>
          <w:p w14:paraId="5A381AD3"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Medium</w:t>
            </w:r>
          </w:p>
        </w:tc>
        <w:tc>
          <w:tcPr>
            <w:tcW w:w="0" w:type="auto"/>
            <w:shd w:val="clear" w:color="auto" w:fill="FFC000"/>
            <w:hideMark/>
          </w:tcPr>
          <w:p w14:paraId="356A0731"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Medium</w:t>
            </w:r>
          </w:p>
        </w:tc>
      </w:tr>
      <w:tr w:rsidR="00617416" w:rsidRPr="006D39E3" w14:paraId="1E4B5A3D" w14:textId="77777777" w:rsidTr="007F3500">
        <w:trPr>
          <w:trHeight w:val="70"/>
        </w:trPr>
        <w:tc>
          <w:tcPr>
            <w:tcW w:w="0" w:type="auto"/>
            <w:shd w:val="clear" w:color="auto" w:fill="E8E8E8" w:themeFill="background2"/>
            <w:hideMark/>
          </w:tcPr>
          <w:p w14:paraId="5D771BED" w14:textId="77777777" w:rsidR="00617416" w:rsidRPr="006D39E3" w:rsidRDefault="00617416" w:rsidP="007F3500">
            <w:pPr>
              <w:spacing w:before="120" w:after="120" w:line="240" w:lineRule="auto"/>
              <w:rPr>
                <w:rFonts w:asciiTheme="minorBidi" w:hAnsiTheme="minorBidi"/>
                <w:b/>
                <w:bCs/>
                <w:i/>
                <w:iCs/>
                <w:sz w:val="20"/>
                <w:szCs w:val="20"/>
              </w:rPr>
            </w:pPr>
            <w:r w:rsidRPr="006D39E3">
              <w:rPr>
                <w:rFonts w:asciiTheme="minorBidi" w:hAnsiTheme="minorBidi"/>
                <w:b/>
                <w:bCs/>
                <w:i/>
                <w:iCs/>
                <w:sz w:val="20"/>
                <w:szCs w:val="20"/>
              </w:rPr>
              <w:t>Cost Efficiency Programs</w:t>
            </w:r>
          </w:p>
        </w:tc>
        <w:tc>
          <w:tcPr>
            <w:tcW w:w="0" w:type="auto"/>
            <w:shd w:val="clear" w:color="auto" w:fill="EE0000"/>
            <w:hideMark/>
          </w:tcPr>
          <w:p w14:paraId="3D773DB9"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High</w:t>
            </w:r>
          </w:p>
        </w:tc>
        <w:tc>
          <w:tcPr>
            <w:tcW w:w="0" w:type="auto"/>
            <w:shd w:val="clear" w:color="auto" w:fill="EE0000"/>
            <w:hideMark/>
          </w:tcPr>
          <w:p w14:paraId="2287A7E4"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High</w:t>
            </w:r>
          </w:p>
        </w:tc>
        <w:tc>
          <w:tcPr>
            <w:tcW w:w="0" w:type="auto"/>
            <w:shd w:val="clear" w:color="auto" w:fill="EE0000"/>
            <w:hideMark/>
          </w:tcPr>
          <w:p w14:paraId="4940ACD2"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High</w:t>
            </w:r>
          </w:p>
        </w:tc>
        <w:tc>
          <w:tcPr>
            <w:tcW w:w="0" w:type="auto"/>
            <w:shd w:val="clear" w:color="auto" w:fill="FFC000"/>
            <w:hideMark/>
          </w:tcPr>
          <w:p w14:paraId="5132C9B5"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Medium</w:t>
            </w:r>
          </w:p>
        </w:tc>
        <w:tc>
          <w:tcPr>
            <w:tcW w:w="0" w:type="auto"/>
            <w:shd w:val="clear" w:color="auto" w:fill="FFC000"/>
            <w:hideMark/>
          </w:tcPr>
          <w:p w14:paraId="2471014B" w14:textId="77777777" w:rsidR="00617416" w:rsidRPr="006D39E3" w:rsidRDefault="00617416" w:rsidP="007F3500">
            <w:pPr>
              <w:spacing w:before="120" w:after="120" w:line="240" w:lineRule="auto"/>
              <w:jc w:val="center"/>
              <w:rPr>
                <w:rFonts w:asciiTheme="minorBidi" w:hAnsiTheme="minorBidi"/>
                <w:b/>
                <w:bCs/>
                <w:color w:val="FFFFFF" w:themeColor="background1"/>
                <w:sz w:val="20"/>
                <w:szCs w:val="20"/>
              </w:rPr>
            </w:pPr>
            <w:r w:rsidRPr="006D39E3">
              <w:rPr>
                <w:rFonts w:asciiTheme="minorBidi" w:hAnsiTheme="minorBidi"/>
                <w:b/>
                <w:bCs/>
                <w:color w:val="FFFFFF" w:themeColor="background1"/>
                <w:sz w:val="20"/>
                <w:szCs w:val="20"/>
              </w:rPr>
              <w:t>Medium</w:t>
            </w:r>
          </w:p>
        </w:tc>
      </w:tr>
    </w:tbl>
    <w:p w14:paraId="30671906" w14:textId="571A016F" w:rsidR="00617416" w:rsidRPr="006D39E3" w:rsidRDefault="00617416" w:rsidP="00617416">
      <w:pPr>
        <w:rPr>
          <w:rFonts w:asciiTheme="minorBidi" w:hAnsiTheme="minorBidi"/>
        </w:rPr>
      </w:pPr>
      <w:r w:rsidRPr="006D39E3">
        <w:rPr>
          <w:rFonts w:asciiTheme="minorBidi" w:hAnsiTheme="minorBidi"/>
        </w:rPr>
        <w:t>The analysis of impact, which has been done, in this case, indicates that the restructuring efforts will help create resiliency through the financial area and operational agility to a large degree. Immediate liquidity is offered by the dispossession as well as the cost-efficiency programs, and leverage is minimised, which enhances the debt ratios and the confidence of shareholders (Kingsley, 2023). Acquisitions or mergers bring about strategic scale benefits, but integrating with and complying with them is risky. </w:t>
      </w:r>
    </w:p>
    <w:p w14:paraId="07BFF566" w14:textId="2DE37A33" w:rsidR="00691843" w:rsidRPr="006D39E3" w:rsidRDefault="00617416" w:rsidP="00691843">
      <w:pPr>
        <w:rPr>
          <w:rFonts w:asciiTheme="minorBidi" w:hAnsiTheme="minorBidi"/>
        </w:rPr>
      </w:pPr>
      <w:r w:rsidRPr="006D39E3">
        <w:rPr>
          <w:rFonts w:asciiTheme="minorBidi" w:hAnsiTheme="minorBidi"/>
        </w:rPr>
        <w:t>On the other hand, equity injections and refinancings help increase solvency and capital flexibility, but at the expense of shareholder value in the short run (</w:t>
      </w:r>
      <w:proofErr w:type="spellStart"/>
      <w:r w:rsidRPr="006D39E3">
        <w:rPr>
          <w:rFonts w:asciiTheme="minorBidi" w:hAnsiTheme="minorBidi"/>
        </w:rPr>
        <w:t>Friewald</w:t>
      </w:r>
      <w:proofErr w:type="spellEnd"/>
      <w:r w:rsidRPr="006D39E3">
        <w:rPr>
          <w:rFonts w:asciiTheme="minorBidi" w:hAnsiTheme="minorBidi"/>
        </w:rPr>
        <w:t xml:space="preserve">, Nagler and Wagner, 2022). Liquidity and efficiency gains can also be sustainable </w:t>
      </w:r>
      <w:r w:rsidRPr="006D39E3">
        <w:rPr>
          <w:rFonts w:asciiTheme="minorBidi" w:hAnsiTheme="minorBidi"/>
        </w:rPr>
        <w:lastRenderedPageBreak/>
        <w:t>through the working reforms of capital. On the whole, the joint actions can help GE under a balanced profitability as well as solvency, and ethical compliance, which allows the company to recover, to regain the trust of investors, and to be more competitive in unstable international markets.</w:t>
      </w:r>
    </w:p>
    <w:p w14:paraId="3172B6F3" w14:textId="01570B25" w:rsidR="00691843" w:rsidRPr="006D39E3" w:rsidRDefault="00691843" w:rsidP="00691843">
      <w:pPr>
        <w:pStyle w:val="Heading2"/>
        <w:rPr>
          <w:rFonts w:asciiTheme="minorBidi" w:hAnsiTheme="minorBidi" w:cstheme="minorBidi"/>
        </w:rPr>
      </w:pPr>
      <w:bookmarkStart w:id="22" w:name="_Toc213265062"/>
      <w:r w:rsidRPr="006D39E3">
        <w:rPr>
          <w:rFonts w:asciiTheme="minorBidi" w:hAnsiTheme="minorBidi" w:cstheme="minorBidi"/>
        </w:rPr>
        <w:t>3.5 International and Ethical Considerations</w:t>
      </w:r>
      <w:bookmarkEnd w:id="22"/>
      <w:r w:rsidRPr="006D39E3">
        <w:rPr>
          <w:rFonts w:asciiTheme="minorBidi" w:hAnsiTheme="minorBidi" w:cstheme="minorBidi"/>
        </w:rPr>
        <w:t xml:space="preserve"> </w:t>
      </w:r>
    </w:p>
    <w:p w14:paraId="0E091DAD" w14:textId="77777777" w:rsidR="00691843" w:rsidRPr="006D39E3" w:rsidRDefault="00691843" w:rsidP="00691843">
      <w:pPr>
        <w:rPr>
          <w:rFonts w:asciiTheme="minorBidi" w:hAnsiTheme="minorBidi"/>
        </w:rPr>
      </w:pPr>
      <w:r w:rsidRPr="006D39E3">
        <w:rPr>
          <w:rFonts w:asciiTheme="minorBidi" w:hAnsiTheme="minorBidi"/>
        </w:rPr>
        <w:t xml:space="preserve">Financial restructuring of international role has to reflect the provisions of cross-border taxation, transfer prices, and profit re-patriation, while these issues affect the cash flows which is following the restructuring along with the overall profitability. The currency issue is one of the most important issues where commitments of revenue and debt are based on various currencies (Coppola, Krishnamurthy and Xu, 2023). Through proper hedging and using forward contract, the volatility can be resolved. </w:t>
      </w:r>
      <w:proofErr w:type="gramStart"/>
      <w:r w:rsidRPr="006D39E3">
        <w:rPr>
          <w:rFonts w:asciiTheme="minorBidi" w:hAnsiTheme="minorBidi"/>
        </w:rPr>
        <w:t>Also</w:t>
      </w:r>
      <w:proofErr w:type="gramEnd"/>
      <w:r w:rsidRPr="006D39E3">
        <w:rPr>
          <w:rFonts w:asciiTheme="minorBidi" w:hAnsiTheme="minorBidi"/>
        </w:rPr>
        <w:t xml:space="preserve"> the real value of returns, cost of capital, and purchasing power is impacted by the sensitivity of inflation which helps in necessitating the adaptive pricing and cost-control systems. </w:t>
      </w:r>
    </w:p>
    <w:p w14:paraId="18E1651E" w14:textId="049CCA4A" w:rsidR="00691843" w:rsidRPr="006D39E3" w:rsidRDefault="00691843" w:rsidP="00691843">
      <w:pPr>
        <w:rPr>
          <w:rFonts w:asciiTheme="minorBidi" w:hAnsiTheme="minorBidi"/>
        </w:rPr>
      </w:pPr>
      <w:r w:rsidRPr="006D39E3">
        <w:rPr>
          <w:rFonts w:asciiTheme="minorBidi" w:hAnsiTheme="minorBidi"/>
        </w:rPr>
        <w:t>Ethically and following CSR, transparency and fair treatment of employees and creditors are required to be the foremost priority of restructuring, and it should not be aligned with exploitative cost-cutting (Akinsola, 2025). Accountable borrowing, fair interaction of stakeholders and compliance with the goals of sustainability will focus on ensuring that financial restructuring (</w:t>
      </w:r>
      <w:proofErr w:type="spellStart"/>
      <w:r w:rsidRPr="006D39E3">
        <w:rPr>
          <w:rFonts w:asciiTheme="minorBidi" w:hAnsiTheme="minorBidi"/>
        </w:rPr>
        <w:t>Efunniyi</w:t>
      </w:r>
      <w:proofErr w:type="spellEnd"/>
      <w:r w:rsidRPr="006D39E3">
        <w:rPr>
          <w:rFonts w:asciiTheme="minorBidi" w:hAnsiTheme="minorBidi"/>
        </w:rPr>
        <w:t xml:space="preserve"> et al., 2024). This will not only recover fiscal stability along with the methods of corporate integrity and social aspects in the long-term aspects.</w:t>
      </w:r>
    </w:p>
    <w:p w14:paraId="35D19A5E" w14:textId="77777777" w:rsidR="00CF13D0" w:rsidRPr="006D39E3" w:rsidRDefault="00CF13D0" w:rsidP="00CF13D0">
      <w:pPr>
        <w:pStyle w:val="Heading2"/>
        <w:rPr>
          <w:rFonts w:asciiTheme="minorBidi" w:hAnsiTheme="minorBidi" w:cstheme="minorBidi"/>
          <w:lang w:val="en-GB"/>
        </w:rPr>
      </w:pPr>
      <w:bookmarkStart w:id="23" w:name="_Toc213265063"/>
      <w:r w:rsidRPr="006D39E3">
        <w:rPr>
          <w:rFonts w:asciiTheme="minorBidi" w:hAnsiTheme="minorBidi" w:cstheme="minorBidi"/>
          <w:lang w:val="en-GB"/>
        </w:rPr>
        <w:t>3.6 Summary of strategic recommendations</w:t>
      </w:r>
      <w:bookmarkEnd w:id="23"/>
      <w:r w:rsidRPr="006D39E3">
        <w:rPr>
          <w:rFonts w:asciiTheme="minorBidi" w:hAnsiTheme="minorBidi" w:cstheme="minorBidi"/>
          <w:lang w:val="en-GB"/>
        </w:rPr>
        <w:t xml:space="preserve"> </w:t>
      </w:r>
    </w:p>
    <w:p w14:paraId="451BD6E6" w14:textId="01E6ADD6" w:rsidR="00CF13D0" w:rsidRPr="006D39E3" w:rsidRDefault="00CF13D0" w:rsidP="00CF13D0">
      <w:pPr>
        <w:rPr>
          <w:rFonts w:asciiTheme="minorBidi" w:hAnsiTheme="minorBidi"/>
          <w:lang w:val="en-GB"/>
        </w:rPr>
      </w:pPr>
      <w:r w:rsidRPr="006D39E3">
        <w:rPr>
          <w:rFonts w:asciiTheme="minorBidi" w:hAnsiTheme="minorBidi"/>
          <w:lang w:val="en-GB"/>
        </w:rPr>
        <w:t>The financial restructuring proposed will help to build a strong liquidity position, efficiency of capital and increases profitability in the long run. The company will be able to maintain financial stability by maximising the working capital, decreasing the reliance on short-term debt, and digitalizing cash flow management. It will also be ensured that short-term actions are aligned to long-term growth goals through strategic cost control, reinvestment in high-return projects and an optimum capital structure. Moreover, improved supplier and customer relations will help in increasing the resilience of operations (</w:t>
      </w:r>
      <w:proofErr w:type="spellStart"/>
      <w:r w:rsidRPr="006D39E3">
        <w:rPr>
          <w:rFonts w:asciiTheme="minorBidi" w:hAnsiTheme="minorBidi"/>
          <w:lang w:val="en-GB"/>
        </w:rPr>
        <w:t>Faruquee</w:t>
      </w:r>
      <w:proofErr w:type="spellEnd"/>
      <w:r w:rsidRPr="006D39E3">
        <w:rPr>
          <w:rFonts w:asciiTheme="minorBidi" w:hAnsiTheme="minorBidi"/>
          <w:lang w:val="en-GB"/>
        </w:rPr>
        <w:t xml:space="preserve"> et al., 2021). Taken together, these efforts will put </w:t>
      </w:r>
      <w:r w:rsidRPr="006D39E3">
        <w:rPr>
          <w:rFonts w:asciiTheme="minorBidi" w:hAnsiTheme="minorBidi"/>
          <w:lang w:val="en-GB"/>
        </w:rPr>
        <w:lastRenderedPageBreak/>
        <w:t>the company in a sustainable growth, higher shareholder value and increased flexibility in a dynamic business environment.</w:t>
      </w:r>
    </w:p>
    <w:p w14:paraId="454CA518" w14:textId="7F68753D" w:rsidR="00A6093D" w:rsidRPr="006D39E3" w:rsidRDefault="00506562" w:rsidP="00A6093D">
      <w:pPr>
        <w:pStyle w:val="Heading1"/>
        <w:rPr>
          <w:rFonts w:asciiTheme="minorBidi" w:hAnsiTheme="minorBidi" w:cstheme="minorBidi"/>
        </w:rPr>
      </w:pPr>
      <w:r w:rsidRPr="006D39E3">
        <w:rPr>
          <w:rFonts w:asciiTheme="minorBidi" w:hAnsiTheme="minorBidi" w:cstheme="minorBidi"/>
          <w:lang w:val="en-GB"/>
        </w:rPr>
        <w:t xml:space="preserve"> </w:t>
      </w:r>
      <w:bookmarkStart w:id="24" w:name="_Toc213265064"/>
      <w:r w:rsidR="00A6093D" w:rsidRPr="006D39E3">
        <w:rPr>
          <w:rFonts w:asciiTheme="minorBidi" w:hAnsiTheme="minorBidi" w:cstheme="minorBidi"/>
        </w:rPr>
        <w:t>4. Investment Appraisal and Capital Budgeting</w:t>
      </w:r>
      <w:bookmarkEnd w:id="24"/>
    </w:p>
    <w:p w14:paraId="28665925" w14:textId="71C5AB91" w:rsidR="00A6093D" w:rsidRPr="006D39E3" w:rsidRDefault="00A6093D" w:rsidP="000218A7">
      <w:pPr>
        <w:pStyle w:val="Heading2"/>
        <w:rPr>
          <w:rFonts w:asciiTheme="minorBidi" w:hAnsiTheme="minorBidi" w:cstheme="minorBidi"/>
        </w:rPr>
      </w:pPr>
      <w:bookmarkStart w:id="25" w:name="_Toc213265065"/>
      <w:r w:rsidRPr="006D39E3">
        <w:rPr>
          <w:rFonts w:asciiTheme="minorBidi" w:hAnsiTheme="minorBidi" w:cstheme="minorBidi"/>
        </w:rPr>
        <w:t>4.1 Introduction to Investment Appraisal</w:t>
      </w:r>
      <w:bookmarkEnd w:id="25"/>
    </w:p>
    <w:p w14:paraId="6EF68C10" w14:textId="7C81D60C" w:rsidR="00486DC7" w:rsidRPr="006D39E3" w:rsidRDefault="00486DC7" w:rsidP="00486DC7">
      <w:pPr>
        <w:rPr>
          <w:rFonts w:asciiTheme="minorBidi" w:hAnsiTheme="minorBidi"/>
        </w:rPr>
      </w:pPr>
      <w:r w:rsidRPr="006D39E3">
        <w:rPr>
          <w:rFonts w:asciiTheme="minorBidi" w:hAnsiTheme="minorBidi"/>
        </w:rPr>
        <w:t>Investment appraisal can alternatively be referred to as capital budgeting which is a vital task in finances in which the profitability and feasibility of long</w:t>
      </w:r>
      <w:r w:rsidR="000218A7" w:rsidRPr="006D39E3">
        <w:rPr>
          <w:rFonts w:asciiTheme="minorBidi" w:hAnsiTheme="minorBidi"/>
        </w:rPr>
        <w:t>-</w:t>
      </w:r>
      <w:r w:rsidRPr="006D39E3">
        <w:rPr>
          <w:rFonts w:asciiTheme="minorBidi" w:hAnsiTheme="minorBidi"/>
        </w:rPr>
        <w:t>term investments are put into consideration</w:t>
      </w:r>
      <w:r w:rsidR="000218A7" w:rsidRPr="006D39E3">
        <w:rPr>
          <w:rFonts w:asciiTheme="minorBidi" w:hAnsiTheme="minorBidi"/>
        </w:rPr>
        <w:t xml:space="preserve"> (Kraus, Kappl and Schlegel, 2024)</w:t>
      </w:r>
      <w:r w:rsidRPr="006D39E3">
        <w:rPr>
          <w:rFonts w:asciiTheme="minorBidi" w:hAnsiTheme="minorBidi"/>
        </w:rPr>
        <w:t>. Its main aim is to assist the organizations in the allocation of capital so that the resources are invested in the project that are likely to maximize the shareholder values. Through Net Present Value (NPV), Internal rate of return (IRR), Payback Period (PBP) and Accounting rate of return (ARR), firms are able to evaluate risk, timing of cash flow and returns potential. In the case of General Electronics, the investment appraisal is fundamental in bringing back strategic recovery, to make the most out of the little capital, and to build financial sustainability in the long term.</w:t>
      </w:r>
    </w:p>
    <w:p w14:paraId="03682E2A" w14:textId="4484F240" w:rsidR="00486DC7" w:rsidRPr="006D39E3" w:rsidRDefault="00486DC7" w:rsidP="00486DC7">
      <w:pPr>
        <w:pStyle w:val="Heading2"/>
        <w:rPr>
          <w:rFonts w:asciiTheme="minorBidi" w:hAnsiTheme="minorBidi" w:cstheme="minorBidi"/>
        </w:rPr>
      </w:pPr>
      <w:bookmarkStart w:id="26" w:name="_Toc213265066"/>
      <w:r w:rsidRPr="006D39E3">
        <w:rPr>
          <w:rFonts w:asciiTheme="minorBidi" w:hAnsiTheme="minorBidi" w:cstheme="minorBidi"/>
        </w:rPr>
        <w:t>4.2 Project Overview</w:t>
      </w:r>
      <w:bookmarkEnd w:id="26"/>
    </w:p>
    <w:p w14:paraId="4EBFA78C" w14:textId="77777777" w:rsidR="00486DC7" w:rsidRPr="006D39E3" w:rsidRDefault="00486DC7" w:rsidP="00486DC7">
      <w:pPr>
        <w:rPr>
          <w:rFonts w:asciiTheme="minorBidi" w:hAnsiTheme="minorBidi"/>
        </w:rPr>
      </w:pPr>
      <w:r w:rsidRPr="006D39E3">
        <w:rPr>
          <w:rFonts w:asciiTheme="minorBidi" w:hAnsiTheme="minorBidi"/>
        </w:rPr>
        <w:t>Under capital rationing, General Electronics has considered three suggested investment projects, namely A, B and C.</w:t>
      </w:r>
    </w:p>
    <w:p w14:paraId="298B78BB" w14:textId="77777777" w:rsidR="00486DC7" w:rsidRPr="006D39E3" w:rsidRDefault="00486DC7" w:rsidP="00486DC7">
      <w:pPr>
        <w:pStyle w:val="ListParagraph"/>
        <w:numPr>
          <w:ilvl w:val="0"/>
          <w:numId w:val="5"/>
        </w:numPr>
        <w:rPr>
          <w:rFonts w:asciiTheme="minorBidi" w:hAnsiTheme="minorBidi"/>
        </w:rPr>
      </w:pPr>
      <w:r w:rsidRPr="006D39E3">
        <w:rPr>
          <w:rFonts w:asciiTheme="minorBidi" w:hAnsiTheme="minorBidi"/>
        </w:rPr>
        <w:t>Project A is an initial investment of £40 million which will bring an annual inflow of between 10 million to 8 million in the next five years.</w:t>
      </w:r>
    </w:p>
    <w:p w14:paraId="66A373B9" w14:textId="77777777" w:rsidR="00486DC7" w:rsidRPr="006D39E3" w:rsidRDefault="00486DC7" w:rsidP="00486DC7">
      <w:pPr>
        <w:pStyle w:val="ListParagraph"/>
        <w:numPr>
          <w:ilvl w:val="0"/>
          <w:numId w:val="5"/>
        </w:numPr>
        <w:rPr>
          <w:rFonts w:asciiTheme="minorBidi" w:hAnsiTheme="minorBidi"/>
        </w:rPr>
      </w:pPr>
      <w:r w:rsidRPr="006D39E3">
        <w:rPr>
          <w:rFonts w:asciiTheme="minorBidi" w:hAnsiTheme="minorBidi"/>
        </w:rPr>
        <w:t>Project B entails an investment of 30 million, which has a steady inflow of 6 million every year over a span of five years.</w:t>
      </w:r>
    </w:p>
    <w:p w14:paraId="279B7F96" w14:textId="77777777" w:rsidR="00486DC7" w:rsidRPr="006D39E3" w:rsidRDefault="00486DC7" w:rsidP="00486DC7">
      <w:pPr>
        <w:pStyle w:val="ListParagraph"/>
        <w:numPr>
          <w:ilvl w:val="0"/>
          <w:numId w:val="5"/>
        </w:numPr>
        <w:rPr>
          <w:rFonts w:asciiTheme="minorBidi" w:hAnsiTheme="minorBidi"/>
        </w:rPr>
      </w:pPr>
      <w:r w:rsidRPr="006D39E3">
        <w:rPr>
          <w:rFonts w:asciiTheme="minorBidi" w:hAnsiTheme="minorBidi"/>
        </w:rPr>
        <w:t>Project C requires the largest investment of 50 million pounds, and its inflows will be rising slowly between 5 million and 25 million.</w:t>
      </w:r>
    </w:p>
    <w:p w14:paraId="5B0A5784" w14:textId="78B6B77A" w:rsidR="00486DC7" w:rsidRPr="006D39E3" w:rsidRDefault="00486DC7" w:rsidP="00486DC7">
      <w:pPr>
        <w:rPr>
          <w:rFonts w:asciiTheme="minorBidi" w:hAnsiTheme="minorBidi"/>
        </w:rPr>
      </w:pPr>
      <w:r w:rsidRPr="006D39E3">
        <w:rPr>
          <w:rFonts w:asciiTheme="minorBidi" w:hAnsiTheme="minorBidi"/>
        </w:rPr>
        <w:t xml:space="preserve">The scale, profitability, and risk of these projects are different and thus will need to be </w:t>
      </w:r>
      <w:proofErr w:type="spellStart"/>
      <w:r w:rsidRPr="006D39E3">
        <w:rPr>
          <w:rFonts w:asciiTheme="minorBidi" w:hAnsiTheme="minorBidi"/>
        </w:rPr>
        <w:t>analyzed</w:t>
      </w:r>
      <w:proofErr w:type="spellEnd"/>
      <w:r w:rsidRPr="006D39E3">
        <w:rPr>
          <w:rFonts w:asciiTheme="minorBidi" w:hAnsiTheme="minorBidi"/>
        </w:rPr>
        <w:t xml:space="preserve"> using Payback Period, ARR, NPV, PI, and IRR to come up with the best combination of investments to be undertaken with given budget of £60 million.</w:t>
      </w:r>
    </w:p>
    <w:p w14:paraId="14A9B6A3" w14:textId="6F856C94" w:rsidR="00486DC7" w:rsidRPr="006D39E3" w:rsidRDefault="00486DC7" w:rsidP="00486DC7">
      <w:pPr>
        <w:pStyle w:val="Heading2"/>
        <w:rPr>
          <w:rFonts w:asciiTheme="minorBidi" w:hAnsiTheme="minorBidi" w:cstheme="minorBidi"/>
        </w:rPr>
      </w:pPr>
      <w:bookmarkStart w:id="27" w:name="_Toc213265067"/>
      <w:r w:rsidRPr="006D39E3">
        <w:rPr>
          <w:rFonts w:asciiTheme="minorBidi" w:hAnsiTheme="minorBidi" w:cstheme="minorBidi"/>
        </w:rPr>
        <w:t>4.3 Evaluation Using Quantitative Techniques</w:t>
      </w:r>
      <w:bookmarkEnd w:id="27"/>
    </w:p>
    <w:p w14:paraId="57A9225C" w14:textId="6CA35D3A" w:rsidR="00486DC7" w:rsidRPr="006D39E3" w:rsidRDefault="00486DC7" w:rsidP="00486DC7">
      <w:pPr>
        <w:rPr>
          <w:rFonts w:asciiTheme="minorBidi" w:hAnsiTheme="minorBidi"/>
          <w:b/>
          <w:bCs/>
          <w:u w:val="single"/>
        </w:rPr>
      </w:pPr>
      <w:r w:rsidRPr="006D39E3">
        <w:rPr>
          <w:rFonts w:asciiTheme="minorBidi" w:hAnsiTheme="minorBidi"/>
          <w:b/>
          <w:bCs/>
          <w:u w:val="single"/>
        </w:rPr>
        <w:t>Project A: Moderate-Return and High-Investment Project</w:t>
      </w:r>
    </w:p>
    <w:p w14:paraId="0E98123F" w14:textId="77777777" w:rsidR="00486DC7" w:rsidRPr="006D39E3" w:rsidRDefault="00486DC7" w:rsidP="00486DC7">
      <w:pPr>
        <w:rPr>
          <w:rFonts w:asciiTheme="minorBidi" w:hAnsiTheme="minorBidi"/>
          <w:b/>
          <w:bCs/>
          <w:i/>
          <w:iCs/>
        </w:rPr>
      </w:pPr>
      <w:r w:rsidRPr="006D39E3">
        <w:rPr>
          <w:rFonts w:asciiTheme="minorBidi" w:hAnsiTheme="minorBidi"/>
          <w:b/>
          <w:bCs/>
          <w:i/>
          <w:iCs/>
        </w:rPr>
        <w:lastRenderedPageBreak/>
        <w:t>Payback Period (PBP):</w:t>
      </w:r>
    </w:p>
    <w:p w14:paraId="6225AEDD" w14:textId="4E3C6DF7" w:rsidR="00486DC7" w:rsidRPr="006D39E3" w:rsidRDefault="00486DC7" w:rsidP="00486DC7">
      <w:pPr>
        <w:rPr>
          <w:rFonts w:asciiTheme="minorBidi" w:hAnsiTheme="minorBidi"/>
        </w:rPr>
      </w:pPr>
      <w:r w:rsidRPr="006D39E3">
        <w:rPr>
          <w:rFonts w:asciiTheme="minorBidi" w:hAnsiTheme="minorBidi"/>
        </w:rPr>
        <w:t>Project A, which has a start</w:t>
      </w:r>
      <w:r w:rsidR="000218A7" w:rsidRPr="006D39E3">
        <w:rPr>
          <w:rFonts w:asciiTheme="minorBidi" w:hAnsiTheme="minorBidi"/>
        </w:rPr>
        <w:t>-</w:t>
      </w:r>
      <w:r w:rsidRPr="006D39E3">
        <w:rPr>
          <w:rFonts w:asciiTheme="minorBidi" w:hAnsiTheme="minorBidi"/>
        </w:rPr>
        <w:t>up capital investment of £40 million, takes a payback period of four years. This fairly moderate payback is a sign that the project can restore its investment in the period within which the project is operating and as a result the project is fairly liquid in comparison to other projects</w:t>
      </w:r>
      <w:r w:rsidR="000218A7" w:rsidRPr="006D39E3">
        <w:rPr>
          <w:rFonts w:asciiTheme="minorBidi" w:hAnsiTheme="minorBidi"/>
        </w:rPr>
        <w:t xml:space="preserve"> (Karda, Nagy-György and Boros, 2023)</w:t>
      </w:r>
      <w:r w:rsidRPr="006D39E3">
        <w:rPr>
          <w:rFonts w:asciiTheme="minorBidi" w:hAnsiTheme="minorBidi"/>
        </w:rPr>
        <w:t>.</w:t>
      </w:r>
    </w:p>
    <w:p w14:paraId="5AB23EC2" w14:textId="77777777" w:rsidR="00486DC7" w:rsidRPr="006D39E3" w:rsidRDefault="00486DC7" w:rsidP="00486DC7">
      <w:pPr>
        <w:rPr>
          <w:rFonts w:asciiTheme="minorBidi" w:hAnsiTheme="minorBidi"/>
          <w:b/>
          <w:bCs/>
          <w:i/>
          <w:iCs/>
        </w:rPr>
      </w:pPr>
      <w:r w:rsidRPr="006D39E3">
        <w:rPr>
          <w:rFonts w:asciiTheme="minorBidi" w:hAnsiTheme="minorBidi"/>
          <w:b/>
          <w:bCs/>
          <w:i/>
          <w:iCs/>
        </w:rPr>
        <w:t>Accounting rate of Return (ARR):</w:t>
      </w:r>
    </w:p>
    <w:p w14:paraId="42B837BA" w14:textId="4EA80404" w:rsidR="00486DC7" w:rsidRPr="006D39E3" w:rsidRDefault="00486DC7" w:rsidP="00486DC7">
      <w:pPr>
        <w:rPr>
          <w:rFonts w:asciiTheme="minorBidi" w:hAnsiTheme="minorBidi"/>
        </w:rPr>
      </w:pPr>
      <w:r w:rsidRPr="006D39E3">
        <w:rPr>
          <w:rFonts w:asciiTheme="minorBidi" w:hAnsiTheme="minorBidi"/>
        </w:rPr>
        <w:t>The ARR of Project A indicates a reasonable profitability ratio as evidenced by the average profit of the accounting of annual growths of the stable inflows of the project at around £810 million. Even though it is not the best, it implies fair operational efficiency and yielding returns.</w:t>
      </w:r>
    </w:p>
    <w:p w14:paraId="303EAF3E" w14:textId="77777777" w:rsidR="00486DC7" w:rsidRPr="006D39E3" w:rsidRDefault="00486DC7" w:rsidP="00486DC7">
      <w:pPr>
        <w:rPr>
          <w:rFonts w:asciiTheme="minorBidi" w:hAnsiTheme="minorBidi"/>
          <w:b/>
          <w:bCs/>
          <w:i/>
          <w:iCs/>
        </w:rPr>
      </w:pPr>
      <w:r w:rsidRPr="006D39E3">
        <w:rPr>
          <w:rFonts w:asciiTheme="minorBidi" w:hAnsiTheme="minorBidi"/>
          <w:b/>
          <w:bCs/>
          <w:i/>
          <w:iCs/>
        </w:rPr>
        <w:t>Net Present Value (NPV):</w:t>
      </w:r>
    </w:p>
    <w:p w14:paraId="7410A627" w14:textId="33293376" w:rsidR="00486DC7" w:rsidRPr="006D39E3" w:rsidRDefault="00486DC7" w:rsidP="00486DC7">
      <w:pPr>
        <w:rPr>
          <w:rFonts w:asciiTheme="minorBidi" w:hAnsiTheme="minorBidi"/>
        </w:rPr>
      </w:pPr>
      <w:r w:rsidRPr="006D39E3">
        <w:rPr>
          <w:rFonts w:asciiTheme="minorBidi" w:hAnsiTheme="minorBidi"/>
        </w:rPr>
        <w:t>The NPV of Project A indicates that the discounted cash inflows of the project are better than the initial outlay. This supports its ability to provide shareholders with value albeit the overall magnitude of NPV is medium with minimal excess returns.</w:t>
      </w:r>
    </w:p>
    <w:p w14:paraId="3DC3282B" w14:textId="77777777" w:rsidR="00486DC7" w:rsidRPr="006D39E3" w:rsidRDefault="00486DC7" w:rsidP="00486DC7">
      <w:pPr>
        <w:rPr>
          <w:rFonts w:asciiTheme="minorBidi" w:hAnsiTheme="minorBidi"/>
          <w:b/>
          <w:bCs/>
          <w:i/>
          <w:iCs/>
        </w:rPr>
      </w:pPr>
      <w:r w:rsidRPr="006D39E3">
        <w:rPr>
          <w:rFonts w:asciiTheme="minorBidi" w:hAnsiTheme="minorBidi"/>
          <w:b/>
          <w:bCs/>
          <w:i/>
          <w:iCs/>
        </w:rPr>
        <w:t>Profitability Index (PI):</w:t>
      </w:r>
    </w:p>
    <w:p w14:paraId="39DF9DB6" w14:textId="1EAEF89A" w:rsidR="00486DC7" w:rsidRPr="006D39E3" w:rsidRDefault="00486DC7" w:rsidP="00486DC7">
      <w:pPr>
        <w:rPr>
          <w:rFonts w:asciiTheme="minorBidi" w:hAnsiTheme="minorBidi"/>
        </w:rPr>
      </w:pPr>
      <w:r w:rsidRPr="006D39E3">
        <w:rPr>
          <w:rFonts w:asciiTheme="minorBidi" w:hAnsiTheme="minorBidi"/>
        </w:rPr>
        <w:t>Any PI of slightly over 1.0 confirms that Project A will produce slightly more value than it will cost, and hence a viable, but not a very profitable alternative the capital constraints.</w:t>
      </w:r>
    </w:p>
    <w:p w14:paraId="52B22237" w14:textId="77777777" w:rsidR="00486DC7" w:rsidRPr="006D39E3" w:rsidRDefault="00486DC7" w:rsidP="00486DC7">
      <w:pPr>
        <w:rPr>
          <w:rFonts w:asciiTheme="minorBidi" w:hAnsiTheme="minorBidi"/>
          <w:b/>
          <w:bCs/>
          <w:i/>
          <w:iCs/>
        </w:rPr>
      </w:pPr>
      <w:r w:rsidRPr="006D39E3">
        <w:rPr>
          <w:rFonts w:asciiTheme="minorBidi" w:hAnsiTheme="minorBidi"/>
          <w:b/>
          <w:bCs/>
          <w:i/>
          <w:iCs/>
        </w:rPr>
        <w:t>Internal Rate of Return (IRR):</w:t>
      </w:r>
    </w:p>
    <w:p w14:paraId="626FD45F" w14:textId="2096D299" w:rsidR="00486DC7" w:rsidRPr="006D39E3" w:rsidRDefault="00486DC7" w:rsidP="00486DC7">
      <w:pPr>
        <w:rPr>
          <w:rFonts w:asciiTheme="minorBidi" w:hAnsiTheme="minorBidi"/>
        </w:rPr>
      </w:pPr>
      <w:r w:rsidRPr="006D39E3">
        <w:rPr>
          <w:rFonts w:asciiTheme="minorBidi" w:hAnsiTheme="minorBidi"/>
        </w:rPr>
        <w:t>Project A will be profitable, as its IRR is relatively high and above the cost of capital of the company. Nevertheless, the incremental value of the project is relatively low, which implies the low risk but low aggressiveness of development.</w:t>
      </w:r>
      <w:r w:rsidR="00837546" w:rsidRPr="006D39E3">
        <w:rPr>
          <w:rFonts w:asciiTheme="minorBidi" w:hAnsiTheme="minorBidi"/>
        </w:rPr>
        <w:t xml:space="preserve"> </w:t>
      </w:r>
      <w:r w:rsidR="00837546" w:rsidRPr="006D39E3">
        <w:rPr>
          <w:rFonts w:asciiTheme="minorBidi" w:hAnsiTheme="minorBidi"/>
          <w:lang w:val="en-GB"/>
        </w:rPr>
        <w:t>[</w:t>
      </w:r>
      <w:r w:rsidR="00837546" w:rsidRPr="006D39E3">
        <w:rPr>
          <w:rFonts w:asciiTheme="minorBidi" w:hAnsiTheme="minorBidi"/>
          <w:b/>
          <w:bCs/>
          <w:i/>
          <w:iCs/>
          <w:lang w:val="en-GB"/>
        </w:rPr>
        <w:t>Referred to Appendix 8</w:t>
      </w:r>
      <w:r w:rsidR="00837546" w:rsidRPr="006D39E3">
        <w:rPr>
          <w:rFonts w:asciiTheme="minorBidi" w:hAnsiTheme="minorBidi"/>
          <w:lang w:val="en-GB"/>
        </w:rPr>
        <w:t>].</w:t>
      </w:r>
    </w:p>
    <w:p w14:paraId="035AC8C3" w14:textId="523C76D3" w:rsidR="00486DC7" w:rsidRPr="006D39E3" w:rsidRDefault="00486DC7" w:rsidP="00486DC7">
      <w:pPr>
        <w:rPr>
          <w:rFonts w:asciiTheme="minorBidi" w:hAnsiTheme="minorBidi"/>
          <w:b/>
          <w:bCs/>
          <w:u w:val="single"/>
        </w:rPr>
      </w:pPr>
      <w:r w:rsidRPr="006D39E3">
        <w:rPr>
          <w:rFonts w:asciiTheme="minorBidi" w:hAnsiTheme="minorBidi"/>
          <w:b/>
          <w:bCs/>
          <w:u w:val="single"/>
        </w:rPr>
        <w:t>Project B: Low-Investment, Steady-Return Project</w:t>
      </w:r>
    </w:p>
    <w:p w14:paraId="4CD48C86" w14:textId="77777777" w:rsidR="00486DC7" w:rsidRPr="006D39E3" w:rsidRDefault="00486DC7" w:rsidP="00486DC7">
      <w:pPr>
        <w:rPr>
          <w:rFonts w:asciiTheme="minorBidi" w:hAnsiTheme="minorBidi"/>
          <w:b/>
          <w:bCs/>
          <w:i/>
          <w:iCs/>
        </w:rPr>
      </w:pPr>
      <w:r w:rsidRPr="006D39E3">
        <w:rPr>
          <w:rFonts w:asciiTheme="minorBidi" w:hAnsiTheme="minorBidi"/>
          <w:b/>
          <w:bCs/>
          <w:i/>
          <w:iCs/>
        </w:rPr>
        <w:t>Payback Period (PBP):</w:t>
      </w:r>
    </w:p>
    <w:p w14:paraId="0B10C8D9" w14:textId="776BAE06" w:rsidR="00486DC7" w:rsidRPr="006D39E3" w:rsidRDefault="00486DC7" w:rsidP="00486DC7">
      <w:pPr>
        <w:rPr>
          <w:rFonts w:asciiTheme="minorBidi" w:hAnsiTheme="minorBidi"/>
        </w:rPr>
      </w:pPr>
      <w:r w:rsidRPr="006D39E3">
        <w:rPr>
          <w:rFonts w:asciiTheme="minorBidi" w:hAnsiTheme="minorBidi"/>
        </w:rPr>
        <w:lastRenderedPageBreak/>
        <w:t>The payback period of project B is around 5 years which is congruent with the total period. This implies that it promotes low liquidity and retards quicker capital recovery in that even at the expiry of its operating life it has recovered the initial £ 30 million.</w:t>
      </w:r>
    </w:p>
    <w:p w14:paraId="1DF5D419" w14:textId="79001689" w:rsidR="00486DC7" w:rsidRPr="006D39E3" w:rsidRDefault="00486DC7" w:rsidP="00486DC7">
      <w:pPr>
        <w:rPr>
          <w:rFonts w:asciiTheme="minorBidi" w:hAnsiTheme="minorBidi"/>
          <w:b/>
          <w:bCs/>
          <w:i/>
          <w:iCs/>
        </w:rPr>
      </w:pPr>
      <w:r w:rsidRPr="006D39E3">
        <w:rPr>
          <w:rFonts w:asciiTheme="minorBidi" w:hAnsiTheme="minorBidi"/>
          <w:b/>
          <w:bCs/>
          <w:i/>
          <w:iCs/>
        </w:rPr>
        <w:t>Accounting Rate of Return (ARR):</w:t>
      </w:r>
    </w:p>
    <w:p w14:paraId="119791BA" w14:textId="1432AEE1" w:rsidR="00486DC7" w:rsidRPr="006D39E3" w:rsidRDefault="00486DC7" w:rsidP="00486DC7">
      <w:pPr>
        <w:rPr>
          <w:rFonts w:asciiTheme="minorBidi" w:hAnsiTheme="minorBidi"/>
        </w:rPr>
      </w:pPr>
      <w:r w:rsidRPr="006D39E3">
        <w:rPr>
          <w:rFonts w:asciiTheme="minorBidi" w:hAnsiTheme="minorBidi"/>
        </w:rPr>
        <w:t>Project B has a relatively low ARR which means that its profitability is low. Although the inflows remain constant at to 6 million each year, the project does not have high earnings leverage and has low accounting returns.</w:t>
      </w:r>
    </w:p>
    <w:p w14:paraId="7EBE443D" w14:textId="77777777" w:rsidR="00486DC7" w:rsidRPr="006D39E3" w:rsidRDefault="00486DC7" w:rsidP="00486DC7">
      <w:pPr>
        <w:rPr>
          <w:rFonts w:asciiTheme="minorBidi" w:hAnsiTheme="minorBidi"/>
          <w:b/>
          <w:bCs/>
          <w:i/>
          <w:iCs/>
        </w:rPr>
      </w:pPr>
      <w:r w:rsidRPr="006D39E3">
        <w:rPr>
          <w:rFonts w:asciiTheme="minorBidi" w:hAnsiTheme="minorBidi"/>
          <w:b/>
          <w:bCs/>
          <w:i/>
          <w:iCs/>
        </w:rPr>
        <w:t>Net Present Value (NPV):</w:t>
      </w:r>
    </w:p>
    <w:p w14:paraId="72D8DC52" w14:textId="5E29A4AE" w:rsidR="00486DC7" w:rsidRPr="006D39E3" w:rsidRDefault="00486DC7" w:rsidP="00486DC7">
      <w:pPr>
        <w:rPr>
          <w:rFonts w:asciiTheme="minorBidi" w:hAnsiTheme="minorBidi"/>
        </w:rPr>
      </w:pPr>
      <w:r w:rsidRPr="006D39E3">
        <w:rPr>
          <w:rFonts w:asciiTheme="minorBidi" w:hAnsiTheme="minorBidi"/>
        </w:rPr>
        <w:t>Project B has a slight NPV which is at or near break-even. Despite the fact that this will result in minimal shareholder value addition, the fact that the discount adjusted surplus is low means that to the overall profitability of the company, it might not be a significant contribution</w:t>
      </w:r>
      <w:r w:rsidR="000218A7" w:rsidRPr="006D39E3">
        <w:rPr>
          <w:rFonts w:asciiTheme="minorBidi" w:hAnsiTheme="minorBidi"/>
        </w:rPr>
        <w:t xml:space="preserve"> (Standaert and </w:t>
      </w:r>
      <w:proofErr w:type="spellStart"/>
      <w:r w:rsidR="000218A7" w:rsidRPr="006D39E3">
        <w:rPr>
          <w:rFonts w:asciiTheme="minorBidi" w:hAnsiTheme="minorBidi"/>
        </w:rPr>
        <w:t>Ethgen</w:t>
      </w:r>
      <w:proofErr w:type="spellEnd"/>
      <w:r w:rsidR="000218A7" w:rsidRPr="006D39E3">
        <w:rPr>
          <w:rFonts w:asciiTheme="minorBidi" w:hAnsiTheme="minorBidi"/>
        </w:rPr>
        <w:t>, 2023)</w:t>
      </w:r>
      <w:r w:rsidRPr="006D39E3">
        <w:rPr>
          <w:rFonts w:asciiTheme="minorBidi" w:hAnsiTheme="minorBidi"/>
        </w:rPr>
        <w:t>.</w:t>
      </w:r>
    </w:p>
    <w:p w14:paraId="048926EF" w14:textId="77777777" w:rsidR="00486DC7" w:rsidRPr="006D39E3" w:rsidRDefault="00486DC7" w:rsidP="00486DC7">
      <w:pPr>
        <w:rPr>
          <w:rFonts w:asciiTheme="minorBidi" w:hAnsiTheme="minorBidi"/>
          <w:b/>
          <w:bCs/>
          <w:i/>
          <w:iCs/>
        </w:rPr>
      </w:pPr>
      <w:r w:rsidRPr="006D39E3">
        <w:rPr>
          <w:rFonts w:asciiTheme="minorBidi" w:hAnsiTheme="minorBidi"/>
          <w:b/>
          <w:bCs/>
          <w:i/>
          <w:iCs/>
        </w:rPr>
        <w:t>Profitability Index (PI):</w:t>
      </w:r>
    </w:p>
    <w:p w14:paraId="5BAB1305" w14:textId="7E4854B2" w:rsidR="00486DC7" w:rsidRPr="006D39E3" w:rsidRDefault="00486DC7" w:rsidP="00486DC7">
      <w:pPr>
        <w:rPr>
          <w:rFonts w:asciiTheme="minorBidi" w:hAnsiTheme="minorBidi"/>
        </w:rPr>
      </w:pPr>
      <w:r w:rsidRPr="006D39E3">
        <w:rPr>
          <w:rFonts w:asciiTheme="minorBidi" w:hAnsiTheme="minorBidi"/>
        </w:rPr>
        <w:t>The PI of nearly 1.0 indicates that the Project B would barely be viable with capital rationing. The returns are just enough to cover the investment and this explains the conservative yet low risk project structure.</w:t>
      </w:r>
    </w:p>
    <w:p w14:paraId="4D059496" w14:textId="77777777" w:rsidR="00486DC7" w:rsidRPr="006D39E3" w:rsidRDefault="00486DC7" w:rsidP="00486DC7">
      <w:pPr>
        <w:rPr>
          <w:rFonts w:asciiTheme="minorBidi" w:hAnsiTheme="minorBidi"/>
          <w:b/>
          <w:bCs/>
          <w:i/>
          <w:iCs/>
        </w:rPr>
      </w:pPr>
      <w:r w:rsidRPr="006D39E3">
        <w:rPr>
          <w:rFonts w:asciiTheme="minorBidi" w:hAnsiTheme="minorBidi"/>
          <w:b/>
          <w:bCs/>
          <w:i/>
          <w:iCs/>
        </w:rPr>
        <w:t>Internal Rate of Return (IRR):</w:t>
      </w:r>
    </w:p>
    <w:p w14:paraId="39A49FB2" w14:textId="5C78327D" w:rsidR="00486DC7" w:rsidRPr="006D39E3" w:rsidRDefault="00486DC7" w:rsidP="00486DC7">
      <w:pPr>
        <w:rPr>
          <w:rFonts w:asciiTheme="minorBidi" w:hAnsiTheme="minorBidi"/>
        </w:rPr>
      </w:pPr>
      <w:r w:rsidRPr="006D39E3">
        <w:rPr>
          <w:rFonts w:asciiTheme="minorBidi" w:hAnsiTheme="minorBidi"/>
        </w:rPr>
        <w:t xml:space="preserve">IRR is </w:t>
      </w:r>
      <w:r w:rsidR="000218A7" w:rsidRPr="006D39E3">
        <w:rPr>
          <w:rFonts w:asciiTheme="minorBidi" w:hAnsiTheme="minorBidi"/>
        </w:rPr>
        <w:t xml:space="preserve">0% </w:t>
      </w:r>
      <w:r w:rsidRPr="006D39E3">
        <w:rPr>
          <w:rFonts w:asciiTheme="minorBidi" w:hAnsiTheme="minorBidi"/>
        </w:rPr>
        <w:t>to the cost of capital of the firm that implies that the project just covers the required minimum return. It shows a sense of security and stability but does not have the strategic edge required to overcome the financial transformation</w:t>
      </w:r>
      <w:r w:rsidR="000856E7" w:rsidRPr="006D39E3">
        <w:rPr>
          <w:rFonts w:asciiTheme="minorBidi" w:hAnsiTheme="minorBidi"/>
        </w:rPr>
        <w:t xml:space="preserve"> (Kulakov and </w:t>
      </w:r>
      <w:proofErr w:type="spellStart"/>
      <w:r w:rsidR="000856E7" w:rsidRPr="006D39E3">
        <w:rPr>
          <w:rFonts w:asciiTheme="minorBidi" w:hAnsiTheme="minorBidi"/>
        </w:rPr>
        <w:t>Blaset</w:t>
      </w:r>
      <w:proofErr w:type="spellEnd"/>
      <w:r w:rsidR="000856E7" w:rsidRPr="006D39E3">
        <w:rPr>
          <w:rFonts w:asciiTheme="minorBidi" w:hAnsiTheme="minorBidi"/>
        </w:rPr>
        <w:t xml:space="preserve">, 2020). </w:t>
      </w:r>
      <w:r w:rsidR="00837546" w:rsidRPr="006D39E3">
        <w:rPr>
          <w:rFonts w:asciiTheme="minorBidi" w:hAnsiTheme="minorBidi"/>
        </w:rPr>
        <w:t xml:space="preserve"> </w:t>
      </w:r>
      <w:r w:rsidR="00837546" w:rsidRPr="006D39E3">
        <w:rPr>
          <w:rFonts w:asciiTheme="minorBidi" w:hAnsiTheme="minorBidi"/>
          <w:lang w:val="en-GB"/>
        </w:rPr>
        <w:t>[</w:t>
      </w:r>
      <w:r w:rsidR="00837546" w:rsidRPr="006D39E3">
        <w:rPr>
          <w:rFonts w:asciiTheme="minorBidi" w:hAnsiTheme="minorBidi"/>
          <w:b/>
          <w:bCs/>
          <w:i/>
          <w:iCs/>
          <w:lang w:val="en-GB"/>
        </w:rPr>
        <w:t>Referred to Appendix 9</w:t>
      </w:r>
      <w:r w:rsidR="00837546" w:rsidRPr="006D39E3">
        <w:rPr>
          <w:rFonts w:asciiTheme="minorBidi" w:hAnsiTheme="minorBidi"/>
          <w:lang w:val="en-GB"/>
        </w:rPr>
        <w:t>].</w:t>
      </w:r>
    </w:p>
    <w:p w14:paraId="44B5B802" w14:textId="4EF9617B" w:rsidR="00486DC7" w:rsidRPr="006D39E3" w:rsidRDefault="00486DC7" w:rsidP="00486DC7">
      <w:pPr>
        <w:rPr>
          <w:rFonts w:asciiTheme="minorBidi" w:hAnsiTheme="minorBidi"/>
          <w:b/>
          <w:bCs/>
          <w:u w:val="single"/>
        </w:rPr>
      </w:pPr>
      <w:r w:rsidRPr="006D39E3">
        <w:rPr>
          <w:rFonts w:asciiTheme="minorBidi" w:hAnsiTheme="minorBidi"/>
          <w:b/>
          <w:bCs/>
          <w:u w:val="single"/>
        </w:rPr>
        <w:t>Project C: Project in investor with high growth</w:t>
      </w:r>
    </w:p>
    <w:p w14:paraId="0A60F5BA" w14:textId="77777777" w:rsidR="00486DC7" w:rsidRPr="006D39E3" w:rsidRDefault="00486DC7" w:rsidP="00486DC7">
      <w:pPr>
        <w:rPr>
          <w:rFonts w:asciiTheme="minorBidi" w:hAnsiTheme="minorBidi"/>
          <w:b/>
          <w:bCs/>
          <w:i/>
          <w:iCs/>
        </w:rPr>
      </w:pPr>
      <w:r w:rsidRPr="006D39E3">
        <w:rPr>
          <w:rFonts w:asciiTheme="minorBidi" w:hAnsiTheme="minorBidi"/>
          <w:b/>
          <w:bCs/>
          <w:i/>
          <w:iCs/>
        </w:rPr>
        <w:t>Payback Period (PBP):</w:t>
      </w:r>
    </w:p>
    <w:p w14:paraId="06A7AAA1" w14:textId="39AD09CC" w:rsidR="00486DC7" w:rsidRPr="006D39E3" w:rsidRDefault="00486DC7" w:rsidP="00486DC7">
      <w:pPr>
        <w:rPr>
          <w:rFonts w:asciiTheme="minorBidi" w:hAnsiTheme="minorBidi"/>
        </w:rPr>
      </w:pPr>
      <w:r w:rsidRPr="006D39E3">
        <w:rPr>
          <w:rFonts w:asciiTheme="minorBidi" w:hAnsiTheme="minorBidi"/>
        </w:rPr>
        <w:t>The payback period of project C is elongated because it has a 50 million initial cost and will not receive an inflow quickly. The returns increase rapidly in late years, which shows that it is slow in profitability and original risk.</w:t>
      </w:r>
    </w:p>
    <w:p w14:paraId="69498481" w14:textId="77777777" w:rsidR="00486DC7" w:rsidRPr="006D39E3" w:rsidRDefault="00486DC7" w:rsidP="00486DC7">
      <w:pPr>
        <w:rPr>
          <w:rFonts w:asciiTheme="minorBidi" w:hAnsiTheme="minorBidi"/>
          <w:b/>
          <w:bCs/>
          <w:i/>
          <w:iCs/>
        </w:rPr>
      </w:pPr>
      <w:r w:rsidRPr="006D39E3">
        <w:rPr>
          <w:rFonts w:asciiTheme="minorBidi" w:hAnsiTheme="minorBidi"/>
          <w:b/>
          <w:bCs/>
          <w:i/>
          <w:iCs/>
        </w:rPr>
        <w:t>Accounting rate of Return (ARR):</w:t>
      </w:r>
    </w:p>
    <w:p w14:paraId="2C854649" w14:textId="13F31CAC" w:rsidR="00486DC7" w:rsidRPr="006D39E3" w:rsidRDefault="00486DC7" w:rsidP="00486DC7">
      <w:pPr>
        <w:rPr>
          <w:rFonts w:asciiTheme="minorBidi" w:hAnsiTheme="minorBidi"/>
        </w:rPr>
      </w:pPr>
      <w:r w:rsidRPr="006D39E3">
        <w:rPr>
          <w:rFonts w:asciiTheme="minorBidi" w:hAnsiTheme="minorBidi"/>
        </w:rPr>
        <w:lastRenderedPageBreak/>
        <w:t>The ARR of Project C enhances as time goes by, which is in line with growing inflows between 5 million pound and 25 million pounds. This is an indication of good long-term earning capacity even though it has been slower to start.</w:t>
      </w:r>
    </w:p>
    <w:p w14:paraId="0FE6222F" w14:textId="77777777" w:rsidR="00486DC7" w:rsidRPr="006D39E3" w:rsidRDefault="00486DC7" w:rsidP="00486DC7">
      <w:pPr>
        <w:rPr>
          <w:rFonts w:asciiTheme="minorBidi" w:hAnsiTheme="minorBidi"/>
          <w:b/>
          <w:bCs/>
          <w:i/>
          <w:iCs/>
        </w:rPr>
      </w:pPr>
      <w:r w:rsidRPr="006D39E3">
        <w:rPr>
          <w:rFonts w:asciiTheme="minorBidi" w:hAnsiTheme="minorBidi"/>
          <w:b/>
          <w:bCs/>
          <w:i/>
          <w:iCs/>
        </w:rPr>
        <w:t>Net Present Value (NPV):</w:t>
      </w:r>
    </w:p>
    <w:p w14:paraId="206C4979" w14:textId="0F1E769A" w:rsidR="00486DC7" w:rsidRPr="006D39E3" w:rsidRDefault="00486DC7" w:rsidP="00486DC7">
      <w:pPr>
        <w:rPr>
          <w:rFonts w:asciiTheme="minorBidi" w:hAnsiTheme="minorBidi"/>
        </w:rPr>
      </w:pPr>
      <w:r w:rsidRPr="006D39E3">
        <w:rPr>
          <w:rFonts w:asciiTheme="minorBidi" w:hAnsiTheme="minorBidi"/>
        </w:rPr>
        <w:t>Project C is the one that presents the greatest NPV</w:t>
      </w:r>
      <w:r w:rsidR="000856E7" w:rsidRPr="006D39E3">
        <w:rPr>
          <w:rFonts w:asciiTheme="minorBidi" w:hAnsiTheme="minorBidi"/>
        </w:rPr>
        <w:t xml:space="preserve"> which is 4.23</w:t>
      </w:r>
      <w:r w:rsidRPr="006D39E3">
        <w:rPr>
          <w:rFonts w:asciiTheme="minorBidi" w:hAnsiTheme="minorBidi"/>
        </w:rPr>
        <w:t xml:space="preserve"> of all, and it is, therefore, quite good value creating. This has been pushed by increasing cash flows which bring high discounted returns thus it is the most financially appealing project in the </w:t>
      </w:r>
      <w:r w:rsidR="000856E7" w:rsidRPr="006D39E3">
        <w:rPr>
          <w:rFonts w:asciiTheme="minorBidi" w:hAnsiTheme="minorBidi"/>
        </w:rPr>
        <w:t>long-term</w:t>
      </w:r>
      <w:r w:rsidRPr="006D39E3">
        <w:rPr>
          <w:rFonts w:asciiTheme="minorBidi" w:hAnsiTheme="minorBidi"/>
        </w:rPr>
        <w:t xml:space="preserve"> growth circumstances</w:t>
      </w:r>
      <w:r w:rsidR="000856E7" w:rsidRPr="006D39E3">
        <w:rPr>
          <w:rFonts w:asciiTheme="minorBidi" w:hAnsiTheme="minorBidi"/>
        </w:rPr>
        <w:t xml:space="preserve"> (Le, 2021)</w:t>
      </w:r>
      <w:r w:rsidRPr="006D39E3">
        <w:rPr>
          <w:rFonts w:asciiTheme="minorBidi" w:hAnsiTheme="minorBidi"/>
        </w:rPr>
        <w:t>.</w:t>
      </w:r>
    </w:p>
    <w:p w14:paraId="754B7960" w14:textId="77777777" w:rsidR="00486DC7" w:rsidRPr="006D39E3" w:rsidRDefault="00486DC7" w:rsidP="00486DC7">
      <w:pPr>
        <w:rPr>
          <w:rFonts w:asciiTheme="minorBidi" w:hAnsiTheme="minorBidi"/>
          <w:b/>
          <w:bCs/>
          <w:i/>
          <w:iCs/>
        </w:rPr>
      </w:pPr>
      <w:r w:rsidRPr="006D39E3">
        <w:rPr>
          <w:rFonts w:asciiTheme="minorBidi" w:hAnsiTheme="minorBidi"/>
          <w:b/>
          <w:bCs/>
          <w:i/>
          <w:iCs/>
        </w:rPr>
        <w:t>Profitability Index (PI):</w:t>
      </w:r>
    </w:p>
    <w:p w14:paraId="1B2C55F3" w14:textId="2F86DC39" w:rsidR="00486DC7" w:rsidRPr="006D39E3" w:rsidRDefault="00486DC7" w:rsidP="00486DC7">
      <w:pPr>
        <w:rPr>
          <w:rFonts w:asciiTheme="minorBidi" w:hAnsiTheme="minorBidi"/>
        </w:rPr>
      </w:pPr>
      <w:r w:rsidRPr="006D39E3">
        <w:rPr>
          <w:rFonts w:asciiTheme="minorBidi" w:hAnsiTheme="minorBidi"/>
        </w:rPr>
        <w:t>A PI which is much greater than 1.0 is one which shows high investment efficiency. Project C (being highly risky) has much higher returns than others per £1 invested, and warrants strategic importance.</w:t>
      </w:r>
    </w:p>
    <w:p w14:paraId="0EE9FB76" w14:textId="77777777" w:rsidR="00486DC7" w:rsidRPr="006D39E3" w:rsidRDefault="00486DC7" w:rsidP="00486DC7">
      <w:pPr>
        <w:rPr>
          <w:rFonts w:asciiTheme="minorBidi" w:hAnsiTheme="minorBidi"/>
          <w:b/>
          <w:bCs/>
          <w:i/>
          <w:iCs/>
        </w:rPr>
      </w:pPr>
      <w:r w:rsidRPr="006D39E3">
        <w:rPr>
          <w:rFonts w:asciiTheme="minorBidi" w:hAnsiTheme="minorBidi"/>
          <w:b/>
          <w:bCs/>
          <w:i/>
          <w:iCs/>
        </w:rPr>
        <w:t>Internal Rate of Return (IRR):</w:t>
      </w:r>
    </w:p>
    <w:p w14:paraId="4753C9B2" w14:textId="239A9C22" w:rsidR="00486DC7" w:rsidRPr="006D39E3" w:rsidRDefault="00486DC7" w:rsidP="00486DC7">
      <w:pPr>
        <w:rPr>
          <w:rFonts w:asciiTheme="minorBidi" w:hAnsiTheme="minorBidi"/>
        </w:rPr>
      </w:pPr>
      <w:r w:rsidRPr="006D39E3">
        <w:rPr>
          <w:rFonts w:asciiTheme="minorBidi" w:hAnsiTheme="minorBidi"/>
        </w:rPr>
        <w:t>Project C has a significant IRR in comparison with the cost of capital of the company, indicating that it is profitable and stable. Nonetheless, it means that the volatility of cash flows is higher, which also assumes that the financial and operational risk is also elevated.</w:t>
      </w:r>
      <w:r w:rsidR="00837546" w:rsidRPr="006D39E3">
        <w:rPr>
          <w:rFonts w:asciiTheme="minorBidi" w:hAnsiTheme="minorBidi"/>
        </w:rPr>
        <w:t xml:space="preserve"> </w:t>
      </w:r>
      <w:r w:rsidR="00837546" w:rsidRPr="006D39E3">
        <w:rPr>
          <w:rFonts w:asciiTheme="minorBidi" w:hAnsiTheme="minorBidi"/>
          <w:lang w:val="en-GB"/>
        </w:rPr>
        <w:t>[</w:t>
      </w:r>
      <w:r w:rsidR="00837546" w:rsidRPr="006D39E3">
        <w:rPr>
          <w:rFonts w:asciiTheme="minorBidi" w:hAnsiTheme="minorBidi"/>
          <w:b/>
          <w:bCs/>
          <w:i/>
          <w:iCs/>
          <w:lang w:val="en-GB"/>
        </w:rPr>
        <w:t>Referred to Appendix 10</w:t>
      </w:r>
      <w:r w:rsidR="00837546" w:rsidRPr="006D39E3">
        <w:rPr>
          <w:rFonts w:asciiTheme="minorBidi" w:hAnsiTheme="minorBidi"/>
          <w:lang w:val="en-GB"/>
        </w:rPr>
        <w:t>].</w:t>
      </w:r>
    </w:p>
    <w:p w14:paraId="7DF4B2A2" w14:textId="73507A92" w:rsidR="00486DC7" w:rsidRPr="006D39E3" w:rsidRDefault="00486DC7" w:rsidP="00486DC7">
      <w:pPr>
        <w:pStyle w:val="Heading2"/>
        <w:rPr>
          <w:rFonts w:asciiTheme="minorBidi" w:hAnsiTheme="minorBidi" w:cstheme="minorBidi"/>
        </w:rPr>
      </w:pPr>
      <w:bookmarkStart w:id="28" w:name="_Toc213265068"/>
      <w:r w:rsidRPr="006D39E3">
        <w:rPr>
          <w:rFonts w:asciiTheme="minorBidi" w:hAnsiTheme="minorBidi" w:cstheme="minorBidi"/>
        </w:rPr>
        <w:t>4.4 Risk Analysis</w:t>
      </w:r>
      <w:bookmarkEnd w:id="28"/>
    </w:p>
    <w:p w14:paraId="5BCCEAE6" w14:textId="0771B4E1" w:rsidR="00486DC7" w:rsidRPr="006D39E3" w:rsidRDefault="00486DC7" w:rsidP="000856E7">
      <w:pPr>
        <w:rPr>
          <w:rFonts w:asciiTheme="minorBidi" w:hAnsiTheme="minorBidi"/>
        </w:rPr>
      </w:pPr>
      <w:r w:rsidRPr="006D39E3">
        <w:rPr>
          <w:rFonts w:asciiTheme="minorBidi" w:hAnsiTheme="minorBidi"/>
        </w:rPr>
        <w:t xml:space="preserve">There is a difference in the extent of cash flow volatility and sensitivity of the market as indicated by the three-risk assessment of the projects. It is not a high-risk Project A whose inflows are relatively stable and deviation of returns projected by the project are punched thus robust to minor modifications in the markets. Project B is unstable but low profitability nature which means that any minor </w:t>
      </w:r>
      <w:r w:rsidR="000856E7" w:rsidRPr="006D39E3">
        <w:rPr>
          <w:rFonts w:asciiTheme="minorBidi" w:hAnsiTheme="minorBidi"/>
        </w:rPr>
        <w:t>unfavourable</w:t>
      </w:r>
      <w:r w:rsidRPr="006D39E3">
        <w:rPr>
          <w:rFonts w:asciiTheme="minorBidi" w:hAnsiTheme="minorBidi"/>
        </w:rPr>
        <w:t xml:space="preserve"> changes in discount rates would make it unestablished. The project C, however, is very sensitive concerning the changes in discount rate because the initial outlay is enormous and deferred carry, which has inflows</w:t>
      </w:r>
      <w:r w:rsidR="000856E7" w:rsidRPr="006D39E3">
        <w:rPr>
          <w:rFonts w:asciiTheme="minorBidi" w:hAnsiTheme="minorBidi"/>
        </w:rPr>
        <w:t xml:space="preserve"> (Kulakov and </w:t>
      </w:r>
      <w:proofErr w:type="spellStart"/>
      <w:r w:rsidR="000856E7" w:rsidRPr="006D39E3">
        <w:rPr>
          <w:rFonts w:asciiTheme="minorBidi" w:hAnsiTheme="minorBidi"/>
        </w:rPr>
        <w:t>Blaset</w:t>
      </w:r>
      <w:proofErr w:type="spellEnd"/>
      <w:r w:rsidR="000856E7" w:rsidRPr="006D39E3">
        <w:rPr>
          <w:rFonts w:asciiTheme="minorBidi" w:hAnsiTheme="minorBidi"/>
        </w:rPr>
        <w:t>, 2020)</w:t>
      </w:r>
      <w:r w:rsidRPr="006D39E3">
        <w:rPr>
          <w:rFonts w:asciiTheme="minorBidi" w:hAnsiTheme="minorBidi"/>
        </w:rPr>
        <w:t xml:space="preserve">. It however </w:t>
      </w:r>
      <w:r w:rsidR="000856E7" w:rsidRPr="006D39E3">
        <w:rPr>
          <w:rFonts w:asciiTheme="minorBidi" w:hAnsiTheme="minorBidi"/>
        </w:rPr>
        <w:t>counters</w:t>
      </w:r>
      <w:r w:rsidRPr="006D39E3">
        <w:rPr>
          <w:rFonts w:asciiTheme="minorBidi" w:hAnsiTheme="minorBidi"/>
        </w:rPr>
        <w:t xml:space="preserve"> such risks with its long term returns that makes it a high-reward maybe high project even during good economic times. With higher discount rate assumptions meaning </w:t>
      </w:r>
      <w:r w:rsidRPr="006D39E3">
        <w:rPr>
          <w:rFonts w:asciiTheme="minorBidi" w:hAnsiTheme="minorBidi"/>
        </w:rPr>
        <w:lastRenderedPageBreak/>
        <w:t>greater reliability as observed in scenario testing, projects A and C have a positive NPV.</w:t>
      </w:r>
    </w:p>
    <w:p w14:paraId="766D9F0A" w14:textId="00024CFF" w:rsidR="00486DC7" w:rsidRPr="006D39E3" w:rsidRDefault="00486DC7" w:rsidP="00486DC7">
      <w:pPr>
        <w:pStyle w:val="Heading2"/>
        <w:rPr>
          <w:rFonts w:asciiTheme="minorBidi" w:hAnsiTheme="minorBidi" w:cstheme="minorBidi"/>
        </w:rPr>
      </w:pPr>
      <w:bookmarkStart w:id="29" w:name="_Toc213265069"/>
      <w:r w:rsidRPr="006D39E3">
        <w:rPr>
          <w:rFonts w:asciiTheme="minorBidi" w:hAnsiTheme="minorBidi" w:cstheme="minorBidi"/>
        </w:rPr>
        <w:t>4.5 Capital Rationing, Final Investment Decision.</w:t>
      </w:r>
      <w:bookmarkEnd w:id="29"/>
    </w:p>
    <w:p w14:paraId="1EA960FB" w14:textId="765A1300" w:rsidR="00486DC7" w:rsidRPr="006D39E3" w:rsidRDefault="00486DC7" w:rsidP="00486DC7">
      <w:pPr>
        <w:rPr>
          <w:rFonts w:asciiTheme="minorBidi" w:hAnsiTheme="minorBidi"/>
        </w:rPr>
      </w:pPr>
      <w:r w:rsidRPr="006D39E3">
        <w:rPr>
          <w:rFonts w:asciiTheme="minorBidi" w:hAnsiTheme="minorBidi"/>
        </w:rPr>
        <w:t xml:space="preserve">This is due to the fact that according to the evaluation imposed by the constraint of budget of 60 million, investment is crucial in terms of priority. Using the NPV and PI rankings, Projects A and C have been rated higher than Project B on the basis of the value creation of the project. The average returns and religious recovery of Project A complements the profitability and strategic growth opportunities of the Project C, which is high. Their team investment is (40 20) million and this can easily live within the budget and has a better aggregate NPV and profitability that any single project choice. By so doing, the Projects A and C would ensure the best option of capital and </w:t>
      </w:r>
      <w:r w:rsidR="000856E7" w:rsidRPr="006D39E3">
        <w:rPr>
          <w:rFonts w:asciiTheme="minorBidi" w:hAnsiTheme="minorBidi"/>
        </w:rPr>
        <w:t>long-term</w:t>
      </w:r>
      <w:r w:rsidRPr="006D39E3">
        <w:rPr>
          <w:rFonts w:asciiTheme="minorBidi" w:hAnsiTheme="minorBidi"/>
        </w:rPr>
        <w:t xml:space="preserve"> financial gain.</w:t>
      </w:r>
    </w:p>
    <w:p w14:paraId="36349205" w14:textId="6E9FF947" w:rsidR="00486DC7" w:rsidRPr="006D39E3" w:rsidRDefault="00486DC7" w:rsidP="00486DC7">
      <w:pPr>
        <w:pStyle w:val="Heading2"/>
        <w:rPr>
          <w:rFonts w:asciiTheme="minorBidi" w:hAnsiTheme="minorBidi" w:cstheme="minorBidi"/>
        </w:rPr>
      </w:pPr>
      <w:bookmarkStart w:id="30" w:name="_Toc213265070"/>
      <w:r w:rsidRPr="006D39E3">
        <w:rPr>
          <w:rFonts w:asciiTheme="minorBidi" w:hAnsiTheme="minorBidi" w:cstheme="minorBidi"/>
        </w:rPr>
        <w:t>4.6 Strategic Justification</w:t>
      </w:r>
      <w:bookmarkEnd w:id="30"/>
    </w:p>
    <w:p w14:paraId="40281DDA" w14:textId="767F285B" w:rsidR="00486DC7" w:rsidRPr="006D39E3" w:rsidRDefault="00486DC7" w:rsidP="00486DC7">
      <w:pPr>
        <w:rPr>
          <w:rFonts w:asciiTheme="minorBidi" w:hAnsiTheme="minorBidi"/>
        </w:rPr>
      </w:pPr>
      <w:r w:rsidRPr="006D39E3">
        <w:rPr>
          <w:rFonts w:asciiTheme="minorBidi" w:hAnsiTheme="minorBidi"/>
        </w:rPr>
        <w:t xml:space="preserve">General Electronics will currently be trying to regain profitability and liquidity efficiency. The combination of both Projects A and C is in accordance with this objective: Project A will contribute to boosting the liquidity level in the </w:t>
      </w:r>
      <w:r w:rsidR="000856E7" w:rsidRPr="006D39E3">
        <w:rPr>
          <w:rFonts w:asciiTheme="minorBidi" w:hAnsiTheme="minorBidi"/>
        </w:rPr>
        <w:t>short-term</w:t>
      </w:r>
      <w:r w:rsidRPr="006D39E3">
        <w:rPr>
          <w:rFonts w:asciiTheme="minorBidi" w:hAnsiTheme="minorBidi"/>
        </w:rPr>
        <w:t xml:space="preserve"> perspective since the inflows will be stable, and Project C will boost long-term profitability and shareholder value. This is a risk mix combined with a period to cash flow and a high likelihood of returns that makes its operations a resilient and financially sustainable entity.</w:t>
      </w:r>
    </w:p>
    <w:p w14:paraId="5AD5F11B" w14:textId="71C4653E" w:rsidR="00486DC7" w:rsidRPr="006D39E3" w:rsidRDefault="00486DC7" w:rsidP="00486DC7">
      <w:pPr>
        <w:pStyle w:val="Heading2"/>
        <w:rPr>
          <w:rFonts w:asciiTheme="minorBidi" w:hAnsiTheme="minorBidi" w:cstheme="minorBidi"/>
        </w:rPr>
      </w:pPr>
      <w:bookmarkStart w:id="31" w:name="_Toc213265071"/>
      <w:r w:rsidRPr="006D39E3">
        <w:rPr>
          <w:rFonts w:asciiTheme="minorBidi" w:hAnsiTheme="minorBidi" w:cstheme="minorBidi"/>
        </w:rPr>
        <w:t>4.7 Final Investment Appraisal Conclusion.</w:t>
      </w:r>
      <w:bookmarkEnd w:id="31"/>
    </w:p>
    <w:p w14:paraId="3F06D885" w14:textId="5C8F829B" w:rsidR="00486DC7" w:rsidRPr="006D39E3" w:rsidRDefault="00486DC7" w:rsidP="00486DC7">
      <w:pPr>
        <w:rPr>
          <w:rFonts w:asciiTheme="minorBidi" w:hAnsiTheme="minorBidi"/>
        </w:rPr>
      </w:pPr>
      <w:r w:rsidRPr="006D39E3">
        <w:rPr>
          <w:rFonts w:asciiTheme="minorBidi" w:hAnsiTheme="minorBidi"/>
        </w:rPr>
        <w:t>In general, the comparative analysis confirms the fact that the combination of the most suitable strategic and financial options is found in Projects A and C. This will ensure that NPV and IRR is maximized and exposures to risk are at manageable levels to ensure that General Electronics can obtain liquidity stability and sustainable profitability within its capital limits.</w:t>
      </w:r>
    </w:p>
    <w:p w14:paraId="18C70FD6" w14:textId="77777777" w:rsidR="00CF13D0" w:rsidRPr="006D39E3" w:rsidRDefault="00CF13D0" w:rsidP="00CF13D0">
      <w:pPr>
        <w:pStyle w:val="Heading1"/>
        <w:rPr>
          <w:rFonts w:asciiTheme="minorBidi" w:hAnsiTheme="minorBidi" w:cstheme="minorBidi"/>
          <w:lang w:val="en-GB"/>
        </w:rPr>
      </w:pPr>
      <w:bookmarkStart w:id="32" w:name="_Toc213265072"/>
      <w:r w:rsidRPr="006D39E3">
        <w:rPr>
          <w:rFonts w:asciiTheme="minorBidi" w:hAnsiTheme="minorBidi" w:cstheme="minorBidi"/>
          <w:lang w:val="en-GB"/>
        </w:rPr>
        <w:t>5. Overall Conclusion</w:t>
      </w:r>
      <w:bookmarkEnd w:id="32"/>
      <w:r w:rsidRPr="006D39E3">
        <w:rPr>
          <w:rFonts w:asciiTheme="minorBidi" w:hAnsiTheme="minorBidi" w:cstheme="minorBidi"/>
          <w:lang w:val="en-GB"/>
        </w:rPr>
        <w:t xml:space="preserve"> </w:t>
      </w:r>
    </w:p>
    <w:p w14:paraId="27B73513" w14:textId="77777777" w:rsidR="00CF13D0" w:rsidRPr="006D39E3" w:rsidRDefault="00CF13D0" w:rsidP="00CF13D0">
      <w:pPr>
        <w:rPr>
          <w:rFonts w:asciiTheme="minorBidi" w:hAnsiTheme="minorBidi"/>
          <w:lang w:val="en-GB"/>
        </w:rPr>
      </w:pPr>
      <w:r w:rsidRPr="006D39E3">
        <w:rPr>
          <w:rFonts w:asciiTheme="minorBidi" w:hAnsiTheme="minorBidi"/>
          <w:lang w:val="en-GB"/>
        </w:rPr>
        <w:t xml:space="preserve">The firm has a good financial standing with equally stable profitability, effective use of assets, and moderate leverage. The management of working capital is satisfactory, </w:t>
      </w:r>
      <w:r w:rsidRPr="006D39E3">
        <w:rPr>
          <w:rFonts w:asciiTheme="minorBidi" w:hAnsiTheme="minorBidi"/>
          <w:lang w:val="en-GB"/>
        </w:rPr>
        <w:lastRenderedPageBreak/>
        <w:t xml:space="preserve">which facilitates the operation of the company and maintenance of liquidity. It has been suggested that the financial restructuring can be viable, and it is also strategic because of its increased flexibility and long-term stability. The potential of investment is enhanced by the stable trend of cash flow and profitable results, but there are external risks that must be monitored including the fluctuation of the market and debts. </w:t>
      </w:r>
    </w:p>
    <w:p w14:paraId="0475E05E" w14:textId="77777777" w:rsidR="00CF13D0" w:rsidRPr="006D39E3" w:rsidRDefault="00CF13D0" w:rsidP="00CF13D0">
      <w:pPr>
        <w:rPr>
          <w:rFonts w:asciiTheme="minorBidi" w:hAnsiTheme="minorBidi"/>
          <w:lang w:val="en-GB"/>
        </w:rPr>
      </w:pPr>
    </w:p>
    <w:p w14:paraId="661CC6A2" w14:textId="77777777" w:rsidR="00CF13D0" w:rsidRPr="006D39E3" w:rsidRDefault="00CF13D0" w:rsidP="00691843">
      <w:pPr>
        <w:rPr>
          <w:rFonts w:asciiTheme="minorBidi" w:hAnsiTheme="minorBidi"/>
        </w:rPr>
      </w:pPr>
    </w:p>
    <w:p w14:paraId="0DE20D9E" w14:textId="77777777" w:rsidR="00691843" w:rsidRPr="006D39E3" w:rsidRDefault="00691843">
      <w:pPr>
        <w:spacing w:before="0" w:after="160" w:line="278" w:lineRule="auto"/>
        <w:jc w:val="left"/>
        <w:rPr>
          <w:rFonts w:asciiTheme="minorBidi" w:eastAsiaTheme="majorEastAsia" w:hAnsiTheme="minorBidi"/>
          <w:b/>
          <w:sz w:val="28"/>
          <w:szCs w:val="40"/>
        </w:rPr>
      </w:pPr>
      <w:r w:rsidRPr="006D39E3">
        <w:rPr>
          <w:rFonts w:asciiTheme="minorBidi" w:hAnsiTheme="minorBidi"/>
        </w:rPr>
        <w:br w:type="page"/>
      </w:r>
    </w:p>
    <w:p w14:paraId="3E4EDFBE" w14:textId="7F12C37A" w:rsidR="00617416" w:rsidRPr="006D39E3" w:rsidRDefault="00617416" w:rsidP="00617416">
      <w:pPr>
        <w:pStyle w:val="Heading1"/>
        <w:rPr>
          <w:rFonts w:asciiTheme="minorBidi" w:hAnsiTheme="minorBidi" w:cstheme="minorBidi"/>
        </w:rPr>
      </w:pPr>
      <w:bookmarkStart w:id="33" w:name="_Toc213265073"/>
      <w:r w:rsidRPr="006D39E3">
        <w:rPr>
          <w:rFonts w:asciiTheme="minorBidi" w:hAnsiTheme="minorBidi" w:cstheme="minorBidi"/>
        </w:rPr>
        <w:lastRenderedPageBreak/>
        <w:t>Reference List</w:t>
      </w:r>
      <w:bookmarkEnd w:id="33"/>
    </w:p>
    <w:p w14:paraId="264606A9" w14:textId="77777777" w:rsidR="0014130B" w:rsidRPr="006D39E3" w:rsidRDefault="0014130B" w:rsidP="0014130B">
      <w:pPr>
        <w:rPr>
          <w:rFonts w:asciiTheme="minorBidi" w:hAnsiTheme="minorBidi"/>
        </w:rPr>
      </w:pPr>
      <w:r w:rsidRPr="006D39E3">
        <w:rPr>
          <w:rFonts w:asciiTheme="minorBidi" w:hAnsiTheme="minorBidi"/>
        </w:rPr>
        <w:t>Ahsan, T., Mirza, S.S., Gull, A.A. and Majeed, M.A., (2023). How to deal with customer and supplier concentration to attain sustainable financial growth? The role of business strategy. </w:t>
      </w:r>
      <w:r w:rsidRPr="006D39E3">
        <w:rPr>
          <w:rFonts w:asciiTheme="minorBidi" w:hAnsiTheme="minorBidi"/>
          <w:i/>
          <w:iCs/>
        </w:rPr>
        <w:t>Business Strategy and the Environment</w:t>
      </w:r>
      <w:r w:rsidRPr="006D39E3">
        <w:rPr>
          <w:rFonts w:asciiTheme="minorBidi" w:hAnsiTheme="minorBidi"/>
        </w:rPr>
        <w:t>, </w:t>
      </w:r>
      <w:r w:rsidRPr="006D39E3">
        <w:rPr>
          <w:rFonts w:asciiTheme="minorBidi" w:hAnsiTheme="minorBidi"/>
          <w:i/>
          <w:iCs/>
        </w:rPr>
        <w:t>32</w:t>
      </w:r>
      <w:r w:rsidRPr="006D39E3">
        <w:rPr>
          <w:rFonts w:asciiTheme="minorBidi" w:hAnsiTheme="minorBidi"/>
        </w:rPr>
        <w:t xml:space="preserve">(7), pp.4600-4619. </w:t>
      </w:r>
      <w:hyperlink r:id="rId9" w:history="1">
        <w:r w:rsidRPr="006D39E3">
          <w:rPr>
            <w:rStyle w:val="Hyperlink"/>
            <w:rFonts w:asciiTheme="minorBidi" w:hAnsiTheme="minorBidi"/>
          </w:rPr>
          <w:t>https://onlinelibrary.wiley.com/doi/pdfdirect/10.1002/bse.3383</w:t>
        </w:r>
      </w:hyperlink>
    </w:p>
    <w:p w14:paraId="677A4A26" w14:textId="77777777" w:rsidR="0014130B" w:rsidRPr="006D39E3" w:rsidRDefault="0014130B" w:rsidP="0014130B">
      <w:pPr>
        <w:rPr>
          <w:rFonts w:asciiTheme="minorBidi" w:hAnsiTheme="minorBidi"/>
        </w:rPr>
      </w:pPr>
      <w:r w:rsidRPr="006D39E3">
        <w:rPr>
          <w:rFonts w:asciiTheme="minorBidi" w:hAnsiTheme="minorBidi"/>
        </w:rPr>
        <w:t xml:space="preserve">Akinsola, K., (2025). The Influence of Legal Counsel in Shaping Corporate Governance and Ethical Financial Reporting Practices. </w:t>
      </w:r>
      <w:r w:rsidRPr="006D39E3">
        <w:rPr>
          <w:rFonts w:asciiTheme="minorBidi" w:hAnsiTheme="minorBidi"/>
          <w:i/>
          <w:iCs/>
        </w:rPr>
        <w:t>Available at SSRN 5125893</w:t>
      </w:r>
      <w:r w:rsidRPr="006D39E3">
        <w:rPr>
          <w:rFonts w:asciiTheme="minorBidi" w:hAnsiTheme="minorBidi"/>
        </w:rPr>
        <w:t>.</w:t>
      </w:r>
      <w:hyperlink r:id="rId10" w:history="1">
        <w:r w:rsidRPr="006D39E3">
          <w:rPr>
            <w:rStyle w:val="Hyperlink"/>
            <w:rFonts w:asciiTheme="minorBidi" w:hAnsiTheme="minorBidi"/>
          </w:rPr>
          <w:t xml:space="preserve"> https://papers.ssrn.com/sol3/Delivery.cfm?abstractid=5125893</w:t>
        </w:r>
      </w:hyperlink>
    </w:p>
    <w:p w14:paraId="597B7BF4" w14:textId="77777777" w:rsidR="0014130B" w:rsidRPr="006D39E3" w:rsidRDefault="0014130B" w:rsidP="0014130B">
      <w:pPr>
        <w:rPr>
          <w:rFonts w:asciiTheme="minorBidi" w:hAnsiTheme="minorBidi"/>
        </w:rPr>
      </w:pPr>
      <w:r w:rsidRPr="006D39E3">
        <w:rPr>
          <w:rFonts w:asciiTheme="minorBidi" w:hAnsiTheme="minorBidi"/>
        </w:rPr>
        <w:t>Akinsola, O.K. and Kingsley Onu, D.Y.O., (2025). Legal Implications of Corporate Spin-Offs, Divestitures, and Corporate Restructuring: Key Considerations for Business Leaders and Legal Counsel.</w:t>
      </w:r>
      <w:hyperlink r:id="rId11" w:history="1">
        <w:r w:rsidRPr="006D39E3">
          <w:rPr>
            <w:rStyle w:val="Hyperlink"/>
            <w:rFonts w:asciiTheme="minorBidi" w:hAnsiTheme="minorBidi"/>
          </w:rPr>
          <w:t xml:space="preserve"> https://www.researchgate.net/profile/Beauden-John/publication/388659649_Legal_Implications_of_Corporate_Spin-Offs_Divestitures_and_Corporate_Restructuring_Key_Considerations_for_Business_Leaders_and_Legal_Counsel/links/67a19499645ef274a4664f72/Legal-Implications-of-Corporate-Spin-Offs-Divestitures-and-Corporate-Restructuring-Key-Considerations-for-Business-Leaders-and-Legal-Counsel.pdf</w:t>
        </w:r>
      </w:hyperlink>
    </w:p>
    <w:p w14:paraId="714F2BE9" w14:textId="77777777" w:rsidR="0014130B" w:rsidRPr="006D39E3" w:rsidRDefault="0014130B" w:rsidP="0014130B">
      <w:pPr>
        <w:rPr>
          <w:rFonts w:asciiTheme="minorBidi" w:hAnsiTheme="minorBidi"/>
        </w:rPr>
      </w:pPr>
      <w:proofErr w:type="spellStart"/>
      <w:r w:rsidRPr="006D39E3">
        <w:rPr>
          <w:rFonts w:asciiTheme="minorBidi" w:hAnsiTheme="minorBidi"/>
        </w:rPr>
        <w:t>Arkadeva</w:t>
      </w:r>
      <w:proofErr w:type="spellEnd"/>
      <w:r w:rsidRPr="006D39E3">
        <w:rPr>
          <w:rFonts w:asciiTheme="minorBidi" w:hAnsiTheme="minorBidi"/>
        </w:rPr>
        <w:t xml:space="preserve">, O., Berezina, N. and </w:t>
      </w:r>
      <w:proofErr w:type="spellStart"/>
      <w:r w:rsidRPr="006D39E3">
        <w:rPr>
          <w:rFonts w:asciiTheme="minorBidi" w:hAnsiTheme="minorBidi"/>
        </w:rPr>
        <w:t>Arkadev</w:t>
      </w:r>
      <w:proofErr w:type="spellEnd"/>
      <w:r w:rsidRPr="006D39E3">
        <w:rPr>
          <w:rFonts w:asciiTheme="minorBidi" w:hAnsiTheme="minorBidi"/>
        </w:rPr>
        <w:t xml:space="preserve">, M., (2022). Inflation Targeting under Global Trends Exposure. In </w:t>
      </w:r>
      <w:r w:rsidRPr="006D39E3">
        <w:rPr>
          <w:rFonts w:asciiTheme="minorBidi" w:hAnsiTheme="minorBidi"/>
          <w:i/>
          <w:iCs/>
        </w:rPr>
        <w:t>Proceedings of the International Scientific-Practical Conference" Ensuring the Stability and Security of Socio-Economic Systems: Overcoming the Threats of the Crisis Space"–SES</w:t>
      </w:r>
      <w:r w:rsidRPr="006D39E3">
        <w:rPr>
          <w:rFonts w:asciiTheme="minorBidi" w:hAnsiTheme="minorBidi"/>
        </w:rPr>
        <w:t xml:space="preserve"> (pp. 33-37).</w:t>
      </w:r>
      <w:hyperlink r:id="rId12" w:history="1">
        <w:r w:rsidRPr="006D39E3">
          <w:rPr>
            <w:rStyle w:val="Hyperlink"/>
            <w:rFonts w:asciiTheme="minorBidi" w:hAnsiTheme="minorBidi"/>
          </w:rPr>
          <w:t>https://www.scitepress.org/Papers/2021/106820/106820.pdf</w:t>
        </w:r>
      </w:hyperlink>
      <w:r w:rsidRPr="006D39E3">
        <w:rPr>
          <w:rFonts w:asciiTheme="minorBidi" w:hAnsiTheme="minorBidi"/>
        </w:rPr>
        <w:t> </w:t>
      </w:r>
    </w:p>
    <w:p w14:paraId="0554758C" w14:textId="77777777" w:rsidR="0014130B" w:rsidRPr="006D39E3" w:rsidRDefault="0014130B" w:rsidP="0014130B">
      <w:pPr>
        <w:rPr>
          <w:rFonts w:asciiTheme="minorBidi" w:hAnsiTheme="minorBidi"/>
        </w:rPr>
      </w:pPr>
      <w:r w:rsidRPr="006D39E3">
        <w:rPr>
          <w:rFonts w:asciiTheme="minorBidi" w:hAnsiTheme="minorBidi"/>
        </w:rPr>
        <w:t xml:space="preserve">Blessing, H. and </w:t>
      </w:r>
      <w:proofErr w:type="spellStart"/>
      <w:r w:rsidRPr="006D39E3">
        <w:rPr>
          <w:rFonts w:asciiTheme="minorBidi" w:hAnsiTheme="minorBidi"/>
        </w:rPr>
        <w:t>Sakouvogui</w:t>
      </w:r>
      <w:proofErr w:type="spellEnd"/>
      <w:r w:rsidRPr="006D39E3">
        <w:rPr>
          <w:rFonts w:asciiTheme="minorBidi" w:hAnsiTheme="minorBidi"/>
        </w:rPr>
        <w:t xml:space="preserve">, G., (2023). Impact of liquidity and solvency ratios on financial performance: a comprehensive analysis. </w:t>
      </w:r>
      <w:r w:rsidRPr="006D39E3">
        <w:rPr>
          <w:rFonts w:asciiTheme="minorBidi" w:hAnsiTheme="minorBidi"/>
          <w:i/>
          <w:iCs/>
        </w:rPr>
        <w:t>Indonesia Auditing Research Journal</w:t>
      </w:r>
      <w:r w:rsidRPr="006D39E3">
        <w:rPr>
          <w:rFonts w:asciiTheme="minorBidi" w:hAnsiTheme="minorBidi"/>
        </w:rPr>
        <w:t xml:space="preserve">, </w:t>
      </w:r>
      <w:r w:rsidRPr="006D39E3">
        <w:rPr>
          <w:rFonts w:asciiTheme="minorBidi" w:hAnsiTheme="minorBidi"/>
          <w:i/>
          <w:iCs/>
        </w:rPr>
        <w:t>12</w:t>
      </w:r>
      <w:r w:rsidRPr="006D39E3">
        <w:rPr>
          <w:rFonts w:asciiTheme="minorBidi" w:hAnsiTheme="minorBidi"/>
        </w:rPr>
        <w:t>(3), pp.102-115.</w:t>
      </w:r>
      <w:hyperlink r:id="rId13" w:history="1">
        <w:r w:rsidRPr="006D39E3">
          <w:rPr>
            <w:rStyle w:val="Hyperlink"/>
            <w:rFonts w:asciiTheme="minorBidi" w:hAnsiTheme="minorBidi"/>
          </w:rPr>
          <w:t xml:space="preserve"> http://journals.iarn.or.id/index.php/ARJ/article/download/208/141</w:t>
        </w:r>
      </w:hyperlink>
    </w:p>
    <w:p w14:paraId="142E1E8E" w14:textId="77777777" w:rsidR="0014130B" w:rsidRPr="006D39E3" w:rsidRDefault="0014130B" w:rsidP="0014130B">
      <w:pPr>
        <w:rPr>
          <w:rFonts w:asciiTheme="minorBidi" w:hAnsiTheme="minorBidi"/>
        </w:rPr>
      </w:pPr>
      <w:r w:rsidRPr="006D39E3">
        <w:rPr>
          <w:rFonts w:asciiTheme="minorBidi" w:hAnsiTheme="minorBidi"/>
        </w:rPr>
        <w:t xml:space="preserve">Blessing, H. and </w:t>
      </w:r>
      <w:proofErr w:type="spellStart"/>
      <w:r w:rsidRPr="006D39E3">
        <w:rPr>
          <w:rFonts w:asciiTheme="minorBidi" w:hAnsiTheme="minorBidi"/>
        </w:rPr>
        <w:t>Sakouvogui</w:t>
      </w:r>
      <w:proofErr w:type="spellEnd"/>
      <w:r w:rsidRPr="006D39E3">
        <w:rPr>
          <w:rFonts w:asciiTheme="minorBidi" w:hAnsiTheme="minorBidi"/>
        </w:rPr>
        <w:t xml:space="preserve">, G., (2023). Impact of liquidity and solvency ratios on financial performance: a comprehensive analysis. Indonesia Auditing Research Journal, 12(3), pp.102-115. </w:t>
      </w:r>
      <w:hyperlink r:id="rId14" w:history="1">
        <w:r w:rsidRPr="006D39E3">
          <w:rPr>
            <w:rStyle w:val="Hyperlink"/>
            <w:rFonts w:asciiTheme="minorBidi" w:hAnsiTheme="minorBidi"/>
          </w:rPr>
          <w:t>http://journals.iarn.or.id/index.php/ARJ/article/download/208/141</w:t>
        </w:r>
      </w:hyperlink>
    </w:p>
    <w:p w14:paraId="4856E4E2" w14:textId="77777777" w:rsidR="0014130B" w:rsidRPr="006D39E3" w:rsidRDefault="0014130B" w:rsidP="0014130B">
      <w:pPr>
        <w:rPr>
          <w:rFonts w:asciiTheme="minorBidi" w:hAnsiTheme="minorBidi"/>
        </w:rPr>
      </w:pPr>
      <w:r w:rsidRPr="006D39E3">
        <w:rPr>
          <w:rFonts w:asciiTheme="minorBidi" w:hAnsiTheme="minorBidi"/>
        </w:rPr>
        <w:lastRenderedPageBreak/>
        <w:t xml:space="preserve">Coppola, A., Krishnamurthy, A. and Xu, C., (2023). </w:t>
      </w:r>
      <w:r w:rsidRPr="006D39E3">
        <w:rPr>
          <w:rFonts w:asciiTheme="minorBidi" w:hAnsiTheme="minorBidi"/>
          <w:i/>
          <w:iCs/>
        </w:rPr>
        <w:t>Liquidity, debt denomination, and currency dominance</w:t>
      </w:r>
      <w:r w:rsidRPr="006D39E3">
        <w:rPr>
          <w:rFonts w:asciiTheme="minorBidi" w:hAnsiTheme="minorBidi"/>
        </w:rPr>
        <w:t xml:space="preserve"> (No. w30984). National Bureau of Economic Research.</w:t>
      </w:r>
      <w:hyperlink r:id="rId15" w:history="1">
        <w:r w:rsidRPr="006D39E3">
          <w:rPr>
            <w:rStyle w:val="Hyperlink"/>
            <w:rFonts w:asciiTheme="minorBidi" w:hAnsiTheme="minorBidi"/>
          </w:rPr>
          <w:t xml:space="preserve"> https://www.aeaweb.org/conference/2024/program/paper/rzTY657n</w:t>
        </w:r>
      </w:hyperlink>
    </w:p>
    <w:p w14:paraId="48978DE3" w14:textId="77777777" w:rsidR="0014130B" w:rsidRPr="006D39E3" w:rsidRDefault="0014130B" w:rsidP="0014130B">
      <w:pPr>
        <w:rPr>
          <w:rFonts w:asciiTheme="minorBidi" w:hAnsiTheme="minorBidi"/>
        </w:rPr>
      </w:pPr>
      <w:proofErr w:type="spellStart"/>
      <w:r w:rsidRPr="006D39E3">
        <w:rPr>
          <w:rFonts w:asciiTheme="minorBidi" w:hAnsiTheme="minorBidi"/>
        </w:rPr>
        <w:t>Efunniyi</w:t>
      </w:r>
      <w:proofErr w:type="spellEnd"/>
      <w:r w:rsidRPr="006D39E3">
        <w:rPr>
          <w:rFonts w:asciiTheme="minorBidi" w:hAnsiTheme="minorBidi"/>
        </w:rPr>
        <w:t xml:space="preserve">, C.P., </w:t>
      </w:r>
      <w:proofErr w:type="spellStart"/>
      <w:r w:rsidRPr="006D39E3">
        <w:rPr>
          <w:rFonts w:asciiTheme="minorBidi" w:hAnsiTheme="minorBidi"/>
        </w:rPr>
        <w:t>Abhulimen</w:t>
      </w:r>
      <w:proofErr w:type="spellEnd"/>
      <w:r w:rsidRPr="006D39E3">
        <w:rPr>
          <w:rFonts w:asciiTheme="minorBidi" w:hAnsiTheme="minorBidi"/>
        </w:rPr>
        <w:t xml:space="preserve">, A.O., </w:t>
      </w:r>
      <w:proofErr w:type="spellStart"/>
      <w:r w:rsidRPr="006D39E3">
        <w:rPr>
          <w:rFonts w:asciiTheme="minorBidi" w:hAnsiTheme="minorBidi"/>
        </w:rPr>
        <w:t>Obiki-Osafiele</w:t>
      </w:r>
      <w:proofErr w:type="spellEnd"/>
      <w:r w:rsidRPr="006D39E3">
        <w:rPr>
          <w:rFonts w:asciiTheme="minorBidi" w:hAnsiTheme="minorBidi"/>
        </w:rPr>
        <w:t xml:space="preserve">, A.N., </w:t>
      </w:r>
      <w:proofErr w:type="spellStart"/>
      <w:r w:rsidRPr="006D39E3">
        <w:rPr>
          <w:rFonts w:asciiTheme="minorBidi" w:hAnsiTheme="minorBidi"/>
        </w:rPr>
        <w:t>Osundare</w:t>
      </w:r>
      <w:proofErr w:type="spellEnd"/>
      <w:r w:rsidRPr="006D39E3">
        <w:rPr>
          <w:rFonts w:asciiTheme="minorBidi" w:hAnsiTheme="minorBidi"/>
        </w:rPr>
        <w:t xml:space="preserve">, O.S., Agu, E.E. and Adeniran, I.A., (2024). Strengthening corporate governance and financial compliance: Enhancing accountability and transparency. </w:t>
      </w:r>
      <w:r w:rsidRPr="006D39E3">
        <w:rPr>
          <w:rFonts w:asciiTheme="minorBidi" w:hAnsiTheme="minorBidi"/>
          <w:i/>
          <w:iCs/>
        </w:rPr>
        <w:t>Finance &amp; Accounting Research Journal</w:t>
      </w:r>
      <w:r w:rsidRPr="006D39E3">
        <w:rPr>
          <w:rFonts w:asciiTheme="minorBidi" w:hAnsiTheme="minorBidi"/>
        </w:rPr>
        <w:t xml:space="preserve">, </w:t>
      </w:r>
      <w:r w:rsidRPr="006D39E3">
        <w:rPr>
          <w:rFonts w:asciiTheme="minorBidi" w:hAnsiTheme="minorBidi"/>
          <w:i/>
          <w:iCs/>
        </w:rPr>
        <w:t>6</w:t>
      </w:r>
      <w:r w:rsidRPr="006D39E3">
        <w:rPr>
          <w:rFonts w:asciiTheme="minorBidi" w:hAnsiTheme="minorBidi"/>
        </w:rPr>
        <w:t xml:space="preserve">(8), pp.1597-1616. </w:t>
      </w:r>
      <w:hyperlink r:id="rId16" w:history="1">
        <w:r w:rsidRPr="006D39E3">
          <w:rPr>
            <w:rStyle w:val="Hyperlink"/>
            <w:rFonts w:asciiTheme="minorBidi" w:hAnsiTheme="minorBidi"/>
          </w:rPr>
          <w:t>https://www.researchgate.net/profile/Angela-Abhulimen/publication/383860258_1597-1616_4_Nigeria_Inter-bank_Settlement_System_Plc_NIBSS_5_Zenith_General_Insurance_Company_Limited_Nigeria_6_International_Association_of_Computer_Analysts_and_Researchers/links/66ddaa822390e50b2c769a8e/1597-1616-4-Nigeria-Inter-bank-Settlement-System-Plc-NIBSS-5-Zenith-General-Insurance-Company-Limited-Nigeria-6-International-Association-of-Computer-Analysts-and-Researchers.pdf</w:t>
        </w:r>
      </w:hyperlink>
    </w:p>
    <w:p w14:paraId="792B2ADB" w14:textId="77777777" w:rsidR="0014130B" w:rsidRPr="006D39E3" w:rsidRDefault="0014130B" w:rsidP="0014130B">
      <w:pPr>
        <w:rPr>
          <w:rFonts w:asciiTheme="minorBidi" w:hAnsiTheme="minorBidi"/>
        </w:rPr>
      </w:pPr>
      <w:r w:rsidRPr="006D39E3">
        <w:rPr>
          <w:rFonts w:asciiTheme="minorBidi" w:hAnsiTheme="minorBidi"/>
        </w:rPr>
        <w:t>El-Chaarani, H. and Abraham, R., (2022). The impact of corporate governance and political connectedness on the financial performance of Lebanese banks during the financial crisis of 2019–2021. </w:t>
      </w:r>
      <w:r w:rsidRPr="006D39E3">
        <w:rPr>
          <w:rFonts w:asciiTheme="minorBidi" w:hAnsiTheme="minorBidi"/>
          <w:i/>
          <w:iCs/>
        </w:rPr>
        <w:t>Journal of Risk and Financial Management</w:t>
      </w:r>
      <w:r w:rsidRPr="006D39E3">
        <w:rPr>
          <w:rFonts w:asciiTheme="minorBidi" w:hAnsiTheme="minorBidi"/>
        </w:rPr>
        <w:t>, </w:t>
      </w:r>
      <w:r w:rsidRPr="006D39E3">
        <w:rPr>
          <w:rFonts w:asciiTheme="minorBidi" w:hAnsiTheme="minorBidi"/>
          <w:i/>
          <w:iCs/>
        </w:rPr>
        <w:t>15</w:t>
      </w:r>
      <w:r w:rsidRPr="006D39E3">
        <w:rPr>
          <w:rFonts w:asciiTheme="minorBidi" w:hAnsiTheme="minorBidi"/>
        </w:rPr>
        <w:t xml:space="preserve">(5), p.203. </w:t>
      </w:r>
      <w:hyperlink r:id="rId17" w:history="1">
        <w:r w:rsidRPr="006D39E3">
          <w:rPr>
            <w:rStyle w:val="Hyperlink"/>
            <w:rFonts w:asciiTheme="minorBidi" w:hAnsiTheme="minorBidi"/>
          </w:rPr>
          <w:t>https://www.mdpi.com/1911-8074/15/5/203/pdf</w:t>
        </w:r>
      </w:hyperlink>
    </w:p>
    <w:p w14:paraId="08181B42" w14:textId="77777777" w:rsidR="0014130B" w:rsidRPr="006D39E3" w:rsidRDefault="0014130B" w:rsidP="0014130B">
      <w:pPr>
        <w:rPr>
          <w:rFonts w:asciiTheme="minorBidi" w:hAnsiTheme="minorBidi"/>
        </w:rPr>
      </w:pPr>
      <w:proofErr w:type="spellStart"/>
      <w:r w:rsidRPr="006D39E3">
        <w:rPr>
          <w:rFonts w:asciiTheme="minorBidi" w:hAnsiTheme="minorBidi"/>
        </w:rPr>
        <w:t>Faruquee</w:t>
      </w:r>
      <w:proofErr w:type="spellEnd"/>
      <w:r w:rsidRPr="006D39E3">
        <w:rPr>
          <w:rFonts w:asciiTheme="minorBidi" w:hAnsiTheme="minorBidi"/>
        </w:rPr>
        <w:t xml:space="preserve">, M., Paulraj, A. and Irawan, C.A., (2021). Strategic supplier relationships and supply chain resilience: is digital transformation that precludes trust </w:t>
      </w:r>
      <w:proofErr w:type="gramStart"/>
      <w:r w:rsidRPr="006D39E3">
        <w:rPr>
          <w:rFonts w:asciiTheme="minorBidi" w:hAnsiTheme="minorBidi"/>
        </w:rPr>
        <w:t>beneficial?.</w:t>
      </w:r>
      <w:proofErr w:type="gramEnd"/>
      <w:r w:rsidRPr="006D39E3">
        <w:rPr>
          <w:rFonts w:asciiTheme="minorBidi" w:hAnsiTheme="minorBidi"/>
        </w:rPr>
        <w:t> </w:t>
      </w:r>
      <w:r w:rsidRPr="006D39E3">
        <w:rPr>
          <w:rFonts w:asciiTheme="minorBidi" w:hAnsiTheme="minorBidi"/>
          <w:i/>
          <w:iCs/>
        </w:rPr>
        <w:t>International Journal of Operations &amp; Production Management</w:t>
      </w:r>
      <w:r w:rsidRPr="006D39E3">
        <w:rPr>
          <w:rFonts w:asciiTheme="minorBidi" w:hAnsiTheme="minorBidi"/>
        </w:rPr>
        <w:t>, </w:t>
      </w:r>
      <w:r w:rsidRPr="006D39E3">
        <w:rPr>
          <w:rFonts w:asciiTheme="minorBidi" w:hAnsiTheme="minorBidi"/>
          <w:i/>
          <w:iCs/>
        </w:rPr>
        <w:t>41</w:t>
      </w:r>
      <w:r w:rsidRPr="006D39E3">
        <w:rPr>
          <w:rFonts w:asciiTheme="minorBidi" w:hAnsiTheme="minorBidi"/>
        </w:rPr>
        <w:t xml:space="preserve">(7), pp.1192-1219. </w:t>
      </w:r>
      <w:hyperlink r:id="rId18" w:history="1">
        <w:r w:rsidRPr="006D39E3">
          <w:rPr>
            <w:rStyle w:val="Hyperlink"/>
            <w:rFonts w:asciiTheme="minorBidi" w:hAnsiTheme="minorBidi"/>
          </w:rPr>
          <w:t>https://sussex.figshare.com/articles/journal_contribution/Strategic_supplier_relationships_and_supply_chain_resilience_is_digital_transformation_that_precludes_trust_beneficial_/23492213/1/files/41200427.pdf</w:t>
        </w:r>
      </w:hyperlink>
    </w:p>
    <w:p w14:paraId="1FDA64A8" w14:textId="77777777" w:rsidR="0014130B" w:rsidRPr="006D39E3" w:rsidRDefault="0014130B" w:rsidP="0014130B">
      <w:pPr>
        <w:rPr>
          <w:rFonts w:asciiTheme="minorBidi" w:hAnsiTheme="minorBidi"/>
        </w:rPr>
      </w:pPr>
      <w:proofErr w:type="spellStart"/>
      <w:r w:rsidRPr="006D39E3">
        <w:rPr>
          <w:rFonts w:asciiTheme="minorBidi" w:hAnsiTheme="minorBidi"/>
        </w:rPr>
        <w:t>Friewald</w:t>
      </w:r>
      <w:proofErr w:type="spellEnd"/>
      <w:r w:rsidRPr="006D39E3">
        <w:rPr>
          <w:rFonts w:asciiTheme="minorBidi" w:hAnsiTheme="minorBidi"/>
        </w:rPr>
        <w:t xml:space="preserve">, N., Nagler, F. and Wagner, C., (2022). Debt refinancing and equity returns. </w:t>
      </w:r>
      <w:r w:rsidRPr="006D39E3">
        <w:rPr>
          <w:rFonts w:asciiTheme="minorBidi" w:hAnsiTheme="minorBidi"/>
          <w:i/>
          <w:iCs/>
        </w:rPr>
        <w:t>The Journal of Finance</w:t>
      </w:r>
      <w:r w:rsidRPr="006D39E3">
        <w:rPr>
          <w:rFonts w:asciiTheme="minorBidi" w:hAnsiTheme="minorBidi"/>
        </w:rPr>
        <w:t xml:space="preserve">, </w:t>
      </w:r>
      <w:r w:rsidRPr="006D39E3">
        <w:rPr>
          <w:rFonts w:asciiTheme="minorBidi" w:hAnsiTheme="minorBidi"/>
          <w:i/>
          <w:iCs/>
        </w:rPr>
        <w:t>77</w:t>
      </w:r>
      <w:r w:rsidRPr="006D39E3">
        <w:rPr>
          <w:rFonts w:asciiTheme="minorBidi" w:hAnsiTheme="minorBidi"/>
        </w:rPr>
        <w:t>(4), pp.2287-2329.</w:t>
      </w:r>
      <w:hyperlink r:id="rId19" w:history="1">
        <w:r w:rsidRPr="006D39E3">
          <w:rPr>
            <w:rStyle w:val="Hyperlink"/>
            <w:rFonts w:asciiTheme="minorBidi" w:hAnsiTheme="minorBidi"/>
          </w:rPr>
          <w:t>https://onlinelibrary.wiley.com/doi/pdfdirect/10.1111/jofi.13162</w:t>
        </w:r>
      </w:hyperlink>
    </w:p>
    <w:p w14:paraId="185444EB" w14:textId="77777777" w:rsidR="0014130B" w:rsidRPr="006D39E3" w:rsidRDefault="0014130B" w:rsidP="0014130B">
      <w:pPr>
        <w:rPr>
          <w:rFonts w:asciiTheme="minorBidi" w:hAnsiTheme="minorBidi"/>
        </w:rPr>
      </w:pPr>
      <w:r w:rsidRPr="006D39E3">
        <w:rPr>
          <w:rFonts w:asciiTheme="minorBidi" w:hAnsiTheme="minorBidi"/>
        </w:rPr>
        <w:t xml:space="preserve">Han, W., (2025). The Practice and Strategy of Capital Structure Optimization under the Background of the Financial Crisis. </w:t>
      </w:r>
      <w:r w:rsidRPr="006D39E3">
        <w:rPr>
          <w:rFonts w:asciiTheme="minorBidi" w:hAnsiTheme="minorBidi"/>
          <w:i/>
          <w:iCs/>
        </w:rPr>
        <w:t>European Journal of Business, Economics &amp; Management</w:t>
      </w:r>
      <w:r w:rsidRPr="006D39E3">
        <w:rPr>
          <w:rFonts w:asciiTheme="minorBidi" w:hAnsiTheme="minorBidi"/>
        </w:rPr>
        <w:t xml:space="preserve">, </w:t>
      </w:r>
      <w:r w:rsidRPr="006D39E3">
        <w:rPr>
          <w:rFonts w:asciiTheme="minorBidi" w:hAnsiTheme="minorBidi"/>
          <w:i/>
          <w:iCs/>
        </w:rPr>
        <w:t>1</w:t>
      </w:r>
      <w:r w:rsidRPr="006D39E3">
        <w:rPr>
          <w:rFonts w:asciiTheme="minorBidi" w:hAnsiTheme="minorBidi"/>
        </w:rPr>
        <w:t>(2), pp.8-14.</w:t>
      </w:r>
      <w:hyperlink r:id="rId20" w:history="1">
        <w:r w:rsidRPr="006D39E3">
          <w:rPr>
            <w:rStyle w:val="Hyperlink"/>
            <w:rFonts w:asciiTheme="minorBidi" w:hAnsiTheme="minorBidi"/>
          </w:rPr>
          <w:t xml:space="preserve"> https://pinnaclepubs.com/index.php/EJBEM/article/download/145/147</w:t>
        </w:r>
      </w:hyperlink>
    </w:p>
    <w:p w14:paraId="73E4B493" w14:textId="77777777" w:rsidR="0014130B" w:rsidRPr="006D39E3" w:rsidRDefault="0014130B" w:rsidP="0014130B">
      <w:pPr>
        <w:rPr>
          <w:rFonts w:asciiTheme="minorBidi" w:hAnsiTheme="minorBidi"/>
        </w:rPr>
      </w:pPr>
      <w:r w:rsidRPr="006D39E3">
        <w:rPr>
          <w:rFonts w:asciiTheme="minorBidi" w:hAnsiTheme="minorBidi"/>
        </w:rPr>
        <w:lastRenderedPageBreak/>
        <w:t xml:space="preserve">Ishikawa, T., GEMBA, K. and Oda, T. (2024). The influence of cash conversion cycle on profitability: a quantitative analysis of Japanese software firms. </w:t>
      </w:r>
      <w:r w:rsidRPr="006D39E3">
        <w:rPr>
          <w:rFonts w:asciiTheme="minorBidi" w:hAnsiTheme="minorBidi"/>
          <w:i/>
          <w:iCs/>
        </w:rPr>
        <w:t>Access Journal - Access to Science, Business, Innovation in the digital economy</w:t>
      </w:r>
      <w:r w:rsidRPr="006D39E3">
        <w:rPr>
          <w:rFonts w:asciiTheme="minorBidi" w:hAnsiTheme="minorBidi"/>
        </w:rPr>
        <w:t xml:space="preserve">, [online] 6(1), pp.84–102. </w:t>
      </w:r>
      <w:hyperlink r:id="rId21" w:history="1">
        <w:r w:rsidRPr="006D39E3">
          <w:rPr>
            <w:rStyle w:val="Hyperlink"/>
            <w:rFonts w:asciiTheme="minorBidi" w:hAnsiTheme="minorBidi"/>
          </w:rPr>
          <w:t>https://journal.access-bg.org/journalfiles/journal/issue-6-1-2025/the_influence_of_cash_conversion_cycle_on_profitability.pdf</w:t>
        </w:r>
      </w:hyperlink>
      <w:r w:rsidRPr="006D39E3">
        <w:rPr>
          <w:rFonts w:asciiTheme="minorBidi" w:hAnsiTheme="minorBidi"/>
        </w:rPr>
        <w:t xml:space="preserve">. </w:t>
      </w:r>
    </w:p>
    <w:p w14:paraId="27F05700" w14:textId="77777777" w:rsidR="0014130B" w:rsidRPr="006D39E3" w:rsidRDefault="0014130B" w:rsidP="0014130B">
      <w:pPr>
        <w:rPr>
          <w:rFonts w:asciiTheme="minorBidi" w:hAnsiTheme="minorBidi"/>
        </w:rPr>
      </w:pPr>
      <w:r w:rsidRPr="006D39E3">
        <w:rPr>
          <w:rFonts w:asciiTheme="minorBidi" w:hAnsiTheme="minorBidi"/>
        </w:rPr>
        <w:t xml:space="preserve">Karda, S., Nagy-György, T. and Boros, I. (2023). Evolution of the Payback Period for Energy-Efficient Residential Buildings in Romania in the Last Decade. 15(11), pp.8986–8986. </w:t>
      </w:r>
      <w:hyperlink r:id="rId22" w:history="1">
        <w:r w:rsidRPr="006D39E3">
          <w:rPr>
            <w:rStyle w:val="Hyperlink"/>
            <w:rFonts w:asciiTheme="minorBidi" w:hAnsiTheme="minorBidi"/>
          </w:rPr>
          <w:t>https://doi.org/10.3390/su15118986</w:t>
        </w:r>
      </w:hyperlink>
      <w:r w:rsidRPr="006D39E3">
        <w:rPr>
          <w:rFonts w:asciiTheme="minorBidi" w:hAnsiTheme="minorBidi"/>
        </w:rPr>
        <w:t xml:space="preserve">. </w:t>
      </w:r>
    </w:p>
    <w:p w14:paraId="4A466E8B" w14:textId="77777777" w:rsidR="0014130B" w:rsidRPr="006D39E3" w:rsidRDefault="0014130B" w:rsidP="0014130B">
      <w:pPr>
        <w:rPr>
          <w:rFonts w:asciiTheme="minorBidi" w:hAnsiTheme="minorBidi"/>
        </w:rPr>
      </w:pPr>
      <w:r w:rsidRPr="006D39E3">
        <w:rPr>
          <w:rFonts w:asciiTheme="minorBidi" w:hAnsiTheme="minorBidi"/>
        </w:rPr>
        <w:t xml:space="preserve">Karim, </w:t>
      </w:r>
      <w:proofErr w:type="spellStart"/>
      <w:r w:rsidRPr="006D39E3">
        <w:rPr>
          <w:rFonts w:asciiTheme="minorBidi" w:hAnsiTheme="minorBidi"/>
        </w:rPr>
        <w:t>Md.R</w:t>
      </w:r>
      <w:proofErr w:type="spellEnd"/>
      <w:r w:rsidRPr="006D39E3">
        <w:rPr>
          <w:rFonts w:asciiTheme="minorBidi" w:hAnsiTheme="minorBidi"/>
        </w:rPr>
        <w:t xml:space="preserve">., Shetu, S.A. and Razia, S. (2021). COVID-19, liquidity and financial health: empirical evidence from South Asian economy. </w:t>
      </w:r>
      <w:r w:rsidRPr="006D39E3">
        <w:rPr>
          <w:rFonts w:asciiTheme="minorBidi" w:hAnsiTheme="minorBidi"/>
          <w:i/>
          <w:iCs/>
        </w:rPr>
        <w:t>Asian Journal of Economics and Banking</w:t>
      </w:r>
      <w:r w:rsidRPr="006D39E3">
        <w:rPr>
          <w:rFonts w:asciiTheme="minorBidi" w:hAnsiTheme="minorBidi"/>
        </w:rPr>
        <w:t xml:space="preserve">, [online] ahead-of-print(ahead-of-print). </w:t>
      </w:r>
      <w:hyperlink r:id="rId23" w:history="1">
        <w:r w:rsidRPr="006D39E3">
          <w:rPr>
            <w:rStyle w:val="Hyperlink"/>
            <w:rFonts w:asciiTheme="minorBidi" w:hAnsiTheme="minorBidi"/>
          </w:rPr>
          <w:t>https://www.emerald.com/insight/content/doi/10.1108/AJEB-03-2021-0033/full/html</w:t>
        </w:r>
      </w:hyperlink>
      <w:r w:rsidRPr="006D39E3">
        <w:rPr>
          <w:rFonts w:asciiTheme="minorBidi" w:hAnsiTheme="minorBidi"/>
        </w:rPr>
        <w:t xml:space="preserve">. </w:t>
      </w:r>
    </w:p>
    <w:p w14:paraId="0B0BB8A5" w14:textId="77777777" w:rsidR="0014130B" w:rsidRPr="006D39E3" w:rsidRDefault="0014130B" w:rsidP="0014130B">
      <w:pPr>
        <w:rPr>
          <w:rFonts w:asciiTheme="minorBidi" w:hAnsiTheme="minorBidi"/>
        </w:rPr>
      </w:pPr>
      <w:r w:rsidRPr="006D39E3">
        <w:rPr>
          <w:rFonts w:asciiTheme="minorBidi" w:hAnsiTheme="minorBidi"/>
        </w:rPr>
        <w:t xml:space="preserve">Kingsley, P.K.M., (2023). Analysing the Efficiency of Private Placements and Capital Markets in Terms of Cost Comparing the Cost Efficiency of Private Placements and the Capital Markets. </w:t>
      </w:r>
      <w:hyperlink r:id="rId24" w:history="1">
        <w:r w:rsidRPr="006D39E3">
          <w:rPr>
            <w:rStyle w:val="Hyperlink"/>
            <w:rFonts w:asciiTheme="minorBidi" w:hAnsiTheme="minorBidi"/>
          </w:rPr>
          <w:t>https://papers.ssrn.com/sol3/Delivery.cfm?abstractid=4905535</w:t>
        </w:r>
      </w:hyperlink>
      <w:r w:rsidRPr="006D39E3">
        <w:rPr>
          <w:rFonts w:asciiTheme="minorBidi" w:hAnsiTheme="minorBidi"/>
        </w:rPr>
        <w:t> </w:t>
      </w:r>
    </w:p>
    <w:p w14:paraId="5BB745DE" w14:textId="77777777" w:rsidR="0014130B" w:rsidRPr="006D39E3" w:rsidRDefault="0014130B" w:rsidP="0014130B">
      <w:pPr>
        <w:rPr>
          <w:rFonts w:asciiTheme="minorBidi" w:hAnsiTheme="minorBidi"/>
        </w:rPr>
      </w:pPr>
      <w:r w:rsidRPr="006D39E3">
        <w:rPr>
          <w:rFonts w:asciiTheme="minorBidi" w:hAnsiTheme="minorBidi"/>
        </w:rPr>
        <w:t xml:space="preserve">Kraus, P., Kappl, J. and Schlegel, D. (2024). To invest or not to invest in digital initiatives? An exploratory examination of procedures, evaluation criteria and barriers. </w:t>
      </w:r>
      <w:r w:rsidRPr="006D39E3">
        <w:rPr>
          <w:rFonts w:asciiTheme="minorBidi" w:hAnsiTheme="minorBidi"/>
          <w:i/>
          <w:iCs/>
        </w:rPr>
        <w:t>Digital transformation and society</w:t>
      </w:r>
      <w:r w:rsidRPr="006D39E3">
        <w:rPr>
          <w:rFonts w:asciiTheme="minorBidi" w:hAnsiTheme="minorBidi"/>
        </w:rPr>
        <w:t xml:space="preserve">. [online] </w:t>
      </w:r>
      <w:hyperlink r:id="rId25" w:history="1">
        <w:r w:rsidRPr="006D39E3">
          <w:rPr>
            <w:rStyle w:val="Hyperlink"/>
            <w:rFonts w:asciiTheme="minorBidi" w:hAnsiTheme="minorBidi"/>
          </w:rPr>
          <w:t>https://www.emerald.com/insight/content/doi/10.1108/DTS-02-2024-0004/full/html</w:t>
        </w:r>
      </w:hyperlink>
      <w:r w:rsidRPr="006D39E3">
        <w:rPr>
          <w:rFonts w:asciiTheme="minorBidi" w:hAnsiTheme="minorBidi"/>
        </w:rPr>
        <w:t xml:space="preserve">. </w:t>
      </w:r>
    </w:p>
    <w:p w14:paraId="21002AC5" w14:textId="77777777" w:rsidR="0014130B" w:rsidRPr="006D39E3" w:rsidRDefault="0014130B" w:rsidP="0014130B">
      <w:pPr>
        <w:rPr>
          <w:rFonts w:asciiTheme="minorBidi" w:hAnsiTheme="minorBidi"/>
        </w:rPr>
      </w:pPr>
      <w:r w:rsidRPr="006D39E3">
        <w:rPr>
          <w:rFonts w:asciiTheme="minorBidi" w:hAnsiTheme="minorBidi"/>
        </w:rPr>
        <w:t xml:space="preserve">Kulakov, N. and </w:t>
      </w:r>
      <w:proofErr w:type="spellStart"/>
      <w:r w:rsidRPr="006D39E3">
        <w:rPr>
          <w:rFonts w:asciiTheme="minorBidi" w:hAnsiTheme="minorBidi"/>
        </w:rPr>
        <w:t>Blaset</w:t>
      </w:r>
      <w:proofErr w:type="spellEnd"/>
      <w:r w:rsidRPr="006D39E3">
        <w:rPr>
          <w:rFonts w:asciiTheme="minorBidi" w:hAnsiTheme="minorBidi"/>
        </w:rPr>
        <w:t xml:space="preserve">, A. (2020). Rehabilitation of the Internal Rate of Return. </w:t>
      </w:r>
      <w:r w:rsidRPr="006D39E3">
        <w:rPr>
          <w:rFonts w:asciiTheme="minorBidi" w:hAnsiTheme="minorBidi"/>
          <w:i/>
          <w:iCs/>
        </w:rPr>
        <w:t>SSRN Electronic Journal</w:t>
      </w:r>
      <w:r w:rsidRPr="006D39E3">
        <w:rPr>
          <w:rFonts w:asciiTheme="minorBidi" w:hAnsiTheme="minorBidi"/>
        </w:rPr>
        <w:t xml:space="preserve">. [online] </w:t>
      </w:r>
      <w:hyperlink r:id="rId26" w:history="1">
        <w:r w:rsidRPr="006D39E3">
          <w:rPr>
            <w:rStyle w:val="Hyperlink"/>
            <w:rFonts w:asciiTheme="minorBidi" w:hAnsiTheme="minorBidi"/>
          </w:rPr>
          <w:t>https://papers.ssrn.com/sol3/Delivery.cfm/SSRN_ID3593173_code2221094.pdf?abstractid=3593173&amp;mirid=1</w:t>
        </w:r>
      </w:hyperlink>
      <w:r w:rsidRPr="006D39E3">
        <w:rPr>
          <w:rFonts w:asciiTheme="minorBidi" w:hAnsiTheme="minorBidi"/>
        </w:rPr>
        <w:t xml:space="preserve">. </w:t>
      </w:r>
    </w:p>
    <w:p w14:paraId="1E75883B" w14:textId="77777777" w:rsidR="0014130B" w:rsidRPr="006D39E3" w:rsidRDefault="0014130B" w:rsidP="0014130B">
      <w:pPr>
        <w:rPr>
          <w:rFonts w:asciiTheme="minorBidi" w:hAnsiTheme="minorBidi"/>
        </w:rPr>
      </w:pPr>
      <w:r w:rsidRPr="006D39E3">
        <w:rPr>
          <w:rFonts w:asciiTheme="minorBidi" w:hAnsiTheme="minorBidi"/>
        </w:rPr>
        <w:t xml:space="preserve">Le, S. (2021). </w:t>
      </w:r>
      <w:r w:rsidRPr="006D39E3">
        <w:rPr>
          <w:rFonts w:asciiTheme="minorBidi" w:hAnsiTheme="minorBidi"/>
          <w:i/>
          <w:iCs/>
        </w:rPr>
        <w:t>The Applications of NPV in Different Types of Markets</w:t>
      </w:r>
      <w:r w:rsidRPr="006D39E3">
        <w:rPr>
          <w:rFonts w:asciiTheme="minorBidi" w:hAnsiTheme="minorBidi"/>
        </w:rPr>
        <w:t xml:space="preserve">. [online] www.atlantis-press.com. </w:t>
      </w:r>
      <w:hyperlink r:id="rId27" w:history="1">
        <w:r w:rsidRPr="006D39E3">
          <w:rPr>
            <w:rStyle w:val="Hyperlink"/>
            <w:rFonts w:asciiTheme="minorBidi" w:hAnsiTheme="minorBidi"/>
          </w:rPr>
          <w:t>https://doi.org/10.2991/assehr.k.211209.171</w:t>
        </w:r>
      </w:hyperlink>
      <w:r w:rsidRPr="006D39E3">
        <w:rPr>
          <w:rFonts w:asciiTheme="minorBidi" w:hAnsiTheme="minorBidi"/>
        </w:rPr>
        <w:t xml:space="preserve">. </w:t>
      </w:r>
    </w:p>
    <w:p w14:paraId="1DF80FE9" w14:textId="77777777" w:rsidR="0014130B" w:rsidRPr="006D39E3" w:rsidRDefault="0014130B" w:rsidP="0014130B">
      <w:pPr>
        <w:rPr>
          <w:rFonts w:asciiTheme="minorBidi" w:hAnsiTheme="minorBidi"/>
        </w:rPr>
      </w:pPr>
      <w:proofErr w:type="spellStart"/>
      <w:r w:rsidRPr="006D39E3">
        <w:rPr>
          <w:rFonts w:asciiTheme="minorBidi" w:hAnsiTheme="minorBidi"/>
        </w:rPr>
        <w:t>Moridu</w:t>
      </w:r>
      <w:proofErr w:type="spellEnd"/>
      <w:r w:rsidRPr="006D39E3">
        <w:rPr>
          <w:rFonts w:asciiTheme="minorBidi" w:hAnsiTheme="minorBidi"/>
        </w:rPr>
        <w:t xml:space="preserve">, I. and Abidin, Z., (2023). Adapting financial management strategies amidst economic turmoil: a case study of </w:t>
      </w:r>
      <w:proofErr w:type="spellStart"/>
      <w:r w:rsidRPr="006D39E3">
        <w:rPr>
          <w:rFonts w:asciiTheme="minorBidi" w:hAnsiTheme="minorBidi"/>
        </w:rPr>
        <w:t>gama</w:t>
      </w:r>
      <w:proofErr w:type="spellEnd"/>
      <w:r w:rsidRPr="006D39E3">
        <w:rPr>
          <w:rFonts w:asciiTheme="minorBidi" w:hAnsiTheme="minorBidi"/>
        </w:rPr>
        <w:t xml:space="preserve"> corporate's liquidity and restructuring initiative. </w:t>
      </w:r>
      <w:r w:rsidRPr="006D39E3">
        <w:rPr>
          <w:rFonts w:asciiTheme="minorBidi" w:hAnsiTheme="minorBidi"/>
          <w:i/>
          <w:iCs/>
        </w:rPr>
        <w:t xml:space="preserve">The </w:t>
      </w:r>
      <w:proofErr w:type="spellStart"/>
      <w:r w:rsidRPr="006D39E3">
        <w:rPr>
          <w:rFonts w:asciiTheme="minorBidi" w:hAnsiTheme="minorBidi"/>
          <w:i/>
          <w:iCs/>
        </w:rPr>
        <w:t>Eastasouth</w:t>
      </w:r>
      <w:proofErr w:type="spellEnd"/>
      <w:r w:rsidRPr="006D39E3">
        <w:rPr>
          <w:rFonts w:asciiTheme="minorBidi" w:hAnsiTheme="minorBidi"/>
          <w:i/>
          <w:iCs/>
        </w:rPr>
        <w:t xml:space="preserve"> Management and Business</w:t>
      </w:r>
      <w:r w:rsidRPr="006D39E3">
        <w:rPr>
          <w:rFonts w:asciiTheme="minorBidi" w:hAnsiTheme="minorBidi"/>
        </w:rPr>
        <w:t xml:space="preserve">, </w:t>
      </w:r>
      <w:r w:rsidRPr="006D39E3">
        <w:rPr>
          <w:rFonts w:asciiTheme="minorBidi" w:hAnsiTheme="minorBidi"/>
          <w:i/>
          <w:iCs/>
        </w:rPr>
        <w:t>2</w:t>
      </w:r>
      <w:r w:rsidRPr="006D39E3">
        <w:rPr>
          <w:rFonts w:asciiTheme="minorBidi" w:hAnsiTheme="minorBidi"/>
        </w:rPr>
        <w:t>(01), pp.34-42.</w:t>
      </w:r>
      <w:hyperlink r:id="rId28" w:history="1">
        <w:r w:rsidRPr="006D39E3">
          <w:rPr>
            <w:rStyle w:val="Hyperlink"/>
            <w:rFonts w:asciiTheme="minorBidi" w:hAnsiTheme="minorBidi"/>
          </w:rPr>
          <w:t xml:space="preserve"> https://esj.eastasouth-institute.com/index.php/esmb/article/download/137/109</w:t>
        </w:r>
      </w:hyperlink>
    </w:p>
    <w:p w14:paraId="50871444" w14:textId="77777777" w:rsidR="0014130B" w:rsidRPr="006D39E3" w:rsidRDefault="0014130B" w:rsidP="0014130B">
      <w:pPr>
        <w:rPr>
          <w:rFonts w:asciiTheme="minorBidi" w:hAnsiTheme="minorBidi"/>
        </w:rPr>
      </w:pPr>
      <w:proofErr w:type="spellStart"/>
      <w:r w:rsidRPr="006D39E3">
        <w:rPr>
          <w:rFonts w:asciiTheme="minorBidi" w:hAnsiTheme="minorBidi"/>
        </w:rPr>
        <w:lastRenderedPageBreak/>
        <w:t>Ogunyankinnu</w:t>
      </w:r>
      <w:proofErr w:type="spellEnd"/>
      <w:r w:rsidRPr="006D39E3">
        <w:rPr>
          <w:rFonts w:asciiTheme="minorBidi" w:hAnsiTheme="minorBidi"/>
        </w:rPr>
        <w:t xml:space="preserve">, T., </w:t>
      </w:r>
      <w:proofErr w:type="spellStart"/>
      <w:r w:rsidRPr="006D39E3">
        <w:rPr>
          <w:rFonts w:asciiTheme="minorBidi" w:hAnsiTheme="minorBidi"/>
        </w:rPr>
        <w:t>Osunkanmibi</w:t>
      </w:r>
      <w:proofErr w:type="spellEnd"/>
      <w:r w:rsidRPr="006D39E3">
        <w:rPr>
          <w:rFonts w:asciiTheme="minorBidi" w:hAnsiTheme="minorBidi"/>
        </w:rPr>
        <w:t xml:space="preserve">, A.A., </w:t>
      </w:r>
      <w:proofErr w:type="spellStart"/>
      <w:r w:rsidRPr="006D39E3">
        <w:rPr>
          <w:rFonts w:asciiTheme="minorBidi" w:hAnsiTheme="minorBidi"/>
        </w:rPr>
        <w:t>Onotole</w:t>
      </w:r>
      <w:proofErr w:type="spellEnd"/>
      <w:r w:rsidRPr="006D39E3">
        <w:rPr>
          <w:rFonts w:asciiTheme="minorBidi" w:hAnsiTheme="minorBidi"/>
        </w:rPr>
        <w:t xml:space="preserve">, E.F., </w:t>
      </w:r>
      <w:proofErr w:type="spellStart"/>
      <w:r w:rsidRPr="006D39E3">
        <w:rPr>
          <w:rFonts w:asciiTheme="minorBidi" w:hAnsiTheme="minorBidi"/>
        </w:rPr>
        <w:t>Ukatu</w:t>
      </w:r>
      <w:proofErr w:type="spellEnd"/>
      <w:r w:rsidRPr="006D39E3">
        <w:rPr>
          <w:rFonts w:asciiTheme="minorBidi" w:hAnsiTheme="minorBidi"/>
        </w:rPr>
        <w:t xml:space="preserve">, C.E., Ajayi, O.A. and Adeoye, Y., (2024). AI-Powered Demand Forecasting for Enhancing JIT Inventory Models. </w:t>
      </w:r>
      <w:hyperlink r:id="rId29" w:history="1">
        <w:r w:rsidRPr="006D39E3">
          <w:rPr>
            <w:rStyle w:val="Hyperlink"/>
            <w:rFonts w:asciiTheme="minorBidi" w:hAnsiTheme="minorBidi"/>
          </w:rPr>
          <w:t>https://www.researchgate.net/profile/Anfo-Pub-2/publication/391628002_AI-Powered_Demand_Forecasting_for_Enhancing_JIT_Inventory_Models/links/681f2fd5d1054b0207edf490/AI-Powered-Demand-Forecasting-for-Enhancing-JIT-Inventory-Models.pdf</w:t>
        </w:r>
      </w:hyperlink>
    </w:p>
    <w:p w14:paraId="69215E80" w14:textId="77777777" w:rsidR="0014130B" w:rsidRPr="006D39E3" w:rsidRDefault="0014130B" w:rsidP="0014130B">
      <w:pPr>
        <w:rPr>
          <w:rFonts w:asciiTheme="minorBidi" w:hAnsiTheme="minorBidi"/>
        </w:rPr>
      </w:pPr>
      <w:proofErr w:type="spellStart"/>
      <w:r w:rsidRPr="006D39E3">
        <w:rPr>
          <w:rFonts w:asciiTheme="minorBidi" w:hAnsiTheme="minorBidi"/>
        </w:rPr>
        <w:t>Oyeyipo</w:t>
      </w:r>
      <w:proofErr w:type="spellEnd"/>
      <w:r w:rsidRPr="006D39E3">
        <w:rPr>
          <w:rFonts w:asciiTheme="minorBidi" w:hAnsiTheme="minorBidi"/>
        </w:rPr>
        <w:t xml:space="preserve">, I., Attipoe, V., Mayienga, B.A., </w:t>
      </w:r>
      <w:proofErr w:type="spellStart"/>
      <w:r w:rsidRPr="006D39E3">
        <w:rPr>
          <w:rFonts w:asciiTheme="minorBidi" w:hAnsiTheme="minorBidi"/>
        </w:rPr>
        <w:t>Onwuzulike</w:t>
      </w:r>
      <w:proofErr w:type="spellEnd"/>
      <w:r w:rsidRPr="006D39E3">
        <w:rPr>
          <w:rFonts w:asciiTheme="minorBidi" w:hAnsiTheme="minorBidi"/>
        </w:rPr>
        <w:t xml:space="preserve">, O.C., Ayodeji, D.C., </w:t>
      </w:r>
      <w:proofErr w:type="spellStart"/>
      <w:r w:rsidRPr="006D39E3">
        <w:rPr>
          <w:rFonts w:asciiTheme="minorBidi" w:hAnsiTheme="minorBidi"/>
        </w:rPr>
        <w:t>Nwaozomudoh</w:t>
      </w:r>
      <w:proofErr w:type="spellEnd"/>
      <w:r w:rsidRPr="006D39E3">
        <w:rPr>
          <w:rFonts w:asciiTheme="minorBidi" w:hAnsiTheme="minorBidi"/>
        </w:rPr>
        <w:t xml:space="preserve">, M.O., Isibor, N.J. and Ahmadu, J., (2023). A conceptual framework for transforming corporate finance through strategic growth, profitability, and risk optimization. </w:t>
      </w:r>
      <w:r w:rsidRPr="006D39E3">
        <w:rPr>
          <w:rFonts w:asciiTheme="minorBidi" w:hAnsiTheme="minorBidi"/>
          <w:i/>
          <w:iCs/>
        </w:rPr>
        <w:t>International Journal of Advanced Multidisciplinary Research and Studies</w:t>
      </w:r>
      <w:r w:rsidRPr="006D39E3">
        <w:rPr>
          <w:rFonts w:asciiTheme="minorBidi" w:hAnsiTheme="minorBidi"/>
        </w:rPr>
        <w:t xml:space="preserve">, </w:t>
      </w:r>
      <w:r w:rsidRPr="006D39E3">
        <w:rPr>
          <w:rFonts w:asciiTheme="minorBidi" w:hAnsiTheme="minorBidi"/>
          <w:i/>
          <w:iCs/>
        </w:rPr>
        <w:t>3</w:t>
      </w:r>
      <w:r w:rsidRPr="006D39E3">
        <w:rPr>
          <w:rFonts w:asciiTheme="minorBidi" w:hAnsiTheme="minorBidi"/>
        </w:rPr>
        <w:t>(5), pp.1527-1538.</w:t>
      </w:r>
      <w:hyperlink r:id="rId30" w:history="1">
        <w:r w:rsidRPr="006D39E3">
          <w:rPr>
            <w:rStyle w:val="Hyperlink"/>
            <w:rFonts w:asciiTheme="minorBidi" w:hAnsiTheme="minorBidi"/>
          </w:rPr>
          <w:t xml:space="preserve"> https://www.multiresearchjournal.com/admin/uploads/archives/archive-1742807323.pdf</w:t>
        </w:r>
      </w:hyperlink>
    </w:p>
    <w:p w14:paraId="4033409F" w14:textId="77777777" w:rsidR="0014130B" w:rsidRPr="006D39E3" w:rsidRDefault="0014130B" w:rsidP="0014130B">
      <w:pPr>
        <w:rPr>
          <w:rFonts w:asciiTheme="minorBidi" w:hAnsiTheme="minorBidi"/>
        </w:rPr>
      </w:pPr>
      <w:r w:rsidRPr="006D39E3">
        <w:rPr>
          <w:rFonts w:asciiTheme="minorBidi" w:hAnsiTheme="minorBidi"/>
        </w:rPr>
        <w:t xml:space="preserve">Sam, R., (2025). How to Adjust the P/E Ratio for Earnings Growth in Equity Valuation: PEG or </w:t>
      </w:r>
      <w:proofErr w:type="gramStart"/>
      <w:r w:rsidRPr="006D39E3">
        <w:rPr>
          <w:rFonts w:asciiTheme="minorBidi" w:hAnsiTheme="minorBidi"/>
        </w:rPr>
        <w:t>PPP?.</w:t>
      </w:r>
      <w:proofErr w:type="gramEnd"/>
      <w:r w:rsidRPr="006D39E3">
        <w:rPr>
          <w:rFonts w:asciiTheme="minorBidi" w:hAnsiTheme="minorBidi"/>
        </w:rPr>
        <w:t> </w:t>
      </w:r>
      <w:r w:rsidRPr="006D39E3">
        <w:rPr>
          <w:rFonts w:asciiTheme="minorBidi" w:hAnsiTheme="minorBidi"/>
          <w:i/>
          <w:iCs/>
        </w:rPr>
        <w:t>E Ratio for Earnings Growth in Equity Valuation: PEG or PPP</w:t>
      </w:r>
      <w:r w:rsidRPr="006D39E3">
        <w:rPr>
          <w:rFonts w:asciiTheme="minorBidi" w:hAnsiTheme="minorBidi"/>
        </w:rPr>
        <w:t xml:space="preserve">. </w:t>
      </w:r>
      <w:hyperlink r:id="rId31" w:history="1">
        <w:r w:rsidRPr="006D39E3">
          <w:rPr>
            <w:rStyle w:val="Hyperlink"/>
            <w:rFonts w:asciiTheme="minorBidi" w:hAnsiTheme="minorBidi"/>
          </w:rPr>
          <w:t>https://papers.ssrn.com/sol3/Delivery.cfm?abstractid=5241650</w:t>
        </w:r>
      </w:hyperlink>
    </w:p>
    <w:p w14:paraId="0942F1BA" w14:textId="77777777" w:rsidR="0014130B" w:rsidRPr="006D39E3" w:rsidRDefault="0014130B" w:rsidP="0014130B">
      <w:pPr>
        <w:rPr>
          <w:rFonts w:asciiTheme="minorBidi" w:hAnsiTheme="minorBidi"/>
        </w:rPr>
      </w:pPr>
      <w:r w:rsidRPr="006D39E3">
        <w:rPr>
          <w:rFonts w:asciiTheme="minorBidi" w:hAnsiTheme="minorBidi"/>
        </w:rPr>
        <w:t xml:space="preserve">Standaert, B. and </w:t>
      </w:r>
      <w:proofErr w:type="spellStart"/>
      <w:r w:rsidRPr="006D39E3">
        <w:rPr>
          <w:rFonts w:asciiTheme="minorBidi" w:hAnsiTheme="minorBidi"/>
        </w:rPr>
        <w:t>Ethgen</w:t>
      </w:r>
      <w:proofErr w:type="spellEnd"/>
      <w:r w:rsidRPr="006D39E3">
        <w:rPr>
          <w:rFonts w:asciiTheme="minorBidi" w:hAnsiTheme="minorBidi"/>
        </w:rPr>
        <w:t xml:space="preserve">, O. (2023). Discounting health gain: a different view. </w:t>
      </w:r>
      <w:r w:rsidRPr="006D39E3">
        <w:rPr>
          <w:rFonts w:asciiTheme="minorBidi" w:hAnsiTheme="minorBidi"/>
          <w:i/>
          <w:iCs/>
        </w:rPr>
        <w:t>Journal of Market Access &amp; Health Policy</w:t>
      </w:r>
      <w:r w:rsidRPr="006D39E3">
        <w:rPr>
          <w:rFonts w:asciiTheme="minorBidi" w:hAnsiTheme="minorBidi"/>
        </w:rPr>
        <w:t xml:space="preserve">, [online] 11(1). </w:t>
      </w:r>
      <w:hyperlink r:id="rId32" w:history="1">
        <w:r w:rsidRPr="006D39E3">
          <w:rPr>
            <w:rStyle w:val="Hyperlink"/>
            <w:rFonts w:asciiTheme="minorBidi" w:hAnsiTheme="minorBidi"/>
          </w:rPr>
          <w:t>https://pmc.ncbi.nlm.nih.gov/articles/PMC10627044/</w:t>
        </w:r>
      </w:hyperlink>
      <w:r w:rsidRPr="006D39E3">
        <w:rPr>
          <w:rFonts w:asciiTheme="minorBidi" w:hAnsiTheme="minorBidi"/>
        </w:rPr>
        <w:t xml:space="preserve">. </w:t>
      </w:r>
    </w:p>
    <w:p w14:paraId="68401781" w14:textId="77777777" w:rsidR="0014130B" w:rsidRPr="006D39E3" w:rsidRDefault="0014130B" w:rsidP="0014130B">
      <w:pPr>
        <w:rPr>
          <w:rFonts w:asciiTheme="minorBidi" w:hAnsiTheme="minorBidi"/>
        </w:rPr>
      </w:pPr>
      <w:r w:rsidRPr="006D39E3">
        <w:rPr>
          <w:rFonts w:asciiTheme="minorBidi" w:hAnsiTheme="minorBidi"/>
        </w:rPr>
        <w:t xml:space="preserve">Ugwu, I.V., </w:t>
      </w:r>
      <w:proofErr w:type="spellStart"/>
      <w:r w:rsidRPr="006D39E3">
        <w:rPr>
          <w:rFonts w:asciiTheme="minorBidi" w:hAnsiTheme="minorBidi"/>
        </w:rPr>
        <w:t>Ekwochi</w:t>
      </w:r>
      <w:proofErr w:type="spellEnd"/>
      <w:r w:rsidRPr="006D39E3">
        <w:rPr>
          <w:rFonts w:asciiTheme="minorBidi" w:hAnsiTheme="minorBidi"/>
        </w:rPr>
        <w:t>, E.A. and Ogbu, C.G., (2021). Logical consequence of liquidity management on firm profitability. </w:t>
      </w:r>
      <w:r w:rsidRPr="006D39E3">
        <w:rPr>
          <w:rFonts w:asciiTheme="minorBidi" w:hAnsiTheme="minorBidi"/>
          <w:i/>
          <w:iCs/>
        </w:rPr>
        <w:t>IJAMSR</w:t>
      </w:r>
      <w:r w:rsidRPr="006D39E3">
        <w:rPr>
          <w:rFonts w:asciiTheme="minorBidi" w:hAnsiTheme="minorBidi"/>
        </w:rPr>
        <w:t>, </w:t>
      </w:r>
      <w:r w:rsidRPr="006D39E3">
        <w:rPr>
          <w:rFonts w:asciiTheme="minorBidi" w:hAnsiTheme="minorBidi"/>
          <w:i/>
          <w:iCs/>
        </w:rPr>
        <w:t>5</w:t>
      </w:r>
      <w:r w:rsidRPr="006D39E3">
        <w:rPr>
          <w:rFonts w:asciiTheme="minorBidi" w:hAnsiTheme="minorBidi"/>
        </w:rPr>
        <w:t xml:space="preserve">, pp.265-279. </w:t>
      </w:r>
      <w:hyperlink r:id="rId33" w:history="1">
        <w:r w:rsidRPr="006D39E3">
          <w:rPr>
            <w:rStyle w:val="Hyperlink"/>
            <w:rFonts w:asciiTheme="minorBidi" w:hAnsiTheme="minorBidi"/>
          </w:rPr>
          <w:t>https://www.researchgate.net/profile/Ekwochi-Adaeze/publication/352065048_Logical_Consequence_Of_Liquidity_Management_On_Firm_Profitability/links/60b7f6dba6fdccb96f4d81ef/Logical-Consequence-Of-Liquidity-Management-On-Firm-Profitability.pdf</w:t>
        </w:r>
      </w:hyperlink>
    </w:p>
    <w:p w14:paraId="7DD28CC5" w14:textId="77777777" w:rsidR="0014130B" w:rsidRPr="006D39E3" w:rsidRDefault="0014130B" w:rsidP="0014130B">
      <w:pPr>
        <w:rPr>
          <w:rStyle w:val="Hyperlink"/>
          <w:rFonts w:asciiTheme="minorBidi" w:hAnsiTheme="minorBidi"/>
        </w:rPr>
      </w:pPr>
      <w:r w:rsidRPr="006D39E3">
        <w:rPr>
          <w:rFonts w:asciiTheme="minorBidi" w:hAnsiTheme="minorBidi"/>
        </w:rPr>
        <w:t xml:space="preserve">Xie, Z., Liu, X., Najam, H., Fu, Q., Abbas, J., Comite, U., Cismas, L.M. and </w:t>
      </w:r>
      <w:proofErr w:type="spellStart"/>
      <w:r w:rsidRPr="006D39E3">
        <w:rPr>
          <w:rFonts w:asciiTheme="minorBidi" w:hAnsiTheme="minorBidi"/>
        </w:rPr>
        <w:t>Miculescu</w:t>
      </w:r>
      <w:proofErr w:type="spellEnd"/>
      <w:r w:rsidRPr="006D39E3">
        <w:rPr>
          <w:rFonts w:asciiTheme="minorBidi" w:hAnsiTheme="minorBidi"/>
        </w:rPr>
        <w:t xml:space="preserve">, A., (2022). Achieving financial sustainability through revenue diversification: A green pathway for financial institutions in Asia. </w:t>
      </w:r>
      <w:r w:rsidRPr="006D39E3">
        <w:rPr>
          <w:rFonts w:asciiTheme="minorBidi" w:hAnsiTheme="minorBidi"/>
          <w:i/>
          <w:iCs/>
        </w:rPr>
        <w:t>Sustainability</w:t>
      </w:r>
      <w:r w:rsidRPr="006D39E3">
        <w:rPr>
          <w:rFonts w:asciiTheme="minorBidi" w:hAnsiTheme="minorBidi"/>
        </w:rPr>
        <w:t xml:space="preserve">, </w:t>
      </w:r>
      <w:r w:rsidRPr="006D39E3">
        <w:rPr>
          <w:rFonts w:asciiTheme="minorBidi" w:hAnsiTheme="minorBidi"/>
          <w:i/>
          <w:iCs/>
        </w:rPr>
        <w:t>14</w:t>
      </w:r>
      <w:r w:rsidRPr="006D39E3">
        <w:rPr>
          <w:rFonts w:asciiTheme="minorBidi" w:hAnsiTheme="minorBidi"/>
        </w:rPr>
        <w:t>(6), p.3512.</w:t>
      </w:r>
      <w:hyperlink r:id="rId34" w:history="1">
        <w:r w:rsidRPr="006D39E3">
          <w:rPr>
            <w:rStyle w:val="Hyperlink"/>
            <w:rFonts w:asciiTheme="minorBidi" w:hAnsiTheme="minorBidi"/>
          </w:rPr>
          <w:t xml:space="preserve"> https://www.mdpi.com/2071-1050/14/6/3512</w:t>
        </w:r>
      </w:hyperlink>
    </w:p>
    <w:p w14:paraId="40EDE2A4" w14:textId="77777777" w:rsidR="0014130B" w:rsidRPr="006D39E3" w:rsidRDefault="0014130B">
      <w:pPr>
        <w:rPr>
          <w:rFonts w:asciiTheme="minorBidi" w:hAnsiTheme="minorBidi"/>
        </w:rPr>
      </w:pPr>
    </w:p>
    <w:p w14:paraId="0C5D184D" w14:textId="77777777" w:rsidR="00CF13D0" w:rsidRPr="006D39E3" w:rsidRDefault="00CF13D0">
      <w:pPr>
        <w:spacing w:before="0" w:after="160" w:line="278" w:lineRule="auto"/>
        <w:jc w:val="left"/>
        <w:rPr>
          <w:rFonts w:asciiTheme="minorBidi" w:hAnsiTheme="minorBidi"/>
        </w:rPr>
      </w:pPr>
      <w:r w:rsidRPr="006D39E3">
        <w:rPr>
          <w:rFonts w:asciiTheme="minorBidi" w:hAnsiTheme="minorBidi"/>
        </w:rPr>
        <w:lastRenderedPageBreak/>
        <w:br w:type="page"/>
      </w:r>
    </w:p>
    <w:p w14:paraId="225DB517" w14:textId="72E43481" w:rsidR="00CF13D0" w:rsidRPr="006D39E3" w:rsidRDefault="00CF13D0" w:rsidP="00CF13D0">
      <w:pPr>
        <w:pStyle w:val="Heading1"/>
        <w:rPr>
          <w:rFonts w:asciiTheme="minorBidi" w:hAnsiTheme="minorBidi" w:cstheme="minorBidi"/>
        </w:rPr>
      </w:pPr>
      <w:bookmarkStart w:id="34" w:name="_Toc213265074"/>
      <w:r w:rsidRPr="006D39E3">
        <w:rPr>
          <w:rFonts w:asciiTheme="minorBidi" w:hAnsiTheme="minorBidi" w:cstheme="minorBidi"/>
        </w:rPr>
        <w:lastRenderedPageBreak/>
        <w:t>Appendices</w:t>
      </w:r>
      <w:bookmarkEnd w:id="34"/>
    </w:p>
    <w:p w14:paraId="3B0ED4C1" w14:textId="04D024D9" w:rsidR="00CF13D0" w:rsidRPr="006D39E3" w:rsidRDefault="00CF13D0" w:rsidP="00CF13D0">
      <w:pPr>
        <w:pStyle w:val="Heading2"/>
        <w:rPr>
          <w:rFonts w:asciiTheme="minorBidi" w:hAnsiTheme="minorBidi" w:cstheme="minorBidi"/>
        </w:rPr>
      </w:pPr>
      <w:bookmarkStart w:id="35" w:name="_Toc213265075"/>
      <w:r w:rsidRPr="006D39E3">
        <w:rPr>
          <w:rFonts w:asciiTheme="minorBidi" w:hAnsiTheme="minorBidi" w:cstheme="minorBidi"/>
        </w:rPr>
        <w:t>Appendix 1: Profitability ratio</w:t>
      </w:r>
      <w:bookmarkEnd w:id="35"/>
    </w:p>
    <w:p w14:paraId="7D5515B3" w14:textId="13558E9A" w:rsidR="00CF13D0" w:rsidRPr="006D39E3" w:rsidRDefault="00CF13D0">
      <w:pPr>
        <w:rPr>
          <w:rFonts w:asciiTheme="minorBidi" w:hAnsiTheme="minorBidi"/>
        </w:rPr>
      </w:pPr>
      <w:r w:rsidRPr="006D39E3">
        <w:rPr>
          <w:rFonts w:asciiTheme="minorBidi" w:hAnsiTheme="minorBidi"/>
          <w:noProof/>
        </w:rPr>
        <w:drawing>
          <wp:inline distT="0" distB="0" distL="0" distR="0" wp14:anchorId="55B8E9A9" wp14:editId="370115AE">
            <wp:extent cx="5731510" cy="768985"/>
            <wp:effectExtent l="0" t="0" r="2540" b="0"/>
            <wp:docPr id="845775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768985"/>
                    </a:xfrm>
                    <a:prstGeom prst="rect">
                      <a:avLst/>
                    </a:prstGeom>
                    <a:noFill/>
                    <a:ln>
                      <a:noFill/>
                    </a:ln>
                  </pic:spPr>
                </pic:pic>
              </a:graphicData>
            </a:graphic>
          </wp:inline>
        </w:drawing>
      </w:r>
    </w:p>
    <w:p w14:paraId="63E6FAFC" w14:textId="72AF57BB" w:rsidR="00CF13D0" w:rsidRPr="006D39E3" w:rsidRDefault="00CF13D0">
      <w:pPr>
        <w:rPr>
          <w:rFonts w:asciiTheme="minorBidi" w:hAnsiTheme="minorBidi"/>
        </w:rPr>
      </w:pPr>
      <w:r w:rsidRPr="006D39E3">
        <w:rPr>
          <w:rFonts w:asciiTheme="minorBidi" w:hAnsiTheme="minorBidi"/>
          <w:noProof/>
        </w:rPr>
        <w:drawing>
          <wp:inline distT="0" distB="0" distL="0" distR="0" wp14:anchorId="2B0F8D04" wp14:editId="38BE2C1E">
            <wp:extent cx="4584700" cy="2755900"/>
            <wp:effectExtent l="0" t="0" r="6350" b="6350"/>
            <wp:docPr id="7944002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586D325" w14:textId="70DE5069" w:rsidR="00CF13D0" w:rsidRPr="006D39E3" w:rsidRDefault="00CF13D0" w:rsidP="00CF13D0">
      <w:pPr>
        <w:pStyle w:val="Heading2"/>
        <w:rPr>
          <w:rFonts w:asciiTheme="minorBidi" w:hAnsiTheme="minorBidi" w:cstheme="minorBidi"/>
        </w:rPr>
      </w:pPr>
      <w:bookmarkStart w:id="36" w:name="_Toc213265076"/>
      <w:r w:rsidRPr="006D39E3">
        <w:rPr>
          <w:rFonts w:asciiTheme="minorBidi" w:hAnsiTheme="minorBidi" w:cstheme="minorBidi"/>
        </w:rPr>
        <w:t>Appendix 2: Liquidity Ratio</w:t>
      </w:r>
      <w:bookmarkEnd w:id="36"/>
    </w:p>
    <w:p w14:paraId="265A57BD" w14:textId="0489C988" w:rsidR="00CF13D0" w:rsidRPr="006D39E3" w:rsidRDefault="00CF13D0">
      <w:pPr>
        <w:rPr>
          <w:rFonts w:asciiTheme="minorBidi" w:hAnsiTheme="minorBidi"/>
        </w:rPr>
      </w:pPr>
      <w:r w:rsidRPr="006D39E3">
        <w:rPr>
          <w:rFonts w:asciiTheme="minorBidi" w:hAnsiTheme="minorBidi"/>
          <w:noProof/>
        </w:rPr>
        <w:drawing>
          <wp:inline distT="0" distB="0" distL="0" distR="0" wp14:anchorId="4D284D47" wp14:editId="55818E94">
            <wp:extent cx="5731510" cy="878205"/>
            <wp:effectExtent l="0" t="0" r="2540" b="0"/>
            <wp:docPr id="5035646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878205"/>
                    </a:xfrm>
                    <a:prstGeom prst="rect">
                      <a:avLst/>
                    </a:prstGeom>
                    <a:noFill/>
                    <a:ln>
                      <a:noFill/>
                    </a:ln>
                  </pic:spPr>
                </pic:pic>
              </a:graphicData>
            </a:graphic>
          </wp:inline>
        </w:drawing>
      </w:r>
    </w:p>
    <w:p w14:paraId="683909A7" w14:textId="06EF7ACD" w:rsidR="00CF13D0" w:rsidRPr="006D39E3" w:rsidRDefault="00CF13D0">
      <w:pPr>
        <w:rPr>
          <w:rFonts w:asciiTheme="minorBidi" w:hAnsiTheme="minorBidi"/>
        </w:rPr>
      </w:pPr>
      <w:r w:rsidRPr="006D39E3">
        <w:rPr>
          <w:rFonts w:asciiTheme="minorBidi" w:hAnsiTheme="minorBidi"/>
          <w:noProof/>
        </w:rPr>
        <w:drawing>
          <wp:inline distT="0" distB="0" distL="0" distR="0" wp14:anchorId="5CC18952" wp14:editId="4BBDD5DA">
            <wp:extent cx="2907706" cy="1747845"/>
            <wp:effectExtent l="0" t="0" r="6985" b="5080"/>
            <wp:docPr id="2143685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913243" cy="1751174"/>
                    </a:xfrm>
                    <a:prstGeom prst="rect">
                      <a:avLst/>
                    </a:prstGeom>
                    <a:noFill/>
                  </pic:spPr>
                </pic:pic>
              </a:graphicData>
            </a:graphic>
          </wp:inline>
        </w:drawing>
      </w:r>
    </w:p>
    <w:p w14:paraId="6FE18950" w14:textId="0A591C0C" w:rsidR="00CF13D0" w:rsidRPr="006D39E3" w:rsidRDefault="00CF13D0" w:rsidP="00CF13D0">
      <w:pPr>
        <w:pStyle w:val="Heading2"/>
        <w:rPr>
          <w:rFonts w:asciiTheme="minorBidi" w:hAnsiTheme="minorBidi" w:cstheme="minorBidi"/>
        </w:rPr>
      </w:pPr>
      <w:bookmarkStart w:id="37" w:name="_Toc213265077"/>
      <w:r w:rsidRPr="006D39E3">
        <w:rPr>
          <w:rFonts w:asciiTheme="minorBidi" w:hAnsiTheme="minorBidi" w:cstheme="minorBidi"/>
        </w:rPr>
        <w:lastRenderedPageBreak/>
        <w:t>Appendix 3: Efficiency and working capital ratios</w:t>
      </w:r>
      <w:bookmarkEnd w:id="37"/>
    </w:p>
    <w:p w14:paraId="61AF1C47" w14:textId="15D8A01B" w:rsidR="00CF13D0" w:rsidRPr="006D39E3" w:rsidRDefault="00CF13D0">
      <w:pPr>
        <w:rPr>
          <w:rFonts w:asciiTheme="minorBidi" w:hAnsiTheme="minorBidi"/>
        </w:rPr>
      </w:pPr>
      <w:r w:rsidRPr="006D39E3">
        <w:rPr>
          <w:rFonts w:asciiTheme="minorBidi" w:hAnsiTheme="minorBidi"/>
          <w:noProof/>
        </w:rPr>
        <w:drawing>
          <wp:inline distT="0" distB="0" distL="0" distR="0" wp14:anchorId="5B2D8BC0" wp14:editId="3343930D">
            <wp:extent cx="5731510" cy="768985"/>
            <wp:effectExtent l="0" t="0" r="2540" b="0"/>
            <wp:docPr id="5691507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768985"/>
                    </a:xfrm>
                    <a:prstGeom prst="rect">
                      <a:avLst/>
                    </a:prstGeom>
                    <a:noFill/>
                    <a:ln>
                      <a:noFill/>
                    </a:ln>
                  </pic:spPr>
                </pic:pic>
              </a:graphicData>
            </a:graphic>
          </wp:inline>
        </w:drawing>
      </w:r>
    </w:p>
    <w:p w14:paraId="6F8B8D92" w14:textId="3549B969" w:rsidR="00CF13D0" w:rsidRPr="006D39E3" w:rsidRDefault="00CF13D0">
      <w:pPr>
        <w:rPr>
          <w:rFonts w:asciiTheme="minorBidi" w:hAnsiTheme="minorBidi"/>
        </w:rPr>
      </w:pPr>
      <w:r w:rsidRPr="006D39E3">
        <w:rPr>
          <w:rFonts w:asciiTheme="minorBidi" w:hAnsiTheme="minorBidi"/>
          <w:noProof/>
        </w:rPr>
        <w:drawing>
          <wp:inline distT="0" distB="0" distL="0" distR="0" wp14:anchorId="5FEEDD63" wp14:editId="355F15B4">
            <wp:extent cx="3450590" cy="2077054"/>
            <wp:effectExtent l="0" t="0" r="0" b="0"/>
            <wp:docPr id="75451016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454523" cy="2079422"/>
                    </a:xfrm>
                    <a:prstGeom prst="rect">
                      <a:avLst/>
                    </a:prstGeom>
                    <a:noFill/>
                  </pic:spPr>
                </pic:pic>
              </a:graphicData>
            </a:graphic>
          </wp:inline>
        </w:drawing>
      </w:r>
    </w:p>
    <w:p w14:paraId="7447A9A9" w14:textId="61C9E0AA" w:rsidR="00CF13D0" w:rsidRPr="006D39E3" w:rsidRDefault="00CF13D0" w:rsidP="00CF13D0">
      <w:pPr>
        <w:pStyle w:val="Heading2"/>
        <w:rPr>
          <w:rFonts w:asciiTheme="minorBidi" w:hAnsiTheme="minorBidi" w:cstheme="minorBidi"/>
        </w:rPr>
      </w:pPr>
      <w:bookmarkStart w:id="38" w:name="_Toc213265078"/>
      <w:r w:rsidRPr="006D39E3">
        <w:rPr>
          <w:rFonts w:asciiTheme="minorBidi" w:hAnsiTheme="minorBidi" w:cstheme="minorBidi"/>
        </w:rPr>
        <w:t>Appendix 4: Leverage and solvency ratios</w:t>
      </w:r>
      <w:bookmarkEnd w:id="38"/>
    </w:p>
    <w:p w14:paraId="214ABA0D" w14:textId="5862BF11" w:rsidR="00CF13D0" w:rsidRPr="006D39E3" w:rsidRDefault="00CF13D0">
      <w:pPr>
        <w:rPr>
          <w:rFonts w:asciiTheme="minorBidi" w:hAnsiTheme="minorBidi"/>
        </w:rPr>
      </w:pPr>
      <w:r w:rsidRPr="006D39E3">
        <w:rPr>
          <w:rFonts w:asciiTheme="minorBidi" w:hAnsiTheme="minorBidi"/>
          <w:noProof/>
        </w:rPr>
        <w:drawing>
          <wp:inline distT="0" distB="0" distL="0" distR="0" wp14:anchorId="23793F3E" wp14:editId="7B21897C">
            <wp:extent cx="5731510" cy="878205"/>
            <wp:effectExtent l="0" t="0" r="2540" b="0"/>
            <wp:docPr id="19694705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878205"/>
                    </a:xfrm>
                    <a:prstGeom prst="rect">
                      <a:avLst/>
                    </a:prstGeom>
                    <a:noFill/>
                    <a:ln>
                      <a:noFill/>
                    </a:ln>
                  </pic:spPr>
                </pic:pic>
              </a:graphicData>
            </a:graphic>
          </wp:inline>
        </w:drawing>
      </w:r>
    </w:p>
    <w:p w14:paraId="4DAE0968" w14:textId="2BE05478" w:rsidR="00CF13D0" w:rsidRPr="006D39E3" w:rsidRDefault="00CF13D0">
      <w:pPr>
        <w:rPr>
          <w:rFonts w:asciiTheme="minorBidi" w:hAnsiTheme="minorBidi"/>
        </w:rPr>
      </w:pPr>
      <w:r w:rsidRPr="006D39E3">
        <w:rPr>
          <w:rFonts w:asciiTheme="minorBidi" w:hAnsiTheme="minorBidi"/>
          <w:noProof/>
        </w:rPr>
        <w:drawing>
          <wp:inline distT="0" distB="0" distL="0" distR="0" wp14:anchorId="523245C0" wp14:editId="040434DC">
            <wp:extent cx="3703955" cy="2222064"/>
            <wp:effectExtent l="0" t="0" r="0" b="6985"/>
            <wp:docPr id="10084832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708748" cy="2224939"/>
                    </a:xfrm>
                    <a:prstGeom prst="rect">
                      <a:avLst/>
                    </a:prstGeom>
                    <a:noFill/>
                  </pic:spPr>
                </pic:pic>
              </a:graphicData>
            </a:graphic>
          </wp:inline>
        </w:drawing>
      </w:r>
    </w:p>
    <w:p w14:paraId="4D7BA81C" w14:textId="0513248A" w:rsidR="00CF13D0" w:rsidRPr="006D39E3" w:rsidRDefault="00CF13D0" w:rsidP="00CF13D0">
      <w:pPr>
        <w:pStyle w:val="Heading2"/>
        <w:rPr>
          <w:rFonts w:asciiTheme="minorBidi" w:hAnsiTheme="minorBidi" w:cstheme="minorBidi"/>
        </w:rPr>
      </w:pPr>
      <w:bookmarkStart w:id="39" w:name="_Toc213265079"/>
      <w:r w:rsidRPr="006D39E3">
        <w:rPr>
          <w:rFonts w:asciiTheme="minorBidi" w:hAnsiTheme="minorBidi" w:cstheme="minorBidi"/>
        </w:rPr>
        <w:lastRenderedPageBreak/>
        <w:t>Appendix 5: Investment and market ratios</w:t>
      </w:r>
      <w:bookmarkEnd w:id="39"/>
    </w:p>
    <w:p w14:paraId="01FDF983" w14:textId="221F7B40" w:rsidR="00CF13D0" w:rsidRPr="006D39E3" w:rsidRDefault="00CF13D0">
      <w:pPr>
        <w:rPr>
          <w:rFonts w:asciiTheme="minorBidi" w:hAnsiTheme="minorBidi"/>
        </w:rPr>
      </w:pPr>
      <w:r w:rsidRPr="006D39E3">
        <w:rPr>
          <w:rFonts w:asciiTheme="minorBidi" w:hAnsiTheme="minorBidi"/>
          <w:noProof/>
        </w:rPr>
        <w:drawing>
          <wp:inline distT="0" distB="0" distL="0" distR="0" wp14:anchorId="21B8F140" wp14:editId="3175FEE8">
            <wp:extent cx="5731510" cy="680720"/>
            <wp:effectExtent l="0" t="0" r="2540" b="5080"/>
            <wp:docPr id="494269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680720"/>
                    </a:xfrm>
                    <a:prstGeom prst="rect">
                      <a:avLst/>
                    </a:prstGeom>
                    <a:noFill/>
                    <a:ln>
                      <a:noFill/>
                    </a:ln>
                  </pic:spPr>
                </pic:pic>
              </a:graphicData>
            </a:graphic>
          </wp:inline>
        </w:drawing>
      </w:r>
    </w:p>
    <w:p w14:paraId="009D6F35" w14:textId="38AF775A" w:rsidR="00CF13D0" w:rsidRPr="006D39E3" w:rsidRDefault="00CF13D0">
      <w:pPr>
        <w:rPr>
          <w:rFonts w:asciiTheme="minorBidi" w:hAnsiTheme="minorBidi"/>
        </w:rPr>
      </w:pPr>
      <w:r w:rsidRPr="006D39E3">
        <w:rPr>
          <w:rFonts w:asciiTheme="minorBidi" w:hAnsiTheme="minorBidi"/>
          <w:noProof/>
        </w:rPr>
        <w:drawing>
          <wp:inline distT="0" distB="0" distL="0" distR="0" wp14:anchorId="7E494DBB" wp14:editId="36F227CD">
            <wp:extent cx="3784600" cy="2274953"/>
            <wp:effectExtent l="0" t="0" r="6350" b="0"/>
            <wp:docPr id="13397845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788459" cy="2277272"/>
                    </a:xfrm>
                    <a:prstGeom prst="rect">
                      <a:avLst/>
                    </a:prstGeom>
                    <a:noFill/>
                  </pic:spPr>
                </pic:pic>
              </a:graphicData>
            </a:graphic>
          </wp:inline>
        </w:drawing>
      </w:r>
    </w:p>
    <w:p w14:paraId="4DE27E46" w14:textId="487CCBEE" w:rsidR="00CF13D0" w:rsidRPr="006D39E3" w:rsidRDefault="00CF13D0" w:rsidP="00CF13D0">
      <w:pPr>
        <w:pStyle w:val="Heading2"/>
        <w:rPr>
          <w:rFonts w:asciiTheme="minorBidi" w:hAnsiTheme="minorBidi" w:cstheme="minorBidi"/>
        </w:rPr>
      </w:pPr>
      <w:bookmarkStart w:id="40" w:name="_Toc213265080"/>
      <w:r w:rsidRPr="006D39E3">
        <w:rPr>
          <w:rFonts w:asciiTheme="minorBidi" w:hAnsiTheme="minorBidi" w:cstheme="minorBidi"/>
        </w:rPr>
        <w:t>Appendix 6: Cash flow analysis</w:t>
      </w:r>
      <w:bookmarkEnd w:id="40"/>
    </w:p>
    <w:p w14:paraId="02E117EA" w14:textId="392315EF" w:rsidR="00CF13D0" w:rsidRPr="006D39E3" w:rsidRDefault="00CF13D0">
      <w:pPr>
        <w:rPr>
          <w:rFonts w:asciiTheme="minorBidi" w:hAnsiTheme="minorBidi"/>
        </w:rPr>
      </w:pPr>
      <w:r w:rsidRPr="006D39E3">
        <w:rPr>
          <w:rFonts w:asciiTheme="minorBidi" w:hAnsiTheme="minorBidi"/>
          <w:noProof/>
        </w:rPr>
        <w:drawing>
          <wp:inline distT="0" distB="0" distL="0" distR="0" wp14:anchorId="40AEE9C8" wp14:editId="42217DF3">
            <wp:extent cx="5731510" cy="680720"/>
            <wp:effectExtent l="0" t="0" r="2540" b="5080"/>
            <wp:docPr id="19082891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680720"/>
                    </a:xfrm>
                    <a:prstGeom prst="rect">
                      <a:avLst/>
                    </a:prstGeom>
                    <a:noFill/>
                    <a:ln>
                      <a:noFill/>
                    </a:ln>
                  </pic:spPr>
                </pic:pic>
              </a:graphicData>
            </a:graphic>
          </wp:inline>
        </w:drawing>
      </w:r>
    </w:p>
    <w:p w14:paraId="35A5DDEF" w14:textId="415CE51B" w:rsidR="007F3500" w:rsidRPr="006D39E3" w:rsidRDefault="00CF13D0">
      <w:pPr>
        <w:rPr>
          <w:rFonts w:asciiTheme="minorBidi" w:hAnsiTheme="minorBidi"/>
        </w:rPr>
      </w:pPr>
      <w:r w:rsidRPr="006D39E3">
        <w:rPr>
          <w:rFonts w:asciiTheme="minorBidi" w:hAnsiTheme="minorBidi"/>
          <w:noProof/>
        </w:rPr>
        <w:drawing>
          <wp:inline distT="0" distB="0" distL="0" distR="0" wp14:anchorId="02320EF2" wp14:editId="3D8E82A7">
            <wp:extent cx="4056508" cy="2438400"/>
            <wp:effectExtent l="0" t="0" r="1270" b="0"/>
            <wp:docPr id="81795265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064760" cy="2443361"/>
                    </a:xfrm>
                    <a:prstGeom prst="rect">
                      <a:avLst/>
                    </a:prstGeom>
                    <a:noFill/>
                  </pic:spPr>
                </pic:pic>
              </a:graphicData>
            </a:graphic>
          </wp:inline>
        </w:drawing>
      </w:r>
    </w:p>
    <w:p w14:paraId="23CE185F" w14:textId="77777777" w:rsidR="007F3500" w:rsidRPr="006D39E3" w:rsidRDefault="007F3500">
      <w:pPr>
        <w:spacing w:before="0" w:after="160" w:line="278" w:lineRule="auto"/>
        <w:jc w:val="left"/>
        <w:rPr>
          <w:rFonts w:asciiTheme="minorBidi" w:hAnsiTheme="minorBidi"/>
        </w:rPr>
      </w:pPr>
      <w:r w:rsidRPr="006D39E3">
        <w:rPr>
          <w:rFonts w:asciiTheme="minorBidi" w:hAnsiTheme="minorBidi"/>
        </w:rPr>
        <w:br w:type="page"/>
      </w:r>
    </w:p>
    <w:p w14:paraId="58B8B74D" w14:textId="6D3BA372" w:rsidR="00CF13D0" w:rsidRPr="006D39E3" w:rsidRDefault="007F3500" w:rsidP="007F3500">
      <w:pPr>
        <w:pStyle w:val="Heading2"/>
        <w:rPr>
          <w:rFonts w:asciiTheme="minorBidi" w:hAnsiTheme="minorBidi" w:cstheme="minorBidi"/>
        </w:rPr>
      </w:pPr>
      <w:bookmarkStart w:id="41" w:name="_Toc213265081"/>
      <w:r w:rsidRPr="006D39E3">
        <w:rPr>
          <w:rFonts w:asciiTheme="minorBidi" w:hAnsiTheme="minorBidi" w:cstheme="minorBidi"/>
        </w:rPr>
        <w:lastRenderedPageBreak/>
        <w:t xml:space="preserve">Appendix </w:t>
      </w:r>
      <w:proofErr w:type="gramStart"/>
      <w:r w:rsidRPr="006D39E3">
        <w:rPr>
          <w:rFonts w:asciiTheme="minorBidi" w:hAnsiTheme="minorBidi" w:cstheme="minorBidi"/>
        </w:rPr>
        <w:t>7 :</w:t>
      </w:r>
      <w:proofErr w:type="gramEnd"/>
      <w:r w:rsidRPr="006D39E3">
        <w:rPr>
          <w:rFonts w:asciiTheme="minorBidi" w:hAnsiTheme="minorBidi" w:cstheme="minorBidi"/>
        </w:rPr>
        <w:t xml:space="preserve"> Cash Conversion Cycle</w:t>
      </w:r>
      <w:bookmarkEnd w:id="41"/>
      <w:r w:rsidRPr="006D39E3">
        <w:rPr>
          <w:rFonts w:asciiTheme="minorBidi" w:hAnsiTheme="minorBidi" w:cstheme="minorBidi"/>
        </w:rPr>
        <w:t xml:space="preserve"> </w:t>
      </w:r>
    </w:p>
    <w:tbl>
      <w:tblPr>
        <w:tblW w:w="5000" w:type="pct"/>
        <w:tblLook w:val="04A0" w:firstRow="1" w:lastRow="0" w:firstColumn="1" w:lastColumn="0" w:noHBand="0" w:noVBand="1"/>
      </w:tblPr>
      <w:tblGrid>
        <w:gridCol w:w="3847"/>
        <w:gridCol w:w="1074"/>
        <w:gridCol w:w="873"/>
        <w:gridCol w:w="1074"/>
        <w:gridCol w:w="1074"/>
        <w:gridCol w:w="1074"/>
      </w:tblGrid>
      <w:tr w:rsidR="007F3500" w:rsidRPr="006D39E3" w14:paraId="6BBEF64E" w14:textId="77777777" w:rsidTr="007F3500">
        <w:trPr>
          <w:trHeight w:val="312"/>
        </w:trPr>
        <w:tc>
          <w:tcPr>
            <w:tcW w:w="1986" w:type="pct"/>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7CD44EC2" w14:textId="77777777" w:rsidR="007F3500" w:rsidRPr="006D39E3" w:rsidRDefault="007F3500" w:rsidP="007F3500">
            <w:pPr>
              <w:spacing w:before="0" w:after="0" w:line="240" w:lineRule="auto"/>
              <w:jc w:val="center"/>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Ratio</w:t>
            </w:r>
          </w:p>
        </w:tc>
        <w:tc>
          <w:tcPr>
            <w:tcW w:w="1043" w:type="pct"/>
            <w:tcBorders>
              <w:top w:val="single" w:sz="4" w:space="0" w:color="auto"/>
              <w:left w:val="nil"/>
              <w:bottom w:val="single" w:sz="4" w:space="0" w:color="auto"/>
              <w:right w:val="single" w:sz="4" w:space="0" w:color="auto"/>
            </w:tcBorders>
            <w:shd w:val="clear" w:color="000000" w:fill="FFC000"/>
            <w:noWrap/>
            <w:vAlign w:val="center"/>
            <w:hideMark/>
          </w:tcPr>
          <w:p w14:paraId="77DE6621" w14:textId="77777777" w:rsidR="007F3500" w:rsidRPr="006D39E3" w:rsidRDefault="007F3500" w:rsidP="007F3500">
            <w:pPr>
              <w:spacing w:before="0" w:after="0" w:line="240" w:lineRule="auto"/>
              <w:jc w:val="lef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2024</w:t>
            </w:r>
          </w:p>
        </w:tc>
        <w:tc>
          <w:tcPr>
            <w:tcW w:w="416" w:type="pct"/>
            <w:tcBorders>
              <w:top w:val="single" w:sz="4" w:space="0" w:color="auto"/>
              <w:left w:val="nil"/>
              <w:bottom w:val="single" w:sz="4" w:space="0" w:color="auto"/>
              <w:right w:val="single" w:sz="4" w:space="0" w:color="auto"/>
            </w:tcBorders>
            <w:shd w:val="clear" w:color="000000" w:fill="FFC000"/>
            <w:noWrap/>
            <w:vAlign w:val="center"/>
            <w:hideMark/>
          </w:tcPr>
          <w:p w14:paraId="2A00F15B" w14:textId="77777777" w:rsidR="007F3500" w:rsidRPr="006D39E3" w:rsidRDefault="007F3500" w:rsidP="007F3500">
            <w:pPr>
              <w:spacing w:before="0" w:after="0" w:line="240" w:lineRule="auto"/>
              <w:jc w:val="lef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2023</w:t>
            </w:r>
          </w:p>
        </w:tc>
        <w:tc>
          <w:tcPr>
            <w:tcW w:w="518" w:type="pct"/>
            <w:tcBorders>
              <w:top w:val="single" w:sz="4" w:space="0" w:color="auto"/>
              <w:left w:val="nil"/>
              <w:bottom w:val="single" w:sz="4" w:space="0" w:color="auto"/>
              <w:right w:val="single" w:sz="4" w:space="0" w:color="auto"/>
            </w:tcBorders>
            <w:shd w:val="clear" w:color="000000" w:fill="FFC000"/>
            <w:noWrap/>
            <w:vAlign w:val="bottom"/>
            <w:hideMark/>
          </w:tcPr>
          <w:p w14:paraId="01380329" w14:textId="77777777" w:rsidR="007F3500" w:rsidRPr="006D39E3" w:rsidRDefault="007F3500" w:rsidP="007F3500">
            <w:pPr>
              <w:spacing w:before="0" w:after="0" w:line="240" w:lineRule="auto"/>
              <w:jc w:val="lef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2022</w:t>
            </w:r>
          </w:p>
        </w:tc>
        <w:tc>
          <w:tcPr>
            <w:tcW w:w="518" w:type="pct"/>
            <w:tcBorders>
              <w:top w:val="single" w:sz="4" w:space="0" w:color="auto"/>
              <w:left w:val="nil"/>
              <w:bottom w:val="single" w:sz="4" w:space="0" w:color="auto"/>
              <w:right w:val="single" w:sz="4" w:space="0" w:color="auto"/>
            </w:tcBorders>
            <w:shd w:val="clear" w:color="000000" w:fill="FFC000"/>
            <w:noWrap/>
            <w:vAlign w:val="center"/>
            <w:hideMark/>
          </w:tcPr>
          <w:p w14:paraId="5CDDD9DD" w14:textId="77777777" w:rsidR="007F3500" w:rsidRPr="006D39E3" w:rsidRDefault="007F3500" w:rsidP="007F3500">
            <w:pPr>
              <w:spacing w:before="0" w:after="0" w:line="240" w:lineRule="auto"/>
              <w:jc w:val="lef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2021</w:t>
            </w:r>
          </w:p>
        </w:tc>
        <w:tc>
          <w:tcPr>
            <w:tcW w:w="518" w:type="pct"/>
            <w:tcBorders>
              <w:top w:val="single" w:sz="4" w:space="0" w:color="auto"/>
              <w:left w:val="nil"/>
              <w:bottom w:val="single" w:sz="4" w:space="0" w:color="auto"/>
              <w:right w:val="single" w:sz="4" w:space="0" w:color="auto"/>
            </w:tcBorders>
            <w:shd w:val="clear" w:color="000000" w:fill="FFC000"/>
            <w:noWrap/>
            <w:vAlign w:val="center"/>
            <w:hideMark/>
          </w:tcPr>
          <w:p w14:paraId="45FBE64D" w14:textId="77777777" w:rsidR="007F3500" w:rsidRPr="006D39E3" w:rsidRDefault="007F3500" w:rsidP="007F3500">
            <w:pPr>
              <w:spacing w:before="0" w:after="0" w:line="240" w:lineRule="auto"/>
              <w:jc w:val="lef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2020</w:t>
            </w:r>
          </w:p>
        </w:tc>
      </w:tr>
      <w:tr w:rsidR="007F3500" w:rsidRPr="006D39E3" w14:paraId="6BFB8A6D" w14:textId="77777777" w:rsidTr="007F3500">
        <w:trPr>
          <w:trHeight w:val="312"/>
        </w:trPr>
        <w:tc>
          <w:tcPr>
            <w:tcW w:w="1986" w:type="pct"/>
            <w:tcBorders>
              <w:top w:val="nil"/>
              <w:left w:val="single" w:sz="4" w:space="0" w:color="auto"/>
              <w:bottom w:val="single" w:sz="4" w:space="0" w:color="auto"/>
              <w:right w:val="single" w:sz="4" w:space="0" w:color="auto"/>
            </w:tcBorders>
            <w:noWrap/>
            <w:vAlign w:val="center"/>
            <w:hideMark/>
          </w:tcPr>
          <w:p w14:paraId="17FC027A"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Cost of Sales</w:t>
            </w:r>
          </w:p>
        </w:tc>
        <w:tc>
          <w:tcPr>
            <w:tcW w:w="1043" w:type="pct"/>
            <w:tcBorders>
              <w:top w:val="nil"/>
              <w:left w:val="nil"/>
              <w:bottom w:val="single" w:sz="4" w:space="0" w:color="auto"/>
              <w:right w:val="single" w:sz="4" w:space="0" w:color="auto"/>
            </w:tcBorders>
            <w:noWrap/>
            <w:vAlign w:val="center"/>
            <w:hideMark/>
          </w:tcPr>
          <w:p w14:paraId="39F7CAC7"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-2,80,885</w:t>
            </w:r>
          </w:p>
        </w:tc>
        <w:tc>
          <w:tcPr>
            <w:tcW w:w="416" w:type="pct"/>
            <w:tcBorders>
              <w:top w:val="nil"/>
              <w:left w:val="nil"/>
              <w:bottom w:val="single" w:sz="4" w:space="0" w:color="auto"/>
              <w:right w:val="single" w:sz="4" w:space="0" w:color="auto"/>
            </w:tcBorders>
            <w:noWrap/>
            <w:vAlign w:val="center"/>
            <w:hideMark/>
          </w:tcPr>
          <w:p w14:paraId="722B0091"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-3,22,897</w:t>
            </w:r>
          </w:p>
        </w:tc>
        <w:tc>
          <w:tcPr>
            <w:tcW w:w="518" w:type="pct"/>
            <w:tcBorders>
              <w:top w:val="nil"/>
              <w:left w:val="nil"/>
              <w:bottom w:val="single" w:sz="4" w:space="0" w:color="auto"/>
              <w:right w:val="single" w:sz="4" w:space="0" w:color="auto"/>
            </w:tcBorders>
            <w:noWrap/>
            <w:vAlign w:val="bottom"/>
            <w:hideMark/>
          </w:tcPr>
          <w:p w14:paraId="76C1B76E"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-3,90,459</w:t>
            </w:r>
          </w:p>
        </w:tc>
        <w:tc>
          <w:tcPr>
            <w:tcW w:w="518" w:type="pct"/>
            <w:tcBorders>
              <w:top w:val="nil"/>
              <w:left w:val="nil"/>
              <w:bottom w:val="single" w:sz="4" w:space="0" w:color="auto"/>
              <w:right w:val="single" w:sz="4" w:space="0" w:color="auto"/>
            </w:tcBorders>
            <w:noWrap/>
            <w:vAlign w:val="bottom"/>
            <w:hideMark/>
          </w:tcPr>
          <w:p w14:paraId="00A6E170"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-4,28,586</w:t>
            </w:r>
          </w:p>
        </w:tc>
        <w:tc>
          <w:tcPr>
            <w:tcW w:w="518" w:type="pct"/>
            <w:tcBorders>
              <w:top w:val="nil"/>
              <w:left w:val="nil"/>
              <w:bottom w:val="single" w:sz="4" w:space="0" w:color="auto"/>
              <w:right w:val="single" w:sz="4" w:space="0" w:color="auto"/>
            </w:tcBorders>
            <w:noWrap/>
            <w:vAlign w:val="bottom"/>
            <w:hideMark/>
          </w:tcPr>
          <w:p w14:paraId="1D233D83"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-4,38,424</w:t>
            </w:r>
          </w:p>
        </w:tc>
      </w:tr>
      <w:tr w:rsidR="007F3500" w:rsidRPr="006D39E3" w14:paraId="2D9DE2A5" w14:textId="77777777" w:rsidTr="007F3500">
        <w:trPr>
          <w:trHeight w:val="312"/>
        </w:trPr>
        <w:tc>
          <w:tcPr>
            <w:tcW w:w="1986" w:type="pct"/>
            <w:tcBorders>
              <w:top w:val="nil"/>
              <w:left w:val="single" w:sz="4" w:space="0" w:color="auto"/>
              <w:bottom w:val="single" w:sz="4" w:space="0" w:color="auto"/>
              <w:right w:val="single" w:sz="4" w:space="0" w:color="auto"/>
            </w:tcBorders>
            <w:noWrap/>
            <w:vAlign w:val="center"/>
            <w:hideMark/>
          </w:tcPr>
          <w:p w14:paraId="2BFA7A03"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Average Inventory</w:t>
            </w:r>
          </w:p>
        </w:tc>
        <w:tc>
          <w:tcPr>
            <w:tcW w:w="1043" w:type="pct"/>
            <w:tcBorders>
              <w:top w:val="nil"/>
              <w:left w:val="nil"/>
              <w:bottom w:val="single" w:sz="4" w:space="0" w:color="auto"/>
              <w:right w:val="single" w:sz="4" w:space="0" w:color="auto"/>
            </w:tcBorders>
            <w:noWrap/>
            <w:vAlign w:val="center"/>
            <w:hideMark/>
          </w:tcPr>
          <w:p w14:paraId="43279171"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79,355</w:t>
            </w:r>
          </w:p>
        </w:tc>
        <w:tc>
          <w:tcPr>
            <w:tcW w:w="416" w:type="pct"/>
            <w:tcBorders>
              <w:top w:val="nil"/>
              <w:left w:val="nil"/>
              <w:bottom w:val="single" w:sz="4" w:space="0" w:color="auto"/>
              <w:right w:val="single" w:sz="4" w:space="0" w:color="auto"/>
            </w:tcBorders>
            <w:noWrap/>
            <w:vAlign w:val="center"/>
            <w:hideMark/>
          </w:tcPr>
          <w:p w14:paraId="60037969"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88,273</w:t>
            </w:r>
          </w:p>
        </w:tc>
        <w:tc>
          <w:tcPr>
            <w:tcW w:w="518" w:type="pct"/>
            <w:tcBorders>
              <w:top w:val="nil"/>
              <w:left w:val="nil"/>
              <w:bottom w:val="single" w:sz="4" w:space="0" w:color="auto"/>
              <w:right w:val="single" w:sz="4" w:space="0" w:color="auto"/>
            </w:tcBorders>
            <w:noWrap/>
            <w:vAlign w:val="center"/>
            <w:hideMark/>
          </w:tcPr>
          <w:p w14:paraId="0055976D"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1,40,181</w:t>
            </w:r>
          </w:p>
        </w:tc>
        <w:tc>
          <w:tcPr>
            <w:tcW w:w="518" w:type="pct"/>
            <w:tcBorders>
              <w:top w:val="nil"/>
              <w:left w:val="nil"/>
              <w:bottom w:val="single" w:sz="4" w:space="0" w:color="auto"/>
              <w:right w:val="single" w:sz="4" w:space="0" w:color="auto"/>
            </w:tcBorders>
            <w:noWrap/>
            <w:vAlign w:val="center"/>
            <w:hideMark/>
          </w:tcPr>
          <w:p w14:paraId="6E9EE1C0"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1,34,469</w:t>
            </w:r>
          </w:p>
        </w:tc>
        <w:tc>
          <w:tcPr>
            <w:tcW w:w="518" w:type="pct"/>
            <w:tcBorders>
              <w:top w:val="nil"/>
              <w:left w:val="nil"/>
              <w:bottom w:val="single" w:sz="4" w:space="0" w:color="auto"/>
              <w:right w:val="single" w:sz="4" w:space="0" w:color="auto"/>
            </w:tcBorders>
            <w:noWrap/>
            <w:vAlign w:val="center"/>
            <w:hideMark/>
          </w:tcPr>
          <w:p w14:paraId="60476295"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1,20,430</w:t>
            </w:r>
          </w:p>
        </w:tc>
      </w:tr>
      <w:tr w:rsidR="007F3500" w:rsidRPr="006D39E3" w14:paraId="5E63955F" w14:textId="77777777" w:rsidTr="007F3500">
        <w:trPr>
          <w:trHeight w:val="312"/>
        </w:trPr>
        <w:tc>
          <w:tcPr>
            <w:tcW w:w="1986" w:type="pct"/>
            <w:tcBorders>
              <w:top w:val="nil"/>
              <w:left w:val="single" w:sz="4" w:space="0" w:color="auto"/>
              <w:bottom w:val="single" w:sz="4" w:space="0" w:color="auto"/>
              <w:right w:val="single" w:sz="4" w:space="0" w:color="auto"/>
            </w:tcBorders>
            <w:noWrap/>
            <w:vAlign w:val="center"/>
            <w:hideMark/>
          </w:tcPr>
          <w:p w14:paraId="1D0C98BA"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Sales</w:t>
            </w:r>
          </w:p>
        </w:tc>
        <w:tc>
          <w:tcPr>
            <w:tcW w:w="1043" w:type="pct"/>
            <w:tcBorders>
              <w:top w:val="nil"/>
              <w:left w:val="nil"/>
              <w:bottom w:val="single" w:sz="4" w:space="0" w:color="auto"/>
              <w:right w:val="single" w:sz="4" w:space="0" w:color="auto"/>
            </w:tcBorders>
            <w:noWrap/>
            <w:vAlign w:val="center"/>
            <w:hideMark/>
          </w:tcPr>
          <w:p w14:paraId="074BE7AC"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3,94,879</w:t>
            </w:r>
          </w:p>
        </w:tc>
        <w:tc>
          <w:tcPr>
            <w:tcW w:w="416" w:type="pct"/>
            <w:tcBorders>
              <w:top w:val="nil"/>
              <w:left w:val="nil"/>
              <w:bottom w:val="single" w:sz="4" w:space="0" w:color="auto"/>
              <w:right w:val="single" w:sz="4" w:space="0" w:color="auto"/>
            </w:tcBorders>
            <w:noWrap/>
            <w:vAlign w:val="center"/>
            <w:hideMark/>
          </w:tcPr>
          <w:p w14:paraId="06036BA2"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4,20,457</w:t>
            </w:r>
          </w:p>
        </w:tc>
        <w:tc>
          <w:tcPr>
            <w:tcW w:w="518" w:type="pct"/>
            <w:tcBorders>
              <w:top w:val="nil"/>
              <w:left w:val="nil"/>
              <w:bottom w:val="single" w:sz="4" w:space="0" w:color="auto"/>
              <w:right w:val="single" w:sz="4" w:space="0" w:color="auto"/>
            </w:tcBorders>
            <w:noWrap/>
            <w:vAlign w:val="center"/>
            <w:hideMark/>
          </w:tcPr>
          <w:p w14:paraId="4C44D787"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5,42,751</w:t>
            </w:r>
          </w:p>
        </w:tc>
        <w:tc>
          <w:tcPr>
            <w:tcW w:w="518" w:type="pct"/>
            <w:tcBorders>
              <w:top w:val="nil"/>
              <w:left w:val="nil"/>
              <w:bottom w:val="single" w:sz="4" w:space="0" w:color="auto"/>
              <w:right w:val="single" w:sz="4" w:space="0" w:color="auto"/>
            </w:tcBorders>
            <w:noWrap/>
            <w:vAlign w:val="center"/>
            <w:hideMark/>
          </w:tcPr>
          <w:p w14:paraId="080D404C"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5,42,751</w:t>
            </w:r>
          </w:p>
        </w:tc>
        <w:tc>
          <w:tcPr>
            <w:tcW w:w="518" w:type="pct"/>
            <w:tcBorders>
              <w:top w:val="nil"/>
              <w:left w:val="nil"/>
              <w:bottom w:val="single" w:sz="4" w:space="0" w:color="auto"/>
              <w:right w:val="single" w:sz="4" w:space="0" w:color="auto"/>
            </w:tcBorders>
            <w:noWrap/>
            <w:vAlign w:val="center"/>
            <w:hideMark/>
          </w:tcPr>
          <w:p w14:paraId="7F684673"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6,14,680</w:t>
            </w:r>
          </w:p>
        </w:tc>
      </w:tr>
      <w:tr w:rsidR="007F3500" w:rsidRPr="006D39E3" w14:paraId="683DB216" w14:textId="77777777" w:rsidTr="007F3500">
        <w:trPr>
          <w:trHeight w:val="312"/>
        </w:trPr>
        <w:tc>
          <w:tcPr>
            <w:tcW w:w="1986" w:type="pct"/>
            <w:tcBorders>
              <w:top w:val="nil"/>
              <w:left w:val="single" w:sz="4" w:space="0" w:color="auto"/>
              <w:bottom w:val="single" w:sz="4" w:space="0" w:color="auto"/>
              <w:right w:val="single" w:sz="4" w:space="0" w:color="auto"/>
            </w:tcBorders>
            <w:noWrap/>
            <w:vAlign w:val="center"/>
            <w:hideMark/>
          </w:tcPr>
          <w:p w14:paraId="2D66576C"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Accounts Receivable</w:t>
            </w:r>
          </w:p>
        </w:tc>
        <w:tc>
          <w:tcPr>
            <w:tcW w:w="1043" w:type="pct"/>
            <w:tcBorders>
              <w:top w:val="nil"/>
              <w:left w:val="nil"/>
              <w:bottom w:val="single" w:sz="4" w:space="0" w:color="auto"/>
              <w:right w:val="single" w:sz="4" w:space="0" w:color="auto"/>
            </w:tcBorders>
            <w:noWrap/>
            <w:vAlign w:val="center"/>
            <w:hideMark/>
          </w:tcPr>
          <w:p w14:paraId="4A349204"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1,14,182</w:t>
            </w:r>
          </w:p>
        </w:tc>
        <w:tc>
          <w:tcPr>
            <w:tcW w:w="416" w:type="pct"/>
            <w:tcBorders>
              <w:top w:val="nil"/>
              <w:left w:val="nil"/>
              <w:bottom w:val="single" w:sz="4" w:space="0" w:color="auto"/>
              <w:right w:val="single" w:sz="4" w:space="0" w:color="auto"/>
            </w:tcBorders>
            <w:noWrap/>
            <w:vAlign w:val="center"/>
            <w:hideMark/>
          </w:tcPr>
          <w:p w14:paraId="5DD27DBD"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1,12,596</w:t>
            </w:r>
          </w:p>
        </w:tc>
        <w:tc>
          <w:tcPr>
            <w:tcW w:w="518" w:type="pct"/>
            <w:tcBorders>
              <w:top w:val="nil"/>
              <w:left w:val="nil"/>
              <w:bottom w:val="single" w:sz="4" w:space="0" w:color="auto"/>
              <w:right w:val="single" w:sz="4" w:space="0" w:color="auto"/>
            </w:tcBorders>
            <w:noWrap/>
            <w:vAlign w:val="center"/>
            <w:hideMark/>
          </w:tcPr>
          <w:p w14:paraId="6F2EB724"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1,12,346</w:t>
            </w:r>
          </w:p>
        </w:tc>
        <w:tc>
          <w:tcPr>
            <w:tcW w:w="518" w:type="pct"/>
            <w:tcBorders>
              <w:top w:val="nil"/>
              <w:left w:val="nil"/>
              <w:bottom w:val="single" w:sz="4" w:space="0" w:color="auto"/>
              <w:right w:val="single" w:sz="4" w:space="0" w:color="auto"/>
            </w:tcBorders>
            <w:noWrap/>
            <w:vAlign w:val="center"/>
            <w:hideMark/>
          </w:tcPr>
          <w:p w14:paraId="6E34C71A"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1,29,215</w:t>
            </w:r>
          </w:p>
        </w:tc>
        <w:tc>
          <w:tcPr>
            <w:tcW w:w="518" w:type="pct"/>
            <w:tcBorders>
              <w:top w:val="nil"/>
              <w:left w:val="nil"/>
              <w:bottom w:val="single" w:sz="4" w:space="0" w:color="auto"/>
              <w:right w:val="single" w:sz="4" w:space="0" w:color="auto"/>
            </w:tcBorders>
            <w:noWrap/>
            <w:vAlign w:val="center"/>
            <w:hideMark/>
          </w:tcPr>
          <w:p w14:paraId="79C7275A"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1,29,433</w:t>
            </w:r>
          </w:p>
        </w:tc>
      </w:tr>
      <w:tr w:rsidR="007F3500" w:rsidRPr="006D39E3" w14:paraId="12378AF9" w14:textId="77777777" w:rsidTr="007F3500">
        <w:trPr>
          <w:trHeight w:val="312"/>
        </w:trPr>
        <w:tc>
          <w:tcPr>
            <w:tcW w:w="1986" w:type="pct"/>
            <w:tcBorders>
              <w:top w:val="nil"/>
              <w:left w:val="single" w:sz="4" w:space="0" w:color="auto"/>
              <w:bottom w:val="single" w:sz="4" w:space="0" w:color="auto"/>
              <w:right w:val="single" w:sz="4" w:space="0" w:color="auto"/>
            </w:tcBorders>
            <w:shd w:val="clear" w:color="000000" w:fill="FFC000"/>
            <w:noWrap/>
            <w:vAlign w:val="center"/>
            <w:hideMark/>
          </w:tcPr>
          <w:p w14:paraId="21E5E2B7" w14:textId="77777777" w:rsidR="007F3500" w:rsidRPr="006D39E3" w:rsidRDefault="007F3500" w:rsidP="007F3500">
            <w:pPr>
              <w:spacing w:before="0" w:after="0" w:line="240" w:lineRule="auto"/>
              <w:jc w:val="lef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Inventory Turnover = Cost of Sales / Average Inventory</w:t>
            </w:r>
          </w:p>
        </w:tc>
        <w:tc>
          <w:tcPr>
            <w:tcW w:w="1043" w:type="pct"/>
            <w:tcBorders>
              <w:top w:val="nil"/>
              <w:left w:val="nil"/>
              <w:bottom w:val="single" w:sz="4" w:space="0" w:color="auto"/>
              <w:right w:val="single" w:sz="4" w:space="0" w:color="auto"/>
            </w:tcBorders>
            <w:shd w:val="clear" w:color="000000" w:fill="FFC000"/>
            <w:noWrap/>
            <w:vAlign w:val="center"/>
            <w:hideMark/>
          </w:tcPr>
          <w:p w14:paraId="0B374F77"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-3.54</w:t>
            </w:r>
          </w:p>
        </w:tc>
        <w:tc>
          <w:tcPr>
            <w:tcW w:w="416" w:type="pct"/>
            <w:tcBorders>
              <w:top w:val="nil"/>
              <w:left w:val="nil"/>
              <w:bottom w:val="single" w:sz="4" w:space="0" w:color="auto"/>
              <w:right w:val="single" w:sz="4" w:space="0" w:color="auto"/>
            </w:tcBorders>
            <w:shd w:val="clear" w:color="000000" w:fill="FFC000"/>
            <w:noWrap/>
            <w:vAlign w:val="center"/>
            <w:hideMark/>
          </w:tcPr>
          <w:p w14:paraId="63F0388F"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-3.66</w:t>
            </w:r>
          </w:p>
        </w:tc>
        <w:tc>
          <w:tcPr>
            <w:tcW w:w="518" w:type="pct"/>
            <w:tcBorders>
              <w:top w:val="nil"/>
              <w:left w:val="nil"/>
              <w:bottom w:val="single" w:sz="4" w:space="0" w:color="auto"/>
              <w:right w:val="single" w:sz="4" w:space="0" w:color="auto"/>
            </w:tcBorders>
            <w:shd w:val="clear" w:color="000000" w:fill="FFC000"/>
            <w:noWrap/>
            <w:vAlign w:val="center"/>
            <w:hideMark/>
          </w:tcPr>
          <w:p w14:paraId="11B6A5DC"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-2.79</w:t>
            </w:r>
          </w:p>
        </w:tc>
        <w:tc>
          <w:tcPr>
            <w:tcW w:w="518" w:type="pct"/>
            <w:tcBorders>
              <w:top w:val="nil"/>
              <w:left w:val="nil"/>
              <w:bottom w:val="single" w:sz="4" w:space="0" w:color="auto"/>
              <w:right w:val="single" w:sz="4" w:space="0" w:color="auto"/>
            </w:tcBorders>
            <w:shd w:val="clear" w:color="000000" w:fill="FFC000"/>
            <w:noWrap/>
            <w:vAlign w:val="center"/>
            <w:hideMark/>
          </w:tcPr>
          <w:p w14:paraId="2705AF95"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-3.19</w:t>
            </w:r>
          </w:p>
        </w:tc>
        <w:tc>
          <w:tcPr>
            <w:tcW w:w="518" w:type="pct"/>
            <w:tcBorders>
              <w:top w:val="nil"/>
              <w:left w:val="nil"/>
              <w:bottom w:val="single" w:sz="4" w:space="0" w:color="auto"/>
              <w:right w:val="single" w:sz="4" w:space="0" w:color="auto"/>
            </w:tcBorders>
            <w:shd w:val="clear" w:color="000000" w:fill="FFC000"/>
            <w:noWrap/>
            <w:vAlign w:val="center"/>
            <w:hideMark/>
          </w:tcPr>
          <w:p w14:paraId="202DA59F"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-3.64</w:t>
            </w:r>
          </w:p>
        </w:tc>
      </w:tr>
      <w:tr w:rsidR="007F3500" w:rsidRPr="006D39E3" w14:paraId="2E07938E" w14:textId="77777777" w:rsidTr="007F3500">
        <w:trPr>
          <w:trHeight w:val="312"/>
        </w:trPr>
        <w:tc>
          <w:tcPr>
            <w:tcW w:w="1986" w:type="pct"/>
            <w:tcBorders>
              <w:top w:val="nil"/>
              <w:left w:val="single" w:sz="4" w:space="0" w:color="auto"/>
              <w:bottom w:val="single" w:sz="4" w:space="0" w:color="auto"/>
              <w:right w:val="single" w:sz="4" w:space="0" w:color="auto"/>
            </w:tcBorders>
            <w:shd w:val="clear" w:color="000000" w:fill="FFC000"/>
            <w:noWrap/>
            <w:vAlign w:val="center"/>
            <w:hideMark/>
          </w:tcPr>
          <w:p w14:paraId="77DB2D7F" w14:textId="77777777" w:rsidR="007F3500" w:rsidRPr="006D39E3" w:rsidRDefault="007F3500" w:rsidP="007F3500">
            <w:pPr>
              <w:spacing w:before="0" w:after="0" w:line="240" w:lineRule="auto"/>
              <w:jc w:val="lef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Receivable Turnover = Sales / Accounts Receivable</w:t>
            </w:r>
          </w:p>
        </w:tc>
        <w:tc>
          <w:tcPr>
            <w:tcW w:w="1043" w:type="pct"/>
            <w:tcBorders>
              <w:top w:val="nil"/>
              <w:left w:val="nil"/>
              <w:bottom w:val="single" w:sz="4" w:space="0" w:color="auto"/>
              <w:right w:val="single" w:sz="4" w:space="0" w:color="auto"/>
            </w:tcBorders>
            <w:shd w:val="clear" w:color="000000" w:fill="FFC000"/>
            <w:noWrap/>
            <w:vAlign w:val="center"/>
            <w:hideMark/>
          </w:tcPr>
          <w:p w14:paraId="2E6D6670"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3.46</w:t>
            </w:r>
          </w:p>
        </w:tc>
        <w:tc>
          <w:tcPr>
            <w:tcW w:w="416" w:type="pct"/>
            <w:tcBorders>
              <w:top w:val="nil"/>
              <w:left w:val="nil"/>
              <w:bottom w:val="single" w:sz="4" w:space="0" w:color="auto"/>
              <w:right w:val="single" w:sz="4" w:space="0" w:color="auto"/>
            </w:tcBorders>
            <w:shd w:val="clear" w:color="000000" w:fill="FFC000"/>
            <w:noWrap/>
            <w:vAlign w:val="center"/>
            <w:hideMark/>
          </w:tcPr>
          <w:p w14:paraId="35FF8F8F"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3.73</w:t>
            </w:r>
          </w:p>
        </w:tc>
        <w:tc>
          <w:tcPr>
            <w:tcW w:w="518" w:type="pct"/>
            <w:tcBorders>
              <w:top w:val="nil"/>
              <w:left w:val="nil"/>
              <w:bottom w:val="single" w:sz="4" w:space="0" w:color="auto"/>
              <w:right w:val="single" w:sz="4" w:space="0" w:color="auto"/>
            </w:tcBorders>
            <w:shd w:val="clear" w:color="000000" w:fill="FFC000"/>
            <w:noWrap/>
            <w:vAlign w:val="center"/>
            <w:hideMark/>
          </w:tcPr>
          <w:p w14:paraId="2833359F"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4.83</w:t>
            </w:r>
          </w:p>
        </w:tc>
        <w:tc>
          <w:tcPr>
            <w:tcW w:w="518" w:type="pct"/>
            <w:tcBorders>
              <w:top w:val="nil"/>
              <w:left w:val="nil"/>
              <w:bottom w:val="single" w:sz="4" w:space="0" w:color="auto"/>
              <w:right w:val="single" w:sz="4" w:space="0" w:color="auto"/>
            </w:tcBorders>
            <w:shd w:val="clear" w:color="000000" w:fill="FFC000"/>
            <w:noWrap/>
            <w:vAlign w:val="center"/>
            <w:hideMark/>
          </w:tcPr>
          <w:p w14:paraId="4F9CD1FA"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4.20</w:t>
            </w:r>
          </w:p>
        </w:tc>
        <w:tc>
          <w:tcPr>
            <w:tcW w:w="518" w:type="pct"/>
            <w:tcBorders>
              <w:top w:val="nil"/>
              <w:left w:val="nil"/>
              <w:bottom w:val="single" w:sz="4" w:space="0" w:color="auto"/>
              <w:right w:val="single" w:sz="4" w:space="0" w:color="auto"/>
            </w:tcBorders>
            <w:shd w:val="clear" w:color="000000" w:fill="FFC000"/>
            <w:noWrap/>
            <w:vAlign w:val="center"/>
            <w:hideMark/>
          </w:tcPr>
          <w:p w14:paraId="4E304D05"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4.75</w:t>
            </w:r>
          </w:p>
        </w:tc>
      </w:tr>
      <w:tr w:rsidR="007F3500" w:rsidRPr="006D39E3" w14:paraId="417A4FD6" w14:textId="77777777" w:rsidTr="007F3500">
        <w:trPr>
          <w:trHeight w:val="312"/>
        </w:trPr>
        <w:tc>
          <w:tcPr>
            <w:tcW w:w="1986" w:type="pct"/>
            <w:tcBorders>
              <w:top w:val="nil"/>
              <w:left w:val="nil"/>
              <w:bottom w:val="nil"/>
              <w:right w:val="nil"/>
            </w:tcBorders>
            <w:noWrap/>
            <w:vAlign w:val="bottom"/>
            <w:hideMark/>
          </w:tcPr>
          <w:p w14:paraId="73B48726"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p>
        </w:tc>
        <w:tc>
          <w:tcPr>
            <w:tcW w:w="1043" w:type="pct"/>
            <w:tcBorders>
              <w:top w:val="nil"/>
              <w:left w:val="nil"/>
              <w:bottom w:val="nil"/>
              <w:right w:val="nil"/>
            </w:tcBorders>
            <w:noWrap/>
            <w:vAlign w:val="bottom"/>
            <w:hideMark/>
          </w:tcPr>
          <w:p w14:paraId="6FB1B177" w14:textId="77777777" w:rsidR="007F3500" w:rsidRPr="006D39E3" w:rsidRDefault="007F3500" w:rsidP="007F3500">
            <w:pPr>
              <w:spacing w:before="0" w:after="0" w:line="240" w:lineRule="auto"/>
              <w:jc w:val="left"/>
              <w:rPr>
                <w:rFonts w:asciiTheme="minorBidi" w:eastAsia="Times New Roman" w:hAnsiTheme="minorBidi"/>
                <w:kern w:val="0"/>
                <w:sz w:val="20"/>
                <w:szCs w:val="20"/>
                <w:lang w:eastAsia="en-IN"/>
                <w14:ligatures w14:val="none"/>
              </w:rPr>
            </w:pPr>
          </w:p>
        </w:tc>
        <w:tc>
          <w:tcPr>
            <w:tcW w:w="416" w:type="pct"/>
            <w:tcBorders>
              <w:top w:val="nil"/>
              <w:left w:val="nil"/>
              <w:bottom w:val="nil"/>
              <w:right w:val="nil"/>
            </w:tcBorders>
            <w:noWrap/>
            <w:vAlign w:val="bottom"/>
            <w:hideMark/>
          </w:tcPr>
          <w:p w14:paraId="0EF21B65" w14:textId="77777777" w:rsidR="007F3500" w:rsidRPr="006D39E3" w:rsidRDefault="007F3500" w:rsidP="007F3500">
            <w:pPr>
              <w:spacing w:before="0" w:after="0" w:line="240" w:lineRule="auto"/>
              <w:jc w:val="left"/>
              <w:rPr>
                <w:rFonts w:asciiTheme="minorBidi" w:eastAsia="Times New Roman" w:hAnsiTheme="minorBidi"/>
                <w:kern w:val="0"/>
                <w:sz w:val="20"/>
                <w:szCs w:val="20"/>
                <w:lang w:eastAsia="en-IN"/>
                <w14:ligatures w14:val="none"/>
              </w:rPr>
            </w:pPr>
          </w:p>
        </w:tc>
        <w:tc>
          <w:tcPr>
            <w:tcW w:w="518" w:type="pct"/>
            <w:tcBorders>
              <w:top w:val="nil"/>
              <w:left w:val="nil"/>
              <w:bottom w:val="nil"/>
              <w:right w:val="nil"/>
            </w:tcBorders>
            <w:noWrap/>
            <w:vAlign w:val="bottom"/>
            <w:hideMark/>
          </w:tcPr>
          <w:p w14:paraId="79119A39" w14:textId="77777777" w:rsidR="007F3500" w:rsidRPr="006D39E3" w:rsidRDefault="007F3500" w:rsidP="007F3500">
            <w:pPr>
              <w:spacing w:before="0" w:after="0" w:line="240" w:lineRule="auto"/>
              <w:jc w:val="left"/>
              <w:rPr>
                <w:rFonts w:asciiTheme="minorBidi" w:eastAsia="Times New Roman" w:hAnsiTheme="minorBidi"/>
                <w:kern w:val="0"/>
                <w:sz w:val="20"/>
                <w:szCs w:val="20"/>
                <w:lang w:eastAsia="en-IN"/>
                <w14:ligatures w14:val="none"/>
              </w:rPr>
            </w:pPr>
          </w:p>
        </w:tc>
        <w:tc>
          <w:tcPr>
            <w:tcW w:w="518" w:type="pct"/>
            <w:tcBorders>
              <w:top w:val="nil"/>
              <w:left w:val="nil"/>
              <w:bottom w:val="nil"/>
              <w:right w:val="nil"/>
            </w:tcBorders>
            <w:noWrap/>
            <w:vAlign w:val="bottom"/>
            <w:hideMark/>
          </w:tcPr>
          <w:p w14:paraId="3356872D" w14:textId="77777777" w:rsidR="007F3500" w:rsidRPr="006D39E3" w:rsidRDefault="007F3500" w:rsidP="007F3500">
            <w:pPr>
              <w:spacing w:before="0" w:after="0" w:line="240" w:lineRule="auto"/>
              <w:jc w:val="left"/>
              <w:rPr>
                <w:rFonts w:asciiTheme="minorBidi" w:eastAsia="Times New Roman" w:hAnsiTheme="minorBidi"/>
                <w:kern w:val="0"/>
                <w:sz w:val="20"/>
                <w:szCs w:val="20"/>
                <w:lang w:eastAsia="en-IN"/>
                <w14:ligatures w14:val="none"/>
              </w:rPr>
            </w:pPr>
          </w:p>
        </w:tc>
        <w:tc>
          <w:tcPr>
            <w:tcW w:w="518" w:type="pct"/>
            <w:tcBorders>
              <w:top w:val="nil"/>
              <w:left w:val="nil"/>
              <w:bottom w:val="nil"/>
              <w:right w:val="nil"/>
            </w:tcBorders>
            <w:noWrap/>
            <w:vAlign w:val="bottom"/>
            <w:hideMark/>
          </w:tcPr>
          <w:p w14:paraId="198C969A" w14:textId="77777777" w:rsidR="007F3500" w:rsidRPr="006D39E3" w:rsidRDefault="007F3500" w:rsidP="007F3500">
            <w:pPr>
              <w:spacing w:before="0" w:after="0" w:line="240" w:lineRule="auto"/>
              <w:jc w:val="left"/>
              <w:rPr>
                <w:rFonts w:asciiTheme="minorBidi" w:eastAsia="Times New Roman" w:hAnsiTheme="minorBidi"/>
                <w:kern w:val="0"/>
                <w:sz w:val="20"/>
                <w:szCs w:val="20"/>
                <w:lang w:eastAsia="en-IN"/>
                <w14:ligatures w14:val="none"/>
              </w:rPr>
            </w:pPr>
          </w:p>
        </w:tc>
      </w:tr>
      <w:tr w:rsidR="007F3500" w:rsidRPr="006D39E3" w14:paraId="37E71794" w14:textId="77777777" w:rsidTr="007F3500">
        <w:trPr>
          <w:trHeight w:val="312"/>
        </w:trPr>
        <w:tc>
          <w:tcPr>
            <w:tcW w:w="1986" w:type="pct"/>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0C559FEF" w14:textId="77777777" w:rsidR="007F3500" w:rsidRPr="006D39E3" w:rsidRDefault="007F3500" w:rsidP="007F3500">
            <w:pPr>
              <w:spacing w:before="0" w:after="0" w:line="240" w:lineRule="auto"/>
              <w:jc w:val="lef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Ratio</w:t>
            </w:r>
          </w:p>
        </w:tc>
        <w:tc>
          <w:tcPr>
            <w:tcW w:w="1043" w:type="pct"/>
            <w:tcBorders>
              <w:top w:val="single" w:sz="4" w:space="0" w:color="auto"/>
              <w:left w:val="nil"/>
              <w:bottom w:val="single" w:sz="4" w:space="0" w:color="auto"/>
              <w:right w:val="single" w:sz="4" w:space="0" w:color="auto"/>
            </w:tcBorders>
            <w:shd w:val="clear" w:color="000000" w:fill="FFC000"/>
            <w:noWrap/>
            <w:vAlign w:val="bottom"/>
            <w:hideMark/>
          </w:tcPr>
          <w:p w14:paraId="4BE54979"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2024</w:t>
            </w:r>
          </w:p>
        </w:tc>
        <w:tc>
          <w:tcPr>
            <w:tcW w:w="416" w:type="pct"/>
            <w:tcBorders>
              <w:top w:val="single" w:sz="4" w:space="0" w:color="auto"/>
              <w:left w:val="nil"/>
              <w:bottom w:val="single" w:sz="4" w:space="0" w:color="auto"/>
              <w:right w:val="single" w:sz="4" w:space="0" w:color="auto"/>
            </w:tcBorders>
            <w:shd w:val="clear" w:color="000000" w:fill="FFC000"/>
            <w:noWrap/>
            <w:vAlign w:val="bottom"/>
            <w:hideMark/>
          </w:tcPr>
          <w:p w14:paraId="364082E5"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2023</w:t>
            </w:r>
          </w:p>
        </w:tc>
        <w:tc>
          <w:tcPr>
            <w:tcW w:w="518" w:type="pct"/>
            <w:tcBorders>
              <w:top w:val="single" w:sz="4" w:space="0" w:color="auto"/>
              <w:left w:val="nil"/>
              <w:bottom w:val="single" w:sz="4" w:space="0" w:color="auto"/>
              <w:right w:val="single" w:sz="4" w:space="0" w:color="auto"/>
            </w:tcBorders>
            <w:shd w:val="clear" w:color="000000" w:fill="FFC000"/>
            <w:noWrap/>
            <w:vAlign w:val="bottom"/>
            <w:hideMark/>
          </w:tcPr>
          <w:p w14:paraId="63EA6029"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2022</w:t>
            </w:r>
          </w:p>
        </w:tc>
        <w:tc>
          <w:tcPr>
            <w:tcW w:w="518" w:type="pct"/>
            <w:tcBorders>
              <w:top w:val="single" w:sz="4" w:space="0" w:color="auto"/>
              <w:left w:val="nil"/>
              <w:bottom w:val="single" w:sz="4" w:space="0" w:color="auto"/>
              <w:right w:val="single" w:sz="4" w:space="0" w:color="auto"/>
            </w:tcBorders>
            <w:shd w:val="clear" w:color="000000" w:fill="FFC000"/>
            <w:noWrap/>
            <w:vAlign w:val="bottom"/>
            <w:hideMark/>
          </w:tcPr>
          <w:p w14:paraId="3177DDFC"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2021</w:t>
            </w:r>
          </w:p>
        </w:tc>
        <w:tc>
          <w:tcPr>
            <w:tcW w:w="518" w:type="pct"/>
            <w:tcBorders>
              <w:top w:val="single" w:sz="4" w:space="0" w:color="auto"/>
              <w:left w:val="nil"/>
              <w:bottom w:val="single" w:sz="4" w:space="0" w:color="auto"/>
              <w:right w:val="single" w:sz="4" w:space="0" w:color="auto"/>
            </w:tcBorders>
            <w:shd w:val="clear" w:color="000000" w:fill="FFC000"/>
            <w:noWrap/>
            <w:vAlign w:val="bottom"/>
            <w:hideMark/>
          </w:tcPr>
          <w:p w14:paraId="5E8BE543"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2020</w:t>
            </w:r>
          </w:p>
        </w:tc>
      </w:tr>
      <w:tr w:rsidR="007F3500" w:rsidRPr="006D39E3" w14:paraId="04AA23C3" w14:textId="77777777" w:rsidTr="007F3500">
        <w:trPr>
          <w:trHeight w:val="312"/>
        </w:trPr>
        <w:tc>
          <w:tcPr>
            <w:tcW w:w="1986" w:type="pct"/>
            <w:tcBorders>
              <w:top w:val="nil"/>
              <w:left w:val="single" w:sz="4" w:space="0" w:color="auto"/>
              <w:bottom w:val="single" w:sz="4" w:space="0" w:color="auto"/>
              <w:right w:val="single" w:sz="4" w:space="0" w:color="auto"/>
            </w:tcBorders>
            <w:noWrap/>
            <w:vAlign w:val="bottom"/>
            <w:hideMark/>
          </w:tcPr>
          <w:p w14:paraId="3780533F"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Inventory Days</w:t>
            </w:r>
          </w:p>
        </w:tc>
        <w:tc>
          <w:tcPr>
            <w:tcW w:w="1043" w:type="pct"/>
            <w:tcBorders>
              <w:top w:val="nil"/>
              <w:left w:val="nil"/>
              <w:bottom w:val="single" w:sz="4" w:space="0" w:color="auto"/>
              <w:right w:val="single" w:sz="4" w:space="0" w:color="auto"/>
            </w:tcBorders>
            <w:noWrap/>
            <w:vAlign w:val="bottom"/>
            <w:hideMark/>
          </w:tcPr>
          <w:p w14:paraId="5106607E" w14:textId="77777777" w:rsidR="007F3500" w:rsidRPr="006D39E3" w:rsidRDefault="007F3500" w:rsidP="007F3500">
            <w:pPr>
              <w:spacing w:before="0" w:after="0" w:line="240" w:lineRule="auto"/>
              <w:jc w:val="righ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-103.1189811</w:t>
            </w:r>
          </w:p>
        </w:tc>
        <w:tc>
          <w:tcPr>
            <w:tcW w:w="416" w:type="pct"/>
            <w:tcBorders>
              <w:top w:val="nil"/>
              <w:left w:val="nil"/>
              <w:bottom w:val="single" w:sz="4" w:space="0" w:color="auto"/>
              <w:right w:val="single" w:sz="4" w:space="0" w:color="auto"/>
            </w:tcBorders>
            <w:noWrap/>
            <w:vAlign w:val="bottom"/>
            <w:hideMark/>
          </w:tcPr>
          <w:p w14:paraId="7CB09BFC" w14:textId="77777777" w:rsidR="007F3500" w:rsidRPr="006D39E3" w:rsidRDefault="007F3500" w:rsidP="007F3500">
            <w:pPr>
              <w:spacing w:before="0" w:after="0" w:line="240" w:lineRule="auto"/>
              <w:jc w:val="righ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-99.78304</w:t>
            </w:r>
          </w:p>
        </w:tc>
        <w:tc>
          <w:tcPr>
            <w:tcW w:w="518" w:type="pct"/>
            <w:tcBorders>
              <w:top w:val="nil"/>
              <w:left w:val="nil"/>
              <w:bottom w:val="single" w:sz="4" w:space="0" w:color="auto"/>
              <w:right w:val="single" w:sz="4" w:space="0" w:color="auto"/>
            </w:tcBorders>
            <w:noWrap/>
            <w:vAlign w:val="bottom"/>
            <w:hideMark/>
          </w:tcPr>
          <w:p w14:paraId="1E5D0710" w14:textId="77777777" w:rsidR="007F3500" w:rsidRPr="006D39E3" w:rsidRDefault="007F3500" w:rsidP="007F3500">
            <w:pPr>
              <w:spacing w:before="0" w:after="0" w:line="240" w:lineRule="auto"/>
              <w:jc w:val="righ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-131.0408135</w:t>
            </w:r>
          </w:p>
        </w:tc>
        <w:tc>
          <w:tcPr>
            <w:tcW w:w="518" w:type="pct"/>
            <w:tcBorders>
              <w:top w:val="nil"/>
              <w:left w:val="nil"/>
              <w:bottom w:val="single" w:sz="4" w:space="0" w:color="auto"/>
              <w:right w:val="single" w:sz="4" w:space="0" w:color="auto"/>
            </w:tcBorders>
            <w:noWrap/>
            <w:vAlign w:val="bottom"/>
            <w:hideMark/>
          </w:tcPr>
          <w:p w14:paraId="71E4B5AB" w14:textId="77777777" w:rsidR="007F3500" w:rsidRPr="006D39E3" w:rsidRDefault="007F3500" w:rsidP="007F3500">
            <w:pPr>
              <w:spacing w:before="0" w:after="0" w:line="240" w:lineRule="auto"/>
              <w:jc w:val="righ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-114.5188714</w:t>
            </w:r>
          </w:p>
        </w:tc>
        <w:tc>
          <w:tcPr>
            <w:tcW w:w="518" w:type="pct"/>
            <w:tcBorders>
              <w:top w:val="nil"/>
              <w:left w:val="nil"/>
              <w:bottom w:val="single" w:sz="4" w:space="0" w:color="auto"/>
              <w:right w:val="single" w:sz="4" w:space="0" w:color="auto"/>
            </w:tcBorders>
            <w:noWrap/>
            <w:vAlign w:val="bottom"/>
            <w:hideMark/>
          </w:tcPr>
          <w:p w14:paraId="6E1A5E8C" w14:textId="77777777" w:rsidR="007F3500" w:rsidRPr="006D39E3" w:rsidRDefault="007F3500" w:rsidP="007F3500">
            <w:pPr>
              <w:spacing w:before="0" w:after="0" w:line="240" w:lineRule="auto"/>
              <w:jc w:val="righ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-100.2612768</w:t>
            </w:r>
          </w:p>
        </w:tc>
      </w:tr>
      <w:tr w:rsidR="007F3500" w:rsidRPr="006D39E3" w14:paraId="5D64C4F9" w14:textId="77777777" w:rsidTr="007F3500">
        <w:trPr>
          <w:trHeight w:val="312"/>
        </w:trPr>
        <w:tc>
          <w:tcPr>
            <w:tcW w:w="1986" w:type="pct"/>
            <w:tcBorders>
              <w:top w:val="nil"/>
              <w:left w:val="single" w:sz="4" w:space="0" w:color="auto"/>
              <w:bottom w:val="single" w:sz="4" w:space="0" w:color="auto"/>
              <w:right w:val="single" w:sz="4" w:space="0" w:color="auto"/>
            </w:tcBorders>
            <w:noWrap/>
            <w:vAlign w:val="bottom"/>
            <w:hideMark/>
          </w:tcPr>
          <w:p w14:paraId="0E2AAFE8"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 xml:space="preserve">Receivable Days </w:t>
            </w:r>
          </w:p>
        </w:tc>
        <w:tc>
          <w:tcPr>
            <w:tcW w:w="1043" w:type="pct"/>
            <w:tcBorders>
              <w:top w:val="nil"/>
              <w:left w:val="nil"/>
              <w:bottom w:val="single" w:sz="4" w:space="0" w:color="auto"/>
              <w:right w:val="single" w:sz="4" w:space="0" w:color="auto"/>
            </w:tcBorders>
            <w:noWrap/>
            <w:vAlign w:val="bottom"/>
            <w:hideMark/>
          </w:tcPr>
          <w:p w14:paraId="16AB1660" w14:textId="77777777" w:rsidR="007F3500" w:rsidRPr="006D39E3" w:rsidRDefault="007F3500" w:rsidP="007F3500">
            <w:pPr>
              <w:spacing w:before="0" w:after="0" w:line="240" w:lineRule="auto"/>
              <w:jc w:val="righ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105.54228</w:t>
            </w:r>
          </w:p>
        </w:tc>
        <w:tc>
          <w:tcPr>
            <w:tcW w:w="416" w:type="pct"/>
            <w:tcBorders>
              <w:top w:val="nil"/>
              <w:left w:val="nil"/>
              <w:bottom w:val="single" w:sz="4" w:space="0" w:color="auto"/>
              <w:right w:val="single" w:sz="4" w:space="0" w:color="auto"/>
            </w:tcBorders>
            <w:noWrap/>
            <w:vAlign w:val="bottom"/>
            <w:hideMark/>
          </w:tcPr>
          <w:p w14:paraId="3C86121A" w14:textId="77777777" w:rsidR="007F3500" w:rsidRPr="006D39E3" w:rsidRDefault="007F3500" w:rsidP="007F3500">
            <w:pPr>
              <w:spacing w:before="0" w:after="0" w:line="240" w:lineRule="auto"/>
              <w:jc w:val="righ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97.74493</w:t>
            </w:r>
          </w:p>
        </w:tc>
        <w:tc>
          <w:tcPr>
            <w:tcW w:w="518" w:type="pct"/>
            <w:tcBorders>
              <w:top w:val="nil"/>
              <w:left w:val="nil"/>
              <w:bottom w:val="single" w:sz="4" w:space="0" w:color="auto"/>
              <w:right w:val="single" w:sz="4" w:space="0" w:color="auto"/>
            </w:tcBorders>
            <w:noWrap/>
            <w:vAlign w:val="bottom"/>
            <w:hideMark/>
          </w:tcPr>
          <w:p w14:paraId="7E71563E" w14:textId="77777777" w:rsidR="007F3500" w:rsidRPr="006D39E3" w:rsidRDefault="007F3500" w:rsidP="007F3500">
            <w:pPr>
              <w:spacing w:before="0" w:after="0" w:line="240" w:lineRule="auto"/>
              <w:jc w:val="righ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75.55267517</w:t>
            </w:r>
          </w:p>
        </w:tc>
        <w:tc>
          <w:tcPr>
            <w:tcW w:w="518" w:type="pct"/>
            <w:tcBorders>
              <w:top w:val="nil"/>
              <w:left w:val="nil"/>
              <w:bottom w:val="single" w:sz="4" w:space="0" w:color="auto"/>
              <w:right w:val="single" w:sz="4" w:space="0" w:color="auto"/>
            </w:tcBorders>
            <w:noWrap/>
            <w:vAlign w:val="bottom"/>
            <w:hideMark/>
          </w:tcPr>
          <w:p w14:paraId="5D0690D1" w14:textId="77777777" w:rsidR="007F3500" w:rsidRPr="006D39E3" w:rsidRDefault="007F3500" w:rsidP="007F3500">
            <w:pPr>
              <w:spacing w:before="0" w:after="0" w:line="240" w:lineRule="auto"/>
              <w:jc w:val="righ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86.89707619</w:t>
            </w:r>
          </w:p>
        </w:tc>
        <w:tc>
          <w:tcPr>
            <w:tcW w:w="518" w:type="pct"/>
            <w:tcBorders>
              <w:top w:val="nil"/>
              <w:left w:val="nil"/>
              <w:bottom w:val="single" w:sz="4" w:space="0" w:color="auto"/>
              <w:right w:val="single" w:sz="4" w:space="0" w:color="auto"/>
            </w:tcBorders>
            <w:noWrap/>
            <w:vAlign w:val="bottom"/>
            <w:hideMark/>
          </w:tcPr>
          <w:p w14:paraId="5FEE8B59" w14:textId="77777777" w:rsidR="007F3500" w:rsidRPr="006D39E3" w:rsidRDefault="007F3500" w:rsidP="007F3500">
            <w:pPr>
              <w:spacing w:before="0" w:after="0" w:line="240" w:lineRule="auto"/>
              <w:jc w:val="righ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76.85795048</w:t>
            </w:r>
          </w:p>
        </w:tc>
      </w:tr>
      <w:tr w:rsidR="007F3500" w:rsidRPr="006D39E3" w14:paraId="0D84CCED" w14:textId="77777777" w:rsidTr="007F3500">
        <w:trPr>
          <w:trHeight w:val="312"/>
        </w:trPr>
        <w:tc>
          <w:tcPr>
            <w:tcW w:w="1986" w:type="pct"/>
            <w:tcBorders>
              <w:top w:val="nil"/>
              <w:left w:val="single" w:sz="4" w:space="0" w:color="auto"/>
              <w:bottom w:val="single" w:sz="4" w:space="0" w:color="auto"/>
              <w:right w:val="single" w:sz="4" w:space="0" w:color="auto"/>
            </w:tcBorders>
            <w:noWrap/>
            <w:vAlign w:val="bottom"/>
            <w:hideMark/>
          </w:tcPr>
          <w:p w14:paraId="7DE57705"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proofErr w:type="spellStart"/>
            <w:r w:rsidRPr="006D39E3">
              <w:rPr>
                <w:rFonts w:asciiTheme="minorBidi" w:eastAsia="Times New Roman" w:hAnsiTheme="minorBidi"/>
                <w:color w:val="000000"/>
                <w:kern w:val="0"/>
                <w:lang w:eastAsia="en-IN"/>
                <w14:ligatures w14:val="none"/>
              </w:rPr>
              <w:t>Payble</w:t>
            </w:r>
            <w:proofErr w:type="spellEnd"/>
            <w:r w:rsidRPr="006D39E3">
              <w:rPr>
                <w:rFonts w:asciiTheme="minorBidi" w:eastAsia="Times New Roman" w:hAnsiTheme="minorBidi"/>
                <w:color w:val="000000"/>
                <w:kern w:val="0"/>
                <w:lang w:eastAsia="en-IN"/>
                <w14:ligatures w14:val="none"/>
              </w:rPr>
              <w:t xml:space="preserve"> Days </w:t>
            </w:r>
          </w:p>
        </w:tc>
        <w:tc>
          <w:tcPr>
            <w:tcW w:w="1043" w:type="pct"/>
            <w:tcBorders>
              <w:top w:val="nil"/>
              <w:left w:val="nil"/>
              <w:bottom w:val="single" w:sz="4" w:space="0" w:color="auto"/>
              <w:right w:val="single" w:sz="4" w:space="0" w:color="auto"/>
            </w:tcBorders>
            <w:noWrap/>
            <w:vAlign w:val="bottom"/>
            <w:hideMark/>
          </w:tcPr>
          <w:p w14:paraId="6713F09A" w14:textId="77777777" w:rsidR="007F3500" w:rsidRPr="006D39E3" w:rsidRDefault="007F3500" w:rsidP="007F3500">
            <w:pPr>
              <w:spacing w:before="0" w:after="0" w:line="240" w:lineRule="auto"/>
              <w:jc w:val="righ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66.36</w:t>
            </w:r>
          </w:p>
        </w:tc>
        <w:tc>
          <w:tcPr>
            <w:tcW w:w="416" w:type="pct"/>
            <w:tcBorders>
              <w:top w:val="nil"/>
              <w:left w:val="nil"/>
              <w:bottom w:val="single" w:sz="4" w:space="0" w:color="auto"/>
              <w:right w:val="single" w:sz="4" w:space="0" w:color="auto"/>
            </w:tcBorders>
            <w:noWrap/>
            <w:vAlign w:val="bottom"/>
            <w:hideMark/>
          </w:tcPr>
          <w:p w14:paraId="03023278" w14:textId="77777777" w:rsidR="007F3500" w:rsidRPr="006D39E3" w:rsidRDefault="007F3500" w:rsidP="007F3500">
            <w:pPr>
              <w:spacing w:before="0" w:after="0" w:line="240" w:lineRule="auto"/>
              <w:jc w:val="righ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70.59</w:t>
            </w:r>
          </w:p>
        </w:tc>
        <w:tc>
          <w:tcPr>
            <w:tcW w:w="518" w:type="pct"/>
            <w:tcBorders>
              <w:top w:val="nil"/>
              <w:left w:val="nil"/>
              <w:bottom w:val="single" w:sz="4" w:space="0" w:color="auto"/>
              <w:right w:val="single" w:sz="4" w:space="0" w:color="auto"/>
            </w:tcBorders>
            <w:noWrap/>
            <w:vAlign w:val="bottom"/>
            <w:hideMark/>
          </w:tcPr>
          <w:p w14:paraId="0656D600" w14:textId="77777777" w:rsidR="007F3500" w:rsidRPr="006D39E3" w:rsidRDefault="007F3500" w:rsidP="007F3500">
            <w:pPr>
              <w:spacing w:before="0" w:after="0" w:line="240" w:lineRule="auto"/>
              <w:jc w:val="righ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82.33</w:t>
            </w:r>
          </w:p>
        </w:tc>
        <w:tc>
          <w:tcPr>
            <w:tcW w:w="518" w:type="pct"/>
            <w:tcBorders>
              <w:top w:val="nil"/>
              <w:left w:val="nil"/>
              <w:bottom w:val="single" w:sz="4" w:space="0" w:color="auto"/>
              <w:right w:val="single" w:sz="4" w:space="0" w:color="auto"/>
            </w:tcBorders>
            <w:noWrap/>
            <w:vAlign w:val="bottom"/>
            <w:hideMark/>
          </w:tcPr>
          <w:p w14:paraId="4C5C7E84" w14:textId="77777777" w:rsidR="007F3500" w:rsidRPr="006D39E3" w:rsidRDefault="007F3500" w:rsidP="007F3500">
            <w:pPr>
              <w:spacing w:before="0" w:after="0" w:line="240" w:lineRule="auto"/>
              <w:jc w:val="righ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92.48</w:t>
            </w:r>
          </w:p>
        </w:tc>
        <w:tc>
          <w:tcPr>
            <w:tcW w:w="518" w:type="pct"/>
            <w:tcBorders>
              <w:top w:val="nil"/>
              <w:left w:val="nil"/>
              <w:bottom w:val="single" w:sz="4" w:space="0" w:color="auto"/>
              <w:right w:val="single" w:sz="4" w:space="0" w:color="auto"/>
            </w:tcBorders>
            <w:noWrap/>
            <w:vAlign w:val="bottom"/>
            <w:hideMark/>
          </w:tcPr>
          <w:p w14:paraId="136E677C" w14:textId="77777777" w:rsidR="007F3500" w:rsidRPr="006D39E3" w:rsidRDefault="007F3500" w:rsidP="007F3500">
            <w:pPr>
              <w:spacing w:before="0" w:after="0" w:line="240" w:lineRule="auto"/>
              <w:jc w:val="righ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99.53</w:t>
            </w:r>
          </w:p>
        </w:tc>
      </w:tr>
      <w:tr w:rsidR="007F3500" w:rsidRPr="006D39E3" w14:paraId="466C3AC3" w14:textId="77777777" w:rsidTr="007F3500">
        <w:trPr>
          <w:trHeight w:val="312"/>
        </w:trPr>
        <w:tc>
          <w:tcPr>
            <w:tcW w:w="1986" w:type="pct"/>
            <w:tcBorders>
              <w:top w:val="nil"/>
              <w:left w:val="single" w:sz="4" w:space="0" w:color="auto"/>
              <w:bottom w:val="single" w:sz="4" w:space="0" w:color="auto"/>
              <w:right w:val="single" w:sz="4" w:space="0" w:color="auto"/>
            </w:tcBorders>
            <w:noWrap/>
            <w:vAlign w:val="bottom"/>
            <w:hideMark/>
          </w:tcPr>
          <w:p w14:paraId="3AB66183" w14:textId="77777777" w:rsidR="007F3500" w:rsidRPr="006D39E3" w:rsidRDefault="007F3500" w:rsidP="007F3500">
            <w:pPr>
              <w:spacing w:before="0" w:after="0" w:line="240" w:lineRule="auto"/>
              <w:jc w:val="left"/>
              <w:rPr>
                <w:rFonts w:asciiTheme="minorBidi" w:eastAsia="Times New Roman" w:hAnsiTheme="minorBidi"/>
                <w:color w:val="000000"/>
                <w:kern w:val="0"/>
                <w:lang w:eastAsia="en-IN"/>
                <w14:ligatures w14:val="none"/>
              </w:rPr>
            </w:pPr>
            <w:r w:rsidRPr="006D39E3">
              <w:rPr>
                <w:rFonts w:asciiTheme="minorBidi" w:eastAsia="Times New Roman" w:hAnsiTheme="minorBidi"/>
                <w:color w:val="000000"/>
                <w:kern w:val="0"/>
                <w:lang w:eastAsia="en-IN"/>
                <w14:ligatures w14:val="none"/>
              </w:rPr>
              <w:t> </w:t>
            </w:r>
          </w:p>
        </w:tc>
        <w:tc>
          <w:tcPr>
            <w:tcW w:w="1043" w:type="pct"/>
            <w:tcBorders>
              <w:top w:val="nil"/>
              <w:left w:val="nil"/>
              <w:bottom w:val="single" w:sz="4" w:space="0" w:color="auto"/>
              <w:right w:val="single" w:sz="4" w:space="0" w:color="auto"/>
            </w:tcBorders>
            <w:noWrap/>
            <w:vAlign w:val="bottom"/>
            <w:hideMark/>
          </w:tcPr>
          <w:p w14:paraId="01C7A806"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2024</w:t>
            </w:r>
          </w:p>
        </w:tc>
        <w:tc>
          <w:tcPr>
            <w:tcW w:w="416" w:type="pct"/>
            <w:tcBorders>
              <w:top w:val="nil"/>
              <w:left w:val="nil"/>
              <w:bottom w:val="single" w:sz="4" w:space="0" w:color="auto"/>
              <w:right w:val="single" w:sz="4" w:space="0" w:color="auto"/>
            </w:tcBorders>
            <w:noWrap/>
            <w:vAlign w:val="bottom"/>
            <w:hideMark/>
          </w:tcPr>
          <w:p w14:paraId="6385A1F4"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2023</w:t>
            </w:r>
          </w:p>
        </w:tc>
        <w:tc>
          <w:tcPr>
            <w:tcW w:w="518" w:type="pct"/>
            <w:tcBorders>
              <w:top w:val="nil"/>
              <w:left w:val="nil"/>
              <w:bottom w:val="single" w:sz="4" w:space="0" w:color="auto"/>
              <w:right w:val="single" w:sz="4" w:space="0" w:color="auto"/>
            </w:tcBorders>
            <w:noWrap/>
            <w:vAlign w:val="bottom"/>
            <w:hideMark/>
          </w:tcPr>
          <w:p w14:paraId="18A2FB31"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2022</w:t>
            </w:r>
          </w:p>
        </w:tc>
        <w:tc>
          <w:tcPr>
            <w:tcW w:w="518" w:type="pct"/>
            <w:tcBorders>
              <w:top w:val="nil"/>
              <w:left w:val="nil"/>
              <w:bottom w:val="single" w:sz="4" w:space="0" w:color="auto"/>
              <w:right w:val="single" w:sz="4" w:space="0" w:color="auto"/>
            </w:tcBorders>
            <w:noWrap/>
            <w:vAlign w:val="bottom"/>
            <w:hideMark/>
          </w:tcPr>
          <w:p w14:paraId="3F8B4059"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2021</w:t>
            </w:r>
          </w:p>
        </w:tc>
        <w:tc>
          <w:tcPr>
            <w:tcW w:w="518" w:type="pct"/>
            <w:tcBorders>
              <w:top w:val="nil"/>
              <w:left w:val="nil"/>
              <w:bottom w:val="single" w:sz="4" w:space="0" w:color="auto"/>
              <w:right w:val="single" w:sz="4" w:space="0" w:color="auto"/>
            </w:tcBorders>
            <w:noWrap/>
            <w:vAlign w:val="bottom"/>
            <w:hideMark/>
          </w:tcPr>
          <w:p w14:paraId="5C305CFD"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2020</w:t>
            </w:r>
          </w:p>
        </w:tc>
      </w:tr>
      <w:tr w:rsidR="007F3500" w:rsidRPr="006D39E3" w14:paraId="1A1977A3" w14:textId="77777777" w:rsidTr="007F3500">
        <w:trPr>
          <w:trHeight w:val="624"/>
        </w:trPr>
        <w:tc>
          <w:tcPr>
            <w:tcW w:w="1986" w:type="pct"/>
            <w:tcBorders>
              <w:top w:val="nil"/>
              <w:left w:val="single" w:sz="4" w:space="0" w:color="auto"/>
              <w:bottom w:val="single" w:sz="4" w:space="0" w:color="auto"/>
              <w:right w:val="single" w:sz="4" w:space="0" w:color="auto"/>
            </w:tcBorders>
            <w:shd w:val="clear" w:color="000000" w:fill="FFC000"/>
            <w:vAlign w:val="bottom"/>
            <w:hideMark/>
          </w:tcPr>
          <w:p w14:paraId="41173769" w14:textId="77777777" w:rsidR="007F3500" w:rsidRPr="006D39E3" w:rsidRDefault="007F3500" w:rsidP="007F3500">
            <w:pPr>
              <w:spacing w:before="0" w:after="0" w:line="240" w:lineRule="auto"/>
              <w:jc w:val="lef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 xml:space="preserve">Cash Conversion Cycle (Inventory </w:t>
            </w:r>
            <w:proofErr w:type="spellStart"/>
            <w:r w:rsidRPr="006D39E3">
              <w:rPr>
                <w:rFonts w:asciiTheme="minorBidi" w:eastAsia="Times New Roman" w:hAnsiTheme="minorBidi"/>
                <w:b/>
                <w:bCs/>
                <w:color w:val="000000"/>
                <w:kern w:val="0"/>
                <w:lang w:eastAsia="en-IN"/>
                <w14:ligatures w14:val="none"/>
              </w:rPr>
              <w:t>Days+Receivable</w:t>
            </w:r>
            <w:proofErr w:type="spellEnd"/>
            <w:r w:rsidRPr="006D39E3">
              <w:rPr>
                <w:rFonts w:asciiTheme="minorBidi" w:eastAsia="Times New Roman" w:hAnsiTheme="minorBidi"/>
                <w:b/>
                <w:bCs/>
                <w:color w:val="000000"/>
                <w:kern w:val="0"/>
                <w:lang w:eastAsia="en-IN"/>
                <w14:ligatures w14:val="none"/>
              </w:rPr>
              <w:t xml:space="preserve"> </w:t>
            </w:r>
            <w:proofErr w:type="spellStart"/>
            <w:r w:rsidRPr="006D39E3">
              <w:rPr>
                <w:rFonts w:asciiTheme="minorBidi" w:eastAsia="Times New Roman" w:hAnsiTheme="minorBidi"/>
                <w:b/>
                <w:bCs/>
                <w:color w:val="000000"/>
                <w:kern w:val="0"/>
                <w:lang w:eastAsia="en-IN"/>
                <w14:ligatures w14:val="none"/>
              </w:rPr>
              <w:t>Days+Payble</w:t>
            </w:r>
            <w:proofErr w:type="spellEnd"/>
            <w:r w:rsidRPr="006D39E3">
              <w:rPr>
                <w:rFonts w:asciiTheme="minorBidi" w:eastAsia="Times New Roman" w:hAnsiTheme="minorBidi"/>
                <w:b/>
                <w:bCs/>
                <w:color w:val="000000"/>
                <w:kern w:val="0"/>
                <w:lang w:eastAsia="en-IN"/>
                <w14:ligatures w14:val="none"/>
              </w:rPr>
              <w:t xml:space="preserve"> Days) </w:t>
            </w:r>
          </w:p>
        </w:tc>
        <w:tc>
          <w:tcPr>
            <w:tcW w:w="1043" w:type="pct"/>
            <w:tcBorders>
              <w:top w:val="nil"/>
              <w:left w:val="nil"/>
              <w:bottom w:val="single" w:sz="4" w:space="0" w:color="auto"/>
              <w:right w:val="single" w:sz="4" w:space="0" w:color="auto"/>
            </w:tcBorders>
            <w:shd w:val="clear" w:color="000000" w:fill="FFC000"/>
            <w:noWrap/>
            <w:vAlign w:val="bottom"/>
            <w:hideMark/>
          </w:tcPr>
          <w:p w14:paraId="32B5988D"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68.78329896</w:t>
            </w:r>
          </w:p>
        </w:tc>
        <w:tc>
          <w:tcPr>
            <w:tcW w:w="416" w:type="pct"/>
            <w:tcBorders>
              <w:top w:val="nil"/>
              <w:left w:val="nil"/>
              <w:bottom w:val="single" w:sz="4" w:space="0" w:color="auto"/>
              <w:right w:val="single" w:sz="4" w:space="0" w:color="auto"/>
            </w:tcBorders>
            <w:shd w:val="clear" w:color="000000" w:fill="FFC000"/>
            <w:noWrap/>
            <w:vAlign w:val="bottom"/>
            <w:hideMark/>
          </w:tcPr>
          <w:p w14:paraId="7BAA3827"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68.551888</w:t>
            </w:r>
          </w:p>
        </w:tc>
        <w:tc>
          <w:tcPr>
            <w:tcW w:w="518" w:type="pct"/>
            <w:tcBorders>
              <w:top w:val="nil"/>
              <w:left w:val="nil"/>
              <w:bottom w:val="single" w:sz="4" w:space="0" w:color="auto"/>
              <w:right w:val="single" w:sz="4" w:space="0" w:color="auto"/>
            </w:tcBorders>
            <w:shd w:val="clear" w:color="000000" w:fill="FFC000"/>
            <w:noWrap/>
            <w:vAlign w:val="bottom"/>
            <w:hideMark/>
          </w:tcPr>
          <w:p w14:paraId="4C3935B1"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26.84186166</w:t>
            </w:r>
          </w:p>
        </w:tc>
        <w:tc>
          <w:tcPr>
            <w:tcW w:w="518" w:type="pct"/>
            <w:tcBorders>
              <w:top w:val="nil"/>
              <w:left w:val="nil"/>
              <w:bottom w:val="single" w:sz="4" w:space="0" w:color="auto"/>
              <w:right w:val="single" w:sz="4" w:space="0" w:color="auto"/>
            </w:tcBorders>
            <w:shd w:val="clear" w:color="000000" w:fill="FFC000"/>
            <w:noWrap/>
            <w:vAlign w:val="bottom"/>
            <w:hideMark/>
          </w:tcPr>
          <w:p w14:paraId="49CD9527"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64.85820483</w:t>
            </w:r>
          </w:p>
        </w:tc>
        <w:tc>
          <w:tcPr>
            <w:tcW w:w="518" w:type="pct"/>
            <w:tcBorders>
              <w:top w:val="nil"/>
              <w:left w:val="nil"/>
              <w:bottom w:val="single" w:sz="4" w:space="0" w:color="auto"/>
              <w:right w:val="single" w:sz="4" w:space="0" w:color="auto"/>
            </w:tcBorders>
            <w:shd w:val="clear" w:color="000000" w:fill="FFC000"/>
            <w:noWrap/>
            <w:vAlign w:val="bottom"/>
            <w:hideMark/>
          </w:tcPr>
          <w:p w14:paraId="6EDFC871" w14:textId="77777777" w:rsidR="007F3500" w:rsidRPr="006D39E3" w:rsidRDefault="007F3500" w:rsidP="007F3500">
            <w:pPr>
              <w:spacing w:before="0" w:after="0" w:line="240" w:lineRule="auto"/>
              <w:jc w:val="right"/>
              <w:rPr>
                <w:rFonts w:asciiTheme="minorBidi" w:eastAsia="Times New Roman" w:hAnsiTheme="minorBidi"/>
                <w:b/>
                <w:bCs/>
                <w:color w:val="000000"/>
                <w:kern w:val="0"/>
                <w:lang w:eastAsia="en-IN"/>
                <w14:ligatures w14:val="none"/>
              </w:rPr>
            </w:pPr>
            <w:r w:rsidRPr="006D39E3">
              <w:rPr>
                <w:rFonts w:asciiTheme="minorBidi" w:eastAsia="Times New Roman" w:hAnsiTheme="minorBidi"/>
                <w:b/>
                <w:bCs/>
                <w:color w:val="000000"/>
                <w:kern w:val="0"/>
                <w:lang w:eastAsia="en-IN"/>
                <w14:ligatures w14:val="none"/>
              </w:rPr>
              <w:t>76.12667372</w:t>
            </w:r>
          </w:p>
        </w:tc>
      </w:tr>
    </w:tbl>
    <w:p w14:paraId="23FA3371" w14:textId="5E0F60EF" w:rsidR="007F3500" w:rsidRPr="006D39E3" w:rsidRDefault="007F3500" w:rsidP="007F3500">
      <w:pPr>
        <w:rPr>
          <w:rFonts w:asciiTheme="minorBidi" w:hAnsiTheme="minorBidi"/>
        </w:rPr>
      </w:pPr>
    </w:p>
    <w:p w14:paraId="0F069DEC" w14:textId="3D6C31AC" w:rsidR="007F3500" w:rsidRPr="006D39E3" w:rsidRDefault="007F3500" w:rsidP="007F3500">
      <w:pPr>
        <w:rPr>
          <w:rFonts w:asciiTheme="minorBidi" w:hAnsiTheme="minorBidi"/>
        </w:rPr>
      </w:pPr>
      <w:r w:rsidRPr="006D39E3">
        <w:rPr>
          <w:rFonts w:asciiTheme="minorBidi" w:hAnsiTheme="minorBidi"/>
          <w:noProof/>
        </w:rPr>
        <w:drawing>
          <wp:inline distT="0" distB="0" distL="0" distR="0" wp14:anchorId="490F7714" wp14:editId="481141D3">
            <wp:extent cx="5731510" cy="2470150"/>
            <wp:effectExtent l="0" t="0" r="2540" b="6350"/>
            <wp:docPr id="1" name="Chart 1">
              <a:extLst xmlns:a="http://schemas.openxmlformats.org/drawingml/2006/main">
                <a:ext uri="{FF2B5EF4-FFF2-40B4-BE49-F238E27FC236}">
                  <a16:creationId xmlns:a16="http://schemas.microsoft.com/office/drawing/2014/main" id="{40E058E9-6167-457D-8F72-CD146331D6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7ABA7B7B" w14:textId="016750F1" w:rsidR="007F3500" w:rsidRPr="006D39E3" w:rsidRDefault="007F3500" w:rsidP="00837546">
      <w:pPr>
        <w:pStyle w:val="Heading2"/>
        <w:rPr>
          <w:rFonts w:asciiTheme="minorBidi" w:hAnsiTheme="minorBidi" w:cstheme="minorBidi"/>
        </w:rPr>
      </w:pPr>
      <w:bookmarkStart w:id="42" w:name="_Toc213265082"/>
      <w:r w:rsidRPr="006D39E3">
        <w:rPr>
          <w:rFonts w:asciiTheme="minorBidi" w:hAnsiTheme="minorBidi" w:cstheme="minorBidi"/>
        </w:rPr>
        <w:lastRenderedPageBreak/>
        <w:t xml:space="preserve">Appendix 8: </w:t>
      </w:r>
      <w:r w:rsidR="00837546" w:rsidRPr="006D39E3">
        <w:rPr>
          <w:rFonts w:asciiTheme="minorBidi" w:hAnsiTheme="minorBidi" w:cstheme="minorBidi"/>
        </w:rPr>
        <w:t>Investment Appraisal of Project A</w:t>
      </w:r>
      <w:bookmarkEnd w:id="42"/>
      <w:r w:rsidR="00837546" w:rsidRPr="006D39E3">
        <w:rPr>
          <w:rFonts w:asciiTheme="minorBidi" w:hAnsiTheme="minorBidi" w:cstheme="minorBidi"/>
        </w:rPr>
        <w:t xml:space="preserve"> </w:t>
      </w:r>
    </w:p>
    <w:tbl>
      <w:tblPr>
        <w:tblW w:w="5000" w:type="pct"/>
        <w:tblLook w:val="04A0" w:firstRow="1" w:lastRow="0" w:firstColumn="1" w:lastColumn="0" w:noHBand="0" w:noVBand="1"/>
      </w:tblPr>
      <w:tblGrid>
        <w:gridCol w:w="3781"/>
        <w:gridCol w:w="2484"/>
        <w:gridCol w:w="2751"/>
      </w:tblGrid>
      <w:tr w:rsidR="00837546" w:rsidRPr="00837546" w14:paraId="183A0AB2" w14:textId="77777777" w:rsidTr="00837546">
        <w:trPr>
          <w:trHeight w:val="312"/>
        </w:trPr>
        <w:tc>
          <w:tcPr>
            <w:tcW w:w="5000" w:type="pct"/>
            <w:gridSpan w:val="3"/>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3BAA8841" w14:textId="77777777" w:rsidR="00837546" w:rsidRPr="00837546" w:rsidRDefault="00837546" w:rsidP="00837546">
            <w:pPr>
              <w:spacing w:before="0" w:after="0" w:line="240" w:lineRule="auto"/>
              <w:jc w:val="center"/>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 xml:space="preserve">Project A - Investment </w:t>
            </w:r>
            <w:proofErr w:type="spellStart"/>
            <w:r w:rsidRPr="00837546">
              <w:rPr>
                <w:rFonts w:asciiTheme="minorBidi" w:eastAsia="Times New Roman" w:hAnsiTheme="minorBidi"/>
                <w:b/>
                <w:bCs/>
                <w:color w:val="000000"/>
                <w:kern w:val="0"/>
                <w:lang w:eastAsia="en-IN"/>
                <w14:ligatures w14:val="none"/>
              </w:rPr>
              <w:t>Appeaisals</w:t>
            </w:r>
            <w:proofErr w:type="spellEnd"/>
          </w:p>
        </w:tc>
      </w:tr>
      <w:tr w:rsidR="00837546" w:rsidRPr="00837546" w14:paraId="2833B9C1" w14:textId="77777777" w:rsidTr="00837546">
        <w:trPr>
          <w:trHeight w:val="312"/>
        </w:trPr>
        <w:tc>
          <w:tcPr>
            <w:tcW w:w="3988" w:type="pct"/>
            <w:tcBorders>
              <w:top w:val="nil"/>
              <w:left w:val="single" w:sz="4" w:space="0" w:color="auto"/>
              <w:bottom w:val="single" w:sz="4" w:space="0" w:color="auto"/>
              <w:right w:val="single" w:sz="4" w:space="0" w:color="auto"/>
            </w:tcBorders>
            <w:shd w:val="clear" w:color="000000" w:fill="FFC000"/>
            <w:noWrap/>
            <w:vAlign w:val="bottom"/>
            <w:hideMark/>
          </w:tcPr>
          <w:p w14:paraId="05B9036B"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 xml:space="preserve">Year </w:t>
            </w:r>
          </w:p>
        </w:tc>
        <w:tc>
          <w:tcPr>
            <w:tcW w:w="363" w:type="pct"/>
            <w:tcBorders>
              <w:top w:val="nil"/>
              <w:left w:val="nil"/>
              <w:bottom w:val="single" w:sz="4" w:space="0" w:color="auto"/>
              <w:right w:val="single" w:sz="4" w:space="0" w:color="auto"/>
            </w:tcBorders>
            <w:shd w:val="clear" w:color="000000" w:fill="FFC000"/>
            <w:noWrap/>
            <w:vAlign w:val="bottom"/>
            <w:hideMark/>
          </w:tcPr>
          <w:p w14:paraId="25C4CE8E"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 xml:space="preserve">Cash Flow </w:t>
            </w:r>
          </w:p>
        </w:tc>
        <w:tc>
          <w:tcPr>
            <w:tcW w:w="649" w:type="pct"/>
            <w:tcBorders>
              <w:top w:val="nil"/>
              <w:left w:val="nil"/>
              <w:bottom w:val="single" w:sz="4" w:space="0" w:color="auto"/>
              <w:right w:val="single" w:sz="4" w:space="0" w:color="auto"/>
            </w:tcBorders>
            <w:shd w:val="clear" w:color="000000" w:fill="FFC000"/>
            <w:noWrap/>
            <w:vAlign w:val="bottom"/>
            <w:hideMark/>
          </w:tcPr>
          <w:p w14:paraId="0A34D749"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proofErr w:type="spellStart"/>
            <w:r w:rsidRPr="00837546">
              <w:rPr>
                <w:rFonts w:asciiTheme="minorBidi" w:eastAsia="Times New Roman" w:hAnsiTheme="minorBidi"/>
                <w:b/>
                <w:bCs/>
                <w:color w:val="000000"/>
                <w:kern w:val="0"/>
                <w:lang w:eastAsia="en-IN"/>
                <w14:ligatures w14:val="none"/>
              </w:rPr>
              <w:t>Cumilative</w:t>
            </w:r>
            <w:proofErr w:type="spellEnd"/>
            <w:r w:rsidRPr="00837546">
              <w:rPr>
                <w:rFonts w:asciiTheme="minorBidi" w:eastAsia="Times New Roman" w:hAnsiTheme="minorBidi"/>
                <w:b/>
                <w:bCs/>
                <w:color w:val="000000"/>
                <w:kern w:val="0"/>
                <w:lang w:eastAsia="en-IN"/>
                <w14:ligatures w14:val="none"/>
              </w:rPr>
              <w:t xml:space="preserve"> CashFlow</w:t>
            </w:r>
          </w:p>
        </w:tc>
      </w:tr>
      <w:tr w:rsidR="00837546" w:rsidRPr="00837546" w14:paraId="3BD0F234" w14:textId="77777777" w:rsidTr="00837546">
        <w:trPr>
          <w:trHeight w:val="312"/>
        </w:trPr>
        <w:tc>
          <w:tcPr>
            <w:tcW w:w="3988" w:type="pct"/>
            <w:tcBorders>
              <w:top w:val="nil"/>
              <w:left w:val="single" w:sz="4" w:space="0" w:color="auto"/>
              <w:bottom w:val="single" w:sz="4" w:space="0" w:color="auto"/>
              <w:right w:val="single" w:sz="4" w:space="0" w:color="auto"/>
            </w:tcBorders>
            <w:noWrap/>
            <w:vAlign w:val="bottom"/>
            <w:hideMark/>
          </w:tcPr>
          <w:p w14:paraId="6369D75C" w14:textId="77777777" w:rsidR="00837546" w:rsidRPr="00837546" w:rsidRDefault="00837546" w:rsidP="00837546">
            <w:pPr>
              <w:spacing w:before="0" w:after="0" w:line="240" w:lineRule="auto"/>
              <w:jc w:val="righ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0</w:t>
            </w:r>
          </w:p>
        </w:tc>
        <w:tc>
          <w:tcPr>
            <w:tcW w:w="363" w:type="pct"/>
            <w:tcBorders>
              <w:top w:val="nil"/>
              <w:left w:val="nil"/>
              <w:bottom w:val="single" w:sz="4" w:space="0" w:color="auto"/>
              <w:right w:val="single" w:sz="4" w:space="0" w:color="auto"/>
            </w:tcBorders>
            <w:noWrap/>
            <w:vAlign w:val="bottom"/>
            <w:hideMark/>
          </w:tcPr>
          <w:p w14:paraId="6E77D1BD"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40.00 </w:t>
            </w:r>
          </w:p>
        </w:tc>
        <w:tc>
          <w:tcPr>
            <w:tcW w:w="649" w:type="pct"/>
            <w:tcBorders>
              <w:top w:val="nil"/>
              <w:left w:val="nil"/>
              <w:bottom w:val="single" w:sz="4" w:space="0" w:color="auto"/>
              <w:right w:val="single" w:sz="4" w:space="0" w:color="auto"/>
            </w:tcBorders>
            <w:noWrap/>
            <w:vAlign w:val="bottom"/>
            <w:hideMark/>
          </w:tcPr>
          <w:p w14:paraId="05B64064"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40.00 </w:t>
            </w:r>
          </w:p>
        </w:tc>
      </w:tr>
      <w:tr w:rsidR="00837546" w:rsidRPr="00837546" w14:paraId="0B3EE3B0" w14:textId="77777777" w:rsidTr="00837546">
        <w:trPr>
          <w:trHeight w:val="312"/>
        </w:trPr>
        <w:tc>
          <w:tcPr>
            <w:tcW w:w="3988" w:type="pct"/>
            <w:tcBorders>
              <w:top w:val="nil"/>
              <w:left w:val="single" w:sz="4" w:space="0" w:color="auto"/>
              <w:bottom w:val="single" w:sz="4" w:space="0" w:color="auto"/>
              <w:right w:val="single" w:sz="4" w:space="0" w:color="auto"/>
            </w:tcBorders>
            <w:noWrap/>
            <w:vAlign w:val="bottom"/>
            <w:hideMark/>
          </w:tcPr>
          <w:p w14:paraId="59E87F5E" w14:textId="77777777" w:rsidR="00837546" w:rsidRPr="00837546" w:rsidRDefault="00837546" w:rsidP="00837546">
            <w:pPr>
              <w:spacing w:before="0" w:after="0" w:line="240" w:lineRule="auto"/>
              <w:jc w:val="righ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1</w:t>
            </w:r>
          </w:p>
        </w:tc>
        <w:tc>
          <w:tcPr>
            <w:tcW w:w="363" w:type="pct"/>
            <w:tcBorders>
              <w:top w:val="nil"/>
              <w:left w:val="nil"/>
              <w:bottom w:val="single" w:sz="4" w:space="0" w:color="auto"/>
              <w:right w:val="single" w:sz="4" w:space="0" w:color="auto"/>
            </w:tcBorders>
            <w:noWrap/>
            <w:vAlign w:val="bottom"/>
            <w:hideMark/>
          </w:tcPr>
          <w:p w14:paraId="476B281E"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10.00 </w:t>
            </w:r>
          </w:p>
        </w:tc>
        <w:tc>
          <w:tcPr>
            <w:tcW w:w="649" w:type="pct"/>
            <w:tcBorders>
              <w:top w:val="nil"/>
              <w:left w:val="nil"/>
              <w:bottom w:val="single" w:sz="4" w:space="0" w:color="auto"/>
              <w:right w:val="single" w:sz="4" w:space="0" w:color="auto"/>
            </w:tcBorders>
            <w:noWrap/>
            <w:vAlign w:val="bottom"/>
            <w:hideMark/>
          </w:tcPr>
          <w:p w14:paraId="74EEE11C"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30.00 </w:t>
            </w:r>
          </w:p>
        </w:tc>
      </w:tr>
      <w:tr w:rsidR="00837546" w:rsidRPr="00837546" w14:paraId="364E6EB7" w14:textId="77777777" w:rsidTr="00837546">
        <w:trPr>
          <w:trHeight w:val="312"/>
        </w:trPr>
        <w:tc>
          <w:tcPr>
            <w:tcW w:w="3988" w:type="pct"/>
            <w:tcBorders>
              <w:top w:val="nil"/>
              <w:left w:val="single" w:sz="4" w:space="0" w:color="auto"/>
              <w:bottom w:val="single" w:sz="4" w:space="0" w:color="auto"/>
              <w:right w:val="single" w:sz="4" w:space="0" w:color="auto"/>
            </w:tcBorders>
            <w:noWrap/>
            <w:vAlign w:val="bottom"/>
            <w:hideMark/>
          </w:tcPr>
          <w:p w14:paraId="06B19BCD" w14:textId="77777777" w:rsidR="00837546" w:rsidRPr="00837546" w:rsidRDefault="00837546" w:rsidP="00837546">
            <w:pPr>
              <w:spacing w:before="0" w:after="0" w:line="240" w:lineRule="auto"/>
              <w:jc w:val="righ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2</w:t>
            </w:r>
          </w:p>
        </w:tc>
        <w:tc>
          <w:tcPr>
            <w:tcW w:w="363" w:type="pct"/>
            <w:tcBorders>
              <w:top w:val="nil"/>
              <w:left w:val="nil"/>
              <w:bottom w:val="single" w:sz="4" w:space="0" w:color="auto"/>
              <w:right w:val="single" w:sz="4" w:space="0" w:color="auto"/>
            </w:tcBorders>
            <w:noWrap/>
            <w:vAlign w:val="bottom"/>
            <w:hideMark/>
          </w:tcPr>
          <w:p w14:paraId="66B2B82D"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12.00 </w:t>
            </w:r>
          </w:p>
        </w:tc>
        <w:tc>
          <w:tcPr>
            <w:tcW w:w="649" w:type="pct"/>
            <w:tcBorders>
              <w:top w:val="nil"/>
              <w:left w:val="nil"/>
              <w:bottom w:val="single" w:sz="4" w:space="0" w:color="auto"/>
              <w:right w:val="single" w:sz="4" w:space="0" w:color="auto"/>
            </w:tcBorders>
            <w:noWrap/>
            <w:vAlign w:val="bottom"/>
            <w:hideMark/>
          </w:tcPr>
          <w:p w14:paraId="715072BB"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18.00 </w:t>
            </w:r>
          </w:p>
        </w:tc>
      </w:tr>
      <w:tr w:rsidR="00837546" w:rsidRPr="00837546" w14:paraId="6571B400" w14:textId="77777777" w:rsidTr="00837546">
        <w:trPr>
          <w:trHeight w:val="312"/>
        </w:trPr>
        <w:tc>
          <w:tcPr>
            <w:tcW w:w="3988" w:type="pct"/>
            <w:tcBorders>
              <w:top w:val="nil"/>
              <w:left w:val="single" w:sz="4" w:space="0" w:color="auto"/>
              <w:bottom w:val="single" w:sz="4" w:space="0" w:color="auto"/>
              <w:right w:val="single" w:sz="4" w:space="0" w:color="auto"/>
            </w:tcBorders>
            <w:noWrap/>
            <w:vAlign w:val="bottom"/>
            <w:hideMark/>
          </w:tcPr>
          <w:p w14:paraId="79FA22D7" w14:textId="77777777" w:rsidR="00837546" w:rsidRPr="00837546" w:rsidRDefault="00837546" w:rsidP="00837546">
            <w:pPr>
              <w:spacing w:before="0" w:after="0" w:line="240" w:lineRule="auto"/>
              <w:jc w:val="righ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3</w:t>
            </w:r>
          </w:p>
        </w:tc>
        <w:tc>
          <w:tcPr>
            <w:tcW w:w="363" w:type="pct"/>
            <w:tcBorders>
              <w:top w:val="nil"/>
              <w:left w:val="nil"/>
              <w:bottom w:val="single" w:sz="4" w:space="0" w:color="auto"/>
              <w:right w:val="single" w:sz="4" w:space="0" w:color="auto"/>
            </w:tcBorders>
            <w:noWrap/>
            <w:vAlign w:val="bottom"/>
            <w:hideMark/>
          </w:tcPr>
          <w:p w14:paraId="0C17936F"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14.00 </w:t>
            </w:r>
          </w:p>
        </w:tc>
        <w:tc>
          <w:tcPr>
            <w:tcW w:w="649" w:type="pct"/>
            <w:tcBorders>
              <w:top w:val="nil"/>
              <w:left w:val="nil"/>
              <w:bottom w:val="single" w:sz="4" w:space="0" w:color="auto"/>
              <w:right w:val="single" w:sz="4" w:space="0" w:color="auto"/>
            </w:tcBorders>
            <w:noWrap/>
            <w:vAlign w:val="bottom"/>
            <w:hideMark/>
          </w:tcPr>
          <w:p w14:paraId="7F7FD094"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4.00 </w:t>
            </w:r>
          </w:p>
        </w:tc>
      </w:tr>
      <w:tr w:rsidR="00837546" w:rsidRPr="00837546" w14:paraId="45A7EA7F" w14:textId="77777777" w:rsidTr="00837546">
        <w:trPr>
          <w:trHeight w:val="312"/>
        </w:trPr>
        <w:tc>
          <w:tcPr>
            <w:tcW w:w="3988" w:type="pct"/>
            <w:tcBorders>
              <w:top w:val="nil"/>
              <w:left w:val="single" w:sz="4" w:space="0" w:color="auto"/>
              <w:bottom w:val="single" w:sz="4" w:space="0" w:color="auto"/>
              <w:right w:val="single" w:sz="4" w:space="0" w:color="auto"/>
            </w:tcBorders>
            <w:noWrap/>
            <w:vAlign w:val="bottom"/>
            <w:hideMark/>
          </w:tcPr>
          <w:p w14:paraId="5613561D" w14:textId="77777777" w:rsidR="00837546" w:rsidRPr="00837546" w:rsidRDefault="00837546" w:rsidP="00837546">
            <w:pPr>
              <w:spacing w:before="0" w:after="0" w:line="240" w:lineRule="auto"/>
              <w:jc w:val="righ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4</w:t>
            </w:r>
          </w:p>
        </w:tc>
        <w:tc>
          <w:tcPr>
            <w:tcW w:w="363" w:type="pct"/>
            <w:tcBorders>
              <w:top w:val="nil"/>
              <w:left w:val="nil"/>
              <w:bottom w:val="single" w:sz="4" w:space="0" w:color="auto"/>
              <w:right w:val="single" w:sz="4" w:space="0" w:color="auto"/>
            </w:tcBorders>
            <w:noWrap/>
            <w:vAlign w:val="bottom"/>
            <w:hideMark/>
          </w:tcPr>
          <w:p w14:paraId="3EDB88E0"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10.00 </w:t>
            </w:r>
          </w:p>
        </w:tc>
        <w:tc>
          <w:tcPr>
            <w:tcW w:w="649" w:type="pct"/>
            <w:tcBorders>
              <w:top w:val="nil"/>
              <w:left w:val="nil"/>
              <w:bottom w:val="single" w:sz="4" w:space="0" w:color="auto"/>
              <w:right w:val="single" w:sz="4" w:space="0" w:color="auto"/>
            </w:tcBorders>
            <w:noWrap/>
            <w:vAlign w:val="bottom"/>
            <w:hideMark/>
          </w:tcPr>
          <w:p w14:paraId="071EDA43"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6.00 </w:t>
            </w:r>
          </w:p>
        </w:tc>
      </w:tr>
      <w:tr w:rsidR="00837546" w:rsidRPr="00837546" w14:paraId="33F07434" w14:textId="77777777" w:rsidTr="00837546">
        <w:trPr>
          <w:trHeight w:val="312"/>
        </w:trPr>
        <w:tc>
          <w:tcPr>
            <w:tcW w:w="3988" w:type="pct"/>
            <w:tcBorders>
              <w:top w:val="nil"/>
              <w:left w:val="single" w:sz="4" w:space="0" w:color="auto"/>
              <w:bottom w:val="single" w:sz="4" w:space="0" w:color="auto"/>
              <w:right w:val="single" w:sz="4" w:space="0" w:color="auto"/>
            </w:tcBorders>
            <w:noWrap/>
            <w:vAlign w:val="bottom"/>
            <w:hideMark/>
          </w:tcPr>
          <w:p w14:paraId="55DBDFC7" w14:textId="77777777" w:rsidR="00837546" w:rsidRPr="00837546" w:rsidRDefault="00837546" w:rsidP="00837546">
            <w:pPr>
              <w:spacing w:before="0" w:after="0" w:line="240" w:lineRule="auto"/>
              <w:jc w:val="righ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5</w:t>
            </w:r>
          </w:p>
        </w:tc>
        <w:tc>
          <w:tcPr>
            <w:tcW w:w="363" w:type="pct"/>
            <w:tcBorders>
              <w:top w:val="nil"/>
              <w:left w:val="nil"/>
              <w:bottom w:val="single" w:sz="4" w:space="0" w:color="auto"/>
              <w:right w:val="single" w:sz="4" w:space="0" w:color="auto"/>
            </w:tcBorders>
            <w:noWrap/>
            <w:vAlign w:val="bottom"/>
            <w:hideMark/>
          </w:tcPr>
          <w:p w14:paraId="6F24C6BB"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8.00 </w:t>
            </w:r>
          </w:p>
        </w:tc>
        <w:tc>
          <w:tcPr>
            <w:tcW w:w="649" w:type="pct"/>
            <w:tcBorders>
              <w:top w:val="nil"/>
              <w:left w:val="nil"/>
              <w:bottom w:val="single" w:sz="4" w:space="0" w:color="auto"/>
              <w:right w:val="single" w:sz="4" w:space="0" w:color="auto"/>
            </w:tcBorders>
            <w:noWrap/>
            <w:vAlign w:val="bottom"/>
            <w:hideMark/>
          </w:tcPr>
          <w:p w14:paraId="70E8F448"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14.00 </w:t>
            </w:r>
          </w:p>
        </w:tc>
      </w:tr>
      <w:tr w:rsidR="00837546" w:rsidRPr="00837546" w14:paraId="65721D1A" w14:textId="77777777" w:rsidTr="00837546">
        <w:trPr>
          <w:trHeight w:val="312"/>
        </w:trPr>
        <w:tc>
          <w:tcPr>
            <w:tcW w:w="3988" w:type="pct"/>
            <w:tcBorders>
              <w:top w:val="nil"/>
              <w:left w:val="single" w:sz="4" w:space="0" w:color="auto"/>
              <w:bottom w:val="single" w:sz="4" w:space="0" w:color="auto"/>
              <w:right w:val="single" w:sz="4" w:space="0" w:color="auto"/>
            </w:tcBorders>
            <w:noWrap/>
            <w:vAlign w:val="bottom"/>
            <w:hideMark/>
          </w:tcPr>
          <w:p w14:paraId="2AA6C715"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Total Cash Flow </w:t>
            </w:r>
          </w:p>
        </w:tc>
        <w:tc>
          <w:tcPr>
            <w:tcW w:w="1012" w:type="pct"/>
            <w:gridSpan w:val="2"/>
            <w:tcBorders>
              <w:top w:val="single" w:sz="4" w:space="0" w:color="auto"/>
              <w:left w:val="nil"/>
              <w:bottom w:val="single" w:sz="4" w:space="0" w:color="auto"/>
              <w:right w:val="single" w:sz="4" w:space="0" w:color="000000"/>
            </w:tcBorders>
            <w:noWrap/>
            <w:vAlign w:val="bottom"/>
            <w:hideMark/>
          </w:tcPr>
          <w:p w14:paraId="5B304273" w14:textId="77777777" w:rsidR="00837546" w:rsidRPr="00837546" w:rsidRDefault="00837546" w:rsidP="00837546">
            <w:pPr>
              <w:spacing w:before="0" w:after="0" w:line="240" w:lineRule="auto"/>
              <w:jc w:val="center"/>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54.00 </w:t>
            </w:r>
          </w:p>
        </w:tc>
      </w:tr>
      <w:tr w:rsidR="00837546" w:rsidRPr="00837546" w14:paraId="067D5E30" w14:textId="77777777" w:rsidTr="00837546">
        <w:trPr>
          <w:trHeight w:val="324"/>
        </w:trPr>
        <w:tc>
          <w:tcPr>
            <w:tcW w:w="3988" w:type="pct"/>
            <w:tcBorders>
              <w:top w:val="nil"/>
              <w:left w:val="single" w:sz="4" w:space="0" w:color="auto"/>
              <w:bottom w:val="nil"/>
              <w:right w:val="single" w:sz="4" w:space="0" w:color="auto"/>
            </w:tcBorders>
            <w:noWrap/>
            <w:vAlign w:val="bottom"/>
            <w:hideMark/>
          </w:tcPr>
          <w:p w14:paraId="65D35ACA"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Average Annual Profit </w:t>
            </w:r>
          </w:p>
        </w:tc>
        <w:tc>
          <w:tcPr>
            <w:tcW w:w="1012" w:type="pct"/>
            <w:gridSpan w:val="2"/>
            <w:tcBorders>
              <w:top w:val="single" w:sz="4" w:space="0" w:color="auto"/>
              <w:left w:val="nil"/>
              <w:bottom w:val="nil"/>
              <w:right w:val="single" w:sz="4" w:space="0" w:color="000000"/>
            </w:tcBorders>
            <w:noWrap/>
            <w:vAlign w:val="bottom"/>
            <w:hideMark/>
          </w:tcPr>
          <w:p w14:paraId="784EEA3F" w14:textId="77777777" w:rsidR="00837546" w:rsidRPr="00837546" w:rsidRDefault="00837546" w:rsidP="00837546">
            <w:pPr>
              <w:spacing w:before="0" w:after="0" w:line="240" w:lineRule="auto"/>
              <w:jc w:val="center"/>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10.80 </w:t>
            </w:r>
          </w:p>
        </w:tc>
      </w:tr>
      <w:tr w:rsidR="00837546" w:rsidRPr="00837546" w14:paraId="50540A7A" w14:textId="77777777" w:rsidTr="00837546">
        <w:trPr>
          <w:trHeight w:val="300"/>
        </w:trPr>
        <w:tc>
          <w:tcPr>
            <w:tcW w:w="3988" w:type="pct"/>
            <w:tcBorders>
              <w:top w:val="single" w:sz="8" w:space="0" w:color="auto"/>
              <w:left w:val="single" w:sz="8" w:space="0" w:color="auto"/>
              <w:bottom w:val="single" w:sz="4" w:space="0" w:color="auto"/>
              <w:right w:val="single" w:sz="4" w:space="0" w:color="auto"/>
            </w:tcBorders>
            <w:shd w:val="clear" w:color="000000" w:fill="FFC000"/>
            <w:noWrap/>
            <w:vAlign w:val="bottom"/>
            <w:hideMark/>
          </w:tcPr>
          <w:p w14:paraId="12930F1D"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Payback Period</w:t>
            </w:r>
          </w:p>
        </w:tc>
        <w:tc>
          <w:tcPr>
            <w:tcW w:w="1012" w:type="pct"/>
            <w:gridSpan w:val="2"/>
            <w:tcBorders>
              <w:top w:val="single" w:sz="8" w:space="0" w:color="auto"/>
              <w:left w:val="nil"/>
              <w:bottom w:val="single" w:sz="4" w:space="0" w:color="auto"/>
              <w:right w:val="single" w:sz="8" w:space="0" w:color="000000"/>
            </w:tcBorders>
            <w:shd w:val="clear" w:color="000000" w:fill="FFC000"/>
            <w:noWrap/>
            <w:vAlign w:val="bottom"/>
            <w:hideMark/>
          </w:tcPr>
          <w:p w14:paraId="2EB77D70" w14:textId="77777777" w:rsidR="00837546" w:rsidRPr="00837546" w:rsidRDefault="00837546" w:rsidP="00837546">
            <w:pPr>
              <w:spacing w:before="0" w:after="0" w:line="240" w:lineRule="auto"/>
              <w:jc w:val="righ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4</w:t>
            </w:r>
          </w:p>
        </w:tc>
      </w:tr>
      <w:tr w:rsidR="00837546" w:rsidRPr="00837546" w14:paraId="36EB8A66" w14:textId="77777777" w:rsidTr="00837546">
        <w:trPr>
          <w:trHeight w:val="312"/>
        </w:trPr>
        <w:tc>
          <w:tcPr>
            <w:tcW w:w="3988" w:type="pct"/>
            <w:tcBorders>
              <w:top w:val="nil"/>
              <w:left w:val="single" w:sz="8" w:space="0" w:color="auto"/>
              <w:bottom w:val="single" w:sz="4" w:space="0" w:color="auto"/>
              <w:right w:val="single" w:sz="4" w:space="0" w:color="auto"/>
            </w:tcBorders>
            <w:shd w:val="clear" w:color="000000" w:fill="FFC000"/>
            <w:noWrap/>
            <w:vAlign w:val="bottom"/>
            <w:hideMark/>
          </w:tcPr>
          <w:p w14:paraId="4322CD87"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ARR</w:t>
            </w:r>
          </w:p>
        </w:tc>
        <w:tc>
          <w:tcPr>
            <w:tcW w:w="1012" w:type="pct"/>
            <w:gridSpan w:val="2"/>
            <w:tcBorders>
              <w:top w:val="single" w:sz="4" w:space="0" w:color="auto"/>
              <w:left w:val="nil"/>
              <w:bottom w:val="single" w:sz="4" w:space="0" w:color="auto"/>
              <w:right w:val="single" w:sz="8" w:space="0" w:color="000000"/>
            </w:tcBorders>
            <w:shd w:val="clear" w:color="000000" w:fill="FFC000"/>
            <w:noWrap/>
            <w:vAlign w:val="bottom"/>
            <w:hideMark/>
          </w:tcPr>
          <w:p w14:paraId="29337A67" w14:textId="77777777" w:rsidR="00837546" w:rsidRPr="00837546" w:rsidRDefault="00837546" w:rsidP="00837546">
            <w:pPr>
              <w:spacing w:before="0" w:after="0" w:line="240" w:lineRule="auto"/>
              <w:jc w:val="righ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-27%</w:t>
            </w:r>
          </w:p>
        </w:tc>
      </w:tr>
      <w:tr w:rsidR="00837546" w:rsidRPr="00837546" w14:paraId="23665645" w14:textId="77777777" w:rsidTr="00837546">
        <w:trPr>
          <w:trHeight w:val="312"/>
        </w:trPr>
        <w:tc>
          <w:tcPr>
            <w:tcW w:w="3988" w:type="pct"/>
            <w:tcBorders>
              <w:top w:val="nil"/>
              <w:left w:val="single" w:sz="8" w:space="0" w:color="auto"/>
              <w:bottom w:val="single" w:sz="4" w:space="0" w:color="auto"/>
              <w:right w:val="single" w:sz="4" w:space="0" w:color="auto"/>
            </w:tcBorders>
            <w:shd w:val="clear" w:color="000000" w:fill="FFC000"/>
            <w:noWrap/>
            <w:vAlign w:val="bottom"/>
            <w:hideMark/>
          </w:tcPr>
          <w:p w14:paraId="052941C0"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NPV</w:t>
            </w:r>
          </w:p>
        </w:tc>
        <w:tc>
          <w:tcPr>
            <w:tcW w:w="1012" w:type="pct"/>
            <w:gridSpan w:val="2"/>
            <w:tcBorders>
              <w:top w:val="single" w:sz="4" w:space="0" w:color="auto"/>
              <w:left w:val="nil"/>
              <w:bottom w:val="single" w:sz="4" w:space="0" w:color="auto"/>
              <w:right w:val="single" w:sz="8" w:space="0" w:color="000000"/>
            </w:tcBorders>
            <w:shd w:val="clear" w:color="000000" w:fill="FFC000"/>
            <w:noWrap/>
            <w:vAlign w:val="bottom"/>
            <w:hideMark/>
          </w:tcPr>
          <w:p w14:paraId="1ACC1C4C"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 xml:space="preserve"> £                                                                1.32 </w:t>
            </w:r>
          </w:p>
        </w:tc>
      </w:tr>
      <w:tr w:rsidR="00837546" w:rsidRPr="00837546" w14:paraId="0B07EEF1" w14:textId="77777777" w:rsidTr="00837546">
        <w:trPr>
          <w:trHeight w:val="312"/>
        </w:trPr>
        <w:tc>
          <w:tcPr>
            <w:tcW w:w="3988" w:type="pct"/>
            <w:tcBorders>
              <w:top w:val="nil"/>
              <w:left w:val="single" w:sz="8" w:space="0" w:color="auto"/>
              <w:bottom w:val="single" w:sz="4" w:space="0" w:color="auto"/>
              <w:right w:val="single" w:sz="4" w:space="0" w:color="auto"/>
            </w:tcBorders>
            <w:shd w:val="clear" w:color="000000" w:fill="FFC000"/>
            <w:noWrap/>
            <w:vAlign w:val="bottom"/>
            <w:hideMark/>
          </w:tcPr>
          <w:p w14:paraId="2808538F"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 xml:space="preserve">Profitability Index (PI) </w:t>
            </w:r>
          </w:p>
        </w:tc>
        <w:tc>
          <w:tcPr>
            <w:tcW w:w="1012" w:type="pct"/>
            <w:gridSpan w:val="2"/>
            <w:tcBorders>
              <w:top w:val="single" w:sz="4" w:space="0" w:color="auto"/>
              <w:left w:val="nil"/>
              <w:bottom w:val="single" w:sz="4" w:space="0" w:color="auto"/>
              <w:right w:val="single" w:sz="8" w:space="0" w:color="000000"/>
            </w:tcBorders>
            <w:shd w:val="clear" w:color="000000" w:fill="FFC000"/>
            <w:noWrap/>
            <w:vAlign w:val="bottom"/>
            <w:hideMark/>
          </w:tcPr>
          <w:p w14:paraId="627A5B28"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 xml:space="preserve"> £                                                                0.97 </w:t>
            </w:r>
          </w:p>
        </w:tc>
      </w:tr>
      <w:tr w:rsidR="00837546" w:rsidRPr="00837546" w14:paraId="2E7F9CF0" w14:textId="77777777" w:rsidTr="00837546">
        <w:trPr>
          <w:trHeight w:val="324"/>
        </w:trPr>
        <w:tc>
          <w:tcPr>
            <w:tcW w:w="3988" w:type="pct"/>
            <w:tcBorders>
              <w:top w:val="nil"/>
              <w:left w:val="single" w:sz="8" w:space="0" w:color="auto"/>
              <w:bottom w:val="single" w:sz="8" w:space="0" w:color="auto"/>
              <w:right w:val="single" w:sz="4" w:space="0" w:color="auto"/>
            </w:tcBorders>
            <w:shd w:val="clear" w:color="000000" w:fill="FFC000"/>
            <w:noWrap/>
            <w:vAlign w:val="bottom"/>
            <w:hideMark/>
          </w:tcPr>
          <w:p w14:paraId="4A664C1F"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 xml:space="preserve">IRR </w:t>
            </w:r>
          </w:p>
        </w:tc>
        <w:tc>
          <w:tcPr>
            <w:tcW w:w="1012" w:type="pct"/>
            <w:gridSpan w:val="2"/>
            <w:tcBorders>
              <w:top w:val="single" w:sz="4" w:space="0" w:color="auto"/>
              <w:left w:val="nil"/>
              <w:bottom w:val="single" w:sz="8" w:space="0" w:color="auto"/>
              <w:right w:val="single" w:sz="8" w:space="0" w:color="000000"/>
            </w:tcBorders>
            <w:shd w:val="clear" w:color="000000" w:fill="FFC000"/>
            <w:noWrap/>
            <w:vAlign w:val="bottom"/>
            <w:hideMark/>
          </w:tcPr>
          <w:p w14:paraId="5183206B" w14:textId="77777777" w:rsidR="00837546" w:rsidRPr="00837546" w:rsidRDefault="00837546" w:rsidP="00837546">
            <w:pPr>
              <w:spacing w:before="0" w:after="0" w:line="240" w:lineRule="auto"/>
              <w:jc w:val="righ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11%</w:t>
            </w:r>
          </w:p>
        </w:tc>
      </w:tr>
    </w:tbl>
    <w:p w14:paraId="7398CF91" w14:textId="77777777" w:rsidR="00837546" w:rsidRPr="006D39E3" w:rsidRDefault="00837546" w:rsidP="00837546">
      <w:pPr>
        <w:rPr>
          <w:rFonts w:asciiTheme="minorBidi" w:hAnsiTheme="minorBidi"/>
        </w:rPr>
      </w:pPr>
    </w:p>
    <w:p w14:paraId="3A4E74AA" w14:textId="70B46486" w:rsidR="00837546" w:rsidRPr="006D39E3" w:rsidRDefault="00837546" w:rsidP="00837546">
      <w:pPr>
        <w:pStyle w:val="Heading2"/>
        <w:rPr>
          <w:rFonts w:asciiTheme="minorBidi" w:hAnsiTheme="minorBidi" w:cstheme="minorBidi"/>
        </w:rPr>
      </w:pPr>
      <w:bookmarkStart w:id="43" w:name="_Toc213265083"/>
      <w:r w:rsidRPr="006D39E3">
        <w:rPr>
          <w:rFonts w:asciiTheme="minorBidi" w:hAnsiTheme="minorBidi" w:cstheme="minorBidi"/>
        </w:rPr>
        <w:t>Appendix 9: Investment Appraisal of Project B</w:t>
      </w:r>
      <w:bookmarkEnd w:id="43"/>
    </w:p>
    <w:tbl>
      <w:tblPr>
        <w:tblW w:w="5000" w:type="pct"/>
        <w:tblLook w:val="04A0" w:firstRow="1" w:lastRow="0" w:firstColumn="1" w:lastColumn="0" w:noHBand="0" w:noVBand="1"/>
      </w:tblPr>
      <w:tblGrid>
        <w:gridCol w:w="3835"/>
        <w:gridCol w:w="2484"/>
        <w:gridCol w:w="2697"/>
      </w:tblGrid>
      <w:tr w:rsidR="00837546" w:rsidRPr="00837546" w14:paraId="04AB4D75" w14:textId="77777777" w:rsidTr="00837546">
        <w:trPr>
          <w:trHeight w:val="312"/>
        </w:trPr>
        <w:tc>
          <w:tcPr>
            <w:tcW w:w="5000" w:type="pct"/>
            <w:gridSpan w:val="3"/>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1D774C00" w14:textId="77777777" w:rsidR="00837546" w:rsidRPr="00837546" w:rsidRDefault="00837546" w:rsidP="00837546">
            <w:pPr>
              <w:spacing w:before="0" w:after="0" w:line="240" w:lineRule="auto"/>
              <w:jc w:val="center"/>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 xml:space="preserve">Project B - Investment </w:t>
            </w:r>
            <w:proofErr w:type="spellStart"/>
            <w:r w:rsidRPr="00837546">
              <w:rPr>
                <w:rFonts w:asciiTheme="minorBidi" w:eastAsia="Times New Roman" w:hAnsiTheme="minorBidi"/>
                <w:b/>
                <w:bCs/>
                <w:color w:val="000000"/>
                <w:kern w:val="0"/>
                <w:lang w:eastAsia="en-IN"/>
                <w14:ligatures w14:val="none"/>
              </w:rPr>
              <w:t>Appeaisals</w:t>
            </w:r>
            <w:proofErr w:type="spellEnd"/>
          </w:p>
        </w:tc>
      </w:tr>
      <w:tr w:rsidR="00837546" w:rsidRPr="00837546" w14:paraId="46739056" w14:textId="77777777" w:rsidTr="00837546">
        <w:trPr>
          <w:trHeight w:val="312"/>
        </w:trPr>
        <w:tc>
          <w:tcPr>
            <w:tcW w:w="3988" w:type="pct"/>
            <w:tcBorders>
              <w:top w:val="nil"/>
              <w:left w:val="single" w:sz="4" w:space="0" w:color="auto"/>
              <w:bottom w:val="single" w:sz="4" w:space="0" w:color="auto"/>
              <w:right w:val="single" w:sz="4" w:space="0" w:color="auto"/>
            </w:tcBorders>
            <w:shd w:val="clear" w:color="000000" w:fill="FFC000"/>
            <w:noWrap/>
            <w:vAlign w:val="bottom"/>
            <w:hideMark/>
          </w:tcPr>
          <w:p w14:paraId="3AC7307C"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 xml:space="preserve">Year </w:t>
            </w:r>
          </w:p>
        </w:tc>
        <w:tc>
          <w:tcPr>
            <w:tcW w:w="363" w:type="pct"/>
            <w:tcBorders>
              <w:top w:val="nil"/>
              <w:left w:val="nil"/>
              <w:bottom w:val="single" w:sz="4" w:space="0" w:color="auto"/>
              <w:right w:val="single" w:sz="4" w:space="0" w:color="auto"/>
            </w:tcBorders>
            <w:shd w:val="clear" w:color="000000" w:fill="FFC000"/>
            <w:noWrap/>
            <w:vAlign w:val="bottom"/>
            <w:hideMark/>
          </w:tcPr>
          <w:p w14:paraId="069BDA9E"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 xml:space="preserve">Cash Flow </w:t>
            </w:r>
          </w:p>
        </w:tc>
        <w:tc>
          <w:tcPr>
            <w:tcW w:w="649" w:type="pct"/>
            <w:tcBorders>
              <w:top w:val="nil"/>
              <w:left w:val="nil"/>
              <w:bottom w:val="single" w:sz="4" w:space="0" w:color="auto"/>
              <w:right w:val="single" w:sz="4" w:space="0" w:color="auto"/>
            </w:tcBorders>
            <w:shd w:val="clear" w:color="000000" w:fill="FFC000"/>
            <w:noWrap/>
            <w:vAlign w:val="bottom"/>
            <w:hideMark/>
          </w:tcPr>
          <w:p w14:paraId="241EA383"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proofErr w:type="spellStart"/>
            <w:r w:rsidRPr="00837546">
              <w:rPr>
                <w:rFonts w:asciiTheme="minorBidi" w:eastAsia="Times New Roman" w:hAnsiTheme="minorBidi"/>
                <w:b/>
                <w:bCs/>
                <w:color w:val="000000"/>
                <w:kern w:val="0"/>
                <w:lang w:eastAsia="en-IN"/>
                <w14:ligatures w14:val="none"/>
              </w:rPr>
              <w:t>Cumilative</w:t>
            </w:r>
            <w:proofErr w:type="spellEnd"/>
            <w:r w:rsidRPr="00837546">
              <w:rPr>
                <w:rFonts w:asciiTheme="minorBidi" w:eastAsia="Times New Roman" w:hAnsiTheme="minorBidi"/>
                <w:b/>
                <w:bCs/>
                <w:color w:val="000000"/>
                <w:kern w:val="0"/>
                <w:lang w:eastAsia="en-IN"/>
                <w14:ligatures w14:val="none"/>
              </w:rPr>
              <w:t xml:space="preserve"> CashFlow</w:t>
            </w:r>
          </w:p>
        </w:tc>
      </w:tr>
      <w:tr w:rsidR="00837546" w:rsidRPr="00837546" w14:paraId="3E74739C" w14:textId="77777777" w:rsidTr="00837546">
        <w:trPr>
          <w:trHeight w:val="312"/>
        </w:trPr>
        <w:tc>
          <w:tcPr>
            <w:tcW w:w="3988" w:type="pct"/>
            <w:tcBorders>
              <w:top w:val="nil"/>
              <w:left w:val="single" w:sz="4" w:space="0" w:color="auto"/>
              <w:bottom w:val="single" w:sz="4" w:space="0" w:color="auto"/>
              <w:right w:val="single" w:sz="4" w:space="0" w:color="auto"/>
            </w:tcBorders>
            <w:noWrap/>
            <w:vAlign w:val="bottom"/>
            <w:hideMark/>
          </w:tcPr>
          <w:p w14:paraId="5A75127A" w14:textId="77777777" w:rsidR="00837546" w:rsidRPr="00837546" w:rsidRDefault="00837546" w:rsidP="00837546">
            <w:pPr>
              <w:spacing w:before="0" w:after="0" w:line="240" w:lineRule="auto"/>
              <w:jc w:val="righ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0</w:t>
            </w:r>
          </w:p>
        </w:tc>
        <w:tc>
          <w:tcPr>
            <w:tcW w:w="363" w:type="pct"/>
            <w:tcBorders>
              <w:top w:val="nil"/>
              <w:left w:val="nil"/>
              <w:bottom w:val="single" w:sz="4" w:space="0" w:color="auto"/>
              <w:right w:val="single" w:sz="4" w:space="0" w:color="auto"/>
            </w:tcBorders>
            <w:noWrap/>
            <w:vAlign w:val="bottom"/>
            <w:hideMark/>
          </w:tcPr>
          <w:p w14:paraId="5852A6FD"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30.00 </w:t>
            </w:r>
          </w:p>
        </w:tc>
        <w:tc>
          <w:tcPr>
            <w:tcW w:w="649" w:type="pct"/>
            <w:tcBorders>
              <w:top w:val="nil"/>
              <w:left w:val="nil"/>
              <w:bottom w:val="single" w:sz="4" w:space="0" w:color="auto"/>
              <w:right w:val="single" w:sz="4" w:space="0" w:color="auto"/>
            </w:tcBorders>
            <w:noWrap/>
            <w:vAlign w:val="bottom"/>
            <w:hideMark/>
          </w:tcPr>
          <w:p w14:paraId="75DD1B7D"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30.00 </w:t>
            </w:r>
          </w:p>
        </w:tc>
      </w:tr>
      <w:tr w:rsidR="00837546" w:rsidRPr="00837546" w14:paraId="687C5D97" w14:textId="77777777" w:rsidTr="00837546">
        <w:trPr>
          <w:trHeight w:val="312"/>
        </w:trPr>
        <w:tc>
          <w:tcPr>
            <w:tcW w:w="3988" w:type="pct"/>
            <w:tcBorders>
              <w:top w:val="nil"/>
              <w:left w:val="single" w:sz="4" w:space="0" w:color="auto"/>
              <w:bottom w:val="single" w:sz="4" w:space="0" w:color="auto"/>
              <w:right w:val="single" w:sz="4" w:space="0" w:color="auto"/>
            </w:tcBorders>
            <w:noWrap/>
            <w:vAlign w:val="bottom"/>
            <w:hideMark/>
          </w:tcPr>
          <w:p w14:paraId="1484026A" w14:textId="77777777" w:rsidR="00837546" w:rsidRPr="00837546" w:rsidRDefault="00837546" w:rsidP="00837546">
            <w:pPr>
              <w:spacing w:before="0" w:after="0" w:line="240" w:lineRule="auto"/>
              <w:jc w:val="righ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1</w:t>
            </w:r>
          </w:p>
        </w:tc>
        <w:tc>
          <w:tcPr>
            <w:tcW w:w="363" w:type="pct"/>
            <w:tcBorders>
              <w:top w:val="nil"/>
              <w:left w:val="nil"/>
              <w:bottom w:val="single" w:sz="4" w:space="0" w:color="auto"/>
              <w:right w:val="single" w:sz="4" w:space="0" w:color="auto"/>
            </w:tcBorders>
            <w:noWrap/>
            <w:vAlign w:val="bottom"/>
            <w:hideMark/>
          </w:tcPr>
          <w:p w14:paraId="275D4EB6"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6.00 </w:t>
            </w:r>
          </w:p>
        </w:tc>
        <w:tc>
          <w:tcPr>
            <w:tcW w:w="649" w:type="pct"/>
            <w:tcBorders>
              <w:top w:val="nil"/>
              <w:left w:val="nil"/>
              <w:bottom w:val="single" w:sz="4" w:space="0" w:color="auto"/>
              <w:right w:val="single" w:sz="4" w:space="0" w:color="auto"/>
            </w:tcBorders>
            <w:noWrap/>
            <w:vAlign w:val="bottom"/>
            <w:hideMark/>
          </w:tcPr>
          <w:p w14:paraId="41A16A6B"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24.00 </w:t>
            </w:r>
          </w:p>
        </w:tc>
      </w:tr>
      <w:tr w:rsidR="00837546" w:rsidRPr="00837546" w14:paraId="0677D54F" w14:textId="77777777" w:rsidTr="00837546">
        <w:trPr>
          <w:trHeight w:val="312"/>
        </w:trPr>
        <w:tc>
          <w:tcPr>
            <w:tcW w:w="3988" w:type="pct"/>
            <w:tcBorders>
              <w:top w:val="nil"/>
              <w:left w:val="single" w:sz="4" w:space="0" w:color="auto"/>
              <w:bottom w:val="single" w:sz="4" w:space="0" w:color="auto"/>
              <w:right w:val="single" w:sz="4" w:space="0" w:color="auto"/>
            </w:tcBorders>
            <w:noWrap/>
            <w:vAlign w:val="bottom"/>
            <w:hideMark/>
          </w:tcPr>
          <w:p w14:paraId="061F5814" w14:textId="77777777" w:rsidR="00837546" w:rsidRPr="00837546" w:rsidRDefault="00837546" w:rsidP="00837546">
            <w:pPr>
              <w:spacing w:before="0" w:after="0" w:line="240" w:lineRule="auto"/>
              <w:jc w:val="righ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2</w:t>
            </w:r>
          </w:p>
        </w:tc>
        <w:tc>
          <w:tcPr>
            <w:tcW w:w="363" w:type="pct"/>
            <w:tcBorders>
              <w:top w:val="nil"/>
              <w:left w:val="nil"/>
              <w:bottom w:val="single" w:sz="4" w:space="0" w:color="auto"/>
              <w:right w:val="single" w:sz="4" w:space="0" w:color="auto"/>
            </w:tcBorders>
            <w:noWrap/>
            <w:vAlign w:val="bottom"/>
            <w:hideMark/>
          </w:tcPr>
          <w:p w14:paraId="7B82B228"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6.00 </w:t>
            </w:r>
          </w:p>
        </w:tc>
        <w:tc>
          <w:tcPr>
            <w:tcW w:w="649" w:type="pct"/>
            <w:tcBorders>
              <w:top w:val="nil"/>
              <w:left w:val="nil"/>
              <w:bottom w:val="single" w:sz="4" w:space="0" w:color="auto"/>
              <w:right w:val="single" w:sz="4" w:space="0" w:color="auto"/>
            </w:tcBorders>
            <w:noWrap/>
            <w:vAlign w:val="bottom"/>
            <w:hideMark/>
          </w:tcPr>
          <w:p w14:paraId="5FF99FE4"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18.00 </w:t>
            </w:r>
          </w:p>
        </w:tc>
      </w:tr>
      <w:tr w:rsidR="00837546" w:rsidRPr="00837546" w14:paraId="22AD3B76" w14:textId="77777777" w:rsidTr="00837546">
        <w:trPr>
          <w:trHeight w:val="312"/>
        </w:trPr>
        <w:tc>
          <w:tcPr>
            <w:tcW w:w="3988" w:type="pct"/>
            <w:tcBorders>
              <w:top w:val="nil"/>
              <w:left w:val="single" w:sz="4" w:space="0" w:color="auto"/>
              <w:bottom w:val="single" w:sz="4" w:space="0" w:color="auto"/>
              <w:right w:val="single" w:sz="4" w:space="0" w:color="auto"/>
            </w:tcBorders>
            <w:noWrap/>
            <w:vAlign w:val="bottom"/>
            <w:hideMark/>
          </w:tcPr>
          <w:p w14:paraId="3E3EE542" w14:textId="77777777" w:rsidR="00837546" w:rsidRPr="00837546" w:rsidRDefault="00837546" w:rsidP="00837546">
            <w:pPr>
              <w:spacing w:before="0" w:after="0" w:line="240" w:lineRule="auto"/>
              <w:jc w:val="righ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3</w:t>
            </w:r>
          </w:p>
        </w:tc>
        <w:tc>
          <w:tcPr>
            <w:tcW w:w="363" w:type="pct"/>
            <w:tcBorders>
              <w:top w:val="nil"/>
              <w:left w:val="nil"/>
              <w:bottom w:val="single" w:sz="4" w:space="0" w:color="auto"/>
              <w:right w:val="single" w:sz="4" w:space="0" w:color="auto"/>
            </w:tcBorders>
            <w:noWrap/>
            <w:vAlign w:val="bottom"/>
            <w:hideMark/>
          </w:tcPr>
          <w:p w14:paraId="0DEDD93D"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6.00 </w:t>
            </w:r>
          </w:p>
        </w:tc>
        <w:tc>
          <w:tcPr>
            <w:tcW w:w="649" w:type="pct"/>
            <w:tcBorders>
              <w:top w:val="nil"/>
              <w:left w:val="nil"/>
              <w:bottom w:val="single" w:sz="4" w:space="0" w:color="auto"/>
              <w:right w:val="single" w:sz="4" w:space="0" w:color="auto"/>
            </w:tcBorders>
            <w:noWrap/>
            <w:vAlign w:val="bottom"/>
            <w:hideMark/>
          </w:tcPr>
          <w:p w14:paraId="78B3BED7"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12.00 </w:t>
            </w:r>
          </w:p>
        </w:tc>
      </w:tr>
      <w:tr w:rsidR="00837546" w:rsidRPr="00837546" w14:paraId="04A24E61" w14:textId="77777777" w:rsidTr="00837546">
        <w:trPr>
          <w:trHeight w:val="312"/>
        </w:trPr>
        <w:tc>
          <w:tcPr>
            <w:tcW w:w="3988" w:type="pct"/>
            <w:tcBorders>
              <w:top w:val="nil"/>
              <w:left w:val="single" w:sz="4" w:space="0" w:color="auto"/>
              <w:bottom w:val="single" w:sz="4" w:space="0" w:color="auto"/>
              <w:right w:val="single" w:sz="4" w:space="0" w:color="auto"/>
            </w:tcBorders>
            <w:noWrap/>
            <w:vAlign w:val="bottom"/>
            <w:hideMark/>
          </w:tcPr>
          <w:p w14:paraId="6ACEF35C" w14:textId="77777777" w:rsidR="00837546" w:rsidRPr="00837546" w:rsidRDefault="00837546" w:rsidP="00837546">
            <w:pPr>
              <w:spacing w:before="0" w:after="0" w:line="240" w:lineRule="auto"/>
              <w:jc w:val="righ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4</w:t>
            </w:r>
          </w:p>
        </w:tc>
        <w:tc>
          <w:tcPr>
            <w:tcW w:w="363" w:type="pct"/>
            <w:tcBorders>
              <w:top w:val="nil"/>
              <w:left w:val="nil"/>
              <w:bottom w:val="single" w:sz="4" w:space="0" w:color="auto"/>
              <w:right w:val="single" w:sz="4" w:space="0" w:color="auto"/>
            </w:tcBorders>
            <w:noWrap/>
            <w:vAlign w:val="bottom"/>
            <w:hideMark/>
          </w:tcPr>
          <w:p w14:paraId="205AF3EE"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6.00 </w:t>
            </w:r>
          </w:p>
        </w:tc>
        <w:tc>
          <w:tcPr>
            <w:tcW w:w="649" w:type="pct"/>
            <w:tcBorders>
              <w:top w:val="nil"/>
              <w:left w:val="nil"/>
              <w:bottom w:val="single" w:sz="4" w:space="0" w:color="auto"/>
              <w:right w:val="single" w:sz="4" w:space="0" w:color="auto"/>
            </w:tcBorders>
            <w:noWrap/>
            <w:vAlign w:val="bottom"/>
            <w:hideMark/>
          </w:tcPr>
          <w:p w14:paraId="5C4CAD54"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6.00 </w:t>
            </w:r>
          </w:p>
        </w:tc>
      </w:tr>
      <w:tr w:rsidR="00837546" w:rsidRPr="00837546" w14:paraId="514E2CB6" w14:textId="77777777" w:rsidTr="00837546">
        <w:trPr>
          <w:trHeight w:val="312"/>
        </w:trPr>
        <w:tc>
          <w:tcPr>
            <w:tcW w:w="3988" w:type="pct"/>
            <w:tcBorders>
              <w:top w:val="nil"/>
              <w:left w:val="single" w:sz="4" w:space="0" w:color="auto"/>
              <w:bottom w:val="single" w:sz="4" w:space="0" w:color="auto"/>
              <w:right w:val="single" w:sz="4" w:space="0" w:color="auto"/>
            </w:tcBorders>
            <w:noWrap/>
            <w:vAlign w:val="bottom"/>
            <w:hideMark/>
          </w:tcPr>
          <w:p w14:paraId="61A59110" w14:textId="77777777" w:rsidR="00837546" w:rsidRPr="00837546" w:rsidRDefault="00837546" w:rsidP="00837546">
            <w:pPr>
              <w:spacing w:before="0" w:after="0" w:line="240" w:lineRule="auto"/>
              <w:jc w:val="righ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5</w:t>
            </w:r>
          </w:p>
        </w:tc>
        <w:tc>
          <w:tcPr>
            <w:tcW w:w="363" w:type="pct"/>
            <w:tcBorders>
              <w:top w:val="nil"/>
              <w:left w:val="nil"/>
              <w:bottom w:val="single" w:sz="4" w:space="0" w:color="auto"/>
              <w:right w:val="single" w:sz="4" w:space="0" w:color="auto"/>
            </w:tcBorders>
            <w:noWrap/>
            <w:vAlign w:val="bottom"/>
            <w:hideMark/>
          </w:tcPr>
          <w:p w14:paraId="27BB0B00"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6.00 </w:t>
            </w:r>
          </w:p>
        </w:tc>
        <w:tc>
          <w:tcPr>
            <w:tcW w:w="649" w:type="pct"/>
            <w:tcBorders>
              <w:top w:val="nil"/>
              <w:left w:val="nil"/>
              <w:bottom w:val="single" w:sz="4" w:space="0" w:color="auto"/>
              <w:right w:val="single" w:sz="4" w:space="0" w:color="auto"/>
            </w:tcBorders>
            <w:noWrap/>
            <w:vAlign w:val="bottom"/>
            <w:hideMark/>
          </w:tcPr>
          <w:p w14:paraId="4DA1BFF6"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   </w:t>
            </w:r>
          </w:p>
        </w:tc>
      </w:tr>
      <w:tr w:rsidR="00837546" w:rsidRPr="00837546" w14:paraId="357D88B8" w14:textId="77777777" w:rsidTr="00837546">
        <w:trPr>
          <w:trHeight w:val="312"/>
        </w:trPr>
        <w:tc>
          <w:tcPr>
            <w:tcW w:w="3988" w:type="pct"/>
            <w:tcBorders>
              <w:top w:val="nil"/>
              <w:left w:val="single" w:sz="4" w:space="0" w:color="auto"/>
              <w:bottom w:val="single" w:sz="4" w:space="0" w:color="auto"/>
              <w:right w:val="single" w:sz="4" w:space="0" w:color="auto"/>
            </w:tcBorders>
            <w:noWrap/>
            <w:vAlign w:val="bottom"/>
            <w:hideMark/>
          </w:tcPr>
          <w:p w14:paraId="3F1634FC"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Total Cash Flow </w:t>
            </w:r>
          </w:p>
        </w:tc>
        <w:tc>
          <w:tcPr>
            <w:tcW w:w="1012" w:type="pct"/>
            <w:gridSpan w:val="2"/>
            <w:tcBorders>
              <w:top w:val="single" w:sz="4" w:space="0" w:color="auto"/>
              <w:left w:val="nil"/>
              <w:bottom w:val="single" w:sz="4" w:space="0" w:color="auto"/>
              <w:right w:val="single" w:sz="4" w:space="0" w:color="000000"/>
            </w:tcBorders>
            <w:noWrap/>
            <w:vAlign w:val="bottom"/>
            <w:hideMark/>
          </w:tcPr>
          <w:p w14:paraId="51FB6C7B" w14:textId="77777777" w:rsidR="00837546" w:rsidRPr="00837546" w:rsidRDefault="00837546" w:rsidP="00837546">
            <w:pPr>
              <w:spacing w:before="0" w:after="0" w:line="240" w:lineRule="auto"/>
              <w:jc w:val="center"/>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30.00 </w:t>
            </w:r>
          </w:p>
        </w:tc>
      </w:tr>
      <w:tr w:rsidR="00837546" w:rsidRPr="00837546" w14:paraId="2C4D0D93" w14:textId="77777777" w:rsidTr="00837546">
        <w:trPr>
          <w:trHeight w:val="324"/>
        </w:trPr>
        <w:tc>
          <w:tcPr>
            <w:tcW w:w="3988" w:type="pct"/>
            <w:tcBorders>
              <w:top w:val="nil"/>
              <w:left w:val="single" w:sz="4" w:space="0" w:color="auto"/>
              <w:bottom w:val="nil"/>
              <w:right w:val="single" w:sz="4" w:space="0" w:color="auto"/>
            </w:tcBorders>
            <w:noWrap/>
            <w:vAlign w:val="bottom"/>
            <w:hideMark/>
          </w:tcPr>
          <w:p w14:paraId="2BF2D31C"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Average Annual Profit </w:t>
            </w:r>
          </w:p>
        </w:tc>
        <w:tc>
          <w:tcPr>
            <w:tcW w:w="1012" w:type="pct"/>
            <w:gridSpan w:val="2"/>
            <w:tcBorders>
              <w:top w:val="single" w:sz="4" w:space="0" w:color="auto"/>
              <w:left w:val="nil"/>
              <w:bottom w:val="nil"/>
              <w:right w:val="single" w:sz="4" w:space="0" w:color="000000"/>
            </w:tcBorders>
            <w:noWrap/>
            <w:vAlign w:val="bottom"/>
            <w:hideMark/>
          </w:tcPr>
          <w:p w14:paraId="1D99B1F7" w14:textId="77777777" w:rsidR="00837546" w:rsidRPr="00837546" w:rsidRDefault="00837546" w:rsidP="00837546">
            <w:pPr>
              <w:spacing w:before="0" w:after="0" w:line="240" w:lineRule="auto"/>
              <w:jc w:val="center"/>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6.00 </w:t>
            </w:r>
          </w:p>
        </w:tc>
      </w:tr>
      <w:tr w:rsidR="00837546" w:rsidRPr="00837546" w14:paraId="6EE9E1FB" w14:textId="77777777" w:rsidTr="00837546">
        <w:trPr>
          <w:trHeight w:val="312"/>
        </w:trPr>
        <w:tc>
          <w:tcPr>
            <w:tcW w:w="3988" w:type="pct"/>
            <w:tcBorders>
              <w:top w:val="single" w:sz="8" w:space="0" w:color="auto"/>
              <w:left w:val="single" w:sz="8" w:space="0" w:color="auto"/>
              <w:bottom w:val="single" w:sz="4" w:space="0" w:color="auto"/>
              <w:right w:val="single" w:sz="4" w:space="0" w:color="auto"/>
            </w:tcBorders>
            <w:shd w:val="clear" w:color="000000" w:fill="FFC000"/>
            <w:noWrap/>
            <w:vAlign w:val="bottom"/>
            <w:hideMark/>
          </w:tcPr>
          <w:p w14:paraId="230E86C3"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Payback Period</w:t>
            </w:r>
          </w:p>
        </w:tc>
        <w:tc>
          <w:tcPr>
            <w:tcW w:w="1012" w:type="pct"/>
            <w:gridSpan w:val="2"/>
            <w:tcBorders>
              <w:top w:val="single" w:sz="8" w:space="0" w:color="auto"/>
              <w:left w:val="nil"/>
              <w:bottom w:val="single" w:sz="4" w:space="0" w:color="auto"/>
              <w:right w:val="single" w:sz="8" w:space="0" w:color="000000"/>
            </w:tcBorders>
            <w:shd w:val="clear" w:color="000000" w:fill="FFC000"/>
            <w:noWrap/>
            <w:vAlign w:val="bottom"/>
            <w:hideMark/>
          </w:tcPr>
          <w:p w14:paraId="7F54AFD1" w14:textId="77777777" w:rsidR="00837546" w:rsidRPr="00837546" w:rsidRDefault="00837546" w:rsidP="00837546">
            <w:pPr>
              <w:spacing w:before="0" w:after="0" w:line="240" w:lineRule="auto"/>
              <w:jc w:val="righ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6</w:t>
            </w:r>
          </w:p>
        </w:tc>
      </w:tr>
      <w:tr w:rsidR="00837546" w:rsidRPr="00837546" w14:paraId="05B79E7E" w14:textId="77777777" w:rsidTr="00837546">
        <w:trPr>
          <w:trHeight w:val="312"/>
        </w:trPr>
        <w:tc>
          <w:tcPr>
            <w:tcW w:w="3988" w:type="pct"/>
            <w:tcBorders>
              <w:top w:val="nil"/>
              <w:left w:val="single" w:sz="8" w:space="0" w:color="auto"/>
              <w:bottom w:val="single" w:sz="4" w:space="0" w:color="auto"/>
              <w:right w:val="single" w:sz="4" w:space="0" w:color="auto"/>
            </w:tcBorders>
            <w:shd w:val="clear" w:color="000000" w:fill="FFC000"/>
            <w:noWrap/>
            <w:vAlign w:val="bottom"/>
            <w:hideMark/>
          </w:tcPr>
          <w:p w14:paraId="1D8F3A2B"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ARR</w:t>
            </w:r>
          </w:p>
        </w:tc>
        <w:tc>
          <w:tcPr>
            <w:tcW w:w="1012" w:type="pct"/>
            <w:gridSpan w:val="2"/>
            <w:tcBorders>
              <w:top w:val="single" w:sz="4" w:space="0" w:color="auto"/>
              <w:left w:val="nil"/>
              <w:bottom w:val="single" w:sz="4" w:space="0" w:color="auto"/>
              <w:right w:val="single" w:sz="8" w:space="0" w:color="000000"/>
            </w:tcBorders>
            <w:shd w:val="clear" w:color="000000" w:fill="FFC000"/>
            <w:noWrap/>
            <w:vAlign w:val="bottom"/>
            <w:hideMark/>
          </w:tcPr>
          <w:p w14:paraId="1AB75153" w14:textId="77777777" w:rsidR="00837546" w:rsidRPr="00837546" w:rsidRDefault="00837546" w:rsidP="00837546">
            <w:pPr>
              <w:spacing w:before="0" w:after="0" w:line="240" w:lineRule="auto"/>
              <w:jc w:val="righ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-20%</w:t>
            </w:r>
          </w:p>
        </w:tc>
      </w:tr>
      <w:tr w:rsidR="00837546" w:rsidRPr="00837546" w14:paraId="7E99CC67" w14:textId="77777777" w:rsidTr="00837546">
        <w:trPr>
          <w:trHeight w:val="312"/>
        </w:trPr>
        <w:tc>
          <w:tcPr>
            <w:tcW w:w="3988" w:type="pct"/>
            <w:tcBorders>
              <w:top w:val="nil"/>
              <w:left w:val="single" w:sz="8" w:space="0" w:color="auto"/>
              <w:bottom w:val="single" w:sz="4" w:space="0" w:color="auto"/>
              <w:right w:val="single" w:sz="4" w:space="0" w:color="auto"/>
            </w:tcBorders>
            <w:shd w:val="clear" w:color="000000" w:fill="FFC000"/>
            <w:noWrap/>
            <w:vAlign w:val="bottom"/>
            <w:hideMark/>
          </w:tcPr>
          <w:p w14:paraId="70480A3B"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NPV</w:t>
            </w:r>
          </w:p>
        </w:tc>
        <w:tc>
          <w:tcPr>
            <w:tcW w:w="1012" w:type="pct"/>
            <w:gridSpan w:val="2"/>
            <w:tcBorders>
              <w:top w:val="single" w:sz="4" w:space="0" w:color="auto"/>
              <w:left w:val="nil"/>
              <w:bottom w:val="single" w:sz="4" w:space="0" w:color="auto"/>
              <w:right w:val="single" w:sz="8" w:space="0" w:color="000000"/>
            </w:tcBorders>
            <w:shd w:val="clear" w:color="000000" w:fill="FFC000"/>
            <w:noWrap/>
            <w:vAlign w:val="bottom"/>
            <w:hideMark/>
          </w:tcPr>
          <w:p w14:paraId="16BD7E0F"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 xml:space="preserve">-£                                                                7.26 </w:t>
            </w:r>
          </w:p>
        </w:tc>
      </w:tr>
      <w:tr w:rsidR="00837546" w:rsidRPr="00837546" w14:paraId="488534C4" w14:textId="77777777" w:rsidTr="00837546">
        <w:trPr>
          <w:trHeight w:val="312"/>
        </w:trPr>
        <w:tc>
          <w:tcPr>
            <w:tcW w:w="3988" w:type="pct"/>
            <w:tcBorders>
              <w:top w:val="nil"/>
              <w:left w:val="single" w:sz="8" w:space="0" w:color="auto"/>
              <w:bottom w:val="single" w:sz="4" w:space="0" w:color="auto"/>
              <w:right w:val="single" w:sz="4" w:space="0" w:color="auto"/>
            </w:tcBorders>
            <w:shd w:val="clear" w:color="000000" w:fill="FFC000"/>
            <w:noWrap/>
            <w:vAlign w:val="bottom"/>
            <w:hideMark/>
          </w:tcPr>
          <w:p w14:paraId="6D438C24"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 xml:space="preserve">Profitability Index (PI) </w:t>
            </w:r>
          </w:p>
        </w:tc>
        <w:tc>
          <w:tcPr>
            <w:tcW w:w="1012" w:type="pct"/>
            <w:gridSpan w:val="2"/>
            <w:tcBorders>
              <w:top w:val="single" w:sz="4" w:space="0" w:color="auto"/>
              <w:left w:val="nil"/>
              <w:bottom w:val="single" w:sz="4" w:space="0" w:color="auto"/>
              <w:right w:val="single" w:sz="8" w:space="0" w:color="000000"/>
            </w:tcBorders>
            <w:shd w:val="clear" w:color="000000" w:fill="FFC000"/>
            <w:noWrap/>
            <w:vAlign w:val="bottom"/>
            <w:hideMark/>
          </w:tcPr>
          <w:p w14:paraId="536443AD"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 xml:space="preserve"> £                                                                1.24 </w:t>
            </w:r>
          </w:p>
        </w:tc>
      </w:tr>
      <w:tr w:rsidR="00837546" w:rsidRPr="00837546" w14:paraId="6FD8CE7D" w14:textId="77777777" w:rsidTr="00837546">
        <w:trPr>
          <w:trHeight w:val="324"/>
        </w:trPr>
        <w:tc>
          <w:tcPr>
            <w:tcW w:w="3988" w:type="pct"/>
            <w:tcBorders>
              <w:top w:val="nil"/>
              <w:left w:val="single" w:sz="8" w:space="0" w:color="auto"/>
              <w:bottom w:val="single" w:sz="8" w:space="0" w:color="auto"/>
              <w:right w:val="single" w:sz="4" w:space="0" w:color="auto"/>
            </w:tcBorders>
            <w:shd w:val="clear" w:color="000000" w:fill="FFC000"/>
            <w:noWrap/>
            <w:vAlign w:val="bottom"/>
            <w:hideMark/>
          </w:tcPr>
          <w:p w14:paraId="394612C7"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 xml:space="preserve">IRR </w:t>
            </w:r>
          </w:p>
        </w:tc>
        <w:tc>
          <w:tcPr>
            <w:tcW w:w="1012" w:type="pct"/>
            <w:gridSpan w:val="2"/>
            <w:tcBorders>
              <w:top w:val="single" w:sz="4" w:space="0" w:color="auto"/>
              <w:left w:val="nil"/>
              <w:bottom w:val="single" w:sz="8" w:space="0" w:color="auto"/>
              <w:right w:val="single" w:sz="8" w:space="0" w:color="000000"/>
            </w:tcBorders>
            <w:shd w:val="clear" w:color="000000" w:fill="FFC000"/>
            <w:noWrap/>
            <w:vAlign w:val="bottom"/>
            <w:hideMark/>
          </w:tcPr>
          <w:p w14:paraId="504B3263" w14:textId="77777777" w:rsidR="00837546" w:rsidRPr="00837546" w:rsidRDefault="00837546" w:rsidP="00837546">
            <w:pPr>
              <w:spacing w:before="0" w:after="0" w:line="240" w:lineRule="auto"/>
              <w:jc w:val="righ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0%</w:t>
            </w:r>
          </w:p>
        </w:tc>
      </w:tr>
    </w:tbl>
    <w:p w14:paraId="53815181" w14:textId="77777777" w:rsidR="00837546" w:rsidRPr="006D39E3" w:rsidRDefault="00837546" w:rsidP="00837546">
      <w:pPr>
        <w:rPr>
          <w:rFonts w:asciiTheme="minorBidi" w:hAnsiTheme="minorBidi"/>
        </w:rPr>
      </w:pPr>
    </w:p>
    <w:p w14:paraId="1A2B374F" w14:textId="4D0CDC2C" w:rsidR="00837546" w:rsidRPr="006D39E3" w:rsidRDefault="00837546" w:rsidP="00837546">
      <w:pPr>
        <w:pStyle w:val="Heading2"/>
        <w:rPr>
          <w:rFonts w:asciiTheme="minorBidi" w:hAnsiTheme="minorBidi" w:cstheme="minorBidi"/>
        </w:rPr>
      </w:pPr>
      <w:bookmarkStart w:id="44" w:name="_Toc213265084"/>
      <w:r w:rsidRPr="006D39E3">
        <w:rPr>
          <w:rFonts w:asciiTheme="minorBidi" w:hAnsiTheme="minorBidi" w:cstheme="minorBidi"/>
        </w:rPr>
        <w:t>Appendix 10: Investment Appraisal of Project C</w:t>
      </w:r>
      <w:bookmarkEnd w:id="44"/>
    </w:p>
    <w:tbl>
      <w:tblPr>
        <w:tblW w:w="5000" w:type="pct"/>
        <w:tblLook w:val="04A0" w:firstRow="1" w:lastRow="0" w:firstColumn="1" w:lastColumn="0" w:noHBand="0" w:noVBand="1"/>
      </w:tblPr>
      <w:tblGrid>
        <w:gridCol w:w="3781"/>
        <w:gridCol w:w="2484"/>
        <w:gridCol w:w="2751"/>
      </w:tblGrid>
      <w:tr w:rsidR="00837546" w:rsidRPr="00837546" w14:paraId="792FCD24" w14:textId="77777777" w:rsidTr="00837546">
        <w:trPr>
          <w:trHeight w:val="312"/>
        </w:trPr>
        <w:tc>
          <w:tcPr>
            <w:tcW w:w="5000" w:type="pct"/>
            <w:gridSpan w:val="3"/>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7497A8B3" w14:textId="77777777" w:rsidR="00837546" w:rsidRPr="00837546" w:rsidRDefault="00837546" w:rsidP="00837546">
            <w:pPr>
              <w:spacing w:before="0" w:after="0" w:line="240" w:lineRule="auto"/>
              <w:jc w:val="center"/>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 xml:space="preserve">Project C - Investment </w:t>
            </w:r>
            <w:proofErr w:type="spellStart"/>
            <w:r w:rsidRPr="00837546">
              <w:rPr>
                <w:rFonts w:asciiTheme="minorBidi" w:eastAsia="Times New Roman" w:hAnsiTheme="minorBidi"/>
                <w:b/>
                <w:bCs/>
                <w:color w:val="000000"/>
                <w:kern w:val="0"/>
                <w:lang w:eastAsia="en-IN"/>
                <w14:ligatures w14:val="none"/>
              </w:rPr>
              <w:t>Appeaisals</w:t>
            </w:r>
            <w:proofErr w:type="spellEnd"/>
          </w:p>
        </w:tc>
      </w:tr>
      <w:tr w:rsidR="00837546" w:rsidRPr="00837546" w14:paraId="71EF9796" w14:textId="77777777" w:rsidTr="00837546">
        <w:trPr>
          <w:trHeight w:val="312"/>
        </w:trPr>
        <w:tc>
          <w:tcPr>
            <w:tcW w:w="3988" w:type="pct"/>
            <w:tcBorders>
              <w:top w:val="nil"/>
              <w:left w:val="single" w:sz="4" w:space="0" w:color="auto"/>
              <w:bottom w:val="single" w:sz="4" w:space="0" w:color="auto"/>
              <w:right w:val="single" w:sz="4" w:space="0" w:color="auto"/>
            </w:tcBorders>
            <w:shd w:val="clear" w:color="000000" w:fill="FFC000"/>
            <w:noWrap/>
            <w:vAlign w:val="bottom"/>
            <w:hideMark/>
          </w:tcPr>
          <w:p w14:paraId="39DDD07F"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lastRenderedPageBreak/>
              <w:t xml:space="preserve">Year </w:t>
            </w:r>
          </w:p>
        </w:tc>
        <w:tc>
          <w:tcPr>
            <w:tcW w:w="363" w:type="pct"/>
            <w:tcBorders>
              <w:top w:val="nil"/>
              <w:left w:val="nil"/>
              <w:bottom w:val="single" w:sz="4" w:space="0" w:color="auto"/>
              <w:right w:val="single" w:sz="4" w:space="0" w:color="auto"/>
            </w:tcBorders>
            <w:shd w:val="clear" w:color="000000" w:fill="FFC000"/>
            <w:noWrap/>
            <w:vAlign w:val="bottom"/>
            <w:hideMark/>
          </w:tcPr>
          <w:p w14:paraId="0D9459B4"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 xml:space="preserve">Cash Flow </w:t>
            </w:r>
          </w:p>
        </w:tc>
        <w:tc>
          <w:tcPr>
            <w:tcW w:w="649" w:type="pct"/>
            <w:tcBorders>
              <w:top w:val="nil"/>
              <w:left w:val="nil"/>
              <w:bottom w:val="single" w:sz="4" w:space="0" w:color="auto"/>
              <w:right w:val="single" w:sz="4" w:space="0" w:color="auto"/>
            </w:tcBorders>
            <w:shd w:val="clear" w:color="000000" w:fill="FFC000"/>
            <w:noWrap/>
            <w:vAlign w:val="bottom"/>
            <w:hideMark/>
          </w:tcPr>
          <w:p w14:paraId="0F41FF66"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proofErr w:type="spellStart"/>
            <w:r w:rsidRPr="00837546">
              <w:rPr>
                <w:rFonts w:asciiTheme="minorBidi" w:eastAsia="Times New Roman" w:hAnsiTheme="minorBidi"/>
                <w:b/>
                <w:bCs/>
                <w:color w:val="000000"/>
                <w:kern w:val="0"/>
                <w:lang w:eastAsia="en-IN"/>
                <w14:ligatures w14:val="none"/>
              </w:rPr>
              <w:t>Cumilative</w:t>
            </w:r>
            <w:proofErr w:type="spellEnd"/>
            <w:r w:rsidRPr="00837546">
              <w:rPr>
                <w:rFonts w:asciiTheme="minorBidi" w:eastAsia="Times New Roman" w:hAnsiTheme="minorBidi"/>
                <w:b/>
                <w:bCs/>
                <w:color w:val="000000"/>
                <w:kern w:val="0"/>
                <w:lang w:eastAsia="en-IN"/>
                <w14:ligatures w14:val="none"/>
              </w:rPr>
              <w:t xml:space="preserve"> CashFlow</w:t>
            </w:r>
          </w:p>
        </w:tc>
      </w:tr>
      <w:tr w:rsidR="00837546" w:rsidRPr="00837546" w14:paraId="448C179E" w14:textId="77777777" w:rsidTr="00837546">
        <w:trPr>
          <w:trHeight w:val="312"/>
        </w:trPr>
        <w:tc>
          <w:tcPr>
            <w:tcW w:w="3988" w:type="pct"/>
            <w:tcBorders>
              <w:top w:val="nil"/>
              <w:left w:val="single" w:sz="4" w:space="0" w:color="auto"/>
              <w:bottom w:val="single" w:sz="4" w:space="0" w:color="auto"/>
              <w:right w:val="single" w:sz="4" w:space="0" w:color="auto"/>
            </w:tcBorders>
            <w:noWrap/>
            <w:vAlign w:val="bottom"/>
            <w:hideMark/>
          </w:tcPr>
          <w:p w14:paraId="0F9743CA" w14:textId="77777777" w:rsidR="00837546" w:rsidRPr="00837546" w:rsidRDefault="00837546" w:rsidP="00837546">
            <w:pPr>
              <w:spacing w:before="0" w:after="0" w:line="240" w:lineRule="auto"/>
              <w:jc w:val="righ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0</w:t>
            </w:r>
          </w:p>
        </w:tc>
        <w:tc>
          <w:tcPr>
            <w:tcW w:w="363" w:type="pct"/>
            <w:tcBorders>
              <w:top w:val="nil"/>
              <w:left w:val="nil"/>
              <w:bottom w:val="single" w:sz="4" w:space="0" w:color="auto"/>
              <w:right w:val="single" w:sz="4" w:space="0" w:color="auto"/>
            </w:tcBorders>
            <w:noWrap/>
            <w:vAlign w:val="bottom"/>
            <w:hideMark/>
          </w:tcPr>
          <w:p w14:paraId="39105E3F"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50.00 </w:t>
            </w:r>
          </w:p>
        </w:tc>
        <w:tc>
          <w:tcPr>
            <w:tcW w:w="649" w:type="pct"/>
            <w:tcBorders>
              <w:top w:val="nil"/>
              <w:left w:val="nil"/>
              <w:bottom w:val="single" w:sz="4" w:space="0" w:color="auto"/>
              <w:right w:val="single" w:sz="4" w:space="0" w:color="auto"/>
            </w:tcBorders>
            <w:noWrap/>
            <w:vAlign w:val="bottom"/>
            <w:hideMark/>
          </w:tcPr>
          <w:p w14:paraId="43FC63C3"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50.00 </w:t>
            </w:r>
          </w:p>
        </w:tc>
      </w:tr>
      <w:tr w:rsidR="00837546" w:rsidRPr="00837546" w14:paraId="1C29B263" w14:textId="77777777" w:rsidTr="00837546">
        <w:trPr>
          <w:trHeight w:val="312"/>
        </w:trPr>
        <w:tc>
          <w:tcPr>
            <w:tcW w:w="3988" w:type="pct"/>
            <w:tcBorders>
              <w:top w:val="nil"/>
              <w:left w:val="single" w:sz="4" w:space="0" w:color="auto"/>
              <w:bottom w:val="single" w:sz="4" w:space="0" w:color="auto"/>
              <w:right w:val="single" w:sz="4" w:space="0" w:color="auto"/>
            </w:tcBorders>
            <w:noWrap/>
            <w:vAlign w:val="bottom"/>
            <w:hideMark/>
          </w:tcPr>
          <w:p w14:paraId="4D72D1D4" w14:textId="77777777" w:rsidR="00837546" w:rsidRPr="00837546" w:rsidRDefault="00837546" w:rsidP="00837546">
            <w:pPr>
              <w:spacing w:before="0" w:after="0" w:line="240" w:lineRule="auto"/>
              <w:jc w:val="righ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1</w:t>
            </w:r>
          </w:p>
        </w:tc>
        <w:tc>
          <w:tcPr>
            <w:tcW w:w="363" w:type="pct"/>
            <w:tcBorders>
              <w:top w:val="nil"/>
              <w:left w:val="nil"/>
              <w:bottom w:val="single" w:sz="4" w:space="0" w:color="auto"/>
              <w:right w:val="single" w:sz="4" w:space="0" w:color="auto"/>
            </w:tcBorders>
            <w:noWrap/>
            <w:vAlign w:val="bottom"/>
            <w:hideMark/>
          </w:tcPr>
          <w:p w14:paraId="48E88C27"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5.00 </w:t>
            </w:r>
          </w:p>
        </w:tc>
        <w:tc>
          <w:tcPr>
            <w:tcW w:w="649" w:type="pct"/>
            <w:tcBorders>
              <w:top w:val="nil"/>
              <w:left w:val="nil"/>
              <w:bottom w:val="single" w:sz="4" w:space="0" w:color="auto"/>
              <w:right w:val="single" w:sz="4" w:space="0" w:color="auto"/>
            </w:tcBorders>
            <w:noWrap/>
            <w:vAlign w:val="bottom"/>
            <w:hideMark/>
          </w:tcPr>
          <w:p w14:paraId="1C55A1B7"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45.00 </w:t>
            </w:r>
          </w:p>
        </w:tc>
      </w:tr>
      <w:tr w:rsidR="00837546" w:rsidRPr="00837546" w14:paraId="5544A140" w14:textId="77777777" w:rsidTr="00837546">
        <w:trPr>
          <w:trHeight w:val="312"/>
        </w:trPr>
        <w:tc>
          <w:tcPr>
            <w:tcW w:w="3988" w:type="pct"/>
            <w:tcBorders>
              <w:top w:val="nil"/>
              <w:left w:val="single" w:sz="4" w:space="0" w:color="auto"/>
              <w:bottom w:val="single" w:sz="4" w:space="0" w:color="auto"/>
              <w:right w:val="single" w:sz="4" w:space="0" w:color="auto"/>
            </w:tcBorders>
            <w:noWrap/>
            <w:vAlign w:val="bottom"/>
            <w:hideMark/>
          </w:tcPr>
          <w:p w14:paraId="06AD4FB1" w14:textId="77777777" w:rsidR="00837546" w:rsidRPr="00837546" w:rsidRDefault="00837546" w:rsidP="00837546">
            <w:pPr>
              <w:spacing w:before="0" w:after="0" w:line="240" w:lineRule="auto"/>
              <w:jc w:val="righ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2</w:t>
            </w:r>
          </w:p>
        </w:tc>
        <w:tc>
          <w:tcPr>
            <w:tcW w:w="363" w:type="pct"/>
            <w:tcBorders>
              <w:top w:val="nil"/>
              <w:left w:val="nil"/>
              <w:bottom w:val="single" w:sz="4" w:space="0" w:color="auto"/>
              <w:right w:val="single" w:sz="4" w:space="0" w:color="auto"/>
            </w:tcBorders>
            <w:noWrap/>
            <w:vAlign w:val="bottom"/>
            <w:hideMark/>
          </w:tcPr>
          <w:p w14:paraId="41D6F6F8"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10.00 </w:t>
            </w:r>
          </w:p>
        </w:tc>
        <w:tc>
          <w:tcPr>
            <w:tcW w:w="649" w:type="pct"/>
            <w:tcBorders>
              <w:top w:val="nil"/>
              <w:left w:val="nil"/>
              <w:bottom w:val="single" w:sz="4" w:space="0" w:color="auto"/>
              <w:right w:val="single" w:sz="4" w:space="0" w:color="auto"/>
            </w:tcBorders>
            <w:noWrap/>
            <w:vAlign w:val="bottom"/>
            <w:hideMark/>
          </w:tcPr>
          <w:p w14:paraId="6ECD4E60"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35.00 </w:t>
            </w:r>
          </w:p>
        </w:tc>
      </w:tr>
      <w:tr w:rsidR="00837546" w:rsidRPr="00837546" w14:paraId="37E73CE4" w14:textId="77777777" w:rsidTr="00837546">
        <w:trPr>
          <w:trHeight w:val="312"/>
        </w:trPr>
        <w:tc>
          <w:tcPr>
            <w:tcW w:w="3988" w:type="pct"/>
            <w:tcBorders>
              <w:top w:val="nil"/>
              <w:left w:val="single" w:sz="4" w:space="0" w:color="auto"/>
              <w:bottom w:val="single" w:sz="4" w:space="0" w:color="auto"/>
              <w:right w:val="single" w:sz="4" w:space="0" w:color="auto"/>
            </w:tcBorders>
            <w:noWrap/>
            <w:vAlign w:val="bottom"/>
            <w:hideMark/>
          </w:tcPr>
          <w:p w14:paraId="44EAEF23" w14:textId="77777777" w:rsidR="00837546" w:rsidRPr="00837546" w:rsidRDefault="00837546" w:rsidP="00837546">
            <w:pPr>
              <w:spacing w:before="0" w:after="0" w:line="240" w:lineRule="auto"/>
              <w:jc w:val="righ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3</w:t>
            </w:r>
          </w:p>
        </w:tc>
        <w:tc>
          <w:tcPr>
            <w:tcW w:w="363" w:type="pct"/>
            <w:tcBorders>
              <w:top w:val="nil"/>
              <w:left w:val="nil"/>
              <w:bottom w:val="single" w:sz="4" w:space="0" w:color="auto"/>
              <w:right w:val="single" w:sz="4" w:space="0" w:color="auto"/>
            </w:tcBorders>
            <w:noWrap/>
            <w:vAlign w:val="bottom"/>
            <w:hideMark/>
          </w:tcPr>
          <w:p w14:paraId="03E4F839"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20.00 </w:t>
            </w:r>
          </w:p>
        </w:tc>
        <w:tc>
          <w:tcPr>
            <w:tcW w:w="649" w:type="pct"/>
            <w:tcBorders>
              <w:top w:val="nil"/>
              <w:left w:val="nil"/>
              <w:bottom w:val="single" w:sz="4" w:space="0" w:color="auto"/>
              <w:right w:val="single" w:sz="4" w:space="0" w:color="auto"/>
            </w:tcBorders>
            <w:noWrap/>
            <w:vAlign w:val="bottom"/>
            <w:hideMark/>
          </w:tcPr>
          <w:p w14:paraId="02134268"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15.00 </w:t>
            </w:r>
          </w:p>
        </w:tc>
      </w:tr>
      <w:tr w:rsidR="00837546" w:rsidRPr="00837546" w14:paraId="147B3FA7" w14:textId="77777777" w:rsidTr="00837546">
        <w:trPr>
          <w:trHeight w:val="312"/>
        </w:trPr>
        <w:tc>
          <w:tcPr>
            <w:tcW w:w="3988" w:type="pct"/>
            <w:tcBorders>
              <w:top w:val="nil"/>
              <w:left w:val="single" w:sz="4" w:space="0" w:color="auto"/>
              <w:bottom w:val="single" w:sz="4" w:space="0" w:color="auto"/>
              <w:right w:val="single" w:sz="4" w:space="0" w:color="auto"/>
            </w:tcBorders>
            <w:noWrap/>
            <w:vAlign w:val="bottom"/>
            <w:hideMark/>
          </w:tcPr>
          <w:p w14:paraId="3D17B7A5" w14:textId="77777777" w:rsidR="00837546" w:rsidRPr="00837546" w:rsidRDefault="00837546" w:rsidP="00837546">
            <w:pPr>
              <w:spacing w:before="0" w:after="0" w:line="240" w:lineRule="auto"/>
              <w:jc w:val="righ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4</w:t>
            </w:r>
          </w:p>
        </w:tc>
        <w:tc>
          <w:tcPr>
            <w:tcW w:w="363" w:type="pct"/>
            <w:tcBorders>
              <w:top w:val="nil"/>
              <w:left w:val="nil"/>
              <w:bottom w:val="single" w:sz="4" w:space="0" w:color="auto"/>
              <w:right w:val="single" w:sz="4" w:space="0" w:color="auto"/>
            </w:tcBorders>
            <w:noWrap/>
            <w:vAlign w:val="bottom"/>
            <w:hideMark/>
          </w:tcPr>
          <w:p w14:paraId="51ED03FD"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25.00 </w:t>
            </w:r>
          </w:p>
        </w:tc>
        <w:tc>
          <w:tcPr>
            <w:tcW w:w="649" w:type="pct"/>
            <w:tcBorders>
              <w:top w:val="nil"/>
              <w:left w:val="nil"/>
              <w:bottom w:val="single" w:sz="4" w:space="0" w:color="auto"/>
              <w:right w:val="single" w:sz="4" w:space="0" w:color="auto"/>
            </w:tcBorders>
            <w:noWrap/>
            <w:vAlign w:val="bottom"/>
            <w:hideMark/>
          </w:tcPr>
          <w:p w14:paraId="0CBEF2F4"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10.00 </w:t>
            </w:r>
          </w:p>
        </w:tc>
      </w:tr>
      <w:tr w:rsidR="00837546" w:rsidRPr="00837546" w14:paraId="1A37E38A" w14:textId="77777777" w:rsidTr="00837546">
        <w:trPr>
          <w:trHeight w:val="312"/>
        </w:trPr>
        <w:tc>
          <w:tcPr>
            <w:tcW w:w="3988" w:type="pct"/>
            <w:tcBorders>
              <w:top w:val="nil"/>
              <w:left w:val="single" w:sz="4" w:space="0" w:color="auto"/>
              <w:bottom w:val="single" w:sz="4" w:space="0" w:color="auto"/>
              <w:right w:val="single" w:sz="4" w:space="0" w:color="auto"/>
            </w:tcBorders>
            <w:noWrap/>
            <w:vAlign w:val="bottom"/>
            <w:hideMark/>
          </w:tcPr>
          <w:p w14:paraId="5745A84F" w14:textId="77777777" w:rsidR="00837546" w:rsidRPr="00837546" w:rsidRDefault="00837546" w:rsidP="00837546">
            <w:pPr>
              <w:spacing w:before="0" w:after="0" w:line="240" w:lineRule="auto"/>
              <w:jc w:val="righ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5</w:t>
            </w:r>
          </w:p>
        </w:tc>
        <w:tc>
          <w:tcPr>
            <w:tcW w:w="363" w:type="pct"/>
            <w:tcBorders>
              <w:top w:val="nil"/>
              <w:left w:val="nil"/>
              <w:bottom w:val="single" w:sz="4" w:space="0" w:color="auto"/>
              <w:right w:val="single" w:sz="4" w:space="0" w:color="auto"/>
            </w:tcBorders>
            <w:noWrap/>
            <w:vAlign w:val="bottom"/>
            <w:hideMark/>
          </w:tcPr>
          <w:p w14:paraId="2656B2D8"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15.00 </w:t>
            </w:r>
          </w:p>
        </w:tc>
        <w:tc>
          <w:tcPr>
            <w:tcW w:w="649" w:type="pct"/>
            <w:tcBorders>
              <w:top w:val="nil"/>
              <w:left w:val="nil"/>
              <w:bottom w:val="single" w:sz="4" w:space="0" w:color="auto"/>
              <w:right w:val="single" w:sz="4" w:space="0" w:color="auto"/>
            </w:tcBorders>
            <w:noWrap/>
            <w:vAlign w:val="bottom"/>
            <w:hideMark/>
          </w:tcPr>
          <w:p w14:paraId="6717E1A2"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25.00 </w:t>
            </w:r>
          </w:p>
        </w:tc>
      </w:tr>
      <w:tr w:rsidR="00837546" w:rsidRPr="00837546" w14:paraId="049A47F4" w14:textId="77777777" w:rsidTr="00837546">
        <w:trPr>
          <w:trHeight w:val="312"/>
        </w:trPr>
        <w:tc>
          <w:tcPr>
            <w:tcW w:w="3988" w:type="pct"/>
            <w:tcBorders>
              <w:top w:val="nil"/>
              <w:left w:val="single" w:sz="4" w:space="0" w:color="auto"/>
              <w:bottom w:val="single" w:sz="4" w:space="0" w:color="auto"/>
              <w:right w:val="single" w:sz="4" w:space="0" w:color="auto"/>
            </w:tcBorders>
            <w:noWrap/>
            <w:vAlign w:val="bottom"/>
            <w:hideMark/>
          </w:tcPr>
          <w:p w14:paraId="6D20D6E2"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Total Cash Flow </w:t>
            </w:r>
          </w:p>
        </w:tc>
        <w:tc>
          <w:tcPr>
            <w:tcW w:w="1012" w:type="pct"/>
            <w:gridSpan w:val="2"/>
            <w:tcBorders>
              <w:top w:val="single" w:sz="4" w:space="0" w:color="auto"/>
              <w:left w:val="nil"/>
              <w:bottom w:val="single" w:sz="4" w:space="0" w:color="auto"/>
              <w:right w:val="single" w:sz="4" w:space="0" w:color="000000"/>
            </w:tcBorders>
            <w:noWrap/>
            <w:vAlign w:val="bottom"/>
            <w:hideMark/>
          </w:tcPr>
          <w:p w14:paraId="1FE08D52" w14:textId="77777777" w:rsidR="00837546" w:rsidRPr="00837546" w:rsidRDefault="00837546" w:rsidP="00837546">
            <w:pPr>
              <w:spacing w:before="0" w:after="0" w:line="240" w:lineRule="auto"/>
              <w:jc w:val="center"/>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75.00 </w:t>
            </w:r>
          </w:p>
        </w:tc>
      </w:tr>
      <w:tr w:rsidR="00837546" w:rsidRPr="00837546" w14:paraId="5BFB5AC8" w14:textId="77777777" w:rsidTr="00837546">
        <w:trPr>
          <w:trHeight w:val="324"/>
        </w:trPr>
        <w:tc>
          <w:tcPr>
            <w:tcW w:w="3988" w:type="pct"/>
            <w:tcBorders>
              <w:top w:val="nil"/>
              <w:left w:val="single" w:sz="4" w:space="0" w:color="auto"/>
              <w:bottom w:val="nil"/>
              <w:right w:val="single" w:sz="4" w:space="0" w:color="auto"/>
            </w:tcBorders>
            <w:noWrap/>
            <w:vAlign w:val="bottom"/>
            <w:hideMark/>
          </w:tcPr>
          <w:p w14:paraId="2DC701DB" w14:textId="77777777" w:rsidR="00837546" w:rsidRPr="00837546" w:rsidRDefault="00837546" w:rsidP="00837546">
            <w:pPr>
              <w:spacing w:before="0" w:after="0" w:line="240" w:lineRule="auto"/>
              <w:jc w:val="left"/>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Average Annual Profit </w:t>
            </w:r>
          </w:p>
        </w:tc>
        <w:tc>
          <w:tcPr>
            <w:tcW w:w="1012" w:type="pct"/>
            <w:gridSpan w:val="2"/>
            <w:tcBorders>
              <w:top w:val="single" w:sz="4" w:space="0" w:color="auto"/>
              <w:left w:val="nil"/>
              <w:bottom w:val="nil"/>
              <w:right w:val="single" w:sz="4" w:space="0" w:color="000000"/>
            </w:tcBorders>
            <w:noWrap/>
            <w:vAlign w:val="bottom"/>
            <w:hideMark/>
          </w:tcPr>
          <w:p w14:paraId="469EFA76" w14:textId="77777777" w:rsidR="00837546" w:rsidRPr="00837546" w:rsidRDefault="00837546" w:rsidP="00837546">
            <w:pPr>
              <w:spacing w:before="0" w:after="0" w:line="240" w:lineRule="auto"/>
              <w:jc w:val="center"/>
              <w:rPr>
                <w:rFonts w:asciiTheme="minorBidi" w:eastAsia="Times New Roman" w:hAnsiTheme="minorBidi"/>
                <w:color w:val="000000"/>
                <w:kern w:val="0"/>
                <w:lang w:eastAsia="en-IN"/>
                <w14:ligatures w14:val="none"/>
              </w:rPr>
            </w:pPr>
            <w:r w:rsidRPr="00837546">
              <w:rPr>
                <w:rFonts w:asciiTheme="minorBidi" w:eastAsia="Times New Roman" w:hAnsiTheme="minorBidi"/>
                <w:color w:val="000000"/>
                <w:kern w:val="0"/>
                <w:lang w:eastAsia="en-IN"/>
                <w14:ligatures w14:val="none"/>
              </w:rPr>
              <w:t xml:space="preserve"> £                                                              15.00 </w:t>
            </w:r>
          </w:p>
        </w:tc>
      </w:tr>
      <w:tr w:rsidR="00837546" w:rsidRPr="00837546" w14:paraId="436EB957" w14:textId="77777777" w:rsidTr="00837546">
        <w:trPr>
          <w:trHeight w:val="312"/>
        </w:trPr>
        <w:tc>
          <w:tcPr>
            <w:tcW w:w="3988" w:type="pct"/>
            <w:tcBorders>
              <w:top w:val="single" w:sz="8" w:space="0" w:color="auto"/>
              <w:left w:val="single" w:sz="8" w:space="0" w:color="auto"/>
              <w:bottom w:val="single" w:sz="4" w:space="0" w:color="auto"/>
              <w:right w:val="single" w:sz="4" w:space="0" w:color="auto"/>
            </w:tcBorders>
            <w:shd w:val="clear" w:color="000000" w:fill="FFC000"/>
            <w:noWrap/>
            <w:vAlign w:val="bottom"/>
            <w:hideMark/>
          </w:tcPr>
          <w:p w14:paraId="54D6834C"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Payback Period</w:t>
            </w:r>
          </w:p>
        </w:tc>
        <w:tc>
          <w:tcPr>
            <w:tcW w:w="1012" w:type="pct"/>
            <w:gridSpan w:val="2"/>
            <w:tcBorders>
              <w:top w:val="single" w:sz="8" w:space="0" w:color="auto"/>
              <w:left w:val="nil"/>
              <w:bottom w:val="single" w:sz="4" w:space="0" w:color="auto"/>
              <w:right w:val="single" w:sz="8" w:space="0" w:color="000000"/>
            </w:tcBorders>
            <w:shd w:val="clear" w:color="000000" w:fill="FFC000"/>
            <w:noWrap/>
            <w:vAlign w:val="bottom"/>
            <w:hideMark/>
          </w:tcPr>
          <w:p w14:paraId="4477CFE1" w14:textId="77777777" w:rsidR="00837546" w:rsidRPr="00837546" w:rsidRDefault="00837546" w:rsidP="00837546">
            <w:pPr>
              <w:spacing w:before="0" w:after="0" w:line="240" w:lineRule="auto"/>
              <w:jc w:val="righ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4</w:t>
            </w:r>
          </w:p>
        </w:tc>
      </w:tr>
      <w:tr w:rsidR="00837546" w:rsidRPr="00837546" w14:paraId="382FB414" w14:textId="77777777" w:rsidTr="00837546">
        <w:trPr>
          <w:trHeight w:val="312"/>
        </w:trPr>
        <w:tc>
          <w:tcPr>
            <w:tcW w:w="3988" w:type="pct"/>
            <w:tcBorders>
              <w:top w:val="nil"/>
              <w:left w:val="single" w:sz="8" w:space="0" w:color="auto"/>
              <w:bottom w:val="single" w:sz="4" w:space="0" w:color="auto"/>
              <w:right w:val="single" w:sz="4" w:space="0" w:color="auto"/>
            </w:tcBorders>
            <w:shd w:val="clear" w:color="000000" w:fill="FFC000"/>
            <w:noWrap/>
            <w:vAlign w:val="bottom"/>
            <w:hideMark/>
          </w:tcPr>
          <w:p w14:paraId="09C906D7"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ARR</w:t>
            </w:r>
          </w:p>
        </w:tc>
        <w:tc>
          <w:tcPr>
            <w:tcW w:w="1012" w:type="pct"/>
            <w:gridSpan w:val="2"/>
            <w:tcBorders>
              <w:top w:val="single" w:sz="4" w:space="0" w:color="auto"/>
              <w:left w:val="nil"/>
              <w:bottom w:val="single" w:sz="4" w:space="0" w:color="auto"/>
              <w:right w:val="single" w:sz="8" w:space="0" w:color="000000"/>
            </w:tcBorders>
            <w:shd w:val="clear" w:color="000000" w:fill="FFC000"/>
            <w:noWrap/>
            <w:vAlign w:val="bottom"/>
            <w:hideMark/>
          </w:tcPr>
          <w:p w14:paraId="00181D7B" w14:textId="77777777" w:rsidR="00837546" w:rsidRPr="00837546" w:rsidRDefault="00837546" w:rsidP="00837546">
            <w:pPr>
              <w:spacing w:before="0" w:after="0" w:line="240" w:lineRule="auto"/>
              <w:jc w:val="righ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-30%</w:t>
            </w:r>
          </w:p>
        </w:tc>
      </w:tr>
      <w:tr w:rsidR="00837546" w:rsidRPr="00837546" w14:paraId="36230BFE" w14:textId="77777777" w:rsidTr="00837546">
        <w:trPr>
          <w:trHeight w:val="312"/>
        </w:trPr>
        <w:tc>
          <w:tcPr>
            <w:tcW w:w="3988" w:type="pct"/>
            <w:tcBorders>
              <w:top w:val="nil"/>
              <w:left w:val="single" w:sz="8" w:space="0" w:color="auto"/>
              <w:bottom w:val="single" w:sz="4" w:space="0" w:color="auto"/>
              <w:right w:val="single" w:sz="4" w:space="0" w:color="auto"/>
            </w:tcBorders>
            <w:shd w:val="clear" w:color="000000" w:fill="FFC000"/>
            <w:noWrap/>
            <w:vAlign w:val="bottom"/>
            <w:hideMark/>
          </w:tcPr>
          <w:p w14:paraId="191C262E"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NPV</w:t>
            </w:r>
          </w:p>
        </w:tc>
        <w:tc>
          <w:tcPr>
            <w:tcW w:w="1012" w:type="pct"/>
            <w:gridSpan w:val="2"/>
            <w:tcBorders>
              <w:top w:val="single" w:sz="4" w:space="0" w:color="auto"/>
              <w:left w:val="nil"/>
              <w:bottom w:val="single" w:sz="4" w:space="0" w:color="auto"/>
              <w:right w:val="single" w:sz="8" w:space="0" w:color="000000"/>
            </w:tcBorders>
            <w:shd w:val="clear" w:color="000000" w:fill="FFC000"/>
            <w:noWrap/>
            <w:vAlign w:val="bottom"/>
            <w:hideMark/>
          </w:tcPr>
          <w:p w14:paraId="67F17BB0"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 xml:space="preserve"> £                                                                4.23 </w:t>
            </w:r>
          </w:p>
        </w:tc>
      </w:tr>
      <w:tr w:rsidR="00837546" w:rsidRPr="00837546" w14:paraId="68D77EDC" w14:textId="77777777" w:rsidTr="00837546">
        <w:trPr>
          <w:trHeight w:val="312"/>
        </w:trPr>
        <w:tc>
          <w:tcPr>
            <w:tcW w:w="3988" w:type="pct"/>
            <w:tcBorders>
              <w:top w:val="nil"/>
              <w:left w:val="single" w:sz="8" w:space="0" w:color="auto"/>
              <w:bottom w:val="single" w:sz="4" w:space="0" w:color="auto"/>
              <w:right w:val="single" w:sz="4" w:space="0" w:color="auto"/>
            </w:tcBorders>
            <w:shd w:val="clear" w:color="000000" w:fill="FFC000"/>
            <w:noWrap/>
            <w:vAlign w:val="bottom"/>
            <w:hideMark/>
          </w:tcPr>
          <w:p w14:paraId="798FEF2E"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 xml:space="preserve">Profitability Index (PI) </w:t>
            </w:r>
          </w:p>
        </w:tc>
        <w:tc>
          <w:tcPr>
            <w:tcW w:w="1012" w:type="pct"/>
            <w:gridSpan w:val="2"/>
            <w:tcBorders>
              <w:top w:val="single" w:sz="4" w:space="0" w:color="auto"/>
              <w:left w:val="nil"/>
              <w:bottom w:val="single" w:sz="4" w:space="0" w:color="auto"/>
              <w:right w:val="single" w:sz="8" w:space="0" w:color="000000"/>
            </w:tcBorders>
            <w:shd w:val="clear" w:color="000000" w:fill="FFC000"/>
            <w:noWrap/>
            <w:vAlign w:val="bottom"/>
            <w:hideMark/>
          </w:tcPr>
          <w:p w14:paraId="21D7A4BC"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 xml:space="preserve"> £                                                                0.92 </w:t>
            </w:r>
          </w:p>
        </w:tc>
      </w:tr>
      <w:tr w:rsidR="00837546" w:rsidRPr="00837546" w14:paraId="51258C7A" w14:textId="77777777" w:rsidTr="00837546">
        <w:trPr>
          <w:trHeight w:val="324"/>
        </w:trPr>
        <w:tc>
          <w:tcPr>
            <w:tcW w:w="3988" w:type="pct"/>
            <w:tcBorders>
              <w:top w:val="nil"/>
              <w:left w:val="single" w:sz="8" w:space="0" w:color="auto"/>
              <w:bottom w:val="single" w:sz="8" w:space="0" w:color="auto"/>
              <w:right w:val="single" w:sz="4" w:space="0" w:color="auto"/>
            </w:tcBorders>
            <w:shd w:val="clear" w:color="000000" w:fill="FFC000"/>
            <w:noWrap/>
            <w:vAlign w:val="bottom"/>
            <w:hideMark/>
          </w:tcPr>
          <w:p w14:paraId="2E2AB176" w14:textId="77777777" w:rsidR="00837546" w:rsidRPr="00837546" w:rsidRDefault="00837546" w:rsidP="00837546">
            <w:pPr>
              <w:spacing w:before="0" w:after="0" w:line="240" w:lineRule="auto"/>
              <w:jc w:val="lef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 xml:space="preserve">IRR </w:t>
            </w:r>
          </w:p>
        </w:tc>
        <w:tc>
          <w:tcPr>
            <w:tcW w:w="1012" w:type="pct"/>
            <w:gridSpan w:val="2"/>
            <w:tcBorders>
              <w:top w:val="single" w:sz="4" w:space="0" w:color="auto"/>
              <w:left w:val="nil"/>
              <w:bottom w:val="single" w:sz="8" w:space="0" w:color="auto"/>
              <w:right w:val="single" w:sz="8" w:space="0" w:color="000000"/>
            </w:tcBorders>
            <w:shd w:val="clear" w:color="000000" w:fill="FFC000"/>
            <w:noWrap/>
            <w:vAlign w:val="bottom"/>
            <w:hideMark/>
          </w:tcPr>
          <w:p w14:paraId="36E6D927" w14:textId="77777777" w:rsidR="00837546" w:rsidRPr="00837546" w:rsidRDefault="00837546" w:rsidP="00837546">
            <w:pPr>
              <w:spacing w:before="0" w:after="0" w:line="240" w:lineRule="auto"/>
              <w:jc w:val="right"/>
              <w:rPr>
                <w:rFonts w:asciiTheme="minorBidi" w:eastAsia="Times New Roman" w:hAnsiTheme="minorBidi"/>
                <w:b/>
                <w:bCs/>
                <w:color w:val="000000"/>
                <w:kern w:val="0"/>
                <w:lang w:eastAsia="en-IN"/>
                <w14:ligatures w14:val="none"/>
              </w:rPr>
            </w:pPr>
            <w:r w:rsidRPr="00837546">
              <w:rPr>
                <w:rFonts w:asciiTheme="minorBidi" w:eastAsia="Times New Roman" w:hAnsiTheme="minorBidi"/>
                <w:b/>
                <w:bCs/>
                <w:color w:val="000000"/>
                <w:kern w:val="0"/>
                <w:lang w:eastAsia="en-IN"/>
                <w14:ligatures w14:val="none"/>
              </w:rPr>
              <w:t>30%</w:t>
            </w:r>
          </w:p>
        </w:tc>
      </w:tr>
    </w:tbl>
    <w:p w14:paraId="3ED8B1D6" w14:textId="77777777" w:rsidR="00837546" w:rsidRPr="006D39E3" w:rsidRDefault="00837546" w:rsidP="00837546">
      <w:pPr>
        <w:rPr>
          <w:rFonts w:asciiTheme="minorBidi" w:hAnsiTheme="minorBidi"/>
        </w:rPr>
      </w:pPr>
    </w:p>
    <w:p w14:paraId="7C253425" w14:textId="77777777" w:rsidR="00837546" w:rsidRPr="006D39E3" w:rsidRDefault="00837546" w:rsidP="007F3500">
      <w:pPr>
        <w:rPr>
          <w:rFonts w:asciiTheme="minorBidi" w:hAnsiTheme="minorBidi"/>
        </w:rPr>
      </w:pPr>
    </w:p>
    <w:p w14:paraId="7A43FF09" w14:textId="77777777" w:rsidR="00837546" w:rsidRPr="006D39E3" w:rsidRDefault="00837546" w:rsidP="007F3500">
      <w:pPr>
        <w:rPr>
          <w:rFonts w:asciiTheme="minorBidi" w:hAnsiTheme="minorBidi"/>
        </w:rPr>
      </w:pPr>
    </w:p>
    <w:sectPr w:rsidR="00837546" w:rsidRPr="006D39E3" w:rsidSect="00940064">
      <w:footerReference w:type="default" r:id="rId4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A40B6" w14:textId="77777777" w:rsidR="00AD6EAE" w:rsidRDefault="00AD6EAE" w:rsidP="00940064">
      <w:pPr>
        <w:spacing w:before="0" w:after="0" w:line="240" w:lineRule="auto"/>
      </w:pPr>
      <w:r>
        <w:separator/>
      </w:r>
    </w:p>
  </w:endnote>
  <w:endnote w:type="continuationSeparator" w:id="0">
    <w:p w14:paraId="75F68B28" w14:textId="77777777" w:rsidR="00AD6EAE" w:rsidRDefault="00AD6EAE" w:rsidP="0094006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8055162"/>
      <w:docPartObj>
        <w:docPartGallery w:val="Page Numbers (Bottom of Page)"/>
        <w:docPartUnique/>
      </w:docPartObj>
    </w:sdtPr>
    <w:sdtEndPr>
      <w:rPr>
        <w:noProof/>
      </w:rPr>
    </w:sdtEndPr>
    <w:sdtContent>
      <w:p w14:paraId="1F5F310F" w14:textId="206ECD85" w:rsidR="007F3500" w:rsidRDefault="007F35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A5AEBF" w14:textId="77777777" w:rsidR="007F3500" w:rsidRDefault="007F35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EFF0B" w14:textId="77777777" w:rsidR="00AD6EAE" w:rsidRDefault="00AD6EAE" w:rsidP="00940064">
      <w:pPr>
        <w:spacing w:before="0" w:after="0" w:line="240" w:lineRule="auto"/>
      </w:pPr>
      <w:r>
        <w:separator/>
      </w:r>
    </w:p>
  </w:footnote>
  <w:footnote w:type="continuationSeparator" w:id="0">
    <w:p w14:paraId="03FC2496" w14:textId="77777777" w:rsidR="00AD6EAE" w:rsidRDefault="00AD6EAE" w:rsidP="0094006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0B20"/>
    <w:multiLevelType w:val="multilevel"/>
    <w:tmpl w:val="12CED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8C6D23"/>
    <w:multiLevelType w:val="multilevel"/>
    <w:tmpl w:val="6ADE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106DB4"/>
    <w:multiLevelType w:val="multilevel"/>
    <w:tmpl w:val="E168D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4D4717"/>
    <w:multiLevelType w:val="hybridMultilevel"/>
    <w:tmpl w:val="F34E91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D45364F"/>
    <w:multiLevelType w:val="hybridMultilevel"/>
    <w:tmpl w:val="589252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41601421">
    <w:abstractNumId w:val="4"/>
  </w:num>
  <w:num w:numId="2" w16cid:durableId="1133644208">
    <w:abstractNumId w:val="2"/>
  </w:num>
  <w:num w:numId="3" w16cid:durableId="1581867546">
    <w:abstractNumId w:val="1"/>
  </w:num>
  <w:num w:numId="4" w16cid:durableId="6369481">
    <w:abstractNumId w:val="0"/>
  </w:num>
  <w:num w:numId="5" w16cid:durableId="20387703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416"/>
    <w:rsid w:val="000218A7"/>
    <w:rsid w:val="000856E7"/>
    <w:rsid w:val="000D5F59"/>
    <w:rsid w:val="0014130B"/>
    <w:rsid w:val="001817FE"/>
    <w:rsid w:val="00302151"/>
    <w:rsid w:val="003B7931"/>
    <w:rsid w:val="003D17DB"/>
    <w:rsid w:val="00470C60"/>
    <w:rsid w:val="00486DC7"/>
    <w:rsid w:val="00506562"/>
    <w:rsid w:val="00617416"/>
    <w:rsid w:val="00691843"/>
    <w:rsid w:val="006D39E3"/>
    <w:rsid w:val="007F3500"/>
    <w:rsid w:val="00837546"/>
    <w:rsid w:val="00940064"/>
    <w:rsid w:val="00970975"/>
    <w:rsid w:val="009A31A6"/>
    <w:rsid w:val="009B5666"/>
    <w:rsid w:val="009E0760"/>
    <w:rsid w:val="00A325F5"/>
    <w:rsid w:val="00A6093D"/>
    <w:rsid w:val="00AA5824"/>
    <w:rsid w:val="00AD6EAE"/>
    <w:rsid w:val="00B70F4B"/>
    <w:rsid w:val="00BA1855"/>
    <w:rsid w:val="00BB5991"/>
    <w:rsid w:val="00CF13D0"/>
    <w:rsid w:val="00D14786"/>
    <w:rsid w:val="00D5252F"/>
    <w:rsid w:val="00E1470B"/>
    <w:rsid w:val="00EA3BDE"/>
    <w:rsid w:val="00F64186"/>
    <w:rsid w:val="00F75F74"/>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1FC9F"/>
  <w15:chartTrackingRefBased/>
  <w15:docId w15:val="{175A6F3B-4741-4E6B-8A57-D95D083EF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064"/>
    <w:pPr>
      <w:spacing w:before="240" w:after="240" w:line="360" w:lineRule="auto"/>
      <w:jc w:val="both"/>
    </w:pPr>
    <w:rPr>
      <w:rFonts w:ascii="Arial" w:hAnsi="Arial"/>
    </w:rPr>
  </w:style>
  <w:style w:type="paragraph" w:styleId="Heading1">
    <w:name w:val="heading 1"/>
    <w:basedOn w:val="Normal"/>
    <w:next w:val="Normal"/>
    <w:link w:val="Heading1Char"/>
    <w:uiPriority w:val="9"/>
    <w:qFormat/>
    <w:rsid w:val="00D5252F"/>
    <w:pPr>
      <w:keepNext/>
      <w:keepLines/>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D5252F"/>
    <w:pPr>
      <w:keepNext/>
      <w:keepLines/>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D14786"/>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61741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unhideWhenUsed/>
    <w:qFormat/>
    <w:rsid w:val="00A325F5"/>
    <w:pPr>
      <w:keepNext/>
      <w:keepLines/>
      <w:spacing w:before="120" w:after="120"/>
      <w:jc w:val="center"/>
      <w:outlineLvl w:val="4"/>
    </w:pPr>
    <w:rPr>
      <w:rFonts w:eastAsiaTheme="majorEastAsia" w:cstheme="majorBidi"/>
      <w:b/>
      <w:color w:val="0C3512" w:themeColor="accent3" w:themeShade="80"/>
      <w:sz w:val="22"/>
    </w:rPr>
  </w:style>
  <w:style w:type="paragraph" w:styleId="Heading6">
    <w:name w:val="heading 6"/>
    <w:basedOn w:val="Normal"/>
    <w:next w:val="Normal"/>
    <w:link w:val="Heading6Char"/>
    <w:uiPriority w:val="9"/>
    <w:unhideWhenUsed/>
    <w:qFormat/>
    <w:rsid w:val="00A325F5"/>
    <w:pPr>
      <w:keepNext/>
      <w:keepLines/>
      <w:spacing w:before="120" w:after="120"/>
      <w:jc w:val="center"/>
      <w:outlineLvl w:val="5"/>
    </w:pPr>
    <w:rPr>
      <w:rFonts w:eastAsiaTheme="majorEastAsia" w:cstheme="majorBidi"/>
      <w:b/>
      <w:i/>
      <w:iCs/>
      <w:color w:val="0A2F41" w:themeColor="accent1" w:themeShade="80"/>
      <w:sz w:val="22"/>
    </w:rPr>
  </w:style>
  <w:style w:type="paragraph" w:styleId="Heading7">
    <w:name w:val="heading 7"/>
    <w:basedOn w:val="Normal"/>
    <w:next w:val="Normal"/>
    <w:link w:val="Heading7Char"/>
    <w:uiPriority w:val="9"/>
    <w:semiHidden/>
    <w:unhideWhenUsed/>
    <w:qFormat/>
    <w:rsid w:val="0061741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17416"/>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17416"/>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52F"/>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D5252F"/>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D14786"/>
    <w:rPr>
      <w:rFonts w:ascii="Times New Roman" w:eastAsiaTheme="majorEastAsia" w:hAnsi="Times New Roman" w:cstheme="majorBidi"/>
      <w:b/>
      <w:i/>
      <w:szCs w:val="28"/>
    </w:rPr>
  </w:style>
  <w:style w:type="character" w:customStyle="1" w:styleId="Heading5Char">
    <w:name w:val="Heading 5 Char"/>
    <w:basedOn w:val="DefaultParagraphFont"/>
    <w:link w:val="Heading5"/>
    <w:uiPriority w:val="9"/>
    <w:rsid w:val="00A325F5"/>
    <w:rPr>
      <w:rFonts w:ascii="Times New Roman" w:eastAsiaTheme="majorEastAsia" w:hAnsi="Times New Roman" w:cstheme="majorBidi"/>
      <w:b/>
      <w:color w:val="0C3512" w:themeColor="accent3" w:themeShade="80"/>
      <w:sz w:val="22"/>
    </w:rPr>
  </w:style>
  <w:style w:type="character" w:customStyle="1" w:styleId="Heading6Char">
    <w:name w:val="Heading 6 Char"/>
    <w:basedOn w:val="DefaultParagraphFont"/>
    <w:link w:val="Heading6"/>
    <w:uiPriority w:val="9"/>
    <w:rsid w:val="00A325F5"/>
    <w:rPr>
      <w:rFonts w:ascii="Times New Roman" w:eastAsiaTheme="majorEastAsia" w:hAnsi="Times New Roman" w:cstheme="majorBidi"/>
      <w:b/>
      <w:i/>
      <w:iCs/>
      <w:color w:val="0A2F41" w:themeColor="accent1" w:themeShade="80"/>
      <w:sz w:val="22"/>
    </w:rPr>
  </w:style>
  <w:style w:type="character" w:customStyle="1" w:styleId="Heading4Char">
    <w:name w:val="Heading 4 Char"/>
    <w:basedOn w:val="DefaultParagraphFont"/>
    <w:link w:val="Heading4"/>
    <w:uiPriority w:val="9"/>
    <w:semiHidden/>
    <w:rsid w:val="00617416"/>
    <w:rPr>
      <w:rFonts w:eastAsiaTheme="majorEastAsia" w:cstheme="majorBidi"/>
      <w:i/>
      <w:iCs/>
      <w:color w:val="0F4761" w:themeColor="accent1" w:themeShade="BF"/>
    </w:rPr>
  </w:style>
  <w:style w:type="character" w:customStyle="1" w:styleId="Heading7Char">
    <w:name w:val="Heading 7 Char"/>
    <w:basedOn w:val="DefaultParagraphFont"/>
    <w:link w:val="Heading7"/>
    <w:uiPriority w:val="9"/>
    <w:semiHidden/>
    <w:rsid w:val="006174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74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7416"/>
    <w:rPr>
      <w:rFonts w:eastAsiaTheme="majorEastAsia" w:cstheme="majorBidi"/>
      <w:color w:val="272727" w:themeColor="text1" w:themeTint="D8"/>
    </w:rPr>
  </w:style>
  <w:style w:type="paragraph" w:styleId="Title">
    <w:name w:val="Title"/>
    <w:basedOn w:val="Normal"/>
    <w:next w:val="Normal"/>
    <w:link w:val="TitleChar"/>
    <w:uiPriority w:val="10"/>
    <w:qFormat/>
    <w:rsid w:val="00617416"/>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74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741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74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741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17416"/>
    <w:rPr>
      <w:rFonts w:ascii="Times New Roman" w:hAnsi="Times New Roman"/>
      <w:i/>
      <w:iCs/>
      <w:color w:val="404040" w:themeColor="text1" w:themeTint="BF"/>
    </w:rPr>
  </w:style>
  <w:style w:type="paragraph" w:styleId="ListParagraph">
    <w:name w:val="List Paragraph"/>
    <w:basedOn w:val="Normal"/>
    <w:uiPriority w:val="34"/>
    <w:qFormat/>
    <w:rsid w:val="00617416"/>
    <w:pPr>
      <w:ind w:left="720"/>
      <w:contextualSpacing/>
    </w:pPr>
  </w:style>
  <w:style w:type="character" w:styleId="IntenseEmphasis">
    <w:name w:val="Intense Emphasis"/>
    <w:basedOn w:val="DefaultParagraphFont"/>
    <w:uiPriority w:val="21"/>
    <w:qFormat/>
    <w:rsid w:val="00617416"/>
    <w:rPr>
      <w:i/>
      <w:iCs/>
      <w:color w:val="0F4761" w:themeColor="accent1" w:themeShade="BF"/>
    </w:rPr>
  </w:style>
  <w:style w:type="paragraph" w:styleId="IntenseQuote">
    <w:name w:val="Intense Quote"/>
    <w:basedOn w:val="Normal"/>
    <w:next w:val="Normal"/>
    <w:link w:val="IntenseQuoteChar"/>
    <w:uiPriority w:val="30"/>
    <w:qFormat/>
    <w:rsid w:val="006174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7416"/>
    <w:rPr>
      <w:rFonts w:ascii="Times New Roman" w:hAnsi="Times New Roman"/>
      <w:i/>
      <w:iCs/>
      <w:color w:val="0F4761" w:themeColor="accent1" w:themeShade="BF"/>
    </w:rPr>
  </w:style>
  <w:style w:type="character" w:styleId="IntenseReference">
    <w:name w:val="Intense Reference"/>
    <w:basedOn w:val="DefaultParagraphFont"/>
    <w:uiPriority w:val="32"/>
    <w:qFormat/>
    <w:rsid w:val="00617416"/>
    <w:rPr>
      <w:b/>
      <w:bCs/>
      <w:smallCaps/>
      <w:color w:val="0F4761" w:themeColor="accent1" w:themeShade="BF"/>
      <w:spacing w:val="5"/>
    </w:rPr>
  </w:style>
  <w:style w:type="table" w:styleId="TableGrid">
    <w:name w:val="Table Grid"/>
    <w:basedOn w:val="TableNormal"/>
    <w:uiPriority w:val="39"/>
    <w:rsid w:val="006174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17416"/>
    <w:rPr>
      <w:color w:val="467886" w:themeColor="hyperlink"/>
      <w:u w:val="single"/>
    </w:rPr>
  </w:style>
  <w:style w:type="character" w:styleId="UnresolvedMention">
    <w:name w:val="Unresolved Mention"/>
    <w:basedOn w:val="DefaultParagraphFont"/>
    <w:uiPriority w:val="99"/>
    <w:semiHidden/>
    <w:unhideWhenUsed/>
    <w:rsid w:val="00617416"/>
    <w:rPr>
      <w:color w:val="605E5C"/>
      <w:shd w:val="clear" w:color="auto" w:fill="E1DFDD"/>
    </w:rPr>
  </w:style>
  <w:style w:type="paragraph" w:styleId="Header">
    <w:name w:val="header"/>
    <w:basedOn w:val="Normal"/>
    <w:link w:val="HeaderChar"/>
    <w:uiPriority w:val="99"/>
    <w:unhideWhenUsed/>
    <w:rsid w:val="0094006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40064"/>
    <w:rPr>
      <w:rFonts w:ascii="Times New Roman" w:hAnsi="Times New Roman"/>
    </w:rPr>
  </w:style>
  <w:style w:type="paragraph" w:styleId="Footer">
    <w:name w:val="footer"/>
    <w:basedOn w:val="Normal"/>
    <w:link w:val="FooterChar"/>
    <w:uiPriority w:val="99"/>
    <w:unhideWhenUsed/>
    <w:rsid w:val="0094006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40064"/>
    <w:rPr>
      <w:rFonts w:ascii="Times New Roman" w:hAnsi="Times New Roman"/>
    </w:rPr>
  </w:style>
  <w:style w:type="table" w:styleId="PlainTable1">
    <w:name w:val="Plain Table 1"/>
    <w:basedOn w:val="TableNormal"/>
    <w:uiPriority w:val="41"/>
    <w:rsid w:val="006918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9A31A6"/>
    <w:pPr>
      <w:spacing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9A31A6"/>
    <w:pPr>
      <w:spacing w:after="100"/>
    </w:pPr>
  </w:style>
  <w:style w:type="paragraph" w:styleId="TOC2">
    <w:name w:val="toc 2"/>
    <w:basedOn w:val="Normal"/>
    <w:next w:val="Normal"/>
    <w:autoRedefine/>
    <w:uiPriority w:val="39"/>
    <w:unhideWhenUsed/>
    <w:rsid w:val="009A31A6"/>
    <w:pPr>
      <w:spacing w:after="100"/>
      <w:ind w:left="240"/>
    </w:pPr>
  </w:style>
  <w:style w:type="paragraph" w:styleId="NormalWeb">
    <w:name w:val="Normal (Web)"/>
    <w:basedOn w:val="Normal"/>
    <w:uiPriority w:val="99"/>
    <w:semiHidden/>
    <w:unhideWhenUsed/>
    <w:rsid w:val="00A6093D"/>
    <w:pPr>
      <w:spacing w:before="100" w:beforeAutospacing="1" w:after="100" w:afterAutospacing="1" w:line="240" w:lineRule="auto"/>
      <w:jc w:val="left"/>
    </w:pPr>
    <w:rPr>
      <w:rFonts w:ascii="Times New Roman" w:eastAsia="Times New Roman" w:hAnsi="Times New Roman" w:cs="Times New Roman"/>
      <w:kern w:val="0"/>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46125">
      <w:bodyDiv w:val="1"/>
      <w:marLeft w:val="0"/>
      <w:marRight w:val="0"/>
      <w:marTop w:val="0"/>
      <w:marBottom w:val="0"/>
      <w:divBdr>
        <w:top w:val="none" w:sz="0" w:space="0" w:color="auto"/>
        <w:left w:val="none" w:sz="0" w:space="0" w:color="auto"/>
        <w:bottom w:val="none" w:sz="0" w:space="0" w:color="auto"/>
        <w:right w:val="none" w:sz="0" w:space="0" w:color="auto"/>
      </w:divBdr>
    </w:div>
    <w:div w:id="133178707">
      <w:bodyDiv w:val="1"/>
      <w:marLeft w:val="0"/>
      <w:marRight w:val="0"/>
      <w:marTop w:val="0"/>
      <w:marBottom w:val="0"/>
      <w:divBdr>
        <w:top w:val="none" w:sz="0" w:space="0" w:color="auto"/>
        <w:left w:val="none" w:sz="0" w:space="0" w:color="auto"/>
        <w:bottom w:val="none" w:sz="0" w:space="0" w:color="auto"/>
        <w:right w:val="none" w:sz="0" w:space="0" w:color="auto"/>
      </w:divBdr>
    </w:div>
    <w:div w:id="207256921">
      <w:bodyDiv w:val="1"/>
      <w:marLeft w:val="0"/>
      <w:marRight w:val="0"/>
      <w:marTop w:val="0"/>
      <w:marBottom w:val="0"/>
      <w:divBdr>
        <w:top w:val="none" w:sz="0" w:space="0" w:color="auto"/>
        <w:left w:val="none" w:sz="0" w:space="0" w:color="auto"/>
        <w:bottom w:val="none" w:sz="0" w:space="0" w:color="auto"/>
        <w:right w:val="none" w:sz="0" w:space="0" w:color="auto"/>
      </w:divBdr>
    </w:div>
    <w:div w:id="284194643">
      <w:bodyDiv w:val="1"/>
      <w:marLeft w:val="0"/>
      <w:marRight w:val="0"/>
      <w:marTop w:val="0"/>
      <w:marBottom w:val="0"/>
      <w:divBdr>
        <w:top w:val="none" w:sz="0" w:space="0" w:color="auto"/>
        <w:left w:val="none" w:sz="0" w:space="0" w:color="auto"/>
        <w:bottom w:val="none" w:sz="0" w:space="0" w:color="auto"/>
        <w:right w:val="none" w:sz="0" w:space="0" w:color="auto"/>
      </w:divBdr>
    </w:div>
    <w:div w:id="597560497">
      <w:bodyDiv w:val="1"/>
      <w:marLeft w:val="0"/>
      <w:marRight w:val="0"/>
      <w:marTop w:val="0"/>
      <w:marBottom w:val="0"/>
      <w:divBdr>
        <w:top w:val="none" w:sz="0" w:space="0" w:color="auto"/>
        <w:left w:val="none" w:sz="0" w:space="0" w:color="auto"/>
        <w:bottom w:val="none" w:sz="0" w:space="0" w:color="auto"/>
        <w:right w:val="none" w:sz="0" w:space="0" w:color="auto"/>
      </w:divBdr>
    </w:div>
    <w:div w:id="715812576">
      <w:bodyDiv w:val="1"/>
      <w:marLeft w:val="0"/>
      <w:marRight w:val="0"/>
      <w:marTop w:val="0"/>
      <w:marBottom w:val="0"/>
      <w:divBdr>
        <w:top w:val="none" w:sz="0" w:space="0" w:color="auto"/>
        <w:left w:val="none" w:sz="0" w:space="0" w:color="auto"/>
        <w:bottom w:val="none" w:sz="0" w:space="0" w:color="auto"/>
        <w:right w:val="none" w:sz="0" w:space="0" w:color="auto"/>
      </w:divBdr>
    </w:div>
    <w:div w:id="754940966">
      <w:bodyDiv w:val="1"/>
      <w:marLeft w:val="0"/>
      <w:marRight w:val="0"/>
      <w:marTop w:val="0"/>
      <w:marBottom w:val="0"/>
      <w:divBdr>
        <w:top w:val="none" w:sz="0" w:space="0" w:color="auto"/>
        <w:left w:val="none" w:sz="0" w:space="0" w:color="auto"/>
        <w:bottom w:val="none" w:sz="0" w:space="0" w:color="auto"/>
        <w:right w:val="none" w:sz="0" w:space="0" w:color="auto"/>
      </w:divBdr>
    </w:div>
    <w:div w:id="1127435850">
      <w:bodyDiv w:val="1"/>
      <w:marLeft w:val="0"/>
      <w:marRight w:val="0"/>
      <w:marTop w:val="0"/>
      <w:marBottom w:val="0"/>
      <w:divBdr>
        <w:top w:val="none" w:sz="0" w:space="0" w:color="auto"/>
        <w:left w:val="none" w:sz="0" w:space="0" w:color="auto"/>
        <w:bottom w:val="none" w:sz="0" w:space="0" w:color="auto"/>
        <w:right w:val="none" w:sz="0" w:space="0" w:color="auto"/>
      </w:divBdr>
    </w:div>
    <w:div w:id="1274898923">
      <w:bodyDiv w:val="1"/>
      <w:marLeft w:val="0"/>
      <w:marRight w:val="0"/>
      <w:marTop w:val="0"/>
      <w:marBottom w:val="0"/>
      <w:divBdr>
        <w:top w:val="none" w:sz="0" w:space="0" w:color="auto"/>
        <w:left w:val="none" w:sz="0" w:space="0" w:color="auto"/>
        <w:bottom w:val="none" w:sz="0" w:space="0" w:color="auto"/>
        <w:right w:val="none" w:sz="0" w:space="0" w:color="auto"/>
      </w:divBdr>
    </w:div>
    <w:div w:id="1308052764">
      <w:bodyDiv w:val="1"/>
      <w:marLeft w:val="0"/>
      <w:marRight w:val="0"/>
      <w:marTop w:val="0"/>
      <w:marBottom w:val="0"/>
      <w:divBdr>
        <w:top w:val="none" w:sz="0" w:space="0" w:color="auto"/>
        <w:left w:val="none" w:sz="0" w:space="0" w:color="auto"/>
        <w:bottom w:val="none" w:sz="0" w:space="0" w:color="auto"/>
        <w:right w:val="none" w:sz="0" w:space="0" w:color="auto"/>
      </w:divBdr>
    </w:div>
    <w:div w:id="1349526104">
      <w:bodyDiv w:val="1"/>
      <w:marLeft w:val="0"/>
      <w:marRight w:val="0"/>
      <w:marTop w:val="0"/>
      <w:marBottom w:val="0"/>
      <w:divBdr>
        <w:top w:val="none" w:sz="0" w:space="0" w:color="auto"/>
        <w:left w:val="none" w:sz="0" w:space="0" w:color="auto"/>
        <w:bottom w:val="none" w:sz="0" w:space="0" w:color="auto"/>
        <w:right w:val="none" w:sz="0" w:space="0" w:color="auto"/>
      </w:divBdr>
      <w:divsChild>
        <w:div w:id="1858762742">
          <w:marLeft w:val="0"/>
          <w:marRight w:val="0"/>
          <w:marTop w:val="0"/>
          <w:marBottom w:val="0"/>
          <w:divBdr>
            <w:top w:val="none" w:sz="0" w:space="0" w:color="auto"/>
            <w:left w:val="none" w:sz="0" w:space="0" w:color="auto"/>
            <w:bottom w:val="none" w:sz="0" w:space="0" w:color="auto"/>
            <w:right w:val="none" w:sz="0" w:space="0" w:color="auto"/>
          </w:divBdr>
        </w:div>
      </w:divsChild>
    </w:div>
    <w:div w:id="1665401532">
      <w:bodyDiv w:val="1"/>
      <w:marLeft w:val="0"/>
      <w:marRight w:val="0"/>
      <w:marTop w:val="0"/>
      <w:marBottom w:val="0"/>
      <w:divBdr>
        <w:top w:val="none" w:sz="0" w:space="0" w:color="auto"/>
        <w:left w:val="none" w:sz="0" w:space="0" w:color="auto"/>
        <w:bottom w:val="none" w:sz="0" w:space="0" w:color="auto"/>
        <w:right w:val="none" w:sz="0" w:space="0" w:color="auto"/>
      </w:divBdr>
    </w:div>
    <w:div w:id="1817256850">
      <w:bodyDiv w:val="1"/>
      <w:marLeft w:val="0"/>
      <w:marRight w:val="0"/>
      <w:marTop w:val="0"/>
      <w:marBottom w:val="0"/>
      <w:divBdr>
        <w:top w:val="none" w:sz="0" w:space="0" w:color="auto"/>
        <w:left w:val="none" w:sz="0" w:space="0" w:color="auto"/>
        <w:bottom w:val="none" w:sz="0" w:space="0" w:color="auto"/>
        <w:right w:val="none" w:sz="0" w:space="0" w:color="auto"/>
      </w:divBdr>
    </w:div>
    <w:div w:id="1817336738">
      <w:bodyDiv w:val="1"/>
      <w:marLeft w:val="0"/>
      <w:marRight w:val="0"/>
      <w:marTop w:val="0"/>
      <w:marBottom w:val="0"/>
      <w:divBdr>
        <w:top w:val="none" w:sz="0" w:space="0" w:color="auto"/>
        <w:left w:val="none" w:sz="0" w:space="0" w:color="auto"/>
        <w:bottom w:val="none" w:sz="0" w:space="0" w:color="auto"/>
        <w:right w:val="none" w:sz="0" w:space="0" w:color="auto"/>
      </w:divBdr>
    </w:div>
    <w:div w:id="1960259316">
      <w:bodyDiv w:val="1"/>
      <w:marLeft w:val="0"/>
      <w:marRight w:val="0"/>
      <w:marTop w:val="0"/>
      <w:marBottom w:val="0"/>
      <w:divBdr>
        <w:top w:val="none" w:sz="0" w:space="0" w:color="auto"/>
        <w:left w:val="none" w:sz="0" w:space="0" w:color="auto"/>
        <w:bottom w:val="none" w:sz="0" w:space="0" w:color="auto"/>
        <w:right w:val="none" w:sz="0" w:space="0" w:color="auto"/>
      </w:divBdr>
    </w:div>
    <w:div w:id="2023428716">
      <w:bodyDiv w:val="1"/>
      <w:marLeft w:val="0"/>
      <w:marRight w:val="0"/>
      <w:marTop w:val="0"/>
      <w:marBottom w:val="0"/>
      <w:divBdr>
        <w:top w:val="none" w:sz="0" w:space="0" w:color="auto"/>
        <w:left w:val="none" w:sz="0" w:space="0" w:color="auto"/>
        <w:bottom w:val="none" w:sz="0" w:space="0" w:color="auto"/>
        <w:right w:val="none" w:sz="0" w:space="0" w:color="auto"/>
      </w:divBdr>
      <w:divsChild>
        <w:div w:id="5715013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journals.iarn.or.id/index.php/ARJ/article/download/208/141" TargetMode="External"/><Relationship Id="rId18" Type="http://schemas.openxmlformats.org/officeDocument/2006/relationships/hyperlink" Target="https://sussex.figshare.com/articles/journal_contribution/Strategic_supplier_relationships_and_supply_chain_resilience_is_digital_transformation_that_precludes_trust_beneficial_/23492213/1/files/41200427.pdf" TargetMode="External"/><Relationship Id="rId26" Type="http://schemas.openxmlformats.org/officeDocument/2006/relationships/hyperlink" Target="https://papers.ssrn.com/sol3/Delivery.cfm/SSRN_ID3593173_code2221094.pdf?abstractid=3593173&amp;mirid=1" TargetMode="External"/><Relationship Id="rId39" Type="http://schemas.openxmlformats.org/officeDocument/2006/relationships/image" Target="media/image6.emf"/><Relationship Id="rId21" Type="http://schemas.openxmlformats.org/officeDocument/2006/relationships/hyperlink" Target="https://journal.access-bg.org/journalfiles/journal/issue-6-1-2025/the_influence_of_cash_conversion_cycle_on_profitability.pdf" TargetMode="External"/><Relationship Id="rId34" Type="http://schemas.openxmlformats.org/officeDocument/2006/relationships/hyperlink" Target="https://www.mdpi.com/2071-1050/14/6/3512" TargetMode="External"/><Relationship Id="rId42" Type="http://schemas.openxmlformats.org/officeDocument/2006/relationships/image" Target="media/image9.png"/><Relationship Id="rId47" Type="http://schemas.openxmlformats.org/officeDocument/2006/relationships/chart" Target="charts/chart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searchgate.net/profile/Angela-Abhulimen/publication/383860258_1597-1616_4_Nigeria_Inter-bank_Settlement_System_Plc_NIBSS_5_Zenith_General_Insurance_Company_Limited_Nigeria_6_International_Association_of_Computer_Analysts_and_Researchers/links/66ddaa822390e50b2c769a8e/1597-1616-4-Nigeria-Inter-bank-Settlement-System-Plc-NIBSS-5-Zenith-General-Insurance-Company-Limited-Nigeria-6-International-Association-of-Computer-Analysts-and-Researchers.pdf" TargetMode="External"/><Relationship Id="rId29" Type="http://schemas.openxmlformats.org/officeDocument/2006/relationships/hyperlink" Target="https://www.researchgate.net/profile/Anfo-Pub-2/publication/391628002_AI-Powered_Demand_Forecasting_for_Enhancing_JIT_Inventory_Models/links/681f2fd5d1054b0207edf490/AI-Powered-Demand-Forecasting-for-Enhancing-JIT-Inventory-Models.pdf" TargetMode="External"/><Relationship Id="rId11" Type="http://schemas.openxmlformats.org/officeDocument/2006/relationships/hyperlink" Target="https://www.researchgate.net/profile/Beauden-John/publication/388659649_Legal_Implications_of_Corporate_Spin-Offs_Divestitures_and_Corporate_Restructuring_Key_Considerations_for_Business_Leaders_and_Legal_Counsel/links/67a19499645ef274a4664f72/Legal-Implications-of-Corporate-Spin-Offs-Divestitures-and-Corporate-Restructuring-Key-Considerations-for-Business-Leaders-and-Legal-Counsel.pdf" TargetMode="External"/><Relationship Id="rId24" Type="http://schemas.openxmlformats.org/officeDocument/2006/relationships/hyperlink" Target="https://papers.ssrn.com/sol3/Delivery.cfm?abstractid=4905535" TargetMode="External"/><Relationship Id="rId32" Type="http://schemas.openxmlformats.org/officeDocument/2006/relationships/hyperlink" Target="https://pmc.ncbi.nlm.nih.gov/articles/PMC10627044/" TargetMode="External"/><Relationship Id="rId37" Type="http://schemas.openxmlformats.org/officeDocument/2006/relationships/image" Target="media/image4.emf"/><Relationship Id="rId40" Type="http://schemas.openxmlformats.org/officeDocument/2006/relationships/image" Target="media/image7.png"/><Relationship Id="rId45" Type="http://schemas.openxmlformats.org/officeDocument/2006/relationships/image" Target="media/image12.emf"/><Relationship Id="rId5" Type="http://schemas.openxmlformats.org/officeDocument/2006/relationships/webSettings" Target="webSettings.xml"/><Relationship Id="rId15" Type="http://schemas.openxmlformats.org/officeDocument/2006/relationships/hyperlink" Target="https://www.aeaweb.org/conference/2024/program/paper/rzTY657n" TargetMode="External"/><Relationship Id="rId23" Type="http://schemas.openxmlformats.org/officeDocument/2006/relationships/hyperlink" Target="https://www.emerald.com/insight/content/doi/10.1108/AJEB-03-2021-0033/full/html" TargetMode="External"/><Relationship Id="rId28" Type="http://schemas.openxmlformats.org/officeDocument/2006/relationships/hyperlink" Target="https://esj.eastasouth-institute.com/index.php/esmb/article/download/137/109" TargetMode="External"/><Relationship Id="rId36" Type="http://schemas.openxmlformats.org/officeDocument/2006/relationships/image" Target="media/image3.png"/><Relationship Id="rId49" Type="http://schemas.openxmlformats.org/officeDocument/2006/relationships/fontTable" Target="fontTable.xml"/><Relationship Id="rId10" Type="http://schemas.openxmlformats.org/officeDocument/2006/relationships/hyperlink" Target="https://papers.ssrn.com/sol3/Delivery.cfm?abstractid=5125893" TargetMode="External"/><Relationship Id="rId19" Type="http://schemas.openxmlformats.org/officeDocument/2006/relationships/hyperlink" Target="https://onlinelibrary.wiley.com/doi/pdfdirect/10.1111/jofi.13162" TargetMode="External"/><Relationship Id="rId31" Type="http://schemas.openxmlformats.org/officeDocument/2006/relationships/hyperlink" Target="https://papers.ssrn.com/sol3/Delivery.cfm?abstractid=5241650" TargetMode="External"/><Relationship Id="rId44"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onlinelibrary.wiley.com/doi/pdfdirect/10.1002/bse.3383" TargetMode="External"/><Relationship Id="rId14" Type="http://schemas.openxmlformats.org/officeDocument/2006/relationships/hyperlink" Target="http://journals.iarn.or.id/index.php/ARJ/article/download/208/141" TargetMode="External"/><Relationship Id="rId22" Type="http://schemas.openxmlformats.org/officeDocument/2006/relationships/hyperlink" Target="https://doi.org/10.3390/su15118986" TargetMode="External"/><Relationship Id="rId27" Type="http://schemas.openxmlformats.org/officeDocument/2006/relationships/hyperlink" Target="https://doi.org/10.2991/assehr.k.211209.171" TargetMode="External"/><Relationship Id="rId30" Type="http://schemas.openxmlformats.org/officeDocument/2006/relationships/hyperlink" Target="https://www.multiresearchjournal.com/admin/uploads/archives/archive-1742807323.pdf" TargetMode="External"/><Relationship Id="rId35" Type="http://schemas.openxmlformats.org/officeDocument/2006/relationships/image" Target="media/image2.emf"/><Relationship Id="rId43" Type="http://schemas.openxmlformats.org/officeDocument/2006/relationships/image" Target="media/image10.emf"/><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scitepress.org/Papers/2021/106820/106820.pdf" TargetMode="External"/><Relationship Id="rId17" Type="http://schemas.openxmlformats.org/officeDocument/2006/relationships/hyperlink" Target="https://www.mdpi.com/1911-8074/15/5/203/pdf" TargetMode="External"/><Relationship Id="rId25" Type="http://schemas.openxmlformats.org/officeDocument/2006/relationships/hyperlink" Target="https://www.emerald.com/insight/content/doi/10.1108/DTS-02-2024-0004/full/html" TargetMode="External"/><Relationship Id="rId33" Type="http://schemas.openxmlformats.org/officeDocument/2006/relationships/hyperlink" Target="https://www.researchgate.net/profile/Ekwochi-Adaeze/publication/352065048_Logical_Consequence_Of_Liquidity_Management_On_Firm_Profitability/links/60b7f6dba6fdccb96f4d81ef/Logical-Consequence-Of-Liquidity-Management-On-Firm-Profitability.pdf" TargetMode="External"/><Relationship Id="rId38" Type="http://schemas.openxmlformats.org/officeDocument/2006/relationships/image" Target="media/image5.png"/><Relationship Id="rId46" Type="http://schemas.openxmlformats.org/officeDocument/2006/relationships/image" Target="media/image13.png"/><Relationship Id="rId20" Type="http://schemas.openxmlformats.org/officeDocument/2006/relationships/hyperlink" Target="https://pinnaclepubs.com/index.php/EJBEM/article/download/145/147" TargetMode="External"/><Relationship Id="rId41"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AHELI%20CHAKRABORTY\Downloads\TS_51153.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IN"/>
              <a:t>Cash Conversion Cycle </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ofPieChart>
        <c:ofPieType val="pie"/>
        <c:varyColors val="1"/>
        <c:ser>
          <c:idx val="0"/>
          <c:order val="0"/>
          <c:tx>
            <c:strRef>
              <c:f>CCC!$A$14</c:f>
              <c:strCache>
                <c:ptCount val="1"/>
                <c:pt idx="0">
                  <c:v>Cash Conversion Cycle (Inventory Days+Receivable Days+Payble Days) </c:v>
                </c:pt>
              </c:strCache>
            </c:strRef>
          </c:tx>
          <c:dPt>
            <c:idx val="0"/>
            <c:bubble3D val="0"/>
            <c:spPr>
              <a:pattFill prst="ltUpDiag">
                <a:fgClr>
                  <a:schemeClr val="accent6"/>
                </a:fgClr>
                <a:bgClr>
                  <a:schemeClr val="accent6">
                    <a:lumMod val="20000"/>
                    <a:lumOff val="80000"/>
                  </a:schemeClr>
                </a:bgClr>
              </a:pattFill>
              <a:ln w="19050">
                <a:solidFill>
                  <a:schemeClr val="lt1"/>
                </a:solidFill>
              </a:ln>
              <a:effectLst>
                <a:innerShdw blurRad="114300">
                  <a:schemeClr val="accent6"/>
                </a:innerShdw>
              </a:effectLst>
            </c:spPr>
            <c:extLst>
              <c:ext xmlns:c16="http://schemas.microsoft.com/office/drawing/2014/chart" uri="{C3380CC4-5D6E-409C-BE32-E72D297353CC}">
                <c16:uniqueId val="{00000001-B55B-401F-97B5-0C5A0D4FE1CC}"/>
              </c:ext>
            </c:extLst>
          </c:dPt>
          <c:dPt>
            <c:idx val="1"/>
            <c:bubble3D val="0"/>
            <c:spPr>
              <a:pattFill prst="ltUpDiag">
                <a:fgClr>
                  <a:schemeClr val="accent5"/>
                </a:fgClr>
                <a:bgClr>
                  <a:schemeClr val="accent5">
                    <a:lumMod val="20000"/>
                    <a:lumOff val="80000"/>
                  </a:schemeClr>
                </a:bgClr>
              </a:pattFill>
              <a:ln w="19050">
                <a:solidFill>
                  <a:schemeClr val="lt1"/>
                </a:solidFill>
              </a:ln>
              <a:effectLst>
                <a:innerShdw blurRad="114300">
                  <a:schemeClr val="accent5"/>
                </a:innerShdw>
              </a:effectLst>
            </c:spPr>
            <c:extLst>
              <c:ext xmlns:c16="http://schemas.microsoft.com/office/drawing/2014/chart" uri="{C3380CC4-5D6E-409C-BE32-E72D297353CC}">
                <c16:uniqueId val="{00000003-B55B-401F-97B5-0C5A0D4FE1CC}"/>
              </c:ext>
            </c:extLst>
          </c:dPt>
          <c:dPt>
            <c:idx val="2"/>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5-B55B-401F-97B5-0C5A0D4FE1CC}"/>
              </c:ext>
            </c:extLst>
          </c:dPt>
          <c:dPt>
            <c:idx val="3"/>
            <c:bubble3D val="0"/>
            <c:spPr>
              <a:pattFill prst="ltUpDiag">
                <a:fgClr>
                  <a:schemeClr val="accent6">
                    <a:lumMod val="60000"/>
                  </a:schemeClr>
                </a:fgClr>
                <a:bgClr>
                  <a:schemeClr val="accent6">
                    <a:lumMod val="60000"/>
                    <a:lumMod val="20000"/>
                    <a:lumOff val="80000"/>
                  </a:schemeClr>
                </a:bgClr>
              </a:pattFill>
              <a:ln w="19050">
                <a:solidFill>
                  <a:schemeClr val="lt1"/>
                </a:solidFill>
              </a:ln>
              <a:effectLst>
                <a:innerShdw blurRad="114300">
                  <a:schemeClr val="accent6">
                    <a:lumMod val="60000"/>
                  </a:schemeClr>
                </a:innerShdw>
              </a:effectLst>
            </c:spPr>
            <c:extLst>
              <c:ext xmlns:c16="http://schemas.microsoft.com/office/drawing/2014/chart" uri="{C3380CC4-5D6E-409C-BE32-E72D297353CC}">
                <c16:uniqueId val="{00000007-B55B-401F-97B5-0C5A0D4FE1CC}"/>
              </c:ext>
            </c:extLst>
          </c:dPt>
          <c:dPt>
            <c:idx val="4"/>
            <c:bubble3D val="0"/>
            <c:spPr>
              <a:pattFill prst="ltUpDiag">
                <a:fgClr>
                  <a:schemeClr val="accent5">
                    <a:lumMod val="60000"/>
                  </a:schemeClr>
                </a:fgClr>
                <a:bgClr>
                  <a:schemeClr val="accent5">
                    <a:lumMod val="60000"/>
                    <a:lumMod val="20000"/>
                    <a:lumOff val="80000"/>
                  </a:schemeClr>
                </a:bgClr>
              </a:pattFill>
              <a:ln w="19050">
                <a:solidFill>
                  <a:schemeClr val="lt1"/>
                </a:solidFill>
              </a:ln>
              <a:effectLst>
                <a:innerShdw blurRad="114300">
                  <a:schemeClr val="accent5">
                    <a:lumMod val="60000"/>
                  </a:schemeClr>
                </a:innerShdw>
              </a:effectLst>
            </c:spPr>
            <c:extLst>
              <c:ext xmlns:c16="http://schemas.microsoft.com/office/drawing/2014/chart" uri="{C3380CC4-5D6E-409C-BE32-E72D297353CC}">
                <c16:uniqueId val="{00000009-B55B-401F-97B5-0C5A0D4FE1CC}"/>
              </c:ext>
            </c:extLst>
          </c:dPt>
          <c:dPt>
            <c:idx val="5"/>
            <c:bubble3D val="0"/>
            <c:spPr>
              <a:pattFill prst="ltUpDiag">
                <a:fgClr>
                  <a:schemeClr val="accent4">
                    <a:lumMod val="60000"/>
                  </a:schemeClr>
                </a:fgClr>
                <a:bgClr>
                  <a:schemeClr val="accent4">
                    <a:lumMod val="60000"/>
                    <a:lumMod val="20000"/>
                    <a:lumOff val="80000"/>
                  </a:schemeClr>
                </a:bgClr>
              </a:pattFill>
              <a:ln w="19050">
                <a:solidFill>
                  <a:schemeClr val="lt1"/>
                </a:solidFill>
              </a:ln>
              <a:effectLst>
                <a:innerShdw blurRad="114300">
                  <a:schemeClr val="accent4">
                    <a:lumMod val="60000"/>
                  </a:schemeClr>
                </a:innerShdw>
              </a:effectLst>
            </c:spPr>
            <c:extLst>
              <c:ext xmlns:c16="http://schemas.microsoft.com/office/drawing/2014/chart" uri="{C3380CC4-5D6E-409C-BE32-E72D297353CC}">
                <c16:uniqueId val="{0000000B-B55B-401F-97B5-0C5A0D4FE1C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numRef>
              <c:f>CCC!$B$13:$F$13</c:f>
              <c:numCache>
                <c:formatCode>General</c:formatCode>
                <c:ptCount val="5"/>
                <c:pt idx="0">
                  <c:v>2024</c:v>
                </c:pt>
                <c:pt idx="1">
                  <c:v>2023</c:v>
                </c:pt>
                <c:pt idx="2">
                  <c:v>2022</c:v>
                </c:pt>
                <c:pt idx="3">
                  <c:v>2021</c:v>
                </c:pt>
                <c:pt idx="4">
                  <c:v>2020</c:v>
                </c:pt>
              </c:numCache>
            </c:numRef>
          </c:cat>
          <c:val>
            <c:numRef>
              <c:f>CCC!$B$14:$F$14</c:f>
              <c:numCache>
                <c:formatCode>General</c:formatCode>
                <c:ptCount val="5"/>
                <c:pt idx="0">
                  <c:v>68.783298962549608</c:v>
                </c:pt>
                <c:pt idx="1">
                  <c:v>68.551887651044808</c:v>
                </c:pt>
                <c:pt idx="2">
                  <c:v>26.841861663695823</c:v>
                </c:pt>
                <c:pt idx="3">
                  <c:v>64.85820483310259</c:v>
                </c:pt>
                <c:pt idx="4">
                  <c:v>76.126673723375475</c:v>
                </c:pt>
              </c:numCache>
            </c:numRef>
          </c:val>
          <c:extLst>
            <c:ext xmlns:c16="http://schemas.microsoft.com/office/drawing/2014/chart" uri="{C3380CC4-5D6E-409C-BE32-E72D297353CC}">
              <c16:uniqueId val="{0000000C-B55B-401F-97B5-0C5A0D4FE1CC}"/>
            </c:ext>
          </c:extLst>
        </c:ser>
        <c:dLbls>
          <c:showLegendKey val="0"/>
          <c:showVal val="0"/>
          <c:showCatName val="0"/>
          <c:showSerName val="0"/>
          <c:showPercent val="0"/>
          <c:showBubbleSize val="0"/>
          <c:showLeaderLines val="1"/>
        </c:dLbls>
        <c:gapWidth val="219"/>
        <c:secondPieSize val="75"/>
        <c:serLines>
          <c:spPr>
            <a:ln w="9525">
              <a:solidFill>
                <a:schemeClr val="tx1">
                  <a:lumMod val="35000"/>
                  <a:lumOff val="65000"/>
                </a:schemeClr>
              </a:solidFill>
              <a:round/>
            </a:ln>
            <a:effectLst/>
          </c:spPr>
        </c:serLines>
      </c:of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97414-62A9-4047-AEC6-A7FBA0AD4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7922</Words>
  <Characters>45158</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shravani nalumasu</cp:lastModifiedBy>
  <cp:revision>2</cp:revision>
  <dcterms:created xsi:type="dcterms:W3CDTF">2025-11-10T15:36:00Z</dcterms:created>
  <dcterms:modified xsi:type="dcterms:W3CDTF">2025-11-10T15:36:00Z</dcterms:modified>
</cp:coreProperties>
</file>