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353E7E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Module Code:</w:t>
      </w:r>
      <w:r w:rsidRPr="00BE7CF0">
        <w:rPr>
          <w:rFonts w:ascii="Arial" w:eastAsia="Calibri" w:hAnsi="Arial" w:cs="Arial"/>
          <w:kern w:val="0"/>
          <w14:ligatures w14:val="none"/>
        </w:rPr>
        <w:tab/>
      </w:r>
      <w:r w:rsidRPr="00BE7CF0">
        <w:rPr>
          <w:rFonts w:ascii="Arial" w:eastAsia="Calibri" w:hAnsi="Arial" w:cs="Arial"/>
          <w:kern w:val="0"/>
          <w14:ligatures w14:val="none"/>
        </w:rPr>
        <w:tab/>
        <w:t>HPAN5047/6047</w:t>
      </w:r>
    </w:p>
    <w:p w14:paraId="01AB4237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 xml:space="preserve">Session Title: </w:t>
      </w:r>
      <w:r w:rsidRPr="00BE7CF0">
        <w:rPr>
          <w:rFonts w:ascii="Arial" w:eastAsia="Calibri" w:hAnsi="Arial" w:cs="Arial"/>
          <w:kern w:val="0"/>
          <w14:ligatures w14:val="none"/>
        </w:rPr>
        <w:tab/>
      </w:r>
      <w:r w:rsidRPr="00BE7CF0">
        <w:rPr>
          <w:rFonts w:ascii="Arial" w:eastAsia="Calibri" w:hAnsi="Arial" w:cs="Arial"/>
          <w:kern w:val="0"/>
          <w14:ligatures w14:val="none"/>
        </w:rPr>
        <w:tab/>
        <w:t>One’s Trash is Another’s Treasure.</w:t>
      </w:r>
      <w:r w:rsidRPr="00BE7CF0">
        <w:rPr>
          <w:rFonts w:ascii="Arial" w:eastAsia="Calibri" w:hAnsi="Arial" w:cs="Arial"/>
          <w:kern w:val="0"/>
          <w14:ligatures w14:val="none"/>
        </w:rPr>
        <w:tab/>
      </w:r>
      <w:r w:rsidRPr="00BE7CF0">
        <w:rPr>
          <w:rFonts w:ascii="Arial" w:eastAsia="Calibri" w:hAnsi="Arial" w:cs="Arial"/>
          <w:kern w:val="0"/>
          <w14:ligatures w14:val="none"/>
        </w:rPr>
        <w:tab/>
      </w:r>
    </w:p>
    <w:p w14:paraId="2217F4AD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Dated:</w:t>
      </w:r>
      <w:r w:rsidRPr="00BE7CF0">
        <w:rPr>
          <w:rFonts w:ascii="Arial" w:eastAsia="Calibri" w:hAnsi="Arial" w:cs="Arial"/>
          <w:kern w:val="0"/>
          <w14:ligatures w14:val="none"/>
        </w:rPr>
        <w:tab/>
      </w:r>
      <w:r w:rsidRPr="00BE7CF0">
        <w:rPr>
          <w:rFonts w:ascii="Arial" w:eastAsia="Calibri" w:hAnsi="Arial" w:cs="Arial"/>
          <w:kern w:val="0"/>
          <w14:ligatures w14:val="none"/>
        </w:rPr>
        <w:tab/>
      </w:r>
      <w:r w:rsidRPr="00BE7CF0">
        <w:rPr>
          <w:rFonts w:ascii="Arial" w:eastAsia="Calibri" w:hAnsi="Arial" w:cs="Arial"/>
          <w:kern w:val="0"/>
          <w14:ligatures w14:val="none"/>
        </w:rPr>
        <w:tab/>
        <w:t>December 2024</w:t>
      </w:r>
    </w:p>
    <w:p w14:paraId="0C124946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Level:</w:t>
      </w:r>
      <w:r w:rsidRPr="00BE7CF0">
        <w:rPr>
          <w:rFonts w:ascii="Arial" w:eastAsia="Calibri" w:hAnsi="Arial" w:cs="Arial"/>
          <w:kern w:val="0"/>
          <w14:ligatures w14:val="none"/>
        </w:rPr>
        <w:tab/>
      </w:r>
      <w:r w:rsidRPr="00BE7CF0">
        <w:rPr>
          <w:rFonts w:ascii="Arial" w:eastAsia="Calibri" w:hAnsi="Arial" w:cs="Arial"/>
          <w:kern w:val="0"/>
          <w14:ligatures w14:val="none"/>
        </w:rPr>
        <w:tab/>
      </w:r>
      <w:r w:rsidRPr="00BE7CF0">
        <w:rPr>
          <w:rFonts w:ascii="Arial" w:eastAsia="Calibri" w:hAnsi="Arial" w:cs="Arial"/>
          <w:kern w:val="0"/>
          <w14:ligatures w14:val="none"/>
        </w:rPr>
        <w:tab/>
        <w:t>5/6</w:t>
      </w:r>
    </w:p>
    <w:p w14:paraId="3491C44B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</w:p>
    <w:p w14:paraId="57243E1F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________________________________________________________________________</w:t>
      </w:r>
    </w:p>
    <w:p w14:paraId="2470130A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b/>
          <w:kern w:val="0"/>
          <w14:ligatures w14:val="none"/>
        </w:rPr>
      </w:pPr>
      <w:r w:rsidRPr="00BE7CF0">
        <w:rPr>
          <w:rFonts w:ascii="Arial" w:eastAsia="Calibri" w:hAnsi="Arial" w:cs="Arial"/>
          <w:b/>
          <w:kern w:val="0"/>
          <w14:ligatures w14:val="none"/>
        </w:rPr>
        <w:t>Aims(s)</w:t>
      </w:r>
      <w:r w:rsidRPr="00BE7CF0">
        <w:rPr>
          <w:rFonts w:ascii="Arial" w:eastAsia="Calibri" w:hAnsi="Arial" w:cs="Arial"/>
          <w:kern w:val="0"/>
          <w14:ligatures w14:val="none"/>
        </w:rPr>
        <w:t xml:space="preserve"> </w:t>
      </w:r>
    </w:p>
    <w:p w14:paraId="7A97300F" w14:textId="77777777" w:rsidR="00BE7CF0" w:rsidRPr="00BE7CF0" w:rsidRDefault="00BE7CF0" w:rsidP="00BE7CF0">
      <w:pPr>
        <w:ind w:left="720"/>
        <w:contextualSpacing/>
        <w:rPr>
          <w:rFonts w:ascii="Arial" w:eastAsia="Calibri" w:hAnsi="Arial" w:cs="Arial"/>
          <w:kern w:val="0"/>
          <w14:ligatures w14:val="none"/>
        </w:rPr>
      </w:pPr>
    </w:p>
    <w:p w14:paraId="151BAFF4" w14:textId="77777777" w:rsidR="00BE7CF0" w:rsidRPr="00BE7CF0" w:rsidRDefault="00BE7CF0" w:rsidP="00BE7CF0">
      <w:pPr>
        <w:numPr>
          <w:ilvl w:val="0"/>
          <w:numId w:val="2"/>
        </w:numPr>
        <w:spacing w:after="200" w:line="276" w:lineRule="auto"/>
        <w:contextualSpacing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To examine and compare various forms of voluntourism in developing countries and to consider the impact of white saviourism on sustainable development and global justice.</w:t>
      </w:r>
    </w:p>
    <w:p w14:paraId="6239EAE5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b/>
          <w:kern w:val="0"/>
          <w14:ligatures w14:val="none"/>
        </w:rPr>
      </w:pPr>
      <w:r w:rsidRPr="00BE7CF0">
        <w:rPr>
          <w:rFonts w:ascii="Arial" w:eastAsia="Calibri" w:hAnsi="Arial" w:cs="Arial"/>
          <w:b/>
          <w:kern w:val="0"/>
          <w14:ligatures w14:val="none"/>
        </w:rPr>
        <w:t>Learning Outcomes</w:t>
      </w:r>
    </w:p>
    <w:p w14:paraId="62F5496D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</w:p>
    <w:p w14:paraId="770ECC90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On successful completion of this session, the student should be able to demonstrate:</w:t>
      </w:r>
    </w:p>
    <w:p w14:paraId="0DCA94B8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bCs/>
          <w:kern w:val="0"/>
          <w14:ligatures w14:val="none"/>
        </w:rPr>
      </w:pPr>
    </w:p>
    <w:p w14:paraId="2FB8199B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bCs/>
          <w:kern w:val="0"/>
          <w14:ligatures w14:val="none"/>
        </w:rPr>
      </w:pPr>
      <w:r w:rsidRPr="00BE7CF0">
        <w:rPr>
          <w:rFonts w:ascii="Arial" w:eastAsia="Calibri" w:hAnsi="Arial" w:cs="Arial"/>
          <w:bCs/>
          <w:kern w:val="0"/>
          <w14:ligatures w14:val="none"/>
        </w:rPr>
        <w:t>Upon the successful completion of this module, the student should be able to:</w:t>
      </w:r>
    </w:p>
    <w:p w14:paraId="44BB2314" w14:textId="77777777" w:rsidR="00BE7CF0" w:rsidRPr="00BE7CF0" w:rsidRDefault="00BE7CF0" w:rsidP="00BE7CF0">
      <w:pPr>
        <w:numPr>
          <w:ilvl w:val="0"/>
          <w:numId w:val="1"/>
        </w:numPr>
        <w:spacing w:after="0" w:line="240" w:lineRule="auto"/>
        <w:contextualSpacing/>
        <w:rPr>
          <w:rFonts w:ascii="Arial" w:eastAsia="Calibri" w:hAnsi="Arial" w:cs="Arial"/>
          <w:bCs/>
          <w:kern w:val="0"/>
          <w14:ligatures w14:val="none"/>
        </w:rPr>
      </w:pPr>
      <w:r w:rsidRPr="00BE7CF0">
        <w:rPr>
          <w:rFonts w:ascii="Arial" w:eastAsia="Calibri" w:hAnsi="Arial" w:cs="Arial"/>
          <w:bCs/>
          <w:kern w:val="0"/>
          <w14:ligatures w14:val="none"/>
        </w:rPr>
        <w:t xml:space="preserve"> Demonstrate a critical understanding of key debates relating to white saviourism in voluntourism.</w:t>
      </w:r>
    </w:p>
    <w:p w14:paraId="5A3D92F3" w14:textId="77777777" w:rsidR="00BE7CF0" w:rsidRPr="00BE7CF0" w:rsidRDefault="00BE7CF0" w:rsidP="00BE7CF0">
      <w:pPr>
        <w:numPr>
          <w:ilvl w:val="0"/>
          <w:numId w:val="1"/>
        </w:numPr>
        <w:spacing w:after="0" w:line="240" w:lineRule="auto"/>
        <w:contextualSpacing/>
        <w:rPr>
          <w:rFonts w:ascii="Arial" w:eastAsia="Calibri" w:hAnsi="Arial" w:cs="Arial"/>
          <w:bCs/>
          <w:kern w:val="0"/>
          <w14:ligatures w14:val="none"/>
        </w:rPr>
      </w:pPr>
      <w:r w:rsidRPr="00BE7CF0">
        <w:rPr>
          <w:rFonts w:ascii="Arial" w:eastAsia="Calibri" w:hAnsi="Arial" w:cs="Arial"/>
          <w:bCs/>
          <w:kern w:val="0"/>
          <w14:ligatures w14:val="none"/>
        </w:rPr>
        <w:t xml:space="preserve"> Demonstrate an understanding of the debates relating to the relationship between voluntourism, local development, and cross-cultural understanding.</w:t>
      </w:r>
    </w:p>
    <w:p w14:paraId="073B6892" w14:textId="77777777" w:rsidR="00BE7CF0" w:rsidRPr="00BE7CF0" w:rsidRDefault="00BE7CF0" w:rsidP="00BE7CF0">
      <w:pPr>
        <w:numPr>
          <w:ilvl w:val="0"/>
          <w:numId w:val="1"/>
        </w:numPr>
        <w:spacing w:after="0" w:line="240" w:lineRule="auto"/>
        <w:contextualSpacing/>
        <w:rPr>
          <w:rFonts w:ascii="Arial" w:eastAsia="Calibri" w:hAnsi="Arial" w:cs="Arial"/>
          <w:bCs/>
          <w:kern w:val="0"/>
          <w14:ligatures w14:val="none"/>
        </w:rPr>
      </w:pPr>
      <w:r w:rsidRPr="00BE7CF0">
        <w:rPr>
          <w:rFonts w:ascii="Arial" w:eastAsia="Calibri" w:hAnsi="Arial" w:cs="Arial"/>
          <w:bCs/>
          <w:kern w:val="0"/>
          <w14:ligatures w14:val="none"/>
        </w:rPr>
        <w:t xml:space="preserve"> Demonstrate an understanding of the historical context and power dynamics that contribute to white saviour narratives in international volunteering.</w:t>
      </w:r>
    </w:p>
    <w:p w14:paraId="0D2758EC" w14:textId="77777777" w:rsidR="00BE7CF0" w:rsidRPr="00BE7CF0" w:rsidRDefault="00BE7CF0" w:rsidP="00BE7CF0">
      <w:pPr>
        <w:numPr>
          <w:ilvl w:val="0"/>
          <w:numId w:val="1"/>
        </w:numPr>
        <w:spacing w:after="0" w:line="240" w:lineRule="auto"/>
        <w:contextualSpacing/>
        <w:rPr>
          <w:rFonts w:ascii="Arial" w:eastAsia="Calibri" w:hAnsi="Arial" w:cs="Arial"/>
          <w:bCs/>
          <w:kern w:val="0"/>
          <w14:ligatures w14:val="none"/>
        </w:rPr>
      </w:pPr>
      <w:r w:rsidRPr="00BE7CF0">
        <w:rPr>
          <w:rFonts w:ascii="Arial" w:eastAsia="Calibri" w:hAnsi="Arial" w:cs="Arial"/>
          <w:bCs/>
          <w:kern w:val="0"/>
          <w14:ligatures w14:val="none"/>
        </w:rPr>
        <w:t xml:space="preserve"> Demonstrate an awareness of the different approaches to ethical and sustainable voluntourism practices</w:t>
      </w:r>
    </w:p>
    <w:p w14:paraId="398B0BD5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b/>
          <w:kern w:val="0"/>
          <w14:ligatures w14:val="none"/>
        </w:rPr>
      </w:pPr>
    </w:p>
    <w:p w14:paraId="2651C9C4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b/>
          <w:kern w:val="0"/>
          <w14:ligatures w14:val="none"/>
        </w:rPr>
      </w:pPr>
      <w:r w:rsidRPr="00BE7CF0">
        <w:rPr>
          <w:rFonts w:ascii="Arial" w:eastAsia="Calibri" w:hAnsi="Arial" w:cs="Arial"/>
          <w:b/>
          <w:kern w:val="0"/>
          <w14:ligatures w14:val="none"/>
        </w:rPr>
        <w:t>Indicative Content</w:t>
      </w:r>
    </w:p>
    <w:p w14:paraId="2AB62072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</w:p>
    <w:p w14:paraId="280790C1" w14:textId="77777777" w:rsidR="00BE7CF0" w:rsidRPr="00BE7CF0" w:rsidRDefault="00BE7CF0" w:rsidP="00BE7CF0">
      <w:pPr>
        <w:numPr>
          <w:ilvl w:val="0"/>
          <w:numId w:val="3"/>
        </w:numPr>
        <w:spacing w:after="0" w:line="240" w:lineRule="auto"/>
        <w:contextualSpacing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The session will explore the problematic underpinnings of voluntourism and its relationship to white saviourism.</w:t>
      </w:r>
    </w:p>
    <w:p w14:paraId="4548FFB3" w14:textId="77777777" w:rsidR="00BE7CF0" w:rsidRPr="00BE7CF0" w:rsidRDefault="00BE7CF0" w:rsidP="00BE7CF0">
      <w:pPr>
        <w:numPr>
          <w:ilvl w:val="0"/>
          <w:numId w:val="3"/>
        </w:numPr>
        <w:spacing w:after="0" w:line="240" w:lineRule="auto"/>
        <w:contextualSpacing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It will examine the impact of voluntourism on local communities in developing countries.</w:t>
      </w:r>
    </w:p>
    <w:p w14:paraId="1C8649BA" w14:textId="77777777" w:rsidR="00BE7CF0" w:rsidRPr="00BE7CF0" w:rsidRDefault="00BE7CF0" w:rsidP="00BE7CF0">
      <w:pPr>
        <w:spacing w:after="0" w:line="240" w:lineRule="auto"/>
        <w:ind w:left="720"/>
        <w:contextualSpacing/>
        <w:rPr>
          <w:rFonts w:ascii="Arial" w:eastAsia="Calibri" w:hAnsi="Arial" w:cs="Arial"/>
          <w:b/>
          <w:bCs/>
          <w:kern w:val="0"/>
          <w14:ligatures w14:val="none"/>
        </w:rPr>
      </w:pPr>
    </w:p>
    <w:p w14:paraId="66C713EC" w14:textId="77777777" w:rsidR="00BE7CF0" w:rsidRPr="00BE7CF0" w:rsidRDefault="00BE7CF0" w:rsidP="00BE7CF0">
      <w:pPr>
        <w:rPr>
          <w:rFonts w:ascii="Arial" w:eastAsia="Calibri" w:hAnsi="Arial" w:cs="Arial"/>
          <w:b/>
          <w:bCs/>
          <w:kern w:val="0"/>
          <w14:ligatures w14:val="none"/>
        </w:rPr>
      </w:pPr>
      <w:r w:rsidRPr="00BE7CF0">
        <w:rPr>
          <w:rFonts w:ascii="Arial" w:eastAsia="Calibri" w:hAnsi="Arial" w:cs="Arial"/>
          <w:b/>
          <w:bCs/>
          <w:kern w:val="0"/>
          <w14:ligatures w14:val="none"/>
        </w:rPr>
        <w:t>Students will be introduced to the issues surrounding voluntourism through a case study.</w:t>
      </w:r>
    </w:p>
    <w:p w14:paraId="7E543D24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</w:p>
    <w:p w14:paraId="00BA8A50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b/>
          <w:kern w:val="0"/>
          <w14:ligatures w14:val="none"/>
        </w:rPr>
      </w:pPr>
      <w:r w:rsidRPr="00BE7CF0">
        <w:rPr>
          <w:rFonts w:ascii="Arial" w:eastAsia="Calibri" w:hAnsi="Arial" w:cs="Arial"/>
          <w:b/>
          <w:kern w:val="0"/>
          <w14:ligatures w14:val="none"/>
        </w:rPr>
        <w:t>Learning and Teaching Strategy</w:t>
      </w:r>
    </w:p>
    <w:p w14:paraId="0F58D8D6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b/>
          <w:kern w:val="0"/>
          <w14:ligatures w14:val="none"/>
        </w:rPr>
      </w:pPr>
    </w:p>
    <w:p w14:paraId="5E833EF1" w14:textId="77777777" w:rsidR="00BE7CF0" w:rsidRPr="00BE7CF0" w:rsidRDefault="00BE7CF0" w:rsidP="00BE7CF0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Independent Learning (Pre-lesson):</w:t>
      </w:r>
    </w:p>
    <w:p w14:paraId="6C12878A" w14:textId="77777777" w:rsidR="00BE7CF0" w:rsidRPr="00BE7CF0" w:rsidRDefault="00BE7CF0" w:rsidP="00BE7CF0">
      <w:pPr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Reading before the lesson provide questions to guide focus and prepares students for class discussions.</w:t>
      </w:r>
    </w:p>
    <w:p w14:paraId="1DE6B584" w14:textId="77777777" w:rsidR="00BE7CF0" w:rsidRPr="00BE7CF0" w:rsidRDefault="00BE7CF0" w:rsidP="00BE7CF0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Lecture/PowerPoint Presentation:</w:t>
      </w:r>
    </w:p>
    <w:p w14:paraId="36CE5083" w14:textId="77777777" w:rsidR="00BE7CF0" w:rsidRPr="00BE7CF0" w:rsidRDefault="00BE7CF0" w:rsidP="00BE7CF0">
      <w:pPr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Using slides to present key information that also includes interactive elements like questions and will offer a clear overview of the topic. A presentation also supports various learning styles with visuals.</w:t>
      </w:r>
    </w:p>
    <w:p w14:paraId="23F376FA" w14:textId="77777777" w:rsidR="00BE7CF0" w:rsidRPr="00BE7CF0" w:rsidRDefault="00BE7CF0" w:rsidP="00BE7CF0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Group discussion work:</w:t>
      </w:r>
    </w:p>
    <w:p w14:paraId="4E280FF0" w14:textId="77777777" w:rsidR="00BE7CF0" w:rsidRPr="00BE7CF0" w:rsidRDefault="00BE7CF0" w:rsidP="00BE7CF0">
      <w:pPr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kern w:val="0"/>
          <w14:ligatures w14:val="none"/>
        </w:rPr>
        <w:t>Divide students into groups for discussion and assign roles to ensure participation. This encourages collaboration and diverse ideas and leads to a deeper understanding through conversation. Enhances communication, teamwork skills and develops critical thinking by analysing different viewpoints.</w:t>
      </w:r>
    </w:p>
    <w:p w14:paraId="71F85016" w14:textId="77777777" w:rsidR="00BE7CF0" w:rsidRPr="00BE7CF0" w:rsidRDefault="00BE7CF0" w:rsidP="00BE7CF0">
      <w:pPr>
        <w:rPr>
          <w:rFonts w:ascii="Arial" w:eastAsia="Calibri" w:hAnsi="Arial" w:cs="Arial"/>
          <w:b/>
          <w:kern w:val="0"/>
          <w14:ligatures w14:val="none"/>
        </w:rPr>
      </w:pPr>
      <w:r w:rsidRPr="00BE7CF0">
        <w:rPr>
          <w:rFonts w:ascii="Arial" w:eastAsia="Calibri" w:hAnsi="Arial" w:cs="Arial"/>
          <w:b/>
          <w:kern w:val="0"/>
          <w14:ligatures w14:val="none"/>
        </w:rPr>
        <w:t>Assessment Component 100%</w:t>
      </w:r>
    </w:p>
    <w:p w14:paraId="5E255D64" w14:textId="77777777" w:rsidR="00BE7CF0" w:rsidRPr="00BE7CF0" w:rsidRDefault="00BE7CF0" w:rsidP="00BE7CF0">
      <w:pPr>
        <w:rPr>
          <w:rFonts w:ascii="Arial" w:eastAsia="Calibri" w:hAnsi="Arial" w:cs="Arial"/>
          <w:kern w:val="0"/>
          <w14:ligatures w14:val="none"/>
        </w:rPr>
      </w:pPr>
      <w:r w:rsidRPr="00BE7CF0">
        <w:rPr>
          <w:rFonts w:ascii="Arial" w:eastAsia="Calibri" w:hAnsi="Arial" w:cs="Arial"/>
          <w:b/>
          <w:kern w:val="0"/>
          <w14:ligatures w14:val="none"/>
        </w:rPr>
        <w:lastRenderedPageBreak/>
        <w:t>1500-word Essay.</w:t>
      </w:r>
    </w:p>
    <w:p w14:paraId="5A7CB9D7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b/>
          <w:kern w:val="0"/>
          <w14:ligatures w14:val="none"/>
        </w:rPr>
      </w:pPr>
    </w:p>
    <w:p w14:paraId="7DF25840" w14:textId="77777777" w:rsidR="00BE7CF0" w:rsidRPr="00BE7CF0" w:rsidRDefault="00BE7CF0" w:rsidP="00BE7CF0">
      <w:pPr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553085B6" w14:textId="77777777" w:rsidR="00BE7CF0" w:rsidRPr="00BE7CF0" w:rsidRDefault="00BE7CF0" w:rsidP="00BE7CF0">
      <w:pPr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18677B3" w14:textId="77777777" w:rsidR="00BE7CF0" w:rsidRPr="00BE7CF0" w:rsidRDefault="00BE7CF0" w:rsidP="00BE7C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kern w:val="0"/>
          <w:lang w:eastAsia="en-GB"/>
          <w14:ligatures w14:val="none"/>
        </w:rPr>
      </w:pPr>
      <w:r w:rsidRPr="00BE7CF0">
        <w:rPr>
          <w:rFonts w:ascii="Arial" w:eastAsia="Times New Roman" w:hAnsi="Arial" w:cs="Arial"/>
          <w:b/>
          <w:kern w:val="0"/>
          <w:lang w:eastAsia="en-GB"/>
          <w14:ligatures w14:val="none"/>
        </w:rPr>
        <w:t>READING LIST</w:t>
      </w:r>
    </w:p>
    <w:p w14:paraId="5EAAED09" w14:textId="77777777" w:rsidR="00BE7CF0" w:rsidRPr="00BE7CF0" w:rsidRDefault="00BE7CF0" w:rsidP="00BE7C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kern w:val="0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5948"/>
        <w:gridCol w:w="1363"/>
      </w:tblGrid>
      <w:tr w:rsidR="00BE7CF0" w:rsidRPr="00BE7CF0" w14:paraId="1C34D0EE" w14:textId="77777777" w:rsidTr="00BE7CF0">
        <w:tc>
          <w:tcPr>
            <w:tcW w:w="1708" w:type="dxa"/>
            <w:shd w:val="clear" w:color="auto" w:fill="BFBFBF"/>
          </w:tcPr>
          <w:p w14:paraId="5E545865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BE7CF0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352" w:type="dxa"/>
            <w:gridSpan w:val="2"/>
          </w:tcPr>
          <w:p w14:paraId="64D00AA2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BE7CF0">
              <w:rPr>
                <w:rFonts w:ascii="Arial" w:hAnsi="Arial" w:cs="Arial"/>
                <w:b/>
              </w:rPr>
              <w:t>HPAN4047/6047</w:t>
            </w:r>
          </w:p>
        </w:tc>
      </w:tr>
      <w:tr w:rsidR="00BE7CF0" w:rsidRPr="00BE7CF0" w14:paraId="51D5D795" w14:textId="77777777" w:rsidTr="00BE7CF0">
        <w:tc>
          <w:tcPr>
            <w:tcW w:w="1708" w:type="dxa"/>
            <w:shd w:val="clear" w:color="auto" w:fill="BFBFBF"/>
          </w:tcPr>
          <w:p w14:paraId="313FF967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BE7CF0">
              <w:rPr>
                <w:rFonts w:ascii="Arial" w:hAnsi="Arial" w:cs="Arial"/>
                <w:b/>
              </w:rPr>
              <w:t>Session Title</w:t>
            </w:r>
          </w:p>
        </w:tc>
        <w:tc>
          <w:tcPr>
            <w:tcW w:w="7352" w:type="dxa"/>
            <w:gridSpan w:val="2"/>
          </w:tcPr>
          <w:p w14:paraId="7E4FAE12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</w:p>
        </w:tc>
      </w:tr>
      <w:tr w:rsidR="00BE7CF0" w:rsidRPr="00BE7CF0" w14:paraId="6013BCB8" w14:textId="77777777" w:rsidTr="00BE7CF0">
        <w:tc>
          <w:tcPr>
            <w:tcW w:w="1708" w:type="dxa"/>
            <w:shd w:val="clear" w:color="auto" w:fill="BFBFBF"/>
          </w:tcPr>
          <w:p w14:paraId="13BC5077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BE7CF0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986" w:type="dxa"/>
            <w:shd w:val="clear" w:color="auto" w:fill="BFBFBF"/>
          </w:tcPr>
          <w:p w14:paraId="3A6796D5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BE7CF0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/>
          </w:tcPr>
          <w:p w14:paraId="33124CA9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BE7CF0">
              <w:rPr>
                <w:rFonts w:ascii="Arial" w:hAnsi="Arial" w:cs="Arial"/>
                <w:b/>
              </w:rPr>
              <w:t>Electronic*</w:t>
            </w:r>
          </w:p>
        </w:tc>
      </w:tr>
      <w:tr w:rsidR="00BE7CF0" w:rsidRPr="00BE7CF0" w14:paraId="7C147FF4" w14:textId="77777777" w:rsidTr="00183752">
        <w:tc>
          <w:tcPr>
            <w:tcW w:w="1708" w:type="dxa"/>
          </w:tcPr>
          <w:p w14:paraId="703BCA10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highlight w:val="yellow"/>
              </w:rPr>
            </w:pPr>
            <w:r w:rsidRPr="00BE7CF0">
              <w:rPr>
                <w:rFonts w:ascii="Arial" w:hAnsi="Arial" w:cs="Arial"/>
              </w:rPr>
              <w:t xml:space="preserve">Essential </w:t>
            </w:r>
          </w:p>
        </w:tc>
        <w:tc>
          <w:tcPr>
            <w:tcW w:w="5986" w:type="dxa"/>
          </w:tcPr>
          <w:p w14:paraId="40C3C53E" w14:textId="77777777" w:rsidR="00BE7CF0" w:rsidRPr="00BE7CF0" w:rsidRDefault="00BE7CF0" w:rsidP="00BE7CF0">
            <w:pPr>
              <w:spacing w:after="240"/>
              <w:rPr>
                <w:rFonts w:ascii="Arial" w:hAnsi="Arial" w:cs="Arial"/>
              </w:rPr>
            </w:pPr>
            <w:r w:rsidRPr="00BE7CF0">
              <w:rPr>
                <w:rFonts w:ascii="Arial" w:hAnsi="Arial" w:cs="Arial"/>
              </w:rPr>
              <w:t xml:space="preserve">Dykins, R. (2022) </w:t>
            </w:r>
            <w:r w:rsidRPr="00BE7CF0">
              <w:rPr>
                <w:rFonts w:ascii="Arial" w:hAnsi="Arial" w:cs="Arial"/>
                <w:i/>
                <w:iCs/>
              </w:rPr>
              <w:t xml:space="preserve">Voluntourism: how is it still happening, and what are the </w:t>
            </w:r>
            <w:proofErr w:type="gramStart"/>
            <w:r w:rsidRPr="00BE7CF0">
              <w:rPr>
                <w:rFonts w:ascii="Arial" w:hAnsi="Arial" w:cs="Arial"/>
                <w:i/>
                <w:iCs/>
              </w:rPr>
              <w:t>alternatives?</w:t>
            </w:r>
            <w:r w:rsidRPr="00BE7CF0">
              <w:rPr>
                <w:rFonts w:ascii="Arial" w:hAnsi="Arial" w:cs="Arial"/>
              </w:rPr>
              <w:t>,</w:t>
            </w:r>
            <w:proofErr w:type="gramEnd"/>
            <w:r w:rsidRPr="00BE7CF0">
              <w:rPr>
                <w:rFonts w:ascii="Arial" w:hAnsi="Arial" w:cs="Arial"/>
              </w:rPr>
              <w:t xml:space="preserve"> </w:t>
            </w:r>
            <w:r w:rsidRPr="00BE7CF0">
              <w:rPr>
                <w:rFonts w:ascii="Arial" w:hAnsi="Arial" w:cs="Arial"/>
                <w:i/>
                <w:iCs/>
              </w:rPr>
              <w:t>ROADBOOK</w:t>
            </w:r>
            <w:r w:rsidRPr="00BE7CF0">
              <w:rPr>
                <w:rFonts w:ascii="Arial" w:hAnsi="Arial" w:cs="Arial"/>
              </w:rPr>
              <w:t>. Available at: https://roadbook.com/opinion/negative-effects-of-voluntourism/ (Accessed: 8 December 2024).</w:t>
            </w:r>
          </w:p>
          <w:p w14:paraId="3172B810" w14:textId="77777777" w:rsidR="00BE7CF0" w:rsidRPr="00BE7CF0" w:rsidRDefault="00BE7CF0" w:rsidP="00BE7CF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0BFDCE" w14:textId="77777777" w:rsidR="00BE7CF0" w:rsidRPr="00BE7CF0" w:rsidRDefault="00BE7CF0" w:rsidP="00BE7CF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BE7CF0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BE7CF0" w:rsidRPr="00BE7CF0" w14:paraId="70051257" w14:textId="77777777" w:rsidTr="00183752">
        <w:tc>
          <w:tcPr>
            <w:tcW w:w="1708" w:type="dxa"/>
          </w:tcPr>
          <w:p w14:paraId="397DB5B8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986" w:type="dxa"/>
          </w:tcPr>
          <w:p w14:paraId="26B113E9" w14:textId="77777777" w:rsidR="00BE7CF0" w:rsidRPr="00BE7CF0" w:rsidRDefault="00BE7CF0" w:rsidP="00BE7CF0">
            <w:pPr>
              <w:spacing w:after="240"/>
              <w:rPr>
                <w:rFonts w:ascii="Arial" w:hAnsi="Arial" w:cs="Arial"/>
              </w:rPr>
            </w:pPr>
            <w:r w:rsidRPr="00BE7CF0">
              <w:rPr>
                <w:rFonts w:ascii="Arial" w:hAnsi="Arial" w:cs="Arial"/>
              </w:rPr>
              <w:t xml:space="preserve">Kind, N. (2019) </w:t>
            </w:r>
            <w:r w:rsidRPr="00BE7CF0">
              <w:rPr>
                <w:rFonts w:ascii="Arial" w:hAnsi="Arial" w:cs="Arial"/>
                <w:i/>
                <w:iCs/>
              </w:rPr>
              <w:t>We Can Do Better Than Voluntourism - Cambodian Children’s Trust</w:t>
            </w:r>
            <w:r w:rsidRPr="00BE7CF0">
              <w:rPr>
                <w:rFonts w:ascii="Arial" w:hAnsi="Arial" w:cs="Arial"/>
              </w:rPr>
              <w:t xml:space="preserve">, </w:t>
            </w:r>
            <w:r w:rsidRPr="00BE7CF0">
              <w:rPr>
                <w:rFonts w:ascii="Arial" w:hAnsi="Arial" w:cs="Arial"/>
                <w:i/>
                <w:iCs/>
              </w:rPr>
              <w:t>Cambodian Children’s Trust (CCT)</w:t>
            </w:r>
            <w:r w:rsidRPr="00BE7CF0">
              <w:rPr>
                <w:rFonts w:ascii="Arial" w:hAnsi="Arial" w:cs="Arial"/>
              </w:rPr>
              <w:t>. Available at: https://cambodianchildrenstrust.org/we-can-do-better-than-voluntourism/ (Accessed: 8 December 2024).</w:t>
            </w:r>
          </w:p>
          <w:p w14:paraId="725590BB" w14:textId="77777777" w:rsidR="00BE7CF0" w:rsidRPr="00BE7CF0" w:rsidRDefault="00BE7CF0" w:rsidP="00BE7CF0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79E53E3" w14:textId="77777777" w:rsidR="00BE7CF0" w:rsidRPr="00BE7CF0" w:rsidRDefault="00BE7CF0" w:rsidP="00BE7CF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BE7CF0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BE7CF0" w:rsidRPr="00BE7CF0" w14:paraId="473CD7D4" w14:textId="77777777" w:rsidTr="00183752">
        <w:tc>
          <w:tcPr>
            <w:tcW w:w="1708" w:type="dxa"/>
          </w:tcPr>
          <w:p w14:paraId="0D9D7C82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986" w:type="dxa"/>
          </w:tcPr>
          <w:p w14:paraId="6DBE4617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  <w:p w14:paraId="3793C968" w14:textId="77777777" w:rsidR="00BE7CF0" w:rsidRPr="00BE7CF0" w:rsidRDefault="00BE7CF0" w:rsidP="00BE7CF0">
            <w:pPr>
              <w:spacing w:after="240"/>
              <w:rPr>
                <w:rFonts w:ascii="Arial" w:hAnsi="Arial" w:cs="Arial"/>
              </w:rPr>
            </w:pPr>
            <w:r w:rsidRPr="00BE7CF0">
              <w:rPr>
                <w:rFonts w:ascii="Arial" w:hAnsi="Arial" w:cs="Arial"/>
                <w:i/>
              </w:rPr>
              <w:fldChar w:fldCharType="begin"/>
            </w:r>
            <w:r w:rsidRPr="00BE7CF0">
              <w:rPr>
                <w:rFonts w:ascii="Arial" w:hAnsi="Arial" w:cs="Arial"/>
                <w:i/>
              </w:rPr>
              <w:instrText xml:space="preserve"> ADDIN ZOTERO_BIBL {"uncited":[],"omitted":[],"custom":[]} CSL_BIBLIOGRAPHY </w:instrText>
            </w:r>
            <w:r w:rsidRPr="00BE7CF0">
              <w:rPr>
                <w:rFonts w:ascii="Arial" w:hAnsi="Arial" w:cs="Arial"/>
                <w:i/>
              </w:rPr>
              <w:fldChar w:fldCharType="separate"/>
            </w:r>
            <w:r w:rsidRPr="00BE7CF0">
              <w:rPr>
                <w:rFonts w:ascii="Arial" w:hAnsi="Arial" w:cs="Arial"/>
              </w:rPr>
              <w:t xml:space="preserve">Bandyopadhyay, R. and Patil, V. (2017) ‘“The white woman’s burden” – the racialized, gendered politics of volunteer tourism’, </w:t>
            </w:r>
            <w:r w:rsidRPr="00BE7CF0">
              <w:rPr>
                <w:rFonts w:ascii="Arial" w:hAnsi="Arial" w:cs="Arial"/>
                <w:i/>
                <w:iCs/>
              </w:rPr>
              <w:t>Tourism Geographies</w:t>
            </w:r>
            <w:r w:rsidRPr="00BE7CF0">
              <w:rPr>
                <w:rFonts w:ascii="Arial" w:hAnsi="Arial" w:cs="Arial"/>
              </w:rPr>
              <w:t>, 19(4), pp. 644–657. Available at: https://doi.org/10.1080/14616688.2017.1298150.</w:t>
            </w:r>
          </w:p>
          <w:p w14:paraId="3BA267BC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BE7CF0">
              <w:rPr>
                <w:rFonts w:ascii="Arial" w:hAnsi="Arial" w:cs="Arial"/>
                <w:i/>
              </w:rPr>
              <w:fldChar w:fldCharType="end"/>
            </w:r>
          </w:p>
          <w:p w14:paraId="60725FAD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CD5B86" w14:textId="77777777" w:rsidR="00BE7CF0" w:rsidRPr="00BE7CF0" w:rsidRDefault="00BE7CF0" w:rsidP="00BE7CF0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BE7CF0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BE7CF0" w:rsidRPr="00BE7CF0" w14:paraId="3838A0AD" w14:textId="77777777" w:rsidTr="00183752">
        <w:tc>
          <w:tcPr>
            <w:tcW w:w="1708" w:type="dxa"/>
          </w:tcPr>
          <w:p w14:paraId="0430CA0B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  <w:r w:rsidRPr="00BE7CF0">
              <w:rPr>
                <w:rFonts w:ascii="Arial" w:hAnsi="Arial" w:cs="Arial"/>
              </w:rPr>
              <w:t>Recommended</w:t>
            </w:r>
          </w:p>
        </w:tc>
        <w:tc>
          <w:tcPr>
            <w:tcW w:w="5986" w:type="dxa"/>
          </w:tcPr>
          <w:p w14:paraId="5EC3BC4B" w14:textId="77777777" w:rsidR="00BE7CF0" w:rsidRPr="00BE7CF0" w:rsidRDefault="00BE7CF0" w:rsidP="00BE7CF0">
            <w:pPr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14:paraId="161B8136" w14:textId="77777777" w:rsidR="00BE7CF0" w:rsidRPr="00BE7CF0" w:rsidRDefault="00BE7CF0" w:rsidP="00BE7CF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  <w:tr w:rsidR="00BE7CF0" w:rsidRPr="00BE7CF0" w14:paraId="3A922745" w14:textId="77777777" w:rsidTr="00183752">
        <w:tc>
          <w:tcPr>
            <w:tcW w:w="1708" w:type="dxa"/>
          </w:tcPr>
          <w:p w14:paraId="6F78DF31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986" w:type="dxa"/>
          </w:tcPr>
          <w:p w14:paraId="0B174C8C" w14:textId="77777777" w:rsidR="00BE7CF0" w:rsidRPr="00BE7CF0" w:rsidRDefault="00BE7CF0" w:rsidP="00BE7CF0">
            <w:pPr>
              <w:spacing w:after="240"/>
              <w:rPr>
                <w:rFonts w:ascii="Arial" w:hAnsi="Arial" w:cs="Arial"/>
              </w:rPr>
            </w:pPr>
            <w:r w:rsidRPr="00BE7CF0">
              <w:rPr>
                <w:rFonts w:ascii="Arial" w:hAnsi="Arial" w:cs="Arial"/>
              </w:rPr>
              <w:t xml:space="preserve">Brodzinski-González, D.A. (2023) </w:t>
            </w:r>
            <w:r w:rsidRPr="00BE7CF0">
              <w:rPr>
                <w:rFonts w:ascii="Arial" w:hAnsi="Arial" w:cs="Arial"/>
                <w:i/>
                <w:iCs/>
              </w:rPr>
              <w:t xml:space="preserve">Voluntourism and the white </w:t>
            </w:r>
            <w:proofErr w:type="spellStart"/>
            <w:r w:rsidRPr="00BE7CF0">
              <w:rPr>
                <w:rFonts w:ascii="Arial" w:hAnsi="Arial" w:cs="Arial"/>
                <w:i/>
                <w:iCs/>
              </w:rPr>
              <w:t>savior</w:t>
            </w:r>
            <w:proofErr w:type="spellEnd"/>
            <w:r w:rsidRPr="00BE7CF0">
              <w:rPr>
                <w:rFonts w:ascii="Arial" w:hAnsi="Arial" w:cs="Arial"/>
                <w:i/>
                <w:iCs/>
              </w:rPr>
              <w:t xml:space="preserve"> complex: A critical analysis</w:t>
            </w:r>
            <w:r w:rsidRPr="00BE7CF0">
              <w:rPr>
                <w:rFonts w:ascii="Arial" w:hAnsi="Arial" w:cs="Arial"/>
              </w:rPr>
              <w:t>. master Thesis. ISCTE - Instituto Universitário de Lisboa. Available at: https://repositorio.iscte-iul.pt/handle/10071/29045 (Accessed: 16 December 2024).</w:t>
            </w:r>
          </w:p>
          <w:p w14:paraId="17E04026" w14:textId="77777777" w:rsidR="00BE7CF0" w:rsidRPr="00BE7CF0" w:rsidRDefault="00BE7CF0" w:rsidP="00BE7CF0">
            <w:pPr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14:paraId="1109A881" w14:textId="77777777" w:rsidR="00BE7CF0" w:rsidRPr="00BE7CF0" w:rsidRDefault="00BE7CF0" w:rsidP="00BE7CF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  <w:tr w:rsidR="00BE7CF0" w:rsidRPr="00BE7CF0" w14:paraId="00C815A4" w14:textId="77777777" w:rsidTr="00183752">
        <w:tc>
          <w:tcPr>
            <w:tcW w:w="1708" w:type="dxa"/>
          </w:tcPr>
          <w:p w14:paraId="13F943B5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986" w:type="dxa"/>
          </w:tcPr>
          <w:p w14:paraId="5CA72EB9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14:paraId="14B86359" w14:textId="77777777" w:rsidR="00BE7CF0" w:rsidRPr="00BE7CF0" w:rsidRDefault="00BE7CF0" w:rsidP="00BE7CF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  <w:tr w:rsidR="00BE7CF0" w:rsidRPr="00BE7CF0" w14:paraId="5113EA59" w14:textId="77777777" w:rsidTr="00183752">
        <w:tc>
          <w:tcPr>
            <w:tcW w:w="1708" w:type="dxa"/>
          </w:tcPr>
          <w:p w14:paraId="16F2F2EC" w14:textId="77777777" w:rsidR="00BE7CF0" w:rsidRPr="00BE7CF0" w:rsidRDefault="00BE7CF0" w:rsidP="00BE7CF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986" w:type="dxa"/>
          </w:tcPr>
          <w:p w14:paraId="015E0003" w14:textId="77777777" w:rsidR="00BE7CF0" w:rsidRPr="00BE7CF0" w:rsidRDefault="00BE7CF0" w:rsidP="00BE7CF0">
            <w:pPr>
              <w:spacing w:after="240"/>
              <w:rPr>
                <w:rFonts w:ascii="Arial" w:hAnsi="Arial" w:cs="Arial"/>
              </w:rPr>
            </w:pPr>
            <w:r w:rsidRPr="00BE7CF0">
              <w:rPr>
                <w:rFonts w:ascii="Arial" w:hAnsi="Arial" w:cs="Arial"/>
              </w:rPr>
              <w:t xml:space="preserve">Wearing, S. </w:t>
            </w:r>
            <w:r w:rsidRPr="00BE7CF0">
              <w:rPr>
                <w:rFonts w:ascii="Arial" w:hAnsi="Arial" w:cs="Arial"/>
                <w:i/>
                <w:iCs/>
              </w:rPr>
              <w:t>et al.</w:t>
            </w:r>
            <w:r w:rsidRPr="00BE7CF0">
              <w:rPr>
                <w:rFonts w:ascii="Arial" w:hAnsi="Arial" w:cs="Arial"/>
              </w:rPr>
              <w:t xml:space="preserve"> (2018) ‘“Poor children on Tinder” and their Barbie Saviours: towards a feminist political economy of volunteer tourism’, </w:t>
            </w:r>
            <w:r w:rsidRPr="00BE7CF0">
              <w:rPr>
                <w:rFonts w:ascii="Arial" w:hAnsi="Arial" w:cs="Arial"/>
                <w:i/>
                <w:iCs/>
              </w:rPr>
              <w:t>Leisure Studies</w:t>
            </w:r>
            <w:r w:rsidRPr="00BE7CF0">
              <w:rPr>
                <w:rFonts w:ascii="Arial" w:hAnsi="Arial" w:cs="Arial"/>
              </w:rPr>
              <w:t>, 37(5), pp. 500–514. Available at: https://doi.org/10.1080/02614367.2018.1504979.</w:t>
            </w:r>
          </w:p>
          <w:p w14:paraId="0E331B84" w14:textId="77777777" w:rsidR="00BE7CF0" w:rsidRPr="00BE7CF0" w:rsidRDefault="00BE7CF0" w:rsidP="00BE7CF0">
            <w:pPr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1366" w:type="dxa"/>
          </w:tcPr>
          <w:p w14:paraId="59B35D6C" w14:textId="77777777" w:rsidR="00BE7CF0" w:rsidRPr="00BE7CF0" w:rsidRDefault="00BE7CF0" w:rsidP="00BE7CF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</w:p>
        </w:tc>
      </w:tr>
    </w:tbl>
    <w:p w14:paraId="04124AAD" w14:textId="77777777" w:rsidR="00BE7CF0" w:rsidRPr="00BE7CF0" w:rsidRDefault="00BE7CF0" w:rsidP="00BE7C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kern w:val="0"/>
          <w:lang w:eastAsia="en-GB"/>
          <w14:ligatures w14:val="none"/>
        </w:rPr>
      </w:pPr>
    </w:p>
    <w:p w14:paraId="4CC7895E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i/>
          <w:kern w:val="0"/>
          <w14:ligatures w14:val="none"/>
        </w:rPr>
      </w:pPr>
    </w:p>
    <w:p w14:paraId="1DEDAFAC" w14:textId="77777777" w:rsidR="00BE7CF0" w:rsidRPr="00BE7CF0" w:rsidRDefault="00BE7CF0" w:rsidP="00BE7CF0">
      <w:pPr>
        <w:spacing w:after="0" w:line="240" w:lineRule="auto"/>
        <w:rPr>
          <w:rFonts w:ascii="Arial" w:eastAsia="Calibri" w:hAnsi="Arial" w:cs="Arial"/>
          <w:i/>
          <w:kern w:val="0"/>
          <w14:ligatures w14:val="none"/>
        </w:rPr>
      </w:pPr>
    </w:p>
    <w:p w14:paraId="1174BBA2" w14:textId="77777777" w:rsidR="00A7002C" w:rsidRDefault="00A7002C"/>
    <w:sectPr w:rsidR="00A700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C90CCF"/>
    <w:multiLevelType w:val="hybridMultilevel"/>
    <w:tmpl w:val="E924B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957E18"/>
    <w:multiLevelType w:val="hybridMultilevel"/>
    <w:tmpl w:val="73DAD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800CD3"/>
    <w:multiLevelType w:val="hybridMultilevel"/>
    <w:tmpl w:val="9402B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185962">
    <w:abstractNumId w:val="2"/>
  </w:num>
  <w:num w:numId="2" w16cid:durableId="817570833">
    <w:abstractNumId w:val="1"/>
  </w:num>
  <w:num w:numId="3" w16cid:durableId="154417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A9B"/>
    <w:rsid w:val="000F1187"/>
    <w:rsid w:val="00453902"/>
    <w:rsid w:val="004E5A9B"/>
    <w:rsid w:val="00A7002C"/>
    <w:rsid w:val="00BE7CF0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FB995"/>
  <w15:chartTrackingRefBased/>
  <w15:docId w15:val="{0FC1AB58-C200-4A90-8B90-9E50BD3E7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5A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5A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5A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5A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5A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5A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5A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5A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5A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5A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5A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5A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5A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5A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5A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5A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5A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5A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5A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5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5A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5A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5A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5A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5A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5A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5A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5A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5A9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BE7CF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Youg</dc:creator>
  <cp:keywords/>
  <dc:description/>
  <cp:lastModifiedBy>Heather Youg</cp:lastModifiedBy>
  <cp:revision>3</cp:revision>
  <dcterms:created xsi:type="dcterms:W3CDTF">2024-12-16T14:17:00Z</dcterms:created>
  <dcterms:modified xsi:type="dcterms:W3CDTF">2024-12-16T14:18:00Z</dcterms:modified>
</cp:coreProperties>
</file>