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61CE9" w14:textId="7197BFFF"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LCBM 7000</w:t>
      </w:r>
    </w:p>
    <w:p w14:paraId="65AD8156" w14:textId="77777777" w:rsidR="008017BA" w:rsidRDefault="008017BA" w:rsidP="008017BA">
      <w:pPr>
        <w:rPr>
          <w:rFonts w:ascii="Times New Roman" w:eastAsia="Times New Roman" w:hAnsi="Times New Roman" w:cs="Times New Roman"/>
          <w:b/>
          <w:color w:val="000000" w:themeColor="text1"/>
          <w:sz w:val="24"/>
          <w:szCs w:val="24"/>
        </w:rPr>
      </w:pPr>
    </w:p>
    <w:p w14:paraId="0AF83351" w14:textId="4C47A911"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HUMAN RESOURCE MANAGEMENT</w:t>
      </w:r>
    </w:p>
    <w:p w14:paraId="742DCF6F" w14:textId="1C7BC27F" w:rsidR="008017BA" w:rsidRDefault="008017BA" w:rsidP="008017BA">
      <w:pPr>
        <w:rPr>
          <w:rFonts w:ascii="Times New Roman" w:eastAsia="Times New Roman" w:hAnsi="Times New Roman" w:cs="Times New Roman"/>
          <w:b/>
          <w:color w:val="000000" w:themeColor="text1"/>
          <w:sz w:val="24"/>
          <w:szCs w:val="24"/>
        </w:rPr>
      </w:pPr>
    </w:p>
    <w:p w14:paraId="52E14EA3" w14:textId="58DE8873"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ASSESSMENT 1</w:t>
      </w:r>
    </w:p>
    <w:p w14:paraId="6C2582A2" w14:textId="76117F67" w:rsidR="008017BA" w:rsidRDefault="008017BA" w:rsidP="008017BA">
      <w:pPr>
        <w:rPr>
          <w:rFonts w:ascii="Times New Roman" w:eastAsia="Times New Roman" w:hAnsi="Times New Roman" w:cs="Times New Roman"/>
          <w:b/>
          <w:color w:val="000000" w:themeColor="text1"/>
          <w:sz w:val="24"/>
          <w:szCs w:val="24"/>
        </w:rPr>
      </w:pPr>
    </w:p>
    <w:p w14:paraId="18518AAE" w14:textId="1FAC3335"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LINA BIRMANTE</w:t>
      </w:r>
    </w:p>
    <w:p w14:paraId="2C354C1A" w14:textId="13B53EBD" w:rsidR="008017BA" w:rsidRDefault="008017BA" w:rsidP="008017BA">
      <w:pPr>
        <w:rPr>
          <w:rFonts w:ascii="Times New Roman" w:eastAsia="Times New Roman" w:hAnsi="Times New Roman" w:cs="Times New Roman"/>
          <w:b/>
          <w:color w:val="000000" w:themeColor="text1"/>
          <w:sz w:val="24"/>
          <w:szCs w:val="24"/>
        </w:rPr>
      </w:pPr>
    </w:p>
    <w:p w14:paraId="2B34A277" w14:textId="03C3EBBD"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STUDENT NUMBER 2010698</w:t>
      </w:r>
    </w:p>
    <w:p w14:paraId="0E37630B" w14:textId="7DDF4501" w:rsidR="008017BA" w:rsidRDefault="008017BA" w:rsidP="008017BA">
      <w:pPr>
        <w:rPr>
          <w:rFonts w:ascii="Times New Roman" w:eastAsia="Times New Roman" w:hAnsi="Times New Roman" w:cs="Times New Roman"/>
          <w:b/>
          <w:color w:val="000000" w:themeColor="text1"/>
          <w:sz w:val="24"/>
          <w:szCs w:val="24"/>
        </w:rPr>
      </w:pPr>
    </w:p>
    <w:p w14:paraId="7967376A" w14:textId="0C0079AE"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MODULE LEADER DR GLADIUS DAVID</w:t>
      </w:r>
    </w:p>
    <w:p w14:paraId="0948AE04" w14:textId="69D11E06"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KULOTHUGAN</w:t>
      </w:r>
    </w:p>
    <w:p w14:paraId="1679C8A3" w14:textId="5912E3BD" w:rsidR="008017BA" w:rsidRDefault="008017BA" w:rsidP="008017BA">
      <w:pPr>
        <w:rPr>
          <w:rFonts w:ascii="Times New Roman" w:eastAsia="Times New Roman" w:hAnsi="Times New Roman" w:cs="Times New Roman"/>
          <w:b/>
          <w:color w:val="000000" w:themeColor="text1"/>
          <w:sz w:val="24"/>
          <w:szCs w:val="24"/>
        </w:rPr>
      </w:pPr>
    </w:p>
    <w:p w14:paraId="44B7B149" w14:textId="49C739F1" w:rsidR="008017BA" w:rsidRDefault="008017BA" w:rsidP="008017BA">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26/04/2021</w:t>
      </w:r>
    </w:p>
    <w:p w14:paraId="5EF17EBB" w14:textId="77777777" w:rsidR="008017BA" w:rsidRPr="008017BA" w:rsidRDefault="008017BA" w:rsidP="008017BA">
      <w:pPr>
        <w:rPr>
          <w:rFonts w:ascii="Times New Roman" w:eastAsia="Times New Roman" w:hAnsi="Times New Roman" w:cs="Times New Roman"/>
          <w:b/>
          <w:color w:val="000000" w:themeColor="text1"/>
          <w:sz w:val="24"/>
          <w:szCs w:val="24"/>
        </w:rPr>
      </w:pPr>
    </w:p>
    <w:p w14:paraId="4EC50A96"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783403E4"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7E863524"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7DB194E5"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20AA07E9"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35FE2CB8"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730655B9"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551393F7"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6B204B03"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50EA9B97" w14:textId="77777777" w:rsidR="00665FA4" w:rsidRPr="006E53C8" w:rsidRDefault="00665FA4">
      <w:pPr>
        <w:jc w:val="center"/>
        <w:rPr>
          <w:rFonts w:ascii="Times New Roman" w:eastAsia="Times New Roman" w:hAnsi="Times New Roman" w:cs="Times New Roman"/>
          <w:b/>
          <w:color w:val="000000" w:themeColor="text1"/>
          <w:sz w:val="32"/>
          <w:szCs w:val="32"/>
        </w:rPr>
      </w:pPr>
    </w:p>
    <w:p w14:paraId="535FC01A" w14:textId="07B27692" w:rsidR="00665FA4" w:rsidRPr="006E53C8" w:rsidRDefault="00665F85">
      <w:pPr>
        <w:jc w:val="center"/>
        <w:rPr>
          <w:rFonts w:ascii="Times New Roman" w:eastAsia="Times New Roman" w:hAnsi="Times New Roman" w:cs="Times New Roman"/>
          <w:b/>
          <w:color w:val="000000" w:themeColor="text1"/>
          <w:sz w:val="32"/>
          <w:szCs w:val="32"/>
        </w:rPr>
      </w:pPr>
      <w:r w:rsidRPr="006E53C8">
        <w:rPr>
          <w:color w:val="000000" w:themeColor="text1"/>
        </w:rPr>
        <w:br w:type="page"/>
      </w:r>
    </w:p>
    <w:sdt>
      <w:sdtPr>
        <w:rPr>
          <w:rFonts w:ascii="Arial" w:eastAsia="Arial" w:hAnsi="Arial" w:cs="Arial"/>
          <w:color w:val="auto"/>
          <w:sz w:val="22"/>
          <w:szCs w:val="22"/>
          <w:lang w:val="en" w:eastAsia="en-IN"/>
        </w:rPr>
        <w:id w:val="-259529407"/>
        <w:docPartObj>
          <w:docPartGallery w:val="Table of Contents"/>
          <w:docPartUnique/>
        </w:docPartObj>
      </w:sdtPr>
      <w:sdtEndPr>
        <w:rPr>
          <w:b/>
          <w:bCs/>
          <w:noProof/>
        </w:rPr>
      </w:sdtEndPr>
      <w:sdtContent>
        <w:p w14:paraId="1B5993E4" w14:textId="77777777" w:rsidR="00027BF4" w:rsidRPr="00027BF4" w:rsidRDefault="00665F85" w:rsidP="00027BF4">
          <w:pPr>
            <w:pStyle w:val="Turinioantrat"/>
            <w:spacing w:line="360" w:lineRule="auto"/>
            <w:jc w:val="center"/>
            <w:rPr>
              <w:rFonts w:ascii="Times New Roman" w:hAnsi="Times New Roman" w:cs="Times New Roman"/>
              <w:b/>
              <w:color w:val="000000" w:themeColor="text1"/>
              <w:sz w:val="28"/>
              <w:szCs w:val="28"/>
            </w:rPr>
          </w:pPr>
          <w:r w:rsidRPr="00027BF4">
            <w:rPr>
              <w:rFonts w:ascii="Times New Roman" w:hAnsi="Times New Roman" w:cs="Times New Roman"/>
              <w:b/>
              <w:color w:val="000000" w:themeColor="text1"/>
              <w:sz w:val="28"/>
              <w:szCs w:val="28"/>
            </w:rPr>
            <w:t>Table of Contents</w:t>
          </w:r>
        </w:p>
        <w:p w14:paraId="568B61A0" w14:textId="77777777" w:rsidR="00027BF4" w:rsidRPr="00027BF4" w:rsidRDefault="00665F85" w:rsidP="00027BF4">
          <w:pPr>
            <w:pStyle w:val="Turinys1"/>
            <w:tabs>
              <w:tab w:val="right" w:leader="dot" w:pos="9350"/>
            </w:tabs>
            <w:spacing w:line="360" w:lineRule="auto"/>
            <w:jc w:val="both"/>
            <w:rPr>
              <w:rFonts w:ascii="Times New Roman" w:hAnsi="Times New Roman" w:cs="Times New Roman"/>
              <w:noProof/>
              <w:sz w:val="24"/>
              <w:szCs w:val="24"/>
            </w:rPr>
          </w:pPr>
          <w:r w:rsidRPr="00027BF4">
            <w:rPr>
              <w:rFonts w:ascii="Times New Roman" w:hAnsi="Times New Roman" w:cs="Times New Roman"/>
              <w:b/>
              <w:bCs/>
              <w:noProof/>
              <w:sz w:val="24"/>
              <w:szCs w:val="24"/>
            </w:rPr>
            <w:fldChar w:fldCharType="begin"/>
          </w:r>
          <w:r w:rsidRPr="00027BF4">
            <w:rPr>
              <w:rFonts w:ascii="Times New Roman" w:hAnsi="Times New Roman" w:cs="Times New Roman"/>
              <w:b/>
              <w:bCs/>
              <w:noProof/>
              <w:sz w:val="24"/>
              <w:szCs w:val="24"/>
            </w:rPr>
            <w:instrText xml:space="preserve"> TOC \o "1-3" \h \z \u </w:instrText>
          </w:r>
          <w:r w:rsidRPr="00027BF4">
            <w:rPr>
              <w:rFonts w:ascii="Times New Roman" w:hAnsi="Times New Roman" w:cs="Times New Roman"/>
              <w:b/>
              <w:bCs/>
              <w:noProof/>
              <w:sz w:val="24"/>
              <w:szCs w:val="24"/>
            </w:rPr>
            <w:fldChar w:fldCharType="separate"/>
          </w:r>
          <w:hyperlink w:anchor="_Toc67325354" w:history="1">
            <w:r w:rsidRPr="00027BF4">
              <w:rPr>
                <w:rStyle w:val="Hipersaitas"/>
                <w:rFonts w:ascii="Times New Roman" w:hAnsi="Times New Roman" w:cs="Times New Roman"/>
                <w:noProof/>
                <w:sz w:val="24"/>
                <w:szCs w:val="24"/>
              </w:rPr>
              <w:t>1.0 Introduction</w:t>
            </w:r>
            <w:r w:rsidRPr="00027BF4">
              <w:rPr>
                <w:rFonts w:ascii="Times New Roman" w:hAnsi="Times New Roman" w:cs="Times New Roman"/>
                <w:noProof/>
                <w:webHidden/>
                <w:sz w:val="24"/>
                <w:szCs w:val="24"/>
              </w:rPr>
              <w:tab/>
            </w:r>
            <w:r w:rsidRPr="00027BF4">
              <w:rPr>
                <w:rFonts w:ascii="Times New Roman" w:hAnsi="Times New Roman" w:cs="Times New Roman"/>
                <w:noProof/>
                <w:webHidden/>
                <w:sz w:val="24"/>
                <w:szCs w:val="24"/>
              </w:rPr>
              <w:fldChar w:fldCharType="begin"/>
            </w:r>
            <w:r w:rsidRPr="00027BF4">
              <w:rPr>
                <w:rFonts w:ascii="Times New Roman" w:hAnsi="Times New Roman" w:cs="Times New Roman"/>
                <w:noProof/>
                <w:webHidden/>
                <w:sz w:val="24"/>
                <w:szCs w:val="24"/>
              </w:rPr>
              <w:instrText xml:space="preserve"> PAGEREF _Toc67325354 \h </w:instrText>
            </w:r>
            <w:r w:rsidRPr="00027BF4">
              <w:rPr>
                <w:rFonts w:ascii="Times New Roman" w:hAnsi="Times New Roman" w:cs="Times New Roman"/>
                <w:noProof/>
                <w:webHidden/>
                <w:sz w:val="24"/>
                <w:szCs w:val="24"/>
              </w:rPr>
            </w:r>
            <w:r w:rsidRPr="00027BF4">
              <w:rPr>
                <w:rFonts w:ascii="Times New Roman" w:hAnsi="Times New Roman" w:cs="Times New Roman"/>
                <w:noProof/>
                <w:webHidden/>
                <w:sz w:val="24"/>
                <w:szCs w:val="24"/>
              </w:rPr>
              <w:fldChar w:fldCharType="separate"/>
            </w:r>
            <w:r w:rsidRPr="00027BF4">
              <w:rPr>
                <w:rFonts w:ascii="Times New Roman" w:hAnsi="Times New Roman" w:cs="Times New Roman"/>
                <w:noProof/>
                <w:webHidden/>
                <w:sz w:val="24"/>
                <w:szCs w:val="24"/>
              </w:rPr>
              <w:t>3</w:t>
            </w:r>
            <w:r w:rsidRPr="00027BF4">
              <w:rPr>
                <w:rFonts w:ascii="Times New Roman" w:hAnsi="Times New Roman" w:cs="Times New Roman"/>
                <w:noProof/>
                <w:webHidden/>
                <w:sz w:val="24"/>
                <w:szCs w:val="24"/>
              </w:rPr>
              <w:fldChar w:fldCharType="end"/>
            </w:r>
          </w:hyperlink>
        </w:p>
        <w:p w14:paraId="3C2D2220"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55" w:history="1">
            <w:r w:rsidR="00665F85" w:rsidRPr="00027BF4">
              <w:rPr>
                <w:rStyle w:val="Hipersaitas"/>
                <w:rFonts w:ascii="Times New Roman" w:hAnsi="Times New Roman" w:cs="Times New Roman"/>
                <w:noProof/>
                <w:sz w:val="24"/>
                <w:szCs w:val="24"/>
              </w:rPr>
              <w:t>2.0 Background of the company</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_Toc67325355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3</w:t>
            </w:r>
            <w:r w:rsidR="00665F85" w:rsidRPr="00027BF4">
              <w:rPr>
                <w:rFonts w:ascii="Times New Roman" w:hAnsi="Times New Roman" w:cs="Times New Roman"/>
                <w:noProof/>
                <w:webHidden/>
                <w:sz w:val="24"/>
                <w:szCs w:val="24"/>
              </w:rPr>
              <w:fldChar w:fldCharType="end"/>
            </w:r>
          </w:hyperlink>
        </w:p>
        <w:p w14:paraId="2A82E7CA"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56" w:history="1">
            <w:r w:rsidR="00665F85" w:rsidRPr="00027BF4">
              <w:rPr>
                <w:rStyle w:val="Hipersaitas"/>
                <w:rFonts w:ascii="Times New Roman" w:hAnsi="Times New Roman" w:cs="Times New Roman"/>
                <w:noProof/>
                <w:sz w:val="24"/>
                <w:szCs w:val="24"/>
              </w:rPr>
              <w:t>3.0 Strategic resourcing (as a component of SHRM and SIHRM) as an instrument for business</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_Toc67325356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4</w:t>
            </w:r>
            <w:r w:rsidR="00665F85" w:rsidRPr="00027BF4">
              <w:rPr>
                <w:rFonts w:ascii="Times New Roman" w:hAnsi="Times New Roman" w:cs="Times New Roman"/>
                <w:noProof/>
                <w:webHidden/>
                <w:sz w:val="24"/>
                <w:szCs w:val="24"/>
              </w:rPr>
              <w:fldChar w:fldCharType="end"/>
            </w:r>
          </w:hyperlink>
        </w:p>
        <w:p w14:paraId="7B02F2C4"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57" w:history="1">
            <w:r w:rsidR="00665F85" w:rsidRPr="00027BF4">
              <w:rPr>
                <w:rStyle w:val="Hipersaitas"/>
                <w:rFonts w:ascii="Times New Roman" w:hAnsi="Times New Roman" w:cs="Times New Roman"/>
                <w:noProof/>
                <w:sz w:val="24"/>
                <w:szCs w:val="24"/>
              </w:rPr>
              <w:t>4.0 Critical evaluation of internal and external environment factors around Samsung in the context of resourcing targets</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_Toc67325357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6</w:t>
            </w:r>
            <w:r w:rsidR="00665F85" w:rsidRPr="00027BF4">
              <w:rPr>
                <w:rFonts w:ascii="Times New Roman" w:hAnsi="Times New Roman" w:cs="Times New Roman"/>
                <w:noProof/>
                <w:webHidden/>
                <w:sz w:val="24"/>
                <w:szCs w:val="24"/>
              </w:rPr>
              <w:fldChar w:fldCharType="end"/>
            </w:r>
          </w:hyperlink>
        </w:p>
        <w:p w14:paraId="3B2846DC" w14:textId="77777777" w:rsidR="00027BF4" w:rsidRPr="00027BF4" w:rsidRDefault="00CD6083" w:rsidP="00027BF4">
          <w:pPr>
            <w:pStyle w:val="Turinys2"/>
            <w:tabs>
              <w:tab w:val="right" w:leader="dot" w:pos="9350"/>
            </w:tabs>
            <w:spacing w:line="360" w:lineRule="auto"/>
            <w:jc w:val="both"/>
            <w:rPr>
              <w:rFonts w:ascii="Times New Roman" w:hAnsi="Times New Roman" w:cs="Times New Roman"/>
              <w:noProof/>
              <w:sz w:val="24"/>
              <w:szCs w:val="24"/>
            </w:rPr>
          </w:pPr>
          <w:hyperlink w:anchor="_Toc67325358" w:history="1">
            <w:r w:rsidR="00665F85" w:rsidRPr="00027BF4">
              <w:rPr>
                <w:rStyle w:val="Hipersaitas"/>
                <w:rFonts w:ascii="Times New Roman" w:hAnsi="Times New Roman" w:cs="Times New Roman"/>
                <w:noProof/>
                <w:sz w:val="24"/>
                <w:szCs w:val="24"/>
              </w:rPr>
              <w:t>4.1 External Environment</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_Toc67325358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6</w:t>
            </w:r>
            <w:r w:rsidR="00665F85" w:rsidRPr="00027BF4">
              <w:rPr>
                <w:rFonts w:ascii="Times New Roman" w:hAnsi="Times New Roman" w:cs="Times New Roman"/>
                <w:noProof/>
                <w:webHidden/>
                <w:sz w:val="24"/>
                <w:szCs w:val="24"/>
              </w:rPr>
              <w:fldChar w:fldCharType="end"/>
            </w:r>
          </w:hyperlink>
        </w:p>
        <w:p w14:paraId="133330EE" w14:textId="77777777" w:rsidR="00027BF4" w:rsidRPr="00027BF4" w:rsidRDefault="00CD6083" w:rsidP="00027BF4">
          <w:pPr>
            <w:pStyle w:val="Turinys2"/>
            <w:tabs>
              <w:tab w:val="right" w:leader="dot" w:pos="9350"/>
            </w:tabs>
            <w:spacing w:line="360" w:lineRule="auto"/>
            <w:jc w:val="both"/>
            <w:rPr>
              <w:rFonts w:ascii="Times New Roman" w:hAnsi="Times New Roman" w:cs="Times New Roman"/>
              <w:noProof/>
              <w:sz w:val="24"/>
              <w:szCs w:val="24"/>
            </w:rPr>
          </w:pPr>
          <w:hyperlink w:anchor="_Toc67325359" w:history="1">
            <w:r w:rsidR="00665F85" w:rsidRPr="00027BF4">
              <w:rPr>
                <w:rStyle w:val="Hipersaitas"/>
                <w:rFonts w:ascii="Times New Roman" w:hAnsi="Times New Roman" w:cs="Times New Roman"/>
                <w:noProof/>
                <w:sz w:val="24"/>
                <w:szCs w:val="24"/>
              </w:rPr>
              <w:t>4.2 Internal Environment</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_Toc67325359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12</w:t>
            </w:r>
            <w:r w:rsidR="00665F85" w:rsidRPr="00027BF4">
              <w:rPr>
                <w:rFonts w:ascii="Times New Roman" w:hAnsi="Times New Roman" w:cs="Times New Roman"/>
                <w:noProof/>
                <w:webHidden/>
                <w:sz w:val="24"/>
                <w:szCs w:val="24"/>
              </w:rPr>
              <w:fldChar w:fldCharType="end"/>
            </w:r>
          </w:hyperlink>
        </w:p>
        <w:p w14:paraId="2DE8C71F"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60" w:history="1">
            <w:r w:rsidR="00665F85" w:rsidRPr="00027BF4">
              <w:rPr>
                <w:rStyle w:val="Hipersaitas"/>
                <w:rFonts w:ascii="Times New Roman" w:hAnsi="Times New Roman" w:cs="Times New Roman"/>
                <w:noProof/>
                <w:sz w:val="24"/>
                <w:szCs w:val="24"/>
              </w:rPr>
              <w:t>6.0 Application of strategic HRM policy for responding to environmental changes</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_Toc67325360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13</w:t>
            </w:r>
            <w:r w:rsidR="00665F85" w:rsidRPr="00027BF4">
              <w:rPr>
                <w:rFonts w:ascii="Times New Roman" w:hAnsi="Times New Roman" w:cs="Times New Roman"/>
                <w:noProof/>
                <w:webHidden/>
                <w:sz w:val="24"/>
                <w:szCs w:val="24"/>
              </w:rPr>
              <w:fldChar w:fldCharType="end"/>
            </w:r>
          </w:hyperlink>
        </w:p>
        <w:p w14:paraId="562BADA1"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61" w:history="1">
            <w:r w:rsidR="00665F85" w:rsidRPr="00027BF4">
              <w:rPr>
                <w:rStyle w:val="Hipersaitas"/>
                <w:rFonts w:ascii="Times New Roman" w:hAnsi="Times New Roman" w:cs="Times New Roman"/>
                <w:noProof/>
                <w:sz w:val="24"/>
                <w:szCs w:val="24"/>
              </w:rPr>
              <w:t>7.0 Conclusion</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_Toc67325361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14</w:t>
            </w:r>
            <w:r w:rsidR="00665F85" w:rsidRPr="00027BF4">
              <w:rPr>
                <w:rFonts w:ascii="Times New Roman" w:hAnsi="Times New Roman" w:cs="Times New Roman"/>
                <w:noProof/>
                <w:webHidden/>
                <w:sz w:val="24"/>
                <w:szCs w:val="24"/>
              </w:rPr>
              <w:fldChar w:fldCharType="end"/>
            </w:r>
          </w:hyperlink>
        </w:p>
        <w:p w14:paraId="64B0CA42"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62" w:history="1">
            <w:r w:rsidR="00665F85" w:rsidRPr="00027BF4">
              <w:rPr>
                <w:rStyle w:val="Hipersaitas"/>
                <w:rFonts w:ascii="Times New Roman" w:hAnsi="Times New Roman" w:cs="Times New Roman"/>
                <w:noProof/>
                <w:sz w:val="24"/>
                <w:szCs w:val="24"/>
              </w:rPr>
              <w:t>8.0 Recommendations</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_Toc67325362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14</w:t>
            </w:r>
            <w:r w:rsidR="00665F85" w:rsidRPr="00027BF4">
              <w:rPr>
                <w:rFonts w:ascii="Times New Roman" w:hAnsi="Times New Roman" w:cs="Times New Roman"/>
                <w:noProof/>
                <w:webHidden/>
                <w:sz w:val="24"/>
                <w:szCs w:val="24"/>
              </w:rPr>
              <w:fldChar w:fldCharType="end"/>
            </w:r>
          </w:hyperlink>
        </w:p>
        <w:p w14:paraId="6D4C3ED5" w14:textId="77777777" w:rsidR="00027BF4" w:rsidRPr="00027BF4" w:rsidRDefault="00CD6083" w:rsidP="00027BF4">
          <w:pPr>
            <w:pStyle w:val="Turinys1"/>
            <w:tabs>
              <w:tab w:val="right" w:leader="dot" w:pos="9350"/>
            </w:tabs>
            <w:spacing w:line="360" w:lineRule="auto"/>
            <w:jc w:val="both"/>
            <w:rPr>
              <w:rFonts w:ascii="Times New Roman" w:hAnsi="Times New Roman" w:cs="Times New Roman"/>
              <w:noProof/>
              <w:sz w:val="24"/>
              <w:szCs w:val="24"/>
            </w:rPr>
          </w:pPr>
          <w:hyperlink w:anchor="_Toc67325363" w:history="1">
            <w:r w:rsidR="00665F85" w:rsidRPr="00027BF4">
              <w:rPr>
                <w:rStyle w:val="Hipersaitas"/>
                <w:rFonts w:ascii="Times New Roman" w:hAnsi="Times New Roman" w:cs="Times New Roman"/>
                <w:noProof/>
                <w:sz w:val="24"/>
                <w:szCs w:val="24"/>
              </w:rPr>
              <w:t>References</w:t>
            </w:r>
            <w:r w:rsidR="00665F85" w:rsidRPr="00027BF4">
              <w:rPr>
                <w:rFonts w:ascii="Times New Roman" w:hAnsi="Times New Roman" w:cs="Times New Roman"/>
                <w:noProof/>
                <w:webHidden/>
                <w:sz w:val="24"/>
                <w:szCs w:val="24"/>
              </w:rPr>
              <w:tab/>
            </w:r>
            <w:r w:rsidR="00665F85" w:rsidRPr="00027BF4">
              <w:rPr>
                <w:rFonts w:ascii="Times New Roman" w:hAnsi="Times New Roman" w:cs="Times New Roman"/>
                <w:noProof/>
                <w:webHidden/>
                <w:sz w:val="24"/>
                <w:szCs w:val="24"/>
              </w:rPr>
              <w:fldChar w:fldCharType="begin"/>
            </w:r>
            <w:r w:rsidR="00665F85" w:rsidRPr="00027BF4">
              <w:rPr>
                <w:rFonts w:ascii="Times New Roman" w:hAnsi="Times New Roman" w:cs="Times New Roman"/>
                <w:noProof/>
                <w:webHidden/>
                <w:sz w:val="24"/>
                <w:szCs w:val="24"/>
              </w:rPr>
              <w:instrText xml:space="preserve"> PAGEREF _Toc67325363 \h </w:instrText>
            </w:r>
            <w:r w:rsidR="00665F85" w:rsidRPr="00027BF4">
              <w:rPr>
                <w:rFonts w:ascii="Times New Roman" w:hAnsi="Times New Roman" w:cs="Times New Roman"/>
                <w:noProof/>
                <w:webHidden/>
                <w:sz w:val="24"/>
                <w:szCs w:val="24"/>
              </w:rPr>
            </w:r>
            <w:r w:rsidR="00665F85" w:rsidRPr="00027BF4">
              <w:rPr>
                <w:rFonts w:ascii="Times New Roman" w:hAnsi="Times New Roman" w:cs="Times New Roman"/>
                <w:noProof/>
                <w:webHidden/>
                <w:sz w:val="24"/>
                <w:szCs w:val="24"/>
              </w:rPr>
              <w:fldChar w:fldCharType="separate"/>
            </w:r>
            <w:r w:rsidR="00665F85" w:rsidRPr="00027BF4">
              <w:rPr>
                <w:rFonts w:ascii="Times New Roman" w:hAnsi="Times New Roman" w:cs="Times New Roman"/>
                <w:noProof/>
                <w:webHidden/>
                <w:sz w:val="24"/>
                <w:szCs w:val="24"/>
              </w:rPr>
              <w:t>16</w:t>
            </w:r>
            <w:r w:rsidR="00665F85" w:rsidRPr="00027BF4">
              <w:rPr>
                <w:rFonts w:ascii="Times New Roman" w:hAnsi="Times New Roman" w:cs="Times New Roman"/>
                <w:noProof/>
                <w:webHidden/>
                <w:sz w:val="24"/>
                <w:szCs w:val="24"/>
              </w:rPr>
              <w:fldChar w:fldCharType="end"/>
            </w:r>
          </w:hyperlink>
        </w:p>
        <w:p w14:paraId="2113710F" w14:textId="77777777" w:rsidR="00027BF4" w:rsidRDefault="00665F85" w:rsidP="00027BF4">
          <w:pPr>
            <w:spacing w:line="360" w:lineRule="auto"/>
            <w:jc w:val="both"/>
          </w:pPr>
          <w:r w:rsidRPr="00027BF4">
            <w:rPr>
              <w:rFonts w:ascii="Times New Roman" w:hAnsi="Times New Roman" w:cs="Times New Roman"/>
              <w:b/>
              <w:bCs/>
              <w:noProof/>
              <w:sz w:val="24"/>
              <w:szCs w:val="24"/>
            </w:rPr>
            <w:fldChar w:fldCharType="end"/>
          </w:r>
        </w:p>
      </w:sdtContent>
    </w:sdt>
    <w:p w14:paraId="01E513B6" w14:textId="77777777" w:rsidR="00027BF4" w:rsidRDefault="00665F85">
      <w:pPr>
        <w:rPr>
          <w:rFonts w:ascii="Times New Roman" w:hAnsi="Times New Roman"/>
          <w:b/>
          <w:color w:val="000000" w:themeColor="text1"/>
          <w:sz w:val="28"/>
          <w:szCs w:val="40"/>
        </w:rPr>
      </w:pPr>
      <w:r>
        <w:br w:type="page"/>
      </w:r>
    </w:p>
    <w:p w14:paraId="4C31D6A1" w14:textId="77777777" w:rsidR="00665FA4" w:rsidRPr="006E53C8" w:rsidRDefault="00665F85" w:rsidP="00027BF4">
      <w:pPr>
        <w:pStyle w:val="Antrat1"/>
      </w:pPr>
      <w:bookmarkStart w:id="0" w:name="_Toc67325354"/>
      <w:r w:rsidRPr="006E53C8">
        <w:lastRenderedPageBreak/>
        <w:t>1.0 Introduction</w:t>
      </w:r>
      <w:bookmarkEnd w:id="0"/>
      <w:r w:rsidRPr="006E53C8">
        <w:t xml:space="preserve"> </w:t>
      </w:r>
    </w:p>
    <w:p w14:paraId="2F03AA18"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As a result of the dynamic and challenging business environment, typical organisations have to utilise information accurately and assess their internal and external circumstances. This allows the firms to establish suitable strategic, operational, and tactical choices that allow decisions to be undertaken for strategic choices. It is therefore understood that management does not solely depend on capital, human labour, or resource utilisation. Instead, it depends on a knowledge-based </w:t>
      </w:r>
      <w:r w:rsidR="006E53C8" w:rsidRPr="006E53C8">
        <w:rPr>
          <w:rFonts w:ascii="Times New Roman" w:eastAsia="Times New Roman" w:hAnsi="Times New Roman" w:cs="Times New Roman"/>
          <w:color w:val="000000" w:themeColor="text1"/>
          <w:sz w:val="24"/>
          <w:szCs w:val="24"/>
        </w:rPr>
        <w:t>view that</w:t>
      </w:r>
      <w:r w:rsidRPr="006E53C8">
        <w:rPr>
          <w:rFonts w:ascii="Times New Roman" w:eastAsia="Times New Roman" w:hAnsi="Times New Roman" w:cs="Times New Roman"/>
          <w:color w:val="000000" w:themeColor="text1"/>
          <w:sz w:val="24"/>
          <w:szCs w:val="24"/>
        </w:rPr>
        <w:t xml:space="preserve"> allows them to use each criterion efficiently (Shujahat et al., 2017). This would allow the organisation into working towards its full potential, thus leaving behind other competitors in the interim. The study will provide a similar outlook on the organisation of Samsung. It will look into the potential of its strategic resourcing capacity, and report on the current internal and external market parameters. That will focus on how the company moves into a strategic position in the market and adjusts its workforce for the same. The recommendations will be formed as per the same requirements. </w:t>
      </w:r>
    </w:p>
    <w:p w14:paraId="3AA12FC3" w14:textId="77777777" w:rsidR="00665FA4" w:rsidRPr="006E53C8" w:rsidRDefault="00665FA4">
      <w:pPr>
        <w:spacing w:line="360" w:lineRule="auto"/>
        <w:jc w:val="both"/>
        <w:rPr>
          <w:rFonts w:ascii="Times New Roman" w:eastAsia="Times New Roman" w:hAnsi="Times New Roman" w:cs="Times New Roman"/>
          <w:b/>
          <w:color w:val="000000" w:themeColor="text1"/>
          <w:sz w:val="28"/>
          <w:szCs w:val="28"/>
        </w:rPr>
      </w:pPr>
    </w:p>
    <w:p w14:paraId="54B22BE6" w14:textId="77777777" w:rsidR="00665FA4" w:rsidRPr="006E53C8" w:rsidRDefault="00665F85" w:rsidP="00027BF4">
      <w:pPr>
        <w:pStyle w:val="Antrat1"/>
      </w:pPr>
      <w:bookmarkStart w:id="1" w:name="_Toc67325355"/>
      <w:r w:rsidRPr="006E53C8">
        <w:t>2.0 Background of the company</w:t>
      </w:r>
      <w:bookmarkEnd w:id="1"/>
      <w:r w:rsidRPr="006E53C8">
        <w:t xml:space="preserve"> </w:t>
      </w:r>
    </w:p>
    <w:p w14:paraId="524AEB26"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multinational conglomerate of Samsung is technically headquartered in the country of South Korea. However, upon its incorporation in the year of 1938, the company has created many affiliated businesses united under a single brand. Upon entering the electronics industry, the organisation has targeted many hardware related changes representing other industries. These involve telecommunications and construction (Samsung Electronics America, 2021). Its growth however has resulted from the sale of chip </w:t>
      </w:r>
      <w:r w:rsidR="001C249A" w:rsidRPr="006E53C8">
        <w:rPr>
          <w:rFonts w:ascii="Times New Roman" w:eastAsia="Times New Roman" w:hAnsi="Times New Roman" w:cs="Times New Roman"/>
          <w:color w:val="000000" w:themeColor="text1"/>
          <w:sz w:val="24"/>
          <w:szCs w:val="24"/>
        </w:rPr>
        <w:t>products that</w:t>
      </w:r>
      <w:r w:rsidRPr="006E53C8">
        <w:rPr>
          <w:rFonts w:ascii="Times New Roman" w:eastAsia="Times New Roman" w:hAnsi="Times New Roman" w:cs="Times New Roman"/>
          <w:color w:val="000000" w:themeColor="text1"/>
          <w:sz w:val="24"/>
          <w:szCs w:val="24"/>
        </w:rPr>
        <w:t xml:space="preserve"> has allowed the company to restructure its device solutions division. Where one department will look towards the engineering of the fourth generation 10 nanometer level DRAM, while others will look after the seventh generation V-NAND (ThePioneer, 2021). These strategies have enabled the enterprise to accomplish a revenue of 66.96 trillion and a consolidated operating profit of 12.35 trillion. A key challenge for Samsung has been to understand its global supply chain specifications, with aggressive changes around the environment. The management around the same led to an operating profit of 59% through the year on the sale of memory chips (News.samsung.com, 2021). The concentrated demand for mobile </w:t>
      </w:r>
      <w:r w:rsidRPr="006E53C8">
        <w:rPr>
          <w:rFonts w:ascii="Times New Roman" w:eastAsia="Times New Roman" w:hAnsi="Times New Roman" w:cs="Times New Roman"/>
          <w:color w:val="000000" w:themeColor="text1"/>
          <w:sz w:val="24"/>
          <w:szCs w:val="24"/>
        </w:rPr>
        <w:lastRenderedPageBreak/>
        <w:t xml:space="preserve">and PC related products increased the overall shipments. This made way for a 52% rise in the sale from the previous quarter. </w:t>
      </w:r>
    </w:p>
    <w:p w14:paraId="1F2BED6B" w14:textId="77777777" w:rsidR="00665FA4" w:rsidRPr="006E53C8" w:rsidRDefault="00665FA4">
      <w:pPr>
        <w:spacing w:line="360" w:lineRule="auto"/>
        <w:jc w:val="both"/>
        <w:rPr>
          <w:rFonts w:ascii="Times New Roman" w:eastAsia="Times New Roman" w:hAnsi="Times New Roman" w:cs="Times New Roman"/>
          <w:b/>
          <w:color w:val="000000" w:themeColor="text1"/>
          <w:sz w:val="28"/>
          <w:szCs w:val="28"/>
        </w:rPr>
      </w:pPr>
    </w:p>
    <w:p w14:paraId="733FE8D3" w14:textId="77777777" w:rsidR="00665FA4" w:rsidRPr="006E53C8" w:rsidRDefault="00665F85" w:rsidP="00027BF4">
      <w:pPr>
        <w:pStyle w:val="Antrat1"/>
      </w:pPr>
      <w:bookmarkStart w:id="2" w:name="_Toc67325356"/>
      <w:r w:rsidRPr="006E53C8">
        <w:t>3.0 Strategic resourcing (as a component of SHRM and SIHRM) as an instrument for business</w:t>
      </w:r>
      <w:bookmarkEnd w:id="2"/>
      <w:r w:rsidRPr="006E53C8">
        <w:t xml:space="preserve"> </w:t>
      </w:r>
    </w:p>
    <w:p w14:paraId="75D3E760"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An essential concern for major businesses across the globe is to manage the turnover of skilful staff. Due to increased costs and productivity lost through the same cycle. The human resource becomes a valuable asset under such a </w:t>
      </w:r>
      <w:r w:rsidR="001C249A" w:rsidRPr="006E53C8">
        <w:rPr>
          <w:rFonts w:ascii="Times New Roman" w:eastAsia="Times New Roman" w:hAnsi="Times New Roman" w:cs="Times New Roman"/>
          <w:color w:val="000000" w:themeColor="text1"/>
          <w:sz w:val="24"/>
          <w:szCs w:val="24"/>
        </w:rPr>
        <w:t>consideration that</w:t>
      </w:r>
      <w:r w:rsidRPr="006E53C8">
        <w:rPr>
          <w:rFonts w:ascii="Times New Roman" w:eastAsia="Times New Roman" w:hAnsi="Times New Roman" w:cs="Times New Roman"/>
          <w:color w:val="000000" w:themeColor="text1"/>
          <w:sz w:val="24"/>
          <w:szCs w:val="24"/>
        </w:rPr>
        <w:t xml:space="preserve"> enables its staff to organise their resource-oriented solutions that in turn contributes to the goal of the firm. </w:t>
      </w:r>
    </w:p>
    <w:p w14:paraId="5D605079"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highlight w:val="white"/>
        </w:rPr>
      </w:pPr>
      <w:r w:rsidRPr="006E53C8">
        <w:rPr>
          <w:rFonts w:ascii="Times New Roman" w:eastAsia="Times New Roman" w:hAnsi="Times New Roman" w:cs="Times New Roman"/>
          <w:color w:val="000000" w:themeColor="text1"/>
          <w:sz w:val="24"/>
          <w:szCs w:val="24"/>
        </w:rPr>
        <w:t xml:space="preserve">As per the notions outlined by </w:t>
      </w:r>
      <w:r w:rsidRPr="006E53C8">
        <w:rPr>
          <w:rFonts w:ascii="Times New Roman" w:eastAsia="Times New Roman" w:hAnsi="Times New Roman" w:cs="Times New Roman"/>
          <w:color w:val="000000" w:themeColor="text1"/>
          <w:sz w:val="24"/>
          <w:szCs w:val="24"/>
          <w:highlight w:val="white"/>
        </w:rPr>
        <w:t>Azeez (2017), there is a positive relationship between employee retention and HRM practices. It means the arrangement around the organisation should be conducive enough to aid employees and reduce their absenteeism, quality of work, or leaving at an untimely duration. In a company like Samsung, larger importance is given to its innovative practices and nurturing a culture that brings about proficiency in the process. While engagement is an essential component for the company before recruiting an employee, its wider portfolio creates a competitive industry around them that requires specific skill sets. A similar indication is made by the vice-president of human resources in the company Tess Smillie in the UK branch. The VP explains that a wider portfolio often appeals to employees from many locations across the world (</w:t>
      </w:r>
      <w:r w:rsidRPr="006E53C8">
        <w:rPr>
          <w:rFonts w:ascii="Times New Roman" w:eastAsia="Times New Roman" w:hAnsi="Times New Roman" w:cs="Times New Roman"/>
          <w:color w:val="000000" w:themeColor="text1"/>
          <w:sz w:val="24"/>
          <w:szCs w:val="24"/>
        </w:rPr>
        <w:t>Crawford, 2021)</w:t>
      </w:r>
      <w:r w:rsidRPr="006E53C8">
        <w:rPr>
          <w:rFonts w:ascii="Times New Roman" w:eastAsia="Times New Roman" w:hAnsi="Times New Roman" w:cs="Times New Roman"/>
          <w:color w:val="000000" w:themeColor="text1"/>
          <w:sz w:val="24"/>
          <w:szCs w:val="24"/>
          <w:highlight w:val="white"/>
        </w:rPr>
        <w:t>. This is much higher in comparison to employees lost to competition over the years. This assists the firm in executing plans before assigning resources.</w:t>
      </w:r>
    </w:p>
    <w:p w14:paraId="52FC22E0"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highlight w:val="white"/>
        </w:rPr>
      </w:pPr>
      <w:r w:rsidRPr="006E53C8">
        <w:rPr>
          <w:rFonts w:ascii="Times New Roman" w:eastAsia="Times New Roman" w:hAnsi="Times New Roman" w:cs="Times New Roman"/>
          <w:color w:val="000000" w:themeColor="text1"/>
          <w:sz w:val="24"/>
          <w:szCs w:val="24"/>
          <w:highlight w:val="white"/>
        </w:rPr>
        <w:t>Furthermore, the company Samsung believes that if the right pay systems are aligned with talent and a skilled set in an employee. That will contribute to resources getting distributed properly. For instance, this organisation often supplements the base salary of employees from its mobile divisions through yearly bonuses. These bonuses are capped at 50% of the employee salary and can exceed with increasing internal profits around other divisions as well (</w:t>
      </w:r>
      <w:r w:rsidRPr="006E53C8">
        <w:rPr>
          <w:rFonts w:ascii="Times New Roman" w:eastAsia="Times New Roman" w:hAnsi="Times New Roman" w:cs="Times New Roman"/>
          <w:color w:val="000000" w:themeColor="text1"/>
          <w:sz w:val="24"/>
          <w:szCs w:val="24"/>
        </w:rPr>
        <w:t>Carlon, 2021)</w:t>
      </w:r>
      <w:r w:rsidRPr="006E53C8">
        <w:rPr>
          <w:rFonts w:ascii="Times New Roman" w:eastAsia="Times New Roman" w:hAnsi="Times New Roman" w:cs="Times New Roman"/>
          <w:color w:val="000000" w:themeColor="text1"/>
          <w:sz w:val="24"/>
          <w:szCs w:val="24"/>
          <w:highlight w:val="white"/>
        </w:rPr>
        <w:t xml:space="preserve">. This allows the employees to be technically motivated before overcoming challenges during resource utilisation. That in turn contributes enormously towards their experience as well especially with volatile changes taking place around the environment. Another distribution that sets apart any business with regards to resource planning, is by recognising the opportunities and unique </w:t>
      </w:r>
      <w:r w:rsidRPr="006E53C8">
        <w:rPr>
          <w:rFonts w:ascii="Times New Roman" w:eastAsia="Times New Roman" w:hAnsi="Times New Roman" w:cs="Times New Roman"/>
          <w:color w:val="000000" w:themeColor="text1"/>
          <w:sz w:val="24"/>
          <w:szCs w:val="24"/>
          <w:highlight w:val="white"/>
        </w:rPr>
        <w:lastRenderedPageBreak/>
        <w:t>improvements around organisational process implementation (</w:t>
      </w:r>
      <w:r w:rsidRPr="006E53C8">
        <w:rPr>
          <w:rFonts w:ascii="Times New Roman" w:eastAsia="Times New Roman" w:hAnsi="Times New Roman" w:cs="Times New Roman"/>
          <w:color w:val="000000" w:themeColor="text1"/>
          <w:sz w:val="24"/>
          <w:szCs w:val="24"/>
        </w:rPr>
        <w:t>Abdullah, 2017)</w:t>
      </w:r>
      <w:r w:rsidRPr="006E53C8">
        <w:rPr>
          <w:rFonts w:ascii="Times New Roman" w:eastAsia="Times New Roman" w:hAnsi="Times New Roman" w:cs="Times New Roman"/>
          <w:color w:val="000000" w:themeColor="text1"/>
          <w:sz w:val="24"/>
          <w:szCs w:val="24"/>
          <w:highlight w:val="white"/>
        </w:rPr>
        <w:t>. The same strategy allowed Samsung to be transformed from an ordinary OEM manufacturing company into a world-class performer for mobile technology (</w:t>
      </w:r>
      <w:r w:rsidRPr="006E53C8">
        <w:rPr>
          <w:rFonts w:ascii="Times New Roman" w:eastAsia="Times New Roman" w:hAnsi="Times New Roman" w:cs="Times New Roman"/>
          <w:color w:val="000000" w:themeColor="text1"/>
          <w:sz w:val="24"/>
          <w:szCs w:val="24"/>
        </w:rPr>
        <w:t>Selko, 2021)</w:t>
      </w:r>
      <w:r w:rsidRPr="006E53C8">
        <w:rPr>
          <w:rFonts w:ascii="Times New Roman" w:eastAsia="Times New Roman" w:hAnsi="Times New Roman" w:cs="Times New Roman"/>
          <w:color w:val="000000" w:themeColor="text1"/>
          <w:sz w:val="24"/>
          <w:szCs w:val="24"/>
          <w:highlight w:val="white"/>
        </w:rPr>
        <w:t xml:space="preserve">. While it was executed by the global chairman of the company Lee, that allowed a corporate transformation within the company, it also assisted the employees with diverse skill sets to integrate their performance through R&amp;D, design efficiencies, and brand marketing. Certain human resource strategies can be executed by the company. </w:t>
      </w:r>
    </w:p>
    <w:p w14:paraId="2DD2BAF3" w14:textId="77777777" w:rsidR="00665FA4" w:rsidRPr="006E53C8" w:rsidRDefault="00665F85">
      <w:pPr>
        <w:numPr>
          <w:ilvl w:val="0"/>
          <w:numId w:val="4"/>
        </w:numPr>
        <w:spacing w:line="360" w:lineRule="auto"/>
        <w:jc w:val="both"/>
        <w:rPr>
          <w:rFonts w:ascii="Times New Roman" w:eastAsia="Times New Roman" w:hAnsi="Times New Roman" w:cs="Times New Roman"/>
          <w:b/>
          <w:color w:val="000000" w:themeColor="text1"/>
          <w:sz w:val="24"/>
          <w:szCs w:val="24"/>
          <w:highlight w:val="white"/>
        </w:rPr>
      </w:pPr>
      <w:r w:rsidRPr="006E53C8">
        <w:rPr>
          <w:rFonts w:ascii="Times New Roman" w:eastAsia="Times New Roman" w:hAnsi="Times New Roman" w:cs="Times New Roman"/>
          <w:b/>
          <w:color w:val="000000" w:themeColor="text1"/>
          <w:sz w:val="24"/>
          <w:szCs w:val="24"/>
          <w:highlight w:val="white"/>
        </w:rPr>
        <w:t xml:space="preserve">The collaboration of technology and human skills at the forefront of innovation: </w:t>
      </w:r>
      <w:r w:rsidRPr="006E53C8">
        <w:rPr>
          <w:rFonts w:ascii="Times New Roman" w:eastAsia="Times New Roman" w:hAnsi="Times New Roman" w:cs="Times New Roman"/>
          <w:color w:val="000000" w:themeColor="text1"/>
          <w:sz w:val="24"/>
          <w:szCs w:val="24"/>
          <w:highlight w:val="white"/>
        </w:rPr>
        <w:t>As per the reports commissioned by the organisation of Samsung, the future is set to be elevated for the company through its human resource management practice. This practice of ‘Open-economy’ allows the organisation to utilise flexible freelancers to control the resources of the company. This will potentially help the employees to use their own mobile devices to maximise the advantage of newer technology. It will permit the workforce to be 40% more self-employed than before (</w:t>
      </w:r>
      <w:r w:rsidRPr="006E53C8">
        <w:rPr>
          <w:rFonts w:ascii="Times New Roman" w:eastAsia="Times New Roman" w:hAnsi="Times New Roman" w:cs="Times New Roman"/>
          <w:color w:val="000000" w:themeColor="text1"/>
          <w:sz w:val="24"/>
          <w:szCs w:val="24"/>
        </w:rPr>
        <w:t>Personneltoday.com, 2021)</w:t>
      </w:r>
      <w:r w:rsidRPr="006E53C8">
        <w:rPr>
          <w:rFonts w:ascii="Times New Roman" w:eastAsia="Times New Roman" w:hAnsi="Times New Roman" w:cs="Times New Roman"/>
          <w:color w:val="000000" w:themeColor="text1"/>
          <w:sz w:val="24"/>
          <w:szCs w:val="24"/>
          <w:highlight w:val="white"/>
        </w:rPr>
        <w:t xml:space="preserve">. </w:t>
      </w:r>
    </w:p>
    <w:p w14:paraId="085AD260" w14:textId="77777777" w:rsidR="00665FA4" w:rsidRPr="006E53C8" w:rsidRDefault="00665F85">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6E53C8">
        <w:rPr>
          <w:rFonts w:ascii="Times New Roman" w:eastAsia="Times New Roman" w:hAnsi="Times New Roman" w:cs="Times New Roman"/>
          <w:color w:val="000000" w:themeColor="text1"/>
          <w:sz w:val="24"/>
          <w:szCs w:val="24"/>
          <w:highlight w:val="white"/>
        </w:rPr>
        <w:t>Other HRM strategies</w:t>
      </w:r>
    </w:p>
    <w:p w14:paraId="1F45550A" w14:textId="77777777" w:rsidR="00665FA4" w:rsidRPr="006E53C8" w:rsidRDefault="00665F85">
      <w:pPr>
        <w:numPr>
          <w:ilvl w:val="0"/>
          <w:numId w:val="5"/>
        </w:numPr>
        <w:spacing w:line="360" w:lineRule="auto"/>
        <w:jc w:val="both"/>
        <w:rPr>
          <w:rFonts w:ascii="Times New Roman" w:eastAsia="Times New Roman" w:hAnsi="Times New Roman" w:cs="Times New Roman"/>
          <w:b/>
          <w:color w:val="000000" w:themeColor="text1"/>
          <w:sz w:val="24"/>
          <w:szCs w:val="24"/>
          <w:highlight w:val="white"/>
        </w:rPr>
      </w:pPr>
      <w:r w:rsidRPr="006E53C8">
        <w:rPr>
          <w:rFonts w:ascii="Times New Roman" w:eastAsia="Times New Roman" w:hAnsi="Times New Roman" w:cs="Times New Roman"/>
          <w:b/>
          <w:color w:val="000000" w:themeColor="text1"/>
          <w:sz w:val="24"/>
          <w:szCs w:val="24"/>
          <w:highlight w:val="white"/>
        </w:rPr>
        <w:t xml:space="preserve">Boosting engagement through flexible benefits: </w:t>
      </w:r>
      <w:r w:rsidRPr="006E53C8">
        <w:rPr>
          <w:rFonts w:ascii="Times New Roman" w:eastAsia="Times New Roman" w:hAnsi="Times New Roman" w:cs="Times New Roman"/>
          <w:color w:val="000000" w:themeColor="text1"/>
          <w:sz w:val="24"/>
          <w:szCs w:val="24"/>
          <w:highlight w:val="white"/>
        </w:rPr>
        <w:t>Since the 2013 rebranding programme, the organisation of Samsung have restructured their communication strategy. This has helped around 86% of the employees to respond in time (</w:t>
      </w:r>
      <w:r w:rsidRPr="006E53C8">
        <w:rPr>
          <w:rFonts w:ascii="Times New Roman" w:eastAsia="Times New Roman" w:hAnsi="Times New Roman" w:cs="Times New Roman"/>
          <w:color w:val="000000" w:themeColor="text1"/>
          <w:sz w:val="24"/>
          <w:szCs w:val="24"/>
        </w:rPr>
        <w:t>Crawford, 2021)</w:t>
      </w:r>
      <w:r w:rsidRPr="006E53C8">
        <w:rPr>
          <w:rFonts w:ascii="Times New Roman" w:eastAsia="Times New Roman" w:hAnsi="Times New Roman" w:cs="Times New Roman"/>
          <w:color w:val="000000" w:themeColor="text1"/>
          <w:sz w:val="24"/>
          <w:szCs w:val="24"/>
          <w:highlight w:val="white"/>
        </w:rPr>
        <w:t xml:space="preserve">. </w:t>
      </w:r>
    </w:p>
    <w:p w14:paraId="41DC21E5" w14:textId="77777777" w:rsidR="00665FA4" w:rsidRPr="006E53C8" w:rsidRDefault="00665F85">
      <w:pPr>
        <w:numPr>
          <w:ilvl w:val="0"/>
          <w:numId w:val="5"/>
        </w:numPr>
        <w:spacing w:line="360" w:lineRule="auto"/>
        <w:jc w:val="both"/>
        <w:rPr>
          <w:rFonts w:ascii="Times New Roman" w:eastAsia="Times New Roman" w:hAnsi="Times New Roman" w:cs="Times New Roman"/>
          <w:b/>
          <w:color w:val="000000" w:themeColor="text1"/>
          <w:sz w:val="24"/>
          <w:szCs w:val="24"/>
          <w:highlight w:val="white"/>
        </w:rPr>
      </w:pPr>
      <w:r w:rsidRPr="006E53C8">
        <w:rPr>
          <w:rFonts w:ascii="Times New Roman" w:eastAsia="Times New Roman" w:hAnsi="Times New Roman" w:cs="Times New Roman"/>
          <w:b/>
          <w:color w:val="000000" w:themeColor="text1"/>
          <w:sz w:val="24"/>
          <w:szCs w:val="24"/>
          <w:highlight w:val="white"/>
        </w:rPr>
        <w:t xml:space="preserve">Managing talent by monitoring health and wellbeing: </w:t>
      </w:r>
      <w:r w:rsidRPr="006E53C8">
        <w:rPr>
          <w:rFonts w:ascii="Times New Roman" w:eastAsia="Times New Roman" w:hAnsi="Times New Roman" w:cs="Times New Roman"/>
          <w:color w:val="000000" w:themeColor="text1"/>
          <w:sz w:val="24"/>
          <w:szCs w:val="24"/>
          <w:highlight w:val="white"/>
        </w:rPr>
        <w:t>The organisation has become increasingly vigilant to employee feedback, which can allow them to further improve their resource utilisation necessity (</w:t>
      </w:r>
      <w:r w:rsidRPr="006E53C8">
        <w:rPr>
          <w:rFonts w:ascii="Times New Roman" w:eastAsia="Times New Roman" w:hAnsi="Times New Roman" w:cs="Times New Roman"/>
          <w:color w:val="000000" w:themeColor="text1"/>
          <w:sz w:val="24"/>
          <w:szCs w:val="24"/>
        </w:rPr>
        <w:t>Crawford, 2021)</w:t>
      </w:r>
      <w:r w:rsidRPr="006E53C8">
        <w:rPr>
          <w:rFonts w:ascii="Times New Roman" w:eastAsia="Times New Roman" w:hAnsi="Times New Roman" w:cs="Times New Roman"/>
          <w:color w:val="000000" w:themeColor="text1"/>
          <w:sz w:val="24"/>
          <w:szCs w:val="24"/>
          <w:highlight w:val="white"/>
        </w:rPr>
        <w:t xml:space="preserve">. This allows the firm to provide accidental insurance schemes, dining discount cards, and ticket loans to retain them for the long-run. </w:t>
      </w:r>
    </w:p>
    <w:p w14:paraId="350D300C" w14:textId="77777777" w:rsidR="00665FA4" w:rsidRPr="006E53C8" w:rsidRDefault="00665F85">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6E53C8">
        <w:rPr>
          <w:rFonts w:ascii="Times New Roman" w:eastAsia="Times New Roman" w:hAnsi="Times New Roman" w:cs="Times New Roman"/>
          <w:b/>
          <w:color w:val="000000" w:themeColor="text1"/>
          <w:sz w:val="24"/>
          <w:szCs w:val="24"/>
          <w:highlight w:val="white"/>
        </w:rPr>
        <w:t>Emphasis on leadership development programs for hiring:</w:t>
      </w:r>
      <w:r w:rsidRPr="006E53C8">
        <w:rPr>
          <w:rFonts w:ascii="Times New Roman" w:eastAsia="Times New Roman" w:hAnsi="Times New Roman" w:cs="Times New Roman"/>
          <w:color w:val="000000" w:themeColor="text1"/>
          <w:sz w:val="24"/>
          <w:szCs w:val="24"/>
          <w:highlight w:val="white"/>
        </w:rPr>
        <w:t xml:space="preserve"> After 2016, the company has increased its outreach into training senior leaders, especially by rigorously targeted newly graduated MBA students (</w:t>
      </w:r>
      <w:r w:rsidRPr="006E53C8">
        <w:rPr>
          <w:rFonts w:ascii="Times New Roman" w:eastAsia="Times New Roman" w:hAnsi="Times New Roman" w:cs="Times New Roman"/>
          <w:color w:val="000000" w:themeColor="text1"/>
          <w:sz w:val="24"/>
          <w:szCs w:val="24"/>
        </w:rPr>
        <w:t>Samsung US Newsroom, 2021)</w:t>
      </w:r>
      <w:r w:rsidRPr="006E53C8">
        <w:rPr>
          <w:rFonts w:ascii="Times New Roman" w:eastAsia="Times New Roman" w:hAnsi="Times New Roman" w:cs="Times New Roman"/>
          <w:color w:val="000000" w:themeColor="text1"/>
          <w:sz w:val="24"/>
          <w:szCs w:val="24"/>
          <w:highlight w:val="white"/>
        </w:rPr>
        <w:t xml:space="preserve">. </w:t>
      </w:r>
    </w:p>
    <w:p w14:paraId="55F91EBD" w14:textId="77777777" w:rsidR="00665FA4" w:rsidRPr="006E53C8" w:rsidRDefault="00665F85" w:rsidP="00027BF4">
      <w:pPr>
        <w:pStyle w:val="Antrat1"/>
      </w:pPr>
      <w:bookmarkStart w:id="3" w:name="_Toc67325357"/>
      <w:r w:rsidRPr="006E53C8">
        <w:lastRenderedPageBreak/>
        <w:t>4.0 Critical evaluation of internal and external environment factors around Samsung in the context of resourcing targets</w:t>
      </w:r>
      <w:bookmarkEnd w:id="3"/>
      <w:r w:rsidRPr="006E53C8">
        <w:t xml:space="preserve"> </w:t>
      </w:r>
    </w:p>
    <w:p w14:paraId="511D2575"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There are many internal and external forces within the industry where the operating organisations are exposed to. When the consideration of the country UK is made, it can be seen that there are some factors like Brexit which have impacted the process of HRM process within the organisation and constructive decisions can be made by the managers accordingly. The PESTLE analysis can be done as follows to determine the factors and the responses of Samsung related to the resourcing targets as follows:</w:t>
      </w:r>
    </w:p>
    <w:p w14:paraId="6632C973" w14:textId="77777777" w:rsidR="00665FA4" w:rsidRPr="006E53C8" w:rsidRDefault="00665F85" w:rsidP="00027BF4">
      <w:pPr>
        <w:pStyle w:val="Antrat2"/>
      </w:pPr>
      <w:bookmarkStart w:id="4" w:name="_Toc67325358"/>
      <w:r w:rsidRPr="006E53C8">
        <w:t>4.1 External Environment</w:t>
      </w:r>
      <w:bookmarkEnd w:id="4"/>
    </w:p>
    <w:p w14:paraId="456739B6" w14:textId="77777777" w:rsidR="00665FA4" w:rsidRPr="006E53C8" w:rsidRDefault="00665F85">
      <w:pPr>
        <w:spacing w:line="360" w:lineRule="auto"/>
        <w:jc w:val="both"/>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PESTLE Analysis:</w:t>
      </w:r>
    </w:p>
    <w:p w14:paraId="241DDB67" w14:textId="77777777" w:rsidR="00665FA4" w:rsidRPr="006E53C8" w:rsidRDefault="00665FA4">
      <w:pPr>
        <w:spacing w:line="360" w:lineRule="auto"/>
        <w:jc w:val="both"/>
        <w:rPr>
          <w:rFonts w:ascii="Times New Roman" w:eastAsia="Times New Roman" w:hAnsi="Times New Roman" w:cs="Times New Roman"/>
          <w:color w:val="000000" w:themeColor="text1"/>
          <w:sz w:val="24"/>
          <w:szCs w:val="24"/>
        </w:rPr>
      </w:pP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47427A" w14:paraId="76B3BDD2" w14:textId="77777777" w:rsidTr="006E53C8">
        <w:tc>
          <w:tcPr>
            <w:tcW w:w="2500" w:type="pct"/>
            <w:shd w:val="clear" w:color="auto" w:fill="auto"/>
            <w:tcMar>
              <w:top w:w="100" w:type="dxa"/>
              <w:left w:w="100" w:type="dxa"/>
              <w:bottom w:w="100" w:type="dxa"/>
              <w:right w:w="100" w:type="dxa"/>
            </w:tcMar>
          </w:tcPr>
          <w:p w14:paraId="2876C18E"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Factors</w:t>
            </w:r>
          </w:p>
        </w:tc>
        <w:tc>
          <w:tcPr>
            <w:tcW w:w="2500" w:type="pct"/>
            <w:shd w:val="clear" w:color="auto" w:fill="auto"/>
            <w:tcMar>
              <w:top w:w="100" w:type="dxa"/>
              <w:left w:w="100" w:type="dxa"/>
              <w:bottom w:w="100" w:type="dxa"/>
              <w:right w:w="100" w:type="dxa"/>
            </w:tcMar>
          </w:tcPr>
          <w:p w14:paraId="6EEC34D5"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Description</w:t>
            </w:r>
          </w:p>
        </w:tc>
      </w:tr>
      <w:tr w:rsidR="0047427A" w14:paraId="02E47C7A" w14:textId="77777777" w:rsidTr="006E53C8">
        <w:tc>
          <w:tcPr>
            <w:tcW w:w="2500" w:type="pct"/>
            <w:shd w:val="clear" w:color="auto" w:fill="auto"/>
            <w:tcMar>
              <w:top w:w="100" w:type="dxa"/>
              <w:left w:w="100" w:type="dxa"/>
              <w:bottom w:w="100" w:type="dxa"/>
              <w:right w:w="100" w:type="dxa"/>
            </w:tcMar>
          </w:tcPr>
          <w:p w14:paraId="68861799"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Political</w:t>
            </w:r>
          </w:p>
        </w:tc>
        <w:tc>
          <w:tcPr>
            <w:tcW w:w="2500" w:type="pct"/>
            <w:shd w:val="clear" w:color="auto" w:fill="auto"/>
            <w:tcMar>
              <w:top w:w="100" w:type="dxa"/>
              <w:left w:w="100" w:type="dxa"/>
              <w:bottom w:w="100" w:type="dxa"/>
              <w:right w:w="100" w:type="dxa"/>
            </w:tcMar>
          </w:tcPr>
          <w:p w14:paraId="7B444197" w14:textId="77777777" w:rsidR="00665FA4" w:rsidRPr="006E53C8" w:rsidRDefault="00665F8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After the situation of Brexit, the instability within the country has been the main political issue within the UK. the trust within the government has fallen among people in UK Brexit. Around 79% of the people started to believe that the improvement can be done in the country situation which has been worsened with the situation (Gamble, 2018). As an impact of tearing the bondage with other EU countries, the UK seemed to have been fighting within Europe alone for the investment from different situations. The tilt can make the EU implement more regulations and subsidies around </w:t>
            </w:r>
            <w:r w:rsidRPr="006E53C8">
              <w:rPr>
                <w:rFonts w:ascii="Times New Roman" w:eastAsia="Times New Roman" w:hAnsi="Times New Roman" w:cs="Times New Roman"/>
                <w:color w:val="000000" w:themeColor="text1"/>
                <w:sz w:val="24"/>
                <w:szCs w:val="24"/>
              </w:rPr>
              <w:lastRenderedPageBreak/>
              <w:t>the trades. The main political effects were felt when the irregularity and early parliamentary election within the UK saw the defeat of David Cameron. The effect of the same had been harsh as there were risks of dissolution in the UK as countries like Ireland and Scotland voted against the same (Bryant, 2021).</w:t>
            </w:r>
          </w:p>
          <w:p w14:paraId="0495251C" w14:textId="77777777" w:rsidR="00665FA4" w:rsidRPr="006E53C8" w:rsidRDefault="00665F8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One of the most important effects for the businesses had been the threat of not fulfilling the customer orders as the allocation of Resources and the employees within the UK from the EU could impact the process and the same can affect the HRM process of the organisations (Rashica, 2018).</w:t>
            </w:r>
          </w:p>
          <w:p w14:paraId="68BD6256" w14:textId="77777777" w:rsidR="00665FA4" w:rsidRPr="006E53C8" w:rsidRDefault="00665F8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One of the most important challenges of the process has been the immigration rules of the government which can increase the risks for the HR within Samsung to hire employees.</w:t>
            </w:r>
          </w:p>
          <w:p w14:paraId="44725BCD"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u w:val="single"/>
              </w:rPr>
            </w:pPr>
            <w:r w:rsidRPr="006E53C8">
              <w:rPr>
                <w:rFonts w:ascii="Times New Roman" w:eastAsia="Times New Roman" w:hAnsi="Times New Roman" w:cs="Times New Roman"/>
                <w:b/>
                <w:color w:val="000000" w:themeColor="text1"/>
                <w:sz w:val="24"/>
                <w:szCs w:val="24"/>
                <w:u w:val="single"/>
              </w:rPr>
              <w:t>HR Response</w:t>
            </w:r>
          </w:p>
          <w:p w14:paraId="7238AA27"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response against these political issues of Samsung has been hiring of employees mostly from the UK and the EU as they are favoured by the current political party. The HR manager within the organisation is ready to supply the workforce, especially from the UK and EU citizens so that the immigration rules do not </w:t>
            </w:r>
            <w:r w:rsidRPr="006E53C8">
              <w:rPr>
                <w:rFonts w:ascii="Times New Roman" w:eastAsia="Times New Roman" w:hAnsi="Times New Roman" w:cs="Times New Roman"/>
                <w:color w:val="000000" w:themeColor="text1"/>
                <w:sz w:val="24"/>
                <w:szCs w:val="24"/>
              </w:rPr>
              <w:lastRenderedPageBreak/>
              <w:t>affect the process.</w:t>
            </w:r>
          </w:p>
        </w:tc>
      </w:tr>
      <w:tr w:rsidR="0047427A" w14:paraId="1A09DADF" w14:textId="77777777" w:rsidTr="006E53C8">
        <w:tc>
          <w:tcPr>
            <w:tcW w:w="2500" w:type="pct"/>
            <w:shd w:val="clear" w:color="auto" w:fill="auto"/>
            <w:tcMar>
              <w:top w:w="100" w:type="dxa"/>
              <w:left w:w="100" w:type="dxa"/>
              <w:bottom w:w="100" w:type="dxa"/>
              <w:right w:w="100" w:type="dxa"/>
            </w:tcMar>
          </w:tcPr>
          <w:p w14:paraId="128813CA"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lastRenderedPageBreak/>
              <w:t>Economic</w:t>
            </w:r>
          </w:p>
        </w:tc>
        <w:tc>
          <w:tcPr>
            <w:tcW w:w="2500" w:type="pct"/>
            <w:shd w:val="clear" w:color="auto" w:fill="auto"/>
            <w:tcMar>
              <w:top w:w="100" w:type="dxa"/>
              <w:left w:w="100" w:type="dxa"/>
              <w:bottom w:w="100" w:type="dxa"/>
              <w:right w:w="100" w:type="dxa"/>
            </w:tcMar>
          </w:tcPr>
          <w:p w14:paraId="096BDA18" w14:textId="77777777" w:rsidR="00665FA4" w:rsidRPr="006E53C8" w:rsidRDefault="00665F8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According to a published study of 2018, the cost of the Brexit vote has been 2-2.5% of the total GDP. The increase in spending has increased tax rates and the imports from the other countries which had decreased the PPP of the people and the import tax duty increase has increased the price of the product within the country (Rashica, 2018).</w:t>
            </w:r>
          </w:p>
          <w:p w14:paraId="099A8D8F" w14:textId="77777777" w:rsidR="00665FA4" w:rsidRPr="006E53C8" w:rsidRDefault="00665F8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retarded growth of the UK economy resulting from the Brexit has been the effect of the uncertainty. The growth rate has reached 1.0% in 2019 from 2015. </w:t>
            </w:r>
          </w:p>
          <w:p w14:paraId="09355B54" w14:textId="77777777" w:rsidR="00665FA4" w:rsidRPr="006E53C8" w:rsidRDefault="00665F8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main factor which can affect the resourcing of Samsung has been the job decrease within the UK. </w:t>
            </w:r>
            <w:r w:rsidR="006E53C8" w:rsidRPr="006E53C8">
              <w:rPr>
                <w:rFonts w:ascii="Times New Roman" w:eastAsia="Times New Roman" w:hAnsi="Times New Roman" w:cs="Times New Roman"/>
                <w:color w:val="000000" w:themeColor="text1"/>
                <w:sz w:val="24"/>
                <w:szCs w:val="24"/>
              </w:rPr>
              <w:t>The</w:t>
            </w:r>
            <w:r w:rsidRPr="006E53C8">
              <w:rPr>
                <w:rFonts w:ascii="Times New Roman" w:eastAsia="Times New Roman" w:hAnsi="Times New Roman" w:cs="Times New Roman"/>
                <w:color w:val="000000" w:themeColor="text1"/>
                <w:sz w:val="24"/>
                <w:szCs w:val="24"/>
              </w:rPr>
              <w:t xml:space="preserve"> deficit of workers would be around 3 million within Germany which would not be easily available after Brexit. Around 95% of the employees from the EU had left the UK which is affecting the growth (Amadeo, 2021).</w:t>
            </w:r>
          </w:p>
          <w:p w14:paraId="5EFD57B7" w14:textId="77777777" w:rsidR="00665FA4" w:rsidRPr="006E53C8" w:rsidRDefault="00665F8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effect of Covid 19 has been another factor affecting the resourcing of Samsung. The decrease of the GDP by 9.9% in the UK has affected the business (Harari, Keep and Brien, </w:t>
            </w:r>
            <w:r w:rsidRPr="006E53C8">
              <w:rPr>
                <w:rFonts w:ascii="Times New Roman" w:eastAsia="Times New Roman" w:hAnsi="Times New Roman" w:cs="Times New Roman"/>
                <w:color w:val="000000" w:themeColor="text1"/>
                <w:sz w:val="24"/>
                <w:szCs w:val="24"/>
              </w:rPr>
              <w:lastRenderedPageBreak/>
              <w:t>2021). The closing of international transportation and trade has affected the business and hiring of the organisation.</w:t>
            </w:r>
          </w:p>
          <w:p w14:paraId="381AFC25"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u w:val="single"/>
              </w:rPr>
            </w:pPr>
            <w:r w:rsidRPr="006E53C8">
              <w:rPr>
                <w:rFonts w:ascii="Times New Roman" w:eastAsia="Times New Roman" w:hAnsi="Times New Roman" w:cs="Times New Roman"/>
                <w:b/>
                <w:color w:val="000000" w:themeColor="text1"/>
                <w:sz w:val="24"/>
                <w:szCs w:val="24"/>
                <w:u w:val="single"/>
              </w:rPr>
              <w:t>HR Response:</w:t>
            </w:r>
          </w:p>
          <w:p w14:paraId="7E47EA29"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response to the situation from Brexit has been the decrease of dependencies on the staff from the EU countries and outsourcing the employees from China and other countries. Especially, the hiring has been made from the Korean province and the UK employees are particularly selected.</w:t>
            </w:r>
          </w:p>
          <w:p w14:paraId="27EF151E"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effect of Covid 19 has cut back the resourcing of Samsung. The parts and assemblies are generally imported from the US, China and others which has been temporarily stopped which has affected the process of production within the UK (Harari, Keep and Brien, 2021). The chances of job cuts have also been in speculation.</w:t>
            </w:r>
          </w:p>
        </w:tc>
      </w:tr>
      <w:tr w:rsidR="0047427A" w14:paraId="393B8E96" w14:textId="77777777" w:rsidTr="006E53C8">
        <w:tc>
          <w:tcPr>
            <w:tcW w:w="2500" w:type="pct"/>
            <w:shd w:val="clear" w:color="auto" w:fill="auto"/>
            <w:tcMar>
              <w:top w:w="100" w:type="dxa"/>
              <w:left w:w="100" w:type="dxa"/>
              <w:bottom w:w="100" w:type="dxa"/>
              <w:right w:w="100" w:type="dxa"/>
            </w:tcMar>
          </w:tcPr>
          <w:p w14:paraId="071E4E9E"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lastRenderedPageBreak/>
              <w:t>Social</w:t>
            </w:r>
          </w:p>
        </w:tc>
        <w:tc>
          <w:tcPr>
            <w:tcW w:w="2500" w:type="pct"/>
            <w:shd w:val="clear" w:color="auto" w:fill="auto"/>
            <w:tcMar>
              <w:top w:w="100" w:type="dxa"/>
              <w:left w:w="100" w:type="dxa"/>
              <w:bottom w:w="100" w:type="dxa"/>
              <w:right w:w="100" w:type="dxa"/>
            </w:tcMar>
          </w:tcPr>
          <w:p w14:paraId="30BAC051" w14:textId="77777777" w:rsidR="00665FA4" w:rsidRPr="006E53C8" w:rsidRDefault="00665F8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social effect of the Covid 19 within Samsung has been the use of the decreased capability to hire people from different countries. The people from the UK are generally hired along with outsourcing from China and others.</w:t>
            </w:r>
          </w:p>
          <w:p w14:paraId="0770B0C1" w14:textId="77777777" w:rsidR="00665FA4" w:rsidRPr="006E53C8" w:rsidRDefault="00665F8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situation of Brexit has created a tendency among lower-educated workers to leave the UK due to the </w:t>
            </w:r>
            <w:r w:rsidRPr="006E53C8">
              <w:rPr>
                <w:rFonts w:ascii="Times New Roman" w:eastAsia="Times New Roman" w:hAnsi="Times New Roman" w:cs="Times New Roman"/>
                <w:color w:val="000000" w:themeColor="text1"/>
                <w:sz w:val="24"/>
                <w:szCs w:val="24"/>
              </w:rPr>
              <w:lastRenderedPageBreak/>
              <w:t>insecurity of pay and work (Gamble, 2018).</w:t>
            </w:r>
          </w:p>
          <w:p w14:paraId="0939A0FA" w14:textId="77777777" w:rsidR="00665FA4" w:rsidRPr="006E53C8" w:rsidRDefault="00665F8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Covid 19 has affected the free movement of the people among the country and the mixing up of people in the Workplace. Therefore, teamwork and hiring have been affected (Harari, Keep and Brien, 2021).</w:t>
            </w:r>
          </w:p>
          <w:p w14:paraId="02E14787"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u w:val="single"/>
              </w:rPr>
            </w:pPr>
            <w:r w:rsidRPr="006E53C8">
              <w:rPr>
                <w:rFonts w:ascii="Times New Roman" w:eastAsia="Times New Roman" w:hAnsi="Times New Roman" w:cs="Times New Roman"/>
                <w:b/>
                <w:color w:val="000000" w:themeColor="text1"/>
                <w:sz w:val="24"/>
                <w:szCs w:val="24"/>
                <w:u w:val="single"/>
              </w:rPr>
              <w:t>HR Response:</w:t>
            </w:r>
          </w:p>
          <w:p w14:paraId="1781BC12"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As the process of Brexit has affected the availability of workers within the UK from EU countries, hiring has mostly been made from the UK while outsourcing has also been done.</w:t>
            </w:r>
          </w:p>
          <w:p w14:paraId="6718B097"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Covid 19 has affected the resourcing targets of Samsung and the social isolation has affected the hiring process for which the teamwork is managed through a virtual connection.</w:t>
            </w:r>
          </w:p>
        </w:tc>
      </w:tr>
      <w:tr w:rsidR="0047427A" w14:paraId="1B9E9D9E" w14:textId="77777777" w:rsidTr="006E53C8">
        <w:tc>
          <w:tcPr>
            <w:tcW w:w="2500" w:type="pct"/>
            <w:shd w:val="clear" w:color="auto" w:fill="auto"/>
            <w:tcMar>
              <w:top w:w="100" w:type="dxa"/>
              <w:left w:w="100" w:type="dxa"/>
              <w:bottom w:w="100" w:type="dxa"/>
              <w:right w:w="100" w:type="dxa"/>
            </w:tcMar>
          </w:tcPr>
          <w:p w14:paraId="3CD9E264"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lastRenderedPageBreak/>
              <w:t>Technological</w:t>
            </w:r>
          </w:p>
        </w:tc>
        <w:tc>
          <w:tcPr>
            <w:tcW w:w="2500" w:type="pct"/>
            <w:shd w:val="clear" w:color="auto" w:fill="auto"/>
            <w:tcMar>
              <w:top w:w="100" w:type="dxa"/>
              <w:left w:w="100" w:type="dxa"/>
              <w:bottom w:w="100" w:type="dxa"/>
              <w:right w:w="100" w:type="dxa"/>
            </w:tcMar>
          </w:tcPr>
          <w:p w14:paraId="0DCEDE43"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technological change which has affected Samsung has been the availability of skilled workers in the UK. </w:t>
            </w:r>
            <w:r w:rsidR="006E53C8" w:rsidRPr="006E53C8">
              <w:rPr>
                <w:rFonts w:ascii="Times New Roman" w:eastAsia="Times New Roman" w:hAnsi="Times New Roman" w:cs="Times New Roman"/>
                <w:color w:val="000000" w:themeColor="text1"/>
                <w:sz w:val="24"/>
                <w:szCs w:val="24"/>
              </w:rPr>
              <w:t>As</w:t>
            </w:r>
            <w:r w:rsidRPr="006E53C8">
              <w:rPr>
                <w:rFonts w:ascii="Times New Roman" w:eastAsia="Times New Roman" w:hAnsi="Times New Roman" w:cs="Times New Roman"/>
                <w:color w:val="000000" w:themeColor="text1"/>
                <w:sz w:val="24"/>
                <w:szCs w:val="24"/>
              </w:rPr>
              <w:t xml:space="preserve"> around 95% of the people had left the UK after the situation of Brexit, created a skill gap of technology workers which affected Samsung.</w:t>
            </w:r>
          </w:p>
          <w:p w14:paraId="54317233"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development of different technologies in Camera, mobile and other consumer goods has been another factor</w:t>
            </w:r>
          </w:p>
          <w:p w14:paraId="07F701C5"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b/>
                <w:color w:val="000000" w:themeColor="text1"/>
                <w:sz w:val="24"/>
                <w:szCs w:val="24"/>
                <w:u w:val="single"/>
              </w:rPr>
              <w:t>HR Response:</w:t>
            </w:r>
            <w:r w:rsidRPr="006E53C8">
              <w:rPr>
                <w:rFonts w:ascii="Times New Roman" w:eastAsia="Times New Roman" w:hAnsi="Times New Roman" w:cs="Times New Roman"/>
                <w:color w:val="000000" w:themeColor="text1"/>
                <w:sz w:val="24"/>
                <w:szCs w:val="24"/>
              </w:rPr>
              <w:t xml:space="preserve"> </w:t>
            </w:r>
          </w:p>
          <w:p w14:paraId="2A0BA3FB"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response of HR has been to use the technical assistance and facilities within the organisation like semiconductor technology is </w:t>
            </w:r>
            <w:r w:rsidRPr="006E53C8">
              <w:rPr>
                <w:rFonts w:ascii="Times New Roman" w:eastAsia="Times New Roman" w:hAnsi="Times New Roman" w:cs="Times New Roman"/>
                <w:color w:val="000000" w:themeColor="text1"/>
                <w:sz w:val="24"/>
                <w:szCs w:val="24"/>
              </w:rPr>
              <w:lastRenderedPageBreak/>
              <w:t>allocated among the employees.</w:t>
            </w:r>
          </w:p>
        </w:tc>
      </w:tr>
      <w:tr w:rsidR="0047427A" w14:paraId="583F5FBD" w14:textId="77777777" w:rsidTr="006E53C8">
        <w:tc>
          <w:tcPr>
            <w:tcW w:w="2500" w:type="pct"/>
            <w:shd w:val="clear" w:color="auto" w:fill="auto"/>
            <w:tcMar>
              <w:top w:w="100" w:type="dxa"/>
              <w:left w:w="100" w:type="dxa"/>
              <w:bottom w:w="100" w:type="dxa"/>
              <w:right w:w="100" w:type="dxa"/>
            </w:tcMar>
          </w:tcPr>
          <w:p w14:paraId="2F116A2D"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lastRenderedPageBreak/>
              <w:t>Legal</w:t>
            </w:r>
          </w:p>
        </w:tc>
        <w:tc>
          <w:tcPr>
            <w:tcW w:w="2500" w:type="pct"/>
            <w:shd w:val="clear" w:color="auto" w:fill="auto"/>
            <w:tcMar>
              <w:top w:w="100" w:type="dxa"/>
              <w:left w:w="100" w:type="dxa"/>
              <w:bottom w:w="100" w:type="dxa"/>
              <w:right w:w="100" w:type="dxa"/>
            </w:tcMar>
          </w:tcPr>
          <w:p w14:paraId="4A230787"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different legal factors like the change in the tariff and VAT for the services from the EU has been the main factor. Besides, the EU law </w:t>
            </w:r>
            <w:r w:rsidR="006E53C8" w:rsidRPr="006E53C8">
              <w:rPr>
                <w:rFonts w:ascii="Times New Roman" w:eastAsia="Times New Roman" w:hAnsi="Times New Roman" w:cs="Times New Roman"/>
                <w:color w:val="000000" w:themeColor="text1"/>
                <w:sz w:val="24"/>
                <w:szCs w:val="24"/>
              </w:rPr>
              <w:t xml:space="preserve">regarding </w:t>
            </w:r>
            <w:r w:rsidRPr="006E53C8">
              <w:rPr>
                <w:rFonts w:ascii="Times New Roman" w:eastAsia="Times New Roman" w:hAnsi="Times New Roman" w:cs="Times New Roman"/>
                <w:color w:val="000000" w:themeColor="text1"/>
                <w:sz w:val="24"/>
                <w:szCs w:val="24"/>
              </w:rPr>
              <w:t>hiring, payment and others are still existent (Amadeo, 2021).</w:t>
            </w:r>
          </w:p>
          <w:p w14:paraId="3CE4B550"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legal factors after Covid 19 like the different government directives around the minimum number of workers, workplace regulations and others also affect (Gordon and Moffatt, 2021).</w:t>
            </w:r>
          </w:p>
          <w:p w14:paraId="2D0C8DCA"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u w:val="single"/>
              </w:rPr>
            </w:pPr>
            <w:r w:rsidRPr="006E53C8">
              <w:rPr>
                <w:rFonts w:ascii="Times New Roman" w:eastAsia="Times New Roman" w:hAnsi="Times New Roman" w:cs="Times New Roman"/>
                <w:b/>
                <w:color w:val="000000" w:themeColor="text1"/>
                <w:sz w:val="24"/>
                <w:szCs w:val="24"/>
                <w:u w:val="single"/>
              </w:rPr>
              <w:t>HR Response:</w:t>
            </w:r>
          </w:p>
          <w:p w14:paraId="55A83C0C"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As a result, Samsung has mainly used the materials and resources from N.Korea, China and other countries and especially from </w:t>
            </w:r>
            <w:r w:rsidR="006E53C8" w:rsidRPr="006E53C8">
              <w:rPr>
                <w:rFonts w:ascii="Times New Roman" w:eastAsia="Times New Roman" w:hAnsi="Times New Roman" w:cs="Times New Roman"/>
                <w:color w:val="000000" w:themeColor="text1"/>
                <w:sz w:val="24"/>
                <w:szCs w:val="24"/>
              </w:rPr>
              <w:t>the UK</w:t>
            </w:r>
            <w:r w:rsidRPr="006E53C8">
              <w:rPr>
                <w:rFonts w:ascii="Times New Roman" w:eastAsia="Times New Roman" w:hAnsi="Times New Roman" w:cs="Times New Roman"/>
                <w:color w:val="000000" w:themeColor="text1"/>
                <w:sz w:val="24"/>
                <w:szCs w:val="24"/>
              </w:rPr>
              <w:t xml:space="preserve">. </w:t>
            </w:r>
          </w:p>
          <w:p w14:paraId="32148502"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Besides, the hiring of the employees is done from the UK after the Covid 19 situation and the functions are met with virtual integration among workers.</w:t>
            </w:r>
          </w:p>
        </w:tc>
      </w:tr>
      <w:tr w:rsidR="0047427A" w14:paraId="527305FE" w14:textId="77777777" w:rsidTr="006E53C8">
        <w:tc>
          <w:tcPr>
            <w:tcW w:w="2500" w:type="pct"/>
            <w:shd w:val="clear" w:color="auto" w:fill="auto"/>
            <w:tcMar>
              <w:top w:w="100" w:type="dxa"/>
              <w:left w:w="100" w:type="dxa"/>
              <w:bottom w:w="100" w:type="dxa"/>
              <w:right w:w="100" w:type="dxa"/>
            </w:tcMar>
          </w:tcPr>
          <w:p w14:paraId="1248B07A" w14:textId="77777777" w:rsidR="00665FA4" w:rsidRPr="006E53C8" w:rsidRDefault="00665F85">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Environmental</w:t>
            </w:r>
          </w:p>
        </w:tc>
        <w:tc>
          <w:tcPr>
            <w:tcW w:w="2500" w:type="pct"/>
            <w:shd w:val="clear" w:color="auto" w:fill="auto"/>
            <w:tcMar>
              <w:top w:w="100" w:type="dxa"/>
              <w:left w:w="100" w:type="dxa"/>
              <w:bottom w:w="100" w:type="dxa"/>
              <w:right w:w="100" w:type="dxa"/>
            </w:tcMar>
          </w:tcPr>
          <w:p w14:paraId="09A6F17F"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sustainability regarding the use </w:t>
            </w:r>
            <w:r w:rsidR="006E53C8" w:rsidRPr="006E53C8">
              <w:rPr>
                <w:rFonts w:ascii="Times New Roman" w:eastAsia="Times New Roman" w:hAnsi="Times New Roman" w:cs="Times New Roman"/>
                <w:color w:val="000000" w:themeColor="text1"/>
                <w:sz w:val="24"/>
                <w:szCs w:val="24"/>
              </w:rPr>
              <w:t xml:space="preserve">of </w:t>
            </w:r>
            <w:r w:rsidRPr="006E53C8">
              <w:rPr>
                <w:rFonts w:ascii="Times New Roman" w:eastAsia="Times New Roman" w:hAnsi="Times New Roman" w:cs="Times New Roman"/>
                <w:color w:val="000000" w:themeColor="text1"/>
                <w:sz w:val="24"/>
                <w:szCs w:val="24"/>
              </w:rPr>
              <w:t>energy and the emission of Carbon has been the environmental factors.</w:t>
            </w:r>
          </w:p>
          <w:p w14:paraId="648B38F3"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u w:val="single"/>
              </w:rPr>
            </w:pPr>
            <w:r w:rsidRPr="006E53C8">
              <w:rPr>
                <w:rFonts w:ascii="Times New Roman" w:eastAsia="Times New Roman" w:hAnsi="Times New Roman" w:cs="Times New Roman"/>
                <w:b/>
                <w:color w:val="000000" w:themeColor="text1"/>
                <w:sz w:val="24"/>
                <w:szCs w:val="24"/>
                <w:u w:val="single"/>
              </w:rPr>
              <w:t>HR Response:</w:t>
            </w:r>
          </w:p>
          <w:p w14:paraId="4C14BBBC" w14:textId="77777777" w:rsidR="00665FA4" w:rsidRPr="006E53C8" w:rsidRDefault="00665F8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use of low emission technology and other humanitarian initiatives like 250 beds within Tunisia and other African countries, phone for medical staff and others (Samsung, 2021).</w:t>
            </w:r>
          </w:p>
        </w:tc>
      </w:tr>
    </w:tbl>
    <w:p w14:paraId="21B9D44A" w14:textId="77777777" w:rsidR="00665FA4" w:rsidRPr="006E53C8" w:rsidRDefault="00665F85" w:rsidP="006E53C8">
      <w:pPr>
        <w:spacing w:line="360" w:lineRule="auto"/>
        <w:jc w:val="center"/>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Table 1: PESTEL Analysis</w:t>
      </w:r>
    </w:p>
    <w:p w14:paraId="7111EDC0" w14:textId="0B99F026" w:rsidR="006E53C8" w:rsidRPr="006E53C8" w:rsidRDefault="00665F85" w:rsidP="006E53C8">
      <w:pPr>
        <w:spacing w:line="360" w:lineRule="auto"/>
        <w:jc w:val="center"/>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lastRenderedPageBreak/>
        <w:t>(Source: created</w:t>
      </w:r>
      <w:r w:rsidR="00D85138">
        <w:rPr>
          <w:rFonts w:ascii="Times New Roman" w:eastAsia="Times New Roman" w:hAnsi="Times New Roman" w:cs="Times New Roman"/>
          <w:color w:val="000000" w:themeColor="text1"/>
          <w:sz w:val="24"/>
          <w:szCs w:val="24"/>
        </w:rPr>
        <w:t xml:space="preserve"> </w:t>
      </w:r>
      <w:proofErr w:type="spellStart"/>
      <w:proofErr w:type="gramStart"/>
      <w:r w:rsidR="00D85138">
        <w:rPr>
          <w:rFonts w:ascii="Times New Roman" w:eastAsia="Times New Roman" w:hAnsi="Times New Roman" w:cs="Times New Roman"/>
          <w:color w:val="000000" w:themeColor="text1"/>
          <w:sz w:val="24"/>
          <w:szCs w:val="24"/>
        </w:rPr>
        <w:t>L.Birmante</w:t>
      </w:r>
      <w:proofErr w:type="spellEnd"/>
      <w:proofErr w:type="gramEnd"/>
      <w:r w:rsidRPr="006E53C8">
        <w:rPr>
          <w:rFonts w:ascii="Times New Roman" w:eastAsia="Times New Roman" w:hAnsi="Times New Roman" w:cs="Times New Roman"/>
          <w:color w:val="000000" w:themeColor="text1"/>
          <w:sz w:val="24"/>
          <w:szCs w:val="24"/>
        </w:rPr>
        <w:t>)</w:t>
      </w:r>
    </w:p>
    <w:p w14:paraId="57DADAE8" w14:textId="77777777" w:rsidR="00665FA4" w:rsidRPr="006E53C8" w:rsidRDefault="00665F85" w:rsidP="00027BF4">
      <w:pPr>
        <w:pStyle w:val="Antrat2"/>
      </w:pPr>
      <w:bookmarkStart w:id="5" w:name="_Toc67325359"/>
      <w:r w:rsidRPr="006E53C8">
        <w:t>4.2 Internal Environment</w:t>
      </w:r>
      <w:bookmarkEnd w:id="5"/>
      <w:r w:rsidRPr="006E53C8">
        <w:t xml:space="preserve"> </w:t>
      </w:r>
    </w:p>
    <w:p w14:paraId="020CCF60"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smartphone maker Samsung looks forward to changing its corporate culture by making the organisational environment conducive to top-down culture. This will help the company in fostering open dialogue (Lee, 2021). That would help the CEO Jay Lee towards looking into gender parity within its organisation. It stood 52nd in the 2019 diversity and inclusion index with a D&amp;I score of 85.5% (Manager, 2021). However, there are a lesser number of women employees i.e. 27,263 in comparison to male employees at 75,748. The workforce centring consumer electronics especially in the US has seen a 6.1% rise in women workers from different ethnicities and cultures (Eun-jin, 2021). </w:t>
      </w:r>
    </w:p>
    <w:p w14:paraId="407C483A" w14:textId="77777777" w:rsidR="00665FA4" w:rsidRPr="006E53C8" w:rsidRDefault="00665F85">
      <w:pPr>
        <w:spacing w:line="360" w:lineRule="auto"/>
        <w:jc w:val="both"/>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Cultural issues experienced by Samsung</w:t>
      </w:r>
    </w:p>
    <w:p w14:paraId="7AEBB54E"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While the central aspect that has allowed the company to focus on its smartphone division, it has also increased the workforce challenges around the division. Shaping the product as per an integrated work culture especially when it comes to Asian countries and other Western countries. Remains a cultural observation yet to be acted upon by the company. As American culture follows an individualistic role around its workers similar to the UK, in Asian countries like South Korea a more collectivist culture. This would technically decide how the mobile phone division of the company forms itself, bearing 40% of the value in its technology sale (Shu, 2021). </w:t>
      </w:r>
    </w:p>
    <w:p w14:paraId="3F97792E" w14:textId="77777777" w:rsidR="00665FA4" w:rsidRPr="006E53C8" w:rsidRDefault="00665F85">
      <w:pPr>
        <w:spacing w:line="360" w:lineRule="auto"/>
        <w:jc w:val="both"/>
        <w:rPr>
          <w:rFonts w:ascii="Times New Roman" w:eastAsia="Times New Roman" w:hAnsi="Times New Roman" w:cs="Times New Roman"/>
          <w:b/>
          <w:color w:val="000000" w:themeColor="text1"/>
          <w:sz w:val="24"/>
          <w:szCs w:val="24"/>
        </w:rPr>
      </w:pPr>
      <w:r w:rsidRPr="006E53C8">
        <w:rPr>
          <w:rFonts w:ascii="Times New Roman" w:eastAsia="Times New Roman" w:hAnsi="Times New Roman" w:cs="Times New Roman"/>
          <w:b/>
          <w:color w:val="000000" w:themeColor="text1"/>
          <w:sz w:val="24"/>
          <w:szCs w:val="24"/>
        </w:rPr>
        <w:t>Future changes due to Covid-19</w:t>
      </w:r>
    </w:p>
    <w:p w14:paraId="3110BFB1"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The pandemic influenced electronic market is likely to experience numerous economic issues. These problems can be outlined through the below explanations.</w:t>
      </w:r>
    </w:p>
    <w:p w14:paraId="6A96A4F1" w14:textId="77777777" w:rsidR="00665FA4" w:rsidRPr="006E53C8" w:rsidRDefault="00665F85">
      <w:pPr>
        <w:numPr>
          <w:ilvl w:val="0"/>
          <w:numId w:val="6"/>
        </w:num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While the personal computer market will likely experience a surge in sales, the smartphone and television market is likely to experience a slump. This would create problems for the company in retaining talented staff. As a result, the revenue will dip by around 7.6% (Team, 2021).</w:t>
      </w:r>
    </w:p>
    <w:p w14:paraId="3042A1DF" w14:textId="77777777" w:rsidR="00665FA4" w:rsidRPr="006E53C8" w:rsidRDefault="00665F85">
      <w:pPr>
        <w:numPr>
          <w:ilvl w:val="0"/>
          <w:numId w:val="6"/>
        </w:num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Due to incessant growth in labour costs and managing flab across divisions, in dire cases, the company might have to release 5% of its overall staff for right-sizing the company (Team, 2021). </w:t>
      </w:r>
    </w:p>
    <w:p w14:paraId="0748A635" w14:textId="77777777" w:rsidR="00665FA4" w:rsidRPr="006E53C8" w:rsidRDefault="00665F85">
      <w:pPr>
        <w:numPr>
          <w:ilvl w:val="0"/>
          <w:numId w:val="6"/>
        </w:num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electronics division of the organisation might expect price hikes by almost 2-3%, it is further attributed to increasing the training expenses of the organisation (Team, 2021). </w:t>
      </w:r>
    </w:p>
    <w:p w14:paraId="091CE998" w14:textId="77777777" w:rsidR="00665FA4" w:rsidRPr="006E53C8" w:rsidRDefault="00665F85">
      <w:pPr>
        <w:spacing w:line="360" w:lineRule="auto"/>
        <w:jc w:val="both"/>
        <w:rPr>
          <w:rFonts w:ascii="Times New Roman" w:eastAsia="Times New Roman" w:hAnsi="Times New Roman" w:cs="Times New Roman"/>
          <w:b/>
          <w:color w:val="000000" w:themeColor="text1"/>
          <w:sz w:val="28"/>
          <w:szCs w:val="28"/>
        </w:rPr>
      </w:pPr>
      <w:r w:rsidRPr="006E53C8">
        <w:rPr>
          <w:rFonts w:ascii="Times New Roman" w:eastAsia="Times New Roman" w:hAnsi="Times New Roman" w:cs="Times New Roman"/>
          <w:b/>
          <w:color w:val="000000" w:themeColor="text1"/>
          <w:sz w:val="28"/>
          <w:szCs w:val="28"/>
        </w:rPr>
        <w:lastRenderedPageBreak/>
        <w:t>5.0 Strategic responses to the environmental</w:t>
      </w:r>
      <w:r w:rsidR="006E53C8">
        <w:rPr>
          <w:rFonts w:ascii="Times New Roman" w:eastAsia="Times New Roman" w:hAnsi="Times New Roman" w:cs="Times New Roman"/>
          <w:b/>
          <w:color w:val="000000" w:themeColor="text1"/>
          <w:sz w:val="28"/>
          <w:szCs w:val="28"/>
        </w:rPr>
        <w:t xml:space="preserve"> changes to Samsung (VRIO) </w:t>
      </w:r>
    </w:p>
    <w:p w14:paraId="353A1162"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To understand the superiority of the firm, the analysis of the organisation Samsung can be done. The resource of the organisation has been excellent technology, the use of one of the best human resources and materials and quality in competitive pricing (Yu et al., 2018). To understand the same in Samsung, the VRIO analysis can be done as follows:</w:t>
      </w:r>
    </w:p>
    <w:p w14:paraId="0FB9BA0A" w14:textId="77777777" w:rsidR="00665FA4" w:rsidRPr="006E53C8" w:rsidRDefault="00665FA4">
      <w:pPr>
        <w:spacing w:line="360" w:lineRule="auto"/>
        <w:jc w:val="both"/>
        <w:rPr>
          <w:rFonts w:ascii="Times New Roman" w:eastAsia="Times New Roman" w:hAnsi="Times New Roman" w:cs="Times New Roman"/>
          <w:color w:val="000000" w:themeColor="text1"/>
          <w:sz w:val="28"/>
          <w:szCs w:val="28"/>
        </w:rPr>
      </w:pPr>
    </w:p>
    <w:tbl>
      <w:tblPr>
        <w:tblStyle w:val="a0"/>
        <w:tblW w:w="5000" w:type="pct"/>
        <w:tblBorders>
          <w:top w:val="nil"/>
          <w:left w:val="nil"/>
          <w:bottom w:val="nil"/>
          <w:right w:val="nil"/>
          <w:insideH w:val="nil"/>
          <w:insideV w:val="nil"/>
        </w:tblBorders>
        <w:tblLook w:val="0600" w:firstRow="0" w:lastRow="0" w:firstColumn="0" w:lastColumn="0" w:noHBand="1" w:noVBand="1"/>
      </w:tblPr>
      <w:tblGrid>
        <w:gridCol w:w="2244"/>
        <w:gridCol w:w="649"/>
        <w:gridCol w:w="695"/>
        <w:gridCol w:w="1138"/>
        <w:gridCol w:w="1627"/>
        <w:gridCol w:w="2987"/>
      </w:tblGrid>
      <w:tr w:rsidR="0047427A" w14:paraId="57E96FFC" w14:textId="77777777" w:rsidTr="006E53C8">
        <w:trPr>
          <w:trHeight w:val="585"/>
        </w:trPr>
        <w:tc>
          <w:tcPr>
            <w:tcW w:w="1201" w:type="pc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322D883" w14:textId="77777777" w:rsidR="00665FA4" w:rsidRPr="006E53C8" w:rsidRDefault="00665F85">
            <w:pPr>
              <w:spacing w:before="240"/>
              <w:jc w:val="both"/>
              <w:rPr>
                <w:rFonts w:ascii="Times New Roman" w:eastAsia="Times New Roman" w:hAnsi="Times New Roman" w:cs="Times New Roman"/>
                <w:b/>
                <w:i/>
                <w:color w:val="000000" w:themeColor="text1"/>
                <w:sz w:val="24"/>
                <w:szCs w:val="24"/>
              </w:rPr>
            </w:pPr>
            <w:r w:rsidRPr="006E53C8">
              <w:rPr>
                <w:rFonts w:ascii="Times New Roman" w:eastAsia="Times New Roman" w:hAnsi="Times New Roman" w:cs="Times New Roman"/>
                <w:b/>
                <w:i/>
                <w:color w:val="000000" w:themeColor="text1"/>
                <w:sz w:val="24"/>
                <w:szCs w:val="24"/>
              </w:rPr>
              <w:t>Resources</w:t>
            </w:r>
          </w:p>
        </w:tc>
        <w:tc>
          <w:tcPr>
            <w:tcW w:w="347" w:type="pct"/>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AD91359" w14:textId="77777777" w:rsidR="00665FA4" w:rsidRPr="006E53C8" w:rsidRDefault="00665F85">
            <w:pPr>
              <w:spacing w:before="240"/>
              <w:jc w:val="both"/>
              <w:rPr>
                <w:rFonts w:ascii="Times New Roman" w:eastAsia="Times New Roman" w:hAnsi="Times New Roman" w:cs="Times New Roman"/>
                <w:b/>
                <w:i/>
                <w:color w:val="000000" w:themeColor="text1"/>
                <w:sz w:val="24"/>
                <w:szCs w:val="24"/>
              </w:rPr>
            </w:pPr>
            <w:r w:rsidRPr="006E53C8">
              <w:rPr>
                <w:rFonts w:ascii="Times New Roman" w:eastAsia="Times New Roman" w:hAnsi="Times New Roman" w:cs="Times New Roman"/>
                <w:b/>
                <w:i/>
                <w:color w:val="000000" w:themeColor="text1"/>
                <w:sz w:val="24"/>
                <w:szCs w:val="24"/>
              </w:rPr>
              <w:t>Value</w:t>
            </w:r>
          </w:p>
        </w:tc>
        <w:tc>
          <w:tcPr>
            <w:tcW w:w="372" w:type="pct"/>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4C81D8B" w14:textId="77777777" w:rsidR="00665FA4" w:rsidRPr="006E53C8" w:rsidRDefault="00665F85">
            <w:pPr>
              <w:spacing w:before="240"/>
              <w:jc w:val="both"/>
              <w:rPr>
                <w:rFonts w:ascii="Times New Roman" w:eastAsia="Times New Roman" w:hAnsi="Times New Roman" w:cs="Times New Roman"/>
                <w:b/>
                <w:i/>
                <w:color w:val="000000" w:themeColor="text1"/>
                <w:sz w:val="24"/>
                <w:szCs w:val="24"/>
              </w:rPr>
            </w:pPr>
            <w:r w:rsidRPr="006E53C8">
              <w:rPr>
                <w:rFonts w:ascii="Times New Roman" w:eastAsia="Times New Roman" w:hAnsi="Times New Roman" w:cs="Times New Roman"/>
                <w:b/>
                <w:i/>
                <w:color w:val="000000" w:themeColor="text1"/>
                <w:sz w:val="24"/>
                <w:szCs w:val="24"/>
              </w:rPr>
              <w:t>Rarity</w:t>
            </w:r>
          </w:p>
        </w:tc>
        <w:tc>
          <w:tcPr>
            <w:tcW w:w="609" w:type="pct"/>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C2219AB" w14:textId="77777777" w:rsidR="00665FA4" w:rsidRPr="006E53C8" w:rsidRDefault="00665F85">
            <w:pPr>
              <w:spacing w:before="240"/>
              <w:jc w:val="both"/>
              <w:rPr>
                <w:rFonts w:ascii="Times New Roman" w:eastAsia="Times New Roman" w:hAnsi="Times New Roman" w:cs="Times New Roman"/>
                <w:b/>
                <w:i/>
                <w:color w:val="000000" w:themeColor="text1"/>
                <w:sz w:val="24"/>
                <w:szCs w:val="24"/>
              </w:rPr>
            </w:pPr>
            <w:r w:rsidRPr="006E53C8">
              <w:rPr>
                <w:rFonts w:ascii="Times New Roman" w:eastAsia="Times New Roman" w:hAnsi="Times New Roman" w:cs="Times New Roman"/>
                <w:b/>
                <w:i/>
                <w:color w:val="000000" w:themeColor="text1"/>
                <w:sz w:val="24"/>
                <w:szCs w:val="24"/>
              </w:rPr>
              <w:t>Imitability</w:t>
            </w:r>
          </w:p>
        </w:tc>
        <w:tc>
          <w:tcPr>
            <w:tcW w:w="871" w:type="pct"/>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33F6321" w14:textId="77777777" w:rsidR="00665FA4" w:rsidRPr="006E53C8" w:rsidRDefault="00665F85">
            <w:pPr>
              <w:spacing w:before="240"/>
              <w:jc w:val="both"/>
              <w:rPr>
                <w:rFonts w:ascii="Times New Roman" w:eastAsia="Times New Roman" w:hAnsi="Times New Roman" w:cs="Times New Roman"/>
                <w:b/>
                <w:i/>
                <w:color w:val="000000" w:themeColor="text1"/>
                <w:sz w:val="24"/>
                <w:szCs w:val="24"/>
              </w:rPr>
            </w:pPr>
            <w:r w:rsidRPr="006E53C8">
              <w:rPr>
                <w:rFonts w:ascii="Times New Roman" w:eastAsia="Times New Roman" w:hAnsi="Times New Roman" w:cs="Times New Roman"/>
                <w:b/>
                <w:i/>
                <w:color w:val="000000" w:themeColor="text1"/>
                <w:sz w:val="24"/>
                <w:szCs w:val="24"/>
              </w:rPr>
              <w:t>Organised to exploit</w:t>
            </w:r>
          </w:p>
        </w:tc>
        <w:tc>
          <w:tcPr>
            <w:tcW w:w="1599" w:type="pct"/>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1CAB0B3" w14:textId="77777777" w:rsidR="00665FA4" w:rsidRPr="006E53C8" w:rsidRDefault="00665F85">
            <w:pPr>
              <w:spacing w:before="240"/>
              <w:jc w:val="both"/>
              <w:rPr>
                <w:rFonts w:ascii="Times New Roman" w:eastAsia="Times New Roman" w:hAnsi="Times New Roman" w:cs="Times New Roman"/>
                <w:b/>
                <w:i/>
                <w:color w:val="000000" w:themeColor="text1"/>
                <w:sz w:val="24"/>
                <w:szCs w:val="24"/>
              </w:rPr>
            </w:pPr>
            <w:r w:rsidRPr="006E53C8">
              <w:rPr>
                <w:rFonts w:ascii="Times New Roman" w:eastAsia="Times New Roman" w:hAnsi="Times New Roman" w:cs="Times New Roman"/>
                <w:b/>
                <w:i/>
                <w:color w:val="000000" w:themeColor="text1"/>
                <w:sz w:val="24"/>
                <w:szCs w:val="24"/>
              </w:rPr>
              <w:t xml:space="preserve">Impact </w:t>
            </w:r>
          </w:p>
        </w:tc>
      </w:tr>
      <w:tr w:rsidR="0047427A" w14:paraId="557CECB2" w14:textId="77777777" w:rsidTr="006E53C8">
        <w:trPr>
          <w:trHeight w:val="585"/>
        </w:trPr>
        <w:tc>
          <w:tcPr>
            <w:tcW w:w="1201" w:type="pct"/>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3179EFCA"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Strong global presence</w:t>
            </w:r>
          </w:p>
        </w:tc>
        <w:tc>
          <w:tcPr>
            <w:tcW w:w="347" w:type="pct"/>
            <w:tcBorders>
              <w:top w:val="nil"/>
              <w:left w:val="nil"/>
              <w:bottom w:val="single" w:sz="8" w:space="0" w:color="000000"/>
              <w:right w:val="single" w:sz="8" w:space="0" w:color="000000"/>
            </w:tcBorders>
            <w:tcMar>
              <w:top w:w="20" w:type="dxa"/>
              <w:left w:w="20" w:type="dxa"/>
              <w:bottom w:w="20" w:type="dxa"/>
              <w:right w:w="20" w:type="dxa"/>
            </w:tcMar>
          </w:tcPr>
          <w:p w14:paraId="2DF0EFAD"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372" w:type="pct"/>
            <w:tcBorders>
              <w:top w:val="nil"/>
              <w:left w:val="nil"/>
              <w:bottom w:val="single" w:sz="8" w:space="0" w:color="000000"/>
              <w:right w:val="single" w:sz="8" w:space="0" w:color="000000"/>
            </w:tcBorders>
            <w:tcMar>
              <w:top w:w="20" w:type="dxa"/>
              <w:left w:w="20" w:type="dxa"/>
              <w:bottom w:w="20" w:type="dxa"/>
              <w:right w:w="20" w:type="dxa"/>
            </w:tcMar>
          </w:tcPr>
          <w:p w14:paraId="0F278AC7"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609" w:type="pct"/>
            <w:tcBorders>
              <w:top w:val="nil"/>
              <w:left w:val="nil"/>
              <w:bottom w:val="single" w:sz="8" w:space="0" w:color="000000"/>
              <w:right w:val="single" w:sz="8" w:space="0" w:color="000000"/>
            </w:tcBorders>
            <w:tcMar>
              <w:top w:w="20" w:type="dxa"/>
              <w:left w:w="20" w:type="dxa"/>
              <w:bottom w:w="20" w:type="dxa"/>
              <w:right w:w="20" w:type="dxa"/>
            </w:tcMar>
          </w:tcPr>
          <w:p w14:paraId="7B03C058"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871" w:type="pct"/>
            <w:tcBorders>
              <w:top w:val="nil"/>
              <w:left w:val="nil"/>
              <w:bottom w:val="single" w:sz="8" w:space="0" w:color="000000"/>
              <w:right w:val="single" w:sz="8" w:space="0" w:color="000000"/>
            </w:tcBorders>
            <w:tcMar>
              <w:top w:w="20" w:type="dxa"/>
              <w:left w:w="20" w:type="dxa"/>
              <w:bottom w:w="20" w:type="dxa"/>
              <w:right w:w="20" w:type="dxa"/>
            </w:tcMar>
          </w:tcPr>
          <w:p w14:paraId="59F6D7D1"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1599" w:type="pct"/>
            <w:tcBorders>
              <w:top w:val="nil"/>
              <w:left w:val="nil"/>
              <w:bottom w:val="single" w:sz="8" w:space="0" w:color="000000"/>
              <w:right w:val="single" w:sz="8" w:space="0" w:color="000000"/>
            </w:tcBorders>
            <w:tcMar>
              <w:top w:w="20" w:type="dxa"/>
              <w:left w:w="20" w:type="dxa"/>
              <w:bottom w:w="20" w:type="dxa"/>
              <w:right w:w="20" w:type="dxa"/>
            </w:tcMar>
          </w:tcPr>
          <w:p w14:paraId="6DC263D6"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Sustainable competitive advantage </w:t>
            </w:r>
          </w:p>
        </w:tc>
      </w:tr>
      <w:tr w:rsidR="0047427A" w14:paraId="1A086F8F" w14:textId="77777777" w:rsidTr="006E53C8">
        <w:trPr>
          <w:trHeight w:val="585"/>
        </w:trPr>
        <w:tc>
          <w:tcPr>
            <w:tcW w:w="1201" w:type="pct"/>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34914E7E"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Specialized in technology </w:t>
            </w:r>
          </w:p>
        </w:tc>
        <w:tc>
          <w:tcPr>
            <w:tcW w:w="347" w:type="pct"/>
            <w:tcBorders>
              <w:top w:val="nil"/>
              <w:left w:val="nil"/>
              <w:bottom w:val="single" w:sz="8" w:space="0" w:color="000000"/>
              <w:right w:val="single" w:sz="8" w:space="0" w:color="000000"/>
            </w:tcBorders>
            <w:tcMar>
              <w:top w:w="20" w:type="dxa"/>
              <w:left w:w="20" w:type="dxa"/>
              <w:bottom w:w="20" w:type="dxa"/>
              <w:right w:w="20" w:type="dxa"/>
            </w:tcMar>
          </w:tcPr>
          <w:p w14:paraId="457D0BD8"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372" w:type="pct"/>
            <w:tcBorders>
              <w:top w:val="nil"/>
              <w:left w:val="nil"/>
              <w:bottom w:val="single" w:sz="8" w:space="0" w:color="000000"/>
              <w:right w:val="single" w:sz="8" w:space="0" w:color="000000"/>
            </w:tcBorders>
            <w:tcMar>
              <w:top w:w="20" w:type="dxa"/>
              <w:left w:w="20" w:type="dxa"/>
              <w:bottom w:w="20" w:type="dxa"/>
              <w:right w:w="20" w:type="dxa"/>
            </w:tcMar>
          </w:tcPr>
          <w:p w14:paraId="693C2FAA"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No</w:t>
            </w:r>
          </w:p>
        </w:tc>
        <w:tc>
          <w:tcPr>
            <w:tcW w:w="609" w:type="pct"/>
            <w:tcBorders>
              <w:top w:val="nil"/>
              <w:left w:val="nil"/>
              <w:bottom w:val="single" w:sz="8" w:space="0" w:color="000000"/>
              <w:right w:val="single" w:sz="8" w:space="0" w:color="000000"/>
            </w:tcBorders>
            <w:tcMar>
              <w:top w:w="20" w:type="dxa"/>
              <w:left w:w="20" w:type="dxa"/>
              <w:bottom w:w="20" w:type="dxa"/>
              <w:right w:w="20" w:type="dxa"/>
            </w:tcMar>
          </w:tcPr>
          <w:p w14:paraId="44FD7090"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No</w:t>
            </w:r>
          </w:p>
        </w:tc>
        <w:tc>
          <w:tcPr>
            <w:tcW w:w="871" w:type="pct"/>
            <w:tcBorders>
              <w:top w:val="nil"/>
              <w:left w:val="nil"/>
              <w:bottom w:val="single" w:sz="8" w:space="0" w:color="000000"/>
              <w:right w:val="single" w:sz="8" w:space="0" w:color="000000"/>
            </w:tcBorders>
            <w:tcMar>
              <w:top w:w="20" w:type="dxa"/>
              <w:left w:w="20" w:type="dxa"/>
              <w:bottom w:w="20" w:type="dxa"/>
              <w:right w:w="20" w:type="dxa"/>
            </w:tcMar>
          </w:tcPr>
          <w:p w14:paraId="49D41C0E"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1599" w:type="pct"/>
            <w:tcBorders>
              <w:top w:val="nil"/>
              <w:left w:val="nil"/>
              <w:bottom w:val="single" w:sz="8" w:space="0" w:color="000000"/>
              <w:right w:val="single" w:sz="8" w:space="0" w:color="000000"/>
            </w:tcBorders>
            <w:tcMar>
              <w:top w:w="20" w:type="dxa"/>
              <w:left w:w="20" w:type="dxa"/>
              <w:bottom w:w="20" w:type="dxa"/>
              <w:right w:w="20" w:type="dxa"/>
            </w:tcMar>
          </w:tcPr>
          <w:p w14:paraId="69451375"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Competitive advantage as there are many android phone makers </w:t>
            </w:r>
          </w:p>
        </w:tc>
      </w:tr>
      <w:tr w:rsidR="0047427A" w14:paraId="46C15960" w14:textId="77777777" w:rsidTr="006E53C8">
        <w:trPr>
          <w:trHeight w:val="585"/>
        </w:trPr>
        <w:tc>
          <w:tcPr>
            <w:tcW w:w="1201" w:type="pct"/>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50AC84AF"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A dedicated and talented workforce</w:t>
            </w:r>
          </w:p>
        </w:tc>
        <w:tc>
          <w:tcPr>
            <w:tcW w:w="347" w:type="pct"/>
            <w:tcBorders>
              <w:top w:val="nil"/>
              <w:left w:val="nil"/>
              <w:bottom w:val="single" w:sz="8" w:space="0" w:color="000000"/>
              <w:right w:val="single" w:sz="8" w:space="0" w:color="000000"/>
            </w:tcBorders>
            <w:tcMar>
              <w:top w:w="20" w:type="dxa"/>
              <w:left w:w="20" w:type="dxa"/>
              <w:bottom w:w="20" w:type="dxa"/>
              <w:right w:w="20" w:type="dxa"/>
            </w:tcMar>
          </w:tcPr>
          <w:p w14:paraId="056B0F36"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372" w:type="pct"/>
            <w:tcBorders>
              <w:top w:val="nil"/>
              <w:left w:val="nil"/>
              <w:bottom w:val="single" w:sz="8" w:space="0" w:color="000000"/>
              <w:right w:val="single" w:sz="8" w:space="0" w:color="000000"/>
            </w:tcBorders>
            <w:tcMar>
              <w:top w:w="20" w:type="dxa"/>
              <w:left w:w="20" w:type="dxa"/>
              <w:bottom w:w="20" w:type="dxa"/>
              <w:right w:w="20" w:type="dxa"/>
            </w:tcMar>
          </w:tcPr>
          <w:p w14:paraId="773331BA"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609" w:type="pct"/>
            <w:tcBorders>
              <w:top w:val="nil"/>
              <w:left w:val="nil"/>
              <w:bottom w:val="single" w:sz="8" w:space="0" w:color="000000"/>
              <w:right w:val="single" w:sz="8" w:space="0" w:color="000000"/>
            </w:tcBorders>
            <w:tcMar>
              <w:top w:w="20" w:type="dxa"/>
              <w:left w:w="20" w:type="dxa"/>
              <w:bottom w:w="20" w:type="dxa"/>
              <w:right w:w="20" w:type="dxa"/>
            </w:tcMar>
          </w:tcPr>
          <w:p w14:paraId="0207A5BC"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No</w:t>
            </w:r>
          </w:p>
        </w:tc>
        <w:tc>
          <w:tcPr>
            <w:tcW w:w="871" w:type="pct"/>
            <w:tcBorders>
              <w:top w:val="nil"/>
              <w:left w:val="nil"/>
              <w:bottom w:val="single" w:sz="8" w:space="0" w:color="000000"/>
              <w:right w:val="single" w:sz="8" w:space="0" w:color="000000"/>
            </w:tcBorders>
            <w:tcMar>
              <w:top w:w="20" w:type="dxa"/>
              <w:left w:w="20" w:type="dxa"/>
              <w:bottom w:w="20" w:type="dxa"/>
              <w:right w:w="20" w:type="dxa"/>
            </w:tcMar>
          </w:tcPr>
          <w:p w14:paraId="7A6DC5D4"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Yes</w:t>
            </w:r>
          </w:p>
        </w:tc>
        <w:tc>
          <w:tcPr>
            <w:tcW w:w="1599" w:type="pct"/>
            <w:tcBorders>
              <w:top w:val="nil"/>
              <w:left w:val="nil"/>
              <w:bottom w:val="single" w:sz="8" w:space="0" w:color="000000"/>
              <w:right w:val="single" w:sz="8" w:space="0" w:color="000000"/>
            </w:tcBorders>
            <w:tcMar>
              <w:top w:w="20" w:type="dxa"/>
              <w:left w:w="20" w:type="dxa"/>
              <w:bottom w:w="20" w:type="dxa"/>
              <w:right w:w="20" w:type="dxa"/>
            </w:tcMar>
          </w:tcPr>
          <w:p w14:paraId="604B607C"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Competitive advantage in the long run as retention is great</w:t>
            </w:r>
          </w:p>
        </w:tc>
      </w:tr>
      <w:tr w:rsidR="0047427A" w14:paraId="1CBA7283" w14:textId="77777777" w:rsidTr="006E53C8">
        <w:trPr>
          <w:trHeight w:val="585"/>
        </w:trPr>
        <w:tc>
          <w:tcPr>
            <w:tcW w:w="1201" w:type="pct"/>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028E9A09"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Strong distribution network</w:t>
            </w:r>
          </w:p>
        </w:tc>
        <w:tc>
          <w:tcPr>
            <w:tcW w:w="347" w:type="pct"/>
            <w:tcBorders>
              <w:top w:val="nil"/>
              <w:left w:val="nil"/>
              <w:bottom w:val="single" w:sz="8" w:space="0" w:color="000000"/>
              <w:right w:val="single" w:sz="8" w:space="0" w:color="000000"/>
            </w:tcBorders>
            <w:tcMar>
              <w:top w:w="20" w:type="dxa"/>
              <w:left w:w="20" w:type="dxa"/>
              <w:bottom w:w="20" w:type="dxa"/>
              <w:right w:w="20" w:type="dxa"/>
            </w:tcMar>
          </w:tcPr>
          <w:p w14:paraId="33B7FCCC"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Yes </w:t>
            </w:r>
          </w:p>
        </w:tc>
        <w:tc>
          <w:tcPr>
            <w:tcW w:w="372" w:type="pct"/>
            <w:tcBorders>
              <w:top w:val="nil"/>
              <w:left w:val="nil"/>
              <w:bottom w:val="single" w:sz="8" w:space="0" w:color="000000"/>
              <w:right w:val="single" w:sz="8" w:space="0" w:color="000000"/>
            </w:tcBorders>
            <w:tcMar>
              <w:top w:w="20" w:type="dxa"/>
              <w:left w:w="20" w:type="dxa"/>
              <w:bottom w:w="20" w:type="dxa"/>
              <w:right w:w="20" w:type="dxa"/>
            </w:tcMar>
          </w:tcPr>
          <w:p w14:paraId="3469FA6D"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No </w:t>
            </w:r>
          </w:p>
        </w:tc>
        <w:tc>
          <w:tcPr>
            <w:tcW w:w="609" w:type="pct"/>
            <w:tcBorders>
              <w:top w:val="nil"/>
              <w:left w:val="nil"/>
              <w:bottom w:val="single" w:sz="8" w:space="0" w:color="000000"/>
              <w:right w:val="single" w:sz="8" w:space="0" w:color="000000"/>
            </w:tcBorders>
            <w:tcMar>
              <w:top w:w="20" w:type="dxa"/>
              <w:left w:w="20" w:type="dxa"/>
              <w:bottom w:w="20" w:type="dxa"/>
              <w:right w:w="20" w:type="dxa"/>
            </w:tcMar>
          </w:tcPr>
          <w:p w14:paraId="60B8E9AF"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No </w:t>
            </w:r>
          </w:p>
        </w:tc>
        <w:tc>
          <w:tcPr>
            <w:tcW w:w="871" w:type="pct"/>
            <w:tcBorders>
              <w:top w:val="nil"/>
              <w:left w:val="nil"/>
              <w:bottom w:val="single" w:sz="8" w:space="0" w:color="000000"/>
              <w:right w:val="single" w:sz="8" w:space="0" w:color="000000"/>
            </w:tcBorders>
            <w:tcMar>
              <w:top w:w="20" w:type="dxa"/>
              <w:left w:w="20" w:type="dxa"/>
              <w:bottom w:w="20" w:type="dxa"/>
              <w:right w:w="20" w:type="dxa"/>
            </w:tcMar>
          </w:tcPr>
          <w:p w14:paraId="30E9C05B"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Yes </w:t>
            </w:r>
          </w:p>
        </w:tc>
        <w:tc>
          <w:tcPr>
            <w:tcW w:w="1599" w:type="pct"/>
            <w:tcBorders>
              <w:top w:val="nil"/>
              <w:left w:val="nil"/>
              <w:bottom w:val="single" w:sz="8" w:space="0" w:color="000000"/>
              <w:right w:val="single" w:sz="8" w:space="0" w:color="000000"/>
            </w:tcBorders>
            <w:tcMar>
              <w:top w:w="20" w:type="dxa"/>
              <w:left w:w="20" w:type="dxa"/>
              <w:bottom w:w="20" w:type="dxa"/>
              <w:right w:w="20" w:type="dxa"/>
            </w:tcMar>
          </w:tcPr>
          <w:p w14:paraId="12853E79" w14:textId="77777777" w:rsidR="00665FA4" w:rsidRPr="006E53C8" w:rsidRDefault="00665F85">
            <w:pPr>
              <w:spacing w:before="240"/>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Strong presence in different countries.</w:t>
            </w:r>
          </w:p>
        </w:tc>
      </w:tr>
    </w:tbl>
    <w:p w14:paraId="37C7DB2A" w14:textId="77777777" w:rsidR="006E53C8" w:rsidRDefault="00665F85" w:rsidP="006E53C8">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 2</w:t>
      </w:r>
      <w:r w:rsidRPr="006E53C8">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24"/>
          <w:szCs w:val="24"/>
        </w:rPr>
        <w:t>VRIO framework</w:t>
      </w:r>
    </w:p>
    <w:p w14:paraId="092FB05B" w14:textId="1E4B3019" w:rsidR="006E53C8" w:rsidRPr="006E53C8" w:rsidRDefault="00665F85" w:rsidP="006E53C8">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w:t>
      </w:r>
      <w:r w:rsidR="00D85138">
        <w:rPr>
          <w:rFonts w:ascii="Times New Roman" w:eastAsia="Times New Roman" w:hAnsi="Times New Roman" w:cs="Times New Roman"/>
          <w:color w:val="000000" w:themeColor="text1"/>
          <w:sz w:val="24"/>
          <w:szCs w:val="24"/>
        </w:rPr>
        <w:t xml:space="preserve"> L.Birmante</w:t>
      </w:r>
      <w:r>
        <w:rPr>
          <w:rFonts w:ascii="Times New Roman" w:eastAsia="Times New Roman" w:hAnsi="Times New Roman" w:cs="Times New Roman"/>
          <w:color w:val="000000" w:themeColor="text1"/>
          <w:sz w:val="24"/>
          <w:szCs w:val="24"/>
        </w:rPr>
        <w:t>)</w:t>
      </w:r>
    </w:p>
    <w:p w14:paraId="058D3B39" w14:textId="77777777" w:rsidR="00665FA4" w:rsidRPr="006E53C8" w:rsidRDefault="00665FA4" w:rsidP="006E53C8">
      <w:pPr>
        <w:spacing w:line="360" w:lineRule="auto"/>
        <w:jc w:val="center"/>
        <w:rPr>
          <w:rFonts w:ascii="Times New Roman" w:eastAsia="Times New Roman" w:hAnsi="Times New Roman" w:cs="Times New Roman"/>
          <w:color w:val="000000" w:themeColor="text1"/>
          <w:sz w:val="28"/>
          <w:szCs w:val="28"/>
        </w:rPr>
      </w:pPr>
    </w:p>
    <w:p w14:paraId="1625BAF9"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From the understanding of the VRIO analysis, it can be understood that the </w:t>
      </w:r>
      <w:r w:rsidR="006E53C8" w:rsidRPr="006E53C8">
        <w:rPr>
          <w:rFonts w:ascii="Times New Roman" w:eastAsia="Times New Roman" w:hAnsi="Times New Roman" w:cs="Times New Roman"/>
          <w:color w:val="000000" w:themeColor="text1"/>
          <w:sz w:val="24"/>
          <w:szCs w:val="24"/>
        </w:rPr>
        <w:t>strong workforce</w:t>
      </w:r>
      <w:r w:rsidRPr="006E53C8">
        <w:rPr>
          <w:rFonts w:ascii="Times New Roman" w:eastAsia="Times New Roman" w:hAnsi="Times New Roman" w:cs="Times New Roman"/>
          <w:color w:val="000000" w:themeColor="text1"/>
          <w:sz w:val="24"/>
          <w:szCs w:val="24"/>
        </w:rPr>
        <w:t>, global presence and Specialised technology has been the main resources of Samsung where the strong distribution network has helped them to achieve global sales (Jurevicius, 2021).</w:t>
      </w:r>
    </w:p>
    <w:p w14:paraId="40829DF3" w14:textId="77777777" w:rsidR="00665FA4" w:rsidRPr="006E53C8" w:rsidRDefault="00665F85" w:rsidP="00027BF4">
      <w:pPr>
        <w:pStyle w:val="Antrat1"/>
      </w:pPr>
      <w:bookmarkStart w:id="6" w:name="_Toc67325360"/>
      <w:r w:rsidRPr="006E53C8">
        <w:t>6.0 Application of strategic HRM policy for respondin</w:t>
      </w:r>
      <w:r w:rsidR="006E53C8">
        <w:t>g to environmental changes</w:t>
      </w:r>
      <w:bookmarkEnd w:id="6"/>
      <w:r w:rsidR="006E53C8">
        <w:t xml:space="preserve"> </w:t>
      </w:r>
    </w:p>
    <w:p w14:paraId="6DF255A8"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To understand the challenges faced by the organisation Samsung in their environment of internal and external nature, it is necessary to apply the strategic HRM policy to meet the same.</w:t>
      </w:r>
    </w:p>
    <w:p w14:paraId="04CCFAD5"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lastRenderedPageBreak/>
        <w:t xml:space="preserve">Firstly, the shortage of technical employees within the UK after the situation of Brexit and the left of 95% of the employees to the EU has caused the skill shortage within the organisation. The situation of Covid 19 has further aggravated the situation of the skill shortage which can be made up with certain strategic HRM initiatives (Ren and Jackson, 2020). For example, the HRM department within the organisation can hire employees from around the world as the situation of the pandemic has been under control. The training of these employees can be described as another function of the HRM. The policy should be developed therefore </w:t>
      </w:r>
      <w:r w:rsidR="001C249A" w:rsidRPr="006E53C8">
        <w:rPr>
          <w:rFonts w:ascii="Times New Roman" w:eastAsia="Times New Roman" w:hAnsi="Times New Roman" w:cs="Times New Roman"/>
          <w:color w:val="000000" w:themeColor="text1"/>
          <w:sz w:val="24"/>
          <w:szCs w:val="24"/>
        </w:rPr>
        <w:t>regarding the</w:t>
      </w:r>
      <w:r w:rsidRPr="006E53C8">
        <w:rPr>
          <w:rFonts w:ascii="Times New Roman" w:eastAsia="Times New Roman" w:hAnsi="Times New Roman" w:cs="Times New Roman"/>
          <w:color w:val="000000" w:themeColor="text1"/>
          <w:sz w:val="24"/>
          <w:szCs w:val="24"/>
        </w:rPr>
        <w:t xml:space="preserve"> recruitment of people around the world and the policy should encourage equality and diversity within the workforce.</w:t>
      </w:r>
    </w:p>
    <w:p w14:paraId="46BF66F7" w14:textId="77777777" w:rsidR="00665FA4" w:rsidRPr="006E53C8" w:rsidRDefault="00665F85" w:rsidP="00027BF4">
      <w:pPr>
        <w:pStyle w:val="Antrat1"/>
      </w:pPr>
      <w:bookmarkStart w:id="7" w:name="_Toc67325361"/>
      <w:r>
        <w:t>7.0 Conclusion</w:t>
      </w:r>
      <w:bookmarkEnd w:id="7"/>
    </w:p>
    <w:p w14:paraId="37DDE44D"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The consideration which the study has made has been the use of the predicted changes in the external environment of the organisation Samsung which has been a global leader within the organisation. Post-Brexit, the organisation has faced issues like a high tariff, a different VAT system and a </w:t>
      </w:r>
      <w:r w:rsidR="001C249A" w:rsidRPr="006E53C8">
        <w:rPr>
          <w:rFonts w:ascii="Times New Roman" w:eastAsia="Times New Roman" w:hAnsi="Times New Roman" w:cs="Times New Roman"/>
          <w:color w:val="000000" w:themeColor="text1"/>
          <w:sz w:val="24"/>
          <w:szCs w:val="24"/>
        </w:rPr>
        <w:t>lower number</w:t>
      </w:r>
      <w:r w:rsidRPr="006E53C8">
        <w:rPr>
          <w:rFonts w:ascii="Times New Roman" w:eastAsia="Times New Roman" w:hAnsi="Times New Roman" w:cs="Times New Roman"/>
          <w:color w:val="000000" w:themeColor="text1"/>
          <w:sz w:val="24"/>
          <w:szCs w:val="24"/>
        </w:rPr>
        <w:t xml:space="preserve"> of workers from the EU areas. Besides, the growth of GDP has decreased by 9.9% where Brexit has decreased the growth rate to 1% in 2018 from 2.9% in 2015. The response of the company to these changes has been the use of the combination of the latest technology like H-NAND, 10nm processor and other technologies with strategic HRM considerations.</w:t>
      </w:r>
    </w:p>
    <w:p w14:paraId="568C3E41" w14:textId="77777777" w:rsidR="00665FA4" w:rsidRPr="006E53C8" w:rsidRDefault="00665F85" w:rsidP="00027BF4">
      <w:pPr>
        <w:pStyle w:val="Antrat1"/>
      </w:pPr>
      <w:bookmarkStart w:id="8" w:name="_Toc67325362"/>
      <w:r w:rsidRPr="006E53C8">
        <w:t>8.0 Recommendations</w:t>
      </w:r>
      <w:bookmarkEnd w:id="8"/>
      <w:r w:rsidRPr="006E53C8">
        <w:t xml:space="preserve"> </w:t>
      </w:r>
    </w:p>
    <w:p w14:paraId="5D3D2D1C"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This report recommends the below explanations.</w:t>
      </w:r>
    </w:p>
    <w:p w14:paraId="0EF881C9"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Firstly, </w:t>
      </w:r>
      <w:r w:rsidR="001C249A" w:rsidRPr="006E53C8">
        <w:rPr>
          <w:rFonts w:ascii="Times New Roman" w:eastAsia="Times New Roman" w:hAnsi="Times New Roman" w:cs="Times New Roman"/>
          <w:color w:val="000000" w:themeColor="text1"/>
          <w:sz w:val="24"/>
          <w:szCs w:val="24"/>
        </w:rPr>
        <w:t>as</w:t>
      </w:r>
      <w:r w:rsidRPr="006E53C8">
        <w:rPr>
          <w:rFonts w:ascii="Times New Roman" w:eastAsia="Times New Roman" w:hAnsi="Times New Roman" w:cs="Times New Roman"/>
          <w:color w:val="000000" w:themeColor="text1"/>
          <w:sz w:val="24"/>
          <w:szCs w:val="24"/>
        </w:rPr>
        <w:t xml:space="preserve"> staff across global divisions of the company of Samsung will witness curtailed employment. HR professionals need to create a policy that swiftly hires fresher talent and assigns them with performance capabilities.</w:t>
      </w:r>
    </w:p>
    <w:p w14:paraId="6E97C419" w14:textId="77777777" w:rsidR="00665FA4"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Secondly, </w:t>
      </w:r>
      <w:r w:rsidR="001C249A" w:rsidRPr="006E53C8">
        <w:rPr>
          <w:rFonts w:ascii="Times New Roman" w:eastAsia="Times New Roman" w:hAnsi="Times New Roman" w:cs="Times New Roman"/>
          <w:color w:val="000000" w:themeColor="text1"/>
          <w:sz w:val="24"/>
          <w:szCs w:val="24"/>
        </w:rPr>
        <w:t>the</w:t>
      </w:r>
      <w:r w:rsidRPr="006E53C8">
        <w:rPr>
          <w:rFonts w:ascii="Times New Roman" w:eastAsia="Times New Roman" w:hAnsi="Times New Roman" w:cs="Times New Roman"/>
          <w:color w:val="000000" w:themeColor="text1"/>
          <w:sz w:val="24"/>
          <w:szCs w:val="24"/>
        </w:rPr>
        <w:t xml:space="preserve"> organisation needs to lay emphasis on its mobile divisions and deploy employees in equal distribution across several branches. </w:t>
      </w:r>
    </w:p>
    <w:p w14:paraId="4F4AE93E" w14:textId="77777777" w:rsidR="00665FA4" w:rsidRPr="006E53C8" w:rsidRDefault="00665F85">
      <w:pPr>
        <w:spacing w:line="360" w:lineRule="auto"/>
        <w:jc w:val="both"/>
        <w:rPr>
          <w:rFonts w:ascii="Times New Roman" w:eastAsia="Times New Roman" w:hAnsi="Times New Roman" w:cs="Times New Roman"/>
          <w:b/>
          <w:color w:val="000000" w:themeColor="text1"/>
          <w:sz w:val="28"/>
          <w:szCs w:val="28"/>
        </w:rPr>
      </w:pPr>
      <w:r w:rsidRPr="006E53C8">
        <w:rPr>
          <w:rFonts w:ascii="Times New Roman" w:eastAsia="Times New Roman" w:hAnsi="Times New Roman" w:cs="Times New Roman"/>
          <w:color w:val="000000" w:themeColor="text1"/>
          <w:sz w:val="24"/>
          <w:szCs w:val="24"/>
        </w:rPr>
        <w:t xml:space="preserve">Thirdly, from the understanding developed from the VRIO and application </w:t>
      </w:r>
      <w:r w:rsidR="001C249A" w:rsidRPr="006E53C8">
        <w:rPr>
          <w:rFonts w:ascii="Times New Roman" w:eastAsia="Times New Roman" w:hAnsi="Times New Roman" w:cs="Times New Roman"/>
          <w:color w:val="000000" w:themeColor="text1"/>
          <w:sz w:val="24"/>
          <w:szCs w:val="24"/>
        </w:rPr>
        <w:t>of HRM</w:t>
      </w:r>
      <w:r w:rsidRPr="006E53C8">
        <w:rPr>
          <w:rFonts w:ascii="Times New Roman" w:eastAsia="Times New Roman" w:hAnsi="Times New Roman" w:cs="Times New Roman"/>
          <w:color w:val="000000" w:themeColor="text1"/>
          <w:sz w:val="24"/>
          <w:szCs w:val="24"/>
        </w:rPr>
        <w:t xml:space="preserve"> policy along with the HR response against the different external factors, it can be recommended that the use of hiring talents from the different countries to fill the skill gap as the situation of Covid 19 has started </w:t>
      </w:r>
      <w:r w:rsidRPr="006E53C8">
        <w:rPr>
          <w:rFonts w:ascii="Times New Roman" w:eastAsia="Times New Roman" w:hAnsi="Times New Roman" w:cs="Times New Roman"/>
          <w:color w:val="000000" w:themeColor="text1"/>
          <w:sz w:val="24"/>
          <w:szCs w:val="24"/>
        </w:rPr>
        <w:lastRenderedPageBreak/>
        <w:t>to normalise. Besides, a further recommendation can be made that recruited employees are trained properly through different mediums.</w:t>
      </w:r>
      <w:r w:rsidRPr="006E53C8">
        <w:rPr>
          <w:color w:val="000000" w:themeColor="text1"/>
        </w:rPr>
        <w:br w:type="page"/>
      </w:r>
    </w:p>
    <w:p w14:paraId="07E2DA9A" w14:textId="77777777" w:rsidR="00665FA4" w:rsidRPr="006E53C8" w:rsidRDefault="00665F85" w:rsidP="00027BF4">
      <w:pPr>
        <w:pStyle w:val="Antrat1"/>
      </w:pPr>
      <w:bookmarkStart w:id="9" w:name="_Toc67325363"/>
      <w:r w:rsidRPr="006E53C8">
        <w:lastRenderedPageBreak/>
        <w:t>References</w:t>
      </w:r>
      <w:bookmarkEnd w:id="9"/>
    </w:p>
    <w:p w14:paraId="24E8E8B7"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Abdullah, M., 2017. Evolution of enterprise resource planning. Evolution. An International Multidisciplinary Journal, [online] 1(11), pp.1-6. Available at: &lt;https://fardapaper.ir/mohavaha/uploads/2017/10/Evolution-of-Enterprise-Resource-Planning.pdf&gt; [Accessed 15 March 2021].</w:t>
      </w:r>
    </w:p>
    <w:p w14:paraId="163472C0"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Amadeo, K., 2021. What Was Brexit, and How Did It Impact the UK, EU, and the US?. [online] The Balance. Available at: &lt;https://www.thebalance.com/brexit-consequences-4062999&gt; [Accessed 12 March 2021].</w:t>
      </w:r>
    </w:p>
    <w:p w14:paraId="7522E10D"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Azeez, S., 2017. Human Resource Management Practices and Employee Retention: A Review of Literature. Journal of Economics, Management and Trade, [online] 18(2), pp.1-10. Available at: &lt;https://www.journaljemt.com/index.php/JEMT/article/view/12459&gt; [Accessed 15 March 2021].</w:t>
      </w:r>
    </w:p>
    <w:p w14:paraId="56209D7E"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Bryant, K., 2021. How will Brexit affect businesses? 14 things you need to know | Sage Advice United Kingdom. [online] Sage Advice United Kingdom. Available at: &lt;https://www.sage.com/en-gb/blog/how-will-brexit-affect-businesses/&gt; [Accessed 12 March 2021].</w:t>
      </w:r>
    </w:p>
    <w:p w14:paraId="3C46C8A9"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Carlon, K., 2021. Samsung rewards Mobile division employees despite poor performance in 2015. [online] Android Authority. Available at: &lt;https://www.androidauthority.com/samsung-rewards-mobile-division-employees-669904/&gt; [Accessed 15 March 2021].</w:t>
      </w:r>
    </w:p>
    <w:p w14:paraId="028CC5BA"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Crawford, R., 2021. Samsung evolves benefits strategy - Employee Benefits. [online] Employee Benefits. Available at: &lt;https://employeebenefits.co.uk/issues/november-2014/samsung-evolves-benefits-strategy/&gt; [Accessed 15 March 2021].</w:t>
      </w:r>
    </w:p>
    <w:p w14:paraId="6D8A2B3D"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Eun-jin, K., 2021. Several Samsung Electronics Employees in South Korea Tops 100,000 Mark. [online] Businesskorea. Available at: &lt;http://www.businesskorea.co.kr/news/articleView.html?idxno=30533&gt; [Accessed 15 March 2021].</w:t>
      </w:r>
    </w:p>
    <w:p w14:paraId="68A9A59E"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Gamble, A., 2018. Taking back control: the political implications of Brexit. Journal of European public policy, 25(8), pp.1215-1232. DOI: https://doi.org/10.1080/13501763.2018.1467952</w:t>
      </w:r>
    </w:p>
    <w:p w14:paraId="4F4382E0"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Gordon, R. and Moffatt, R., 2021. Brexit: The Immediate Legal Consequences. [online] Brickcourt.co.uk. Available at: &lt;https://www.brickcourt.co.uk/application-forms/COSJ4358_Brexit_WEB_(4).pdf&gt; [Accessed 12 March 2021].</w:t>
      </w:r>
    </w:p>
    <w:p w14:paraId="6C00BB77"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lastRenderedPageBreak/>
        <w:t>Harari, D., Kemp, M. and Brien, P., 2021. Coronavirus: Economic impact. [online] House of Commons Library. Available at: &lt;https://commonslibrary.parliament.uk/research-briefings/cbp-8866/&gt; [Accessed 12 March 2021].</w:t>
      </w:r>
    </w:p>
    <w:p w14:paraId="7324BA3D"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Jurevicius, O., 2021. All you need to know about a Resource-Based View. [online] Strategic Management Insight. Available at: &lt;https://strategicmanagementinsight.com/topics/resource-based-view.html&gt; [Accessed 12 March 2021].</w:t>
      </w:r>
    </w:p>
    <w:p w14:paraId="6309B9A8"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Lee, S., 2021. World's biggest startup? Samsung Electronics to reform corporate culture. [online] Reuters. Available at: &lt;https://www.reuters.com/article/us-samsung-elec-culture-idUSKCN0WQ0CP&gt; [Accessed 15 March 2021].</w:t>
      </w:r>
    </w:p>
    <w:p w14:paraId="072459D8"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Manager, S., 2021. Samsung C&amp;T places in the global top 100 for diversity and inclusion - Samsung C&amp;T Newsroom. [online] Samsung C&amp;T Newsroom. Available at: &lt;http://news.samsungcnt.com/samsung-ct-places-global-top-100-diversity-inclusion/&gt; [Accessed 15 March 2021].</w:t>
      </w:r>
    </w:p>
    <w:p w14:paraId="189777F5"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News.samsung.com, 2021. Samsung Electronics Announces Third Quarter 2020 Results. [online] News.samsung.com. Available at: &lt;https://news.samsung.com/global/samsung-electronics-announces-third-quarter-2020-results&gt; [Accessed 15 March 2021].</w:t>
      </w:r>
    </w:p>
    <w:p w14:paraId="05E1A63C"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Personneltoday.com, 2021. HR set to be the powerhouse of any business by 2020, according to Samsung - Press Release Service. [online] Personneltoday.com. Available at: &lt;https://www.personneltoday.com/pr/2017/02/hr-set-to-be-the-powerhouse-of-any-business-by-2020-according-to-samsung/&gt; [Accessed 15 March 2021].</w:t>
      </w:r>
    </w:p>
    <w:p w14:paraId="3CB2F010"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Rashica, V., 2018. The Political Consequences of Brexit for the United Kingdom and the European Union. SEEU Review, 13(1), pp.30-43. DOI: https://doi.org/10.2478/seeur-2018-0004</w:t>
      </w:r>
    </w:p>
    <w:p w14:paraId="37B06C5B"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Ren, S. and Jackson, S.E., 2020. HRM institutional entrepreneurship for sustainable business organizations. Human Resource Management Review, 30(3), p.100691. DOI: 10.1016/j.hrmr.2019.100691.</w:t>
      </w:r>
    </w:p>
    <w:p w14:paraId="0639B109"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Samsung Electronics America, 2021. Philosophy Goals | Philosophy | Vision | Samsung US. [online] Samsung Electronics America. Available at: &lt;https://www.samsung.com/us/aboutsamsung/vision/philosophy/philosophy-goals/&gt; [Accessed 15 March 2021].</w:t>
      </w:r>
    </w:p>
    <w:p w14:paraId="6E494ECE"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 xml:space="preserve">Samsung US Newsroom, 2021. Samsung’s MBA Leadership Development Program (LDP) - Samsung US Newsroom. [online] Samsung US Newsroom. Available at: </w:t>
      </w:r>
      <w:r w:rsidRPr="006E53C8">
        <w:rPr>
          <w:rFonts w:ascii="Times New Roman" w:eastAsia="Times New Roman" w:hAnsi="Times New Roman" w:cs="Times New Roman"/>
          <w:color w:val="000000" w:themeColor="text1"/>
          <w:sz w:val="24"/>
          <w:szCs w:val="24"/>
        </w:rPr>
        <w:lastRenderedPageBreak/>
        <w:t>&lt;https://news.samsung.com/us/samsungs-mba-leadership-development-program-ldp/&gt; [Accessed 15 March 2021].</w:t>
      </w:r>
    </w:p>
    <w:p w14:paraId="0D6118F2"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Samsung, 2021. SAMSUNG ELECTRONICS SUSTAINABILITY REPORT 2020. [online] Images.samsung.com. Available at: &lt;https://images.samsung.com/is/content/samsung/p5/uk/aboutsamsung/pdf/Sustainability_report_2020_en_F.pdf&gt; [Accessed 12 March 2021].</w:t>
      </w:r>
    </w:p>
    <w:p w14:paraId="6106A2CD"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Selko, A., 2021. What is the Samsung Way?. [online] IndustryWeek. Available at: &lt;https://www.industryweek.com/leadership/companies-executives/article/21963463/what-is-the-samsung-way&gt; [Accessed 15 March 2021].</w:t>
      </w:r>
    </w:p>
    <w:p w14:paraId="56A076BA"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Shu, C., 2021. TechCrunch is now a part of Verizon Media. [online] Techcrunch.com. Available at: &lt;https://techcrunch.com/2020/04/28/samsung-expects-covid-19-to-hurt-smartphone-and-tv-sales-but-increase-demand-for-memory/?guccounter=1&amp;guce_referrer=aHR0cHM6Ly93d3cuYmluZy5jb20v&amp;guce_referrer_sig=AQAAABB-wJ_dt0UkU3gsuWUUPNDqdDplZmq3WYHFm3aZijGMCgkm5JK98J9yVh9PkprEEBr1cR9rC6GRdsqnlEGBss4nMxYmb26mxj48klmDJtWSXxmz1JZTY4v9pYPCWFYX-whkr1oOCbUJ19o7Mfcfl04nytn0f_1LiJTWy-fH29nv&gt; [Accessed 15 March 2021].</w:t>
      </w:r>
    </w:p>
    <w:p w14:paraId="64F798C2"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Shujahat, M., Hussain, S., Javed, S., Malik, M., Thurasamy, R. and Ali, J., 2017. Strategic management model with the lens of knowledge management and competitive intelligence. VINE Journal of Information and Knowledge Management Systems, [online] 47(1), pp.55-93. Available at: &lt;http://eprints.hud.ac.uk/id/eprint/31075/1/Revised-manauscript.pdf&gt; [Accessed 15 March 2021].</w:t>
      </w:r>
    </w:p>
    <w:p w14:paraId="09AC267E"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Team, T., 2021. Samsung's Smartphone Business Faces Challenges Despite Strong Sales Growth. [online] Forbes. Available at: &lt;https://www.forbes.com/sites/greatspeculations/2014/05/29/samsungs-smartphone-business-faces-challenges-despite-strong-sales-growth/?sh=71342f4a29a1&gt; [Accessed 15 March 2021].</w:t>
      </w:r>
    </w:p>
    <w:p w14:paraId="2C4D6559"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t>pioneer, 2021. Samsung sees demand growth in chip biz. [online] The Pioneer. Available at: &lt;https://www.dailypioneer.com/2021/technology/samsung-sees-demand-growth-in-chip-biz.html&gt; [Accessed 15 March 2021].</w:t>
      </w:r>
    </w:p>
    <w:p w14:paraId="3035DC4D" w14:textId="77777777" w:rsidR="006E53C8" w:rsidRPr="006E53C8" w:rsidRDefault="00665F85">
      <w:pPr>
        <w:spacing w:line="360" w:lineRule="auto"/>
        <w:jc w:val="both"/>
        <w:rPr>
          <w:rFonts w:ascii="Times New Roman" w:eastAsia="Times New Roman" w:hAnsi="Times New Roman" w:cs="Times New Roman"/>
          <w:color w:val="000000" w:themeColor="text1"/>
          <w:sz w:val="24"/>
          <w:szCs w:val="24"/>
        </w:rPr>
      </w:pPr>
      <w:r w:rsidRPr="006E53C8">
        <w:rPr>
          <w:rFonts w:ascii="Times New Roman" w:eastAsia="Times New Roman" w:hAnsi="Times New Roman" w:cs="Times New Roman"/>
          <w:color w:val="000000" w:themeColor="text1"/>
          <w:sz w:val="24"/>
          <w:szCs w:val="24"/>
        </w:rPr>
        <w:lastRenderedPageBreak/>
        <w:t xml:space="preserve">Yu, W., Chavez, R., Jacobs, M.A. and Feng, M., 2018. Data-driven supply chain capabilities and performance: A resource-based view. Transportation Research Part E: logistics and transportation review, 114, pp.371-385. DOI: </w:t>
      </w:r>
      <w:hyperlink r:id="rId8" w:history="1">
        <w:r w:rsidRPr="006E53C8">
          <w:rPr>
            <w:rFonts w:ascii="Times New Roman" w:eastAsia="Times New Roman" w:hAnsi="Times New Roman" w:cs="Times New Roman"/>
            <w:color w:val="000000" w:themeColor="text1"/>
            <w:sz w:val="24"/>
            <w:szCs w:val="24"/>
            <w:u w:val="single"/>
          </w:rPr>
          <w:t>https://doi.org/10.1016/j.tre.2017.04.002</w:t>
        </w:r>
      </w:hyperlink>
    </w:p>
    <w:p w14:paraId="1D514F11" w14:textId="77777777" w:rsidR="00665FA4" w:rsidRPr="006E53C8" w:rsidRDefault="00665FA4">
      <w:pPr>
        <w:spacing w:line="360" w:lineRule="auto"/>
        <w:jc w:val="both"/>
        <w:rPr>
          <w:rFonts w:ascii="Times New Roman" w:eastAsia="Times New Roman" w:hAnsi="Times New Roman" w:cs="Times New Roman"/>
          <w:color w:val="000000" w:themeColor="text1"/>
          <w:sz w:val="24"/>
          <w:szCs w:val="24"/>
        </w:rPr>
      </w:pPr>
    </w:p>
    <w:p w14:paraId="5352F187" w14:textId="77777777" w:rsidR="00665FA4" w:rsidRPr="006E53C8" w:rsidRDefault="00665FA4">
      <w:pPr>
        <w:spacing w:line="360" w:lineRule="auto"/>
        <w:jc w:val="both"/>
        <w:rPr>
          <w:rFonts w:ascii="Times New Roman" w:eastAsia="Times New Roman" w:hAnsi="Times New Roman" w:cs="Times New Roman"/>
          <w:color w:val="000000" w:themeColor="text1"/>
          <w:sz w:val="24"/>
          <w:szCs w:val="24"/>
        </w:rPr>
      </w:pPr>
    </w:p>
    <w:p w14:paraId="3008A448" w14:textId="77777777" w:rsidR="00665FA4" w:rsidRPr="006E53C8" w:rsidRDefault="00665FA4">
      <w:pPr>
        <w:rPr>
          <w:rFonts w:ascii="Times New Roman" w:eastAsia="Times New Roman" w:hAnsi="Times New Roman" w:cs="Times New Roman"/>
          <w:b/>
          <w:color w:val="000000" w:themeColor="text1"/>
          <w:sz w:val="28"/>
          <w:szCs w:val="28"/>
        </w:rPr>
      </w:pPr>
    </w:p>
    <w:sectPr w:rsidR="00665FA4" w:rsidRPr="006E53C8" w:rsidSect="006E53C8">
      <w:footerReference w:type="default" r:id="rId9"/>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35C19" w14:textId="77777777" w:rsidR="00CD6083" w:rsidRDefault="00CD6083">
      <w:pPr>
        <w:spacing w:line="240" w:lineRule="auto"/>
      </w:pPr>
      <w:r>
        <w:separator/>
      </w:r>
    </w:p>
  </w:endnote>
  <w:endnote w:type="continuationSeparator" w:id="0">
    <w:p w14:paraId="665EF226" w14:textId="77777777" w:rsidR="00CD6083" w:rsidRDefault="00CD60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57417"/>
      <w:docPartObj>
        <w:docPartGallery w:val="Page Numbers (Bottom of Page)"/>
        <w:docPartUnique/>
      </w:docPartObj>
    </w:sdtPr>
    <w:sdtEndPr>
      <w:rPr>
        <w:rFonts w:ascii="Times New Roman" w:hAnsi="Times New Roman" w:cs="Times New Roman"/>
        <w:noProof/>
        <w:sz w:val="24"/>
        <w:szCs w:val="24"/>
      </w:rPr>
    </w:sdtEndPr>
    <w:sdtContent>
      <w:p w14:paraId="3334F30B" w14:textId="77777777" w:rsidR="006E53C8" w:rsidRPr="006E53C8" w:rsidRDefault="00665F85">
        <w:pPr>
          <w:pStyle w:val="Porat"/>
          <w:jc w:val="right"/>
          <w:rPr>
            <w:rFonts w:ascii="Times New Roman" w:hAnsi="Times New Roman" w:cs="Times New Roman"/>
            <w:sz w:val="24"/>
            <w:szCs w:val="24"/>
          </w:rPr>
        </w:pPr>
        <w:r w:rsidRPr="006E53C8">
          <w:rPr>
            <w:rFonts w:ascii="Times New Roman" w:hAnsi="Times New Roman" w:cs="Times New Roman"/>
            <w:sz w:val="24"/>
            <w:szCs w:val="24"/>
          </w:rPr>
          <w:fldChar w:fldCharType="begin"/>
        </w:r>
        <w:r w:rsidRPr="006E53C8">
          <w:rPr>
            <w:rFonts w:ascii="Times New Roman" w:hAnsi="Times New Roman" w:cs="Times New Roman"/>
            <w:sz w:val="24"/>
            <w:szCs w:val="24"/>
          </w:rPr>
          <w:instrText xml:space="preserve"> PAGE   \* MERGEFORMAT </w:instrText>
        </w:r>
        <w:r w:rsidRPr="006E53C8">
          <w:rPr>
            <w:rFonts w:ascii="Times New Roman" w:hAnsi="Times New Roman" w:cs="Times New Roman"/>
            <w:sz w:val="24"/>
            <w:szCs w:val="24"/>
          </w:rPr>
          <w:fldChar w:fldCharType="separate"/>
        </w:r>
        <w:r w:rsidR="00027BF4">
          <w:rPr>
            <w:rFonts w:ascii="Times New Roman" w:hAnsi="Times New Roman" w:cs="Times New Roman"/>
            <w:noProof/>
            <w:sz w:val="24"/>
            <w:szCs w:val="24"/>
          </w:rPr>
          <w:t>10</w:t>
        </w:r>
        <w:r w:rsidRPr="006E53C8">
          <w:rPr>
            <w:rFonts w:ascii="Times New Roman" w:hAnsi="Times New Roman" w:cs="Times New Roman"/>
            <w:noProof/>
            <w:sz w:val="24"/>
            <w:szCs w:val="24"/>
          </w:rPr>
          <w:fldChar w:fldCharType="end"/>
        </w:r>
      </w:p>
    </w:sdtContent>
  </w:sdt>
  <w:p w14:paraId="115CC7E3" w14:textId="77777777" w:rsidR="00665FA4" w:rsidRDefault="00665F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CC48" w14:textId="77777777" w:rsidR="00CD6083" w:rsidRDefault="00CD6083">
      <w:pPr>
        <w:spacing w:line="240" w:lineRule="auto"/>
      </w:pPr>
      <w:r>
        <w:separator/>
      </w:r>
    </w:p>
  </w:footnote>
  <w:footnote w:type="continuationSeparator" w:id="0">
    <w:p w14:paraId="683425E0" w14:textId="77777777" w:rsidR="00CD6083" w:rsidRDefault="00CD60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1E48"/>
    <w:multiLevelType w:val="multilevel"/>
    <w:tmpl w:val="E3746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9D2627"/>
    <w:multiLevelType w:val="multilevel"/>
    <w:tmpl w:val="E5267A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69C1E5E"/>
    <w:multiLevelType w:val="multilevel"/>
    <w:tmpl w:val="778228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D393D6C"/>
    <w:multiLevelType w:val="multilevel"/>
    <w:tmpl w:val="227444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7286D76"/>
    <w:multiLevelType w:val="multilevel"/>
    <w:tmpl w:val="2C760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C31300"/>
    <w:multiLevelType w:val="multilevel"/>
    <w:tmpl w:val="341C828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FA4"/>
    <w:rsid w:val="00027BF4"/>
    <w:rsid w:val="0009620D"/>
    <w:rsid w:val="001C249A"/>
    <w:rsid w:val="0047427A"/>
    <w:rsid w:val="00665F85"/>
    <w:rsid w:val="00665FA4"/>
    <w:rsid w:val="006E53C8"/>
    <w:rsid w:val="00735949"/>
    <w:rsid w:val="008017BA"/>
    <w:rsid w:val="00934667"/>
    <w:rsid w:val="00CD6083"/>
    <w:rsid w:val="00D851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8493"/>
  <w15:docId w15:val="{FB64D154-5943-45FF-A43A-D2F3F190D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style>
  <w:style w:type="paragraph" w:styleId="Antrat1">
    <w:name w:val="heading 1"/>
    <w:basedOn w:val="prastasis"/>
    <w:next w:val="prastasis"/>
    <w:rsid w:val="00027BF4"/>
    <w:pPr>
      <w:keepNext/>
      <w:keepLines/>
      <w:spacing w:before="400" w:after="120" w:line="360" w:lineRule="auto"/>
      <w:jc w:val="both"/>
      <w:outlineLvl w:val="0"/>
    </w:pPr>
    <w:rPr>
      <w:rFonts w:ascii="Times New Roman" w:hAnsi="Times New Roman"/>
      <w:b/>
      <w:color w:val="000000" w:themeColor="text1"/>
      <w:sz w:val="28"/>
      <w:szCs w:val="40"/>
    </w:rPr>
  </w:style>
  <w:style w:type="paragraph" w:styleId="Antrat2">
    <w:name w:val="heading 2"/>
    <w:basedOn w:val="prastasis"/>
    <w:next w:val="prastasis"/>
    <w:rsid w:val="00027BF4"/>
    <w:pPr>
      <w:keepNext/>
      <w:keepLines/>
      <w:spacing w:before="360" w:after="120" w:line="360" w:lineRule="auto"/>
      <w:jc w:val="both"/>
      <w:outlineLvl w:val="1"/>
    </w:pPr>
    <w:rPr>
      <w:rFonts w:ascii="Times New Roman" w:hAnsi="Times New Roman"/>
      <w:b/>
      <w:color w:val="000000" w:themeColor="text1"/>
      <w:sz w:val="24"/>
      <w:szCs w:val="32"/>
    </w:rPr>
  </w:style>
  <w:style w:type="paragraph" w:styleId="Antrat3">
    <w:name w:val="heading 3"/>
    <w:basedOn w:val="prastasis"/>
    <w:next w:val="prastasis"/>
    <w:pPr>
      <w:keepNext/>
      <w:keepLines/>
      <w:spacing w:before="320" w:after="80"/>
      <w:outlineLvl w:val="2"/>
    </w:pPr>
    <w:rPr>
      <w:color w:val="434343"/>
      <w:sz w:val="28"/>
      <w:szCs w:val="28"/>
    </w:rPr>
  </w:style>
  <w:style w:type="paragraph" w:styleId="Antrat4">
    <w:name w:val="heading 4"/>
    <w:basedOn w:val="prastasis"/>
    <w:next w:val="prastasis"/>
    <w:pPr>
      <w:keepNext/>
      <w:keepLines/>
      <w:spacing w:before="280" w:after="80"/>
      <w:outlineLvl w:val="3"/>
    </w:pPr>
    <w:rPr>
      <w:color w:val="666666"/>
      <w:sz w:val="24"/>
      <w:szCs w:val="24"/>
    </w:rPr>
  </w:style>
  <w:style w:type="paragraph" w:styleId="Antrat5">
    <w:name w:val="heading 5"/>
    <w:basedOn w:val="prastasis"/>
    <w:next w:val="prastasis"/>
    <w:pPr>
      <w:keepNext/>
      <w:keepLines/>
      <w:spacing w:before="240" w:after="80"/>
      <w:outlineLvl w:val="4"/>
    </w:pPr>
    <w:rPr>
      <w:color w:val="666666"/>
    </w:rPr>
  </w:style>
  <w:style w:type="paragraph" w:styleId="Antrat6">
    <w:name w:val="heading 6"/>
    <w:basedOn w:val="prastasis"/>
    <w:next w:val="prastasis"/>
    <w:pPr>
      <w:keepNext/>
      <w:keepLines/>
      <w:spacing w:before="240" w:after="80"/>
      <w:outlineLvl w:val="5"/>
    </w:pPr>
    <w:rPr>
      <w:i/>
      <w:color w:val="66666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pPr>
      <w:keepNext/>
      <w:keepLines/>
      <w:spacing w:after="60"/>
    </w:pPr>
    <w:rPr>
      <w:sz w:val="52"/>
      <w:szCs w:val="52"/>
    </w:rPr>
  </w:style>
  <w:style w:type="paragraph" w:styleId="Paantrat">
    <w:name w:val="Subtitle"/>
    <w:basedOn w:val="prastasis"/>
    <w:next w:val="prastasis"/>
    <w:pPr>
      <w:keepNext/>
      <w:keepLines/>
      <w:spacing w:after="320"/>
    </w:pPr>
    <w:rPr>
      <w:color w:val="666666"/>
      <w:sz w:val="30"/>
      <w:szCs w:val="30"/>
    </w:rPr>
  </w:style>
  <w:style w:type="table" w:customStyle="1" w:styleId="a">
    <w:name w:val="a"/>
    <w:basedOn w:val="prastojilentel"/>
    <w:tblPr>
      <w:tblStyleRowBandSize w:val="1"/>
      <w:tblStyleColBandSize w:val="1"/>
      <w:tblCellMar>
        <w:top w:w="100" w:type="dxa"/>
        <w:left w:w="100" w:type="dxa"/>
        <w:bottom w:w="100" w:type="dxa"/>
        <w:right w:w="100" w:type="dxa"/>
      </w:tblCellMar>
    </w:tblPr>
  </w:style>
  <w:style w:type="table" w:customStyle="1" w:styleId="a0">
    <w:name w:val="a0"/>
    <w:basedOn w:val="prastojilentel"/>
    <w:tblPr>
      <w:tblStyleRowBandSize w:val="1"/>
      <w:tblStyleColBandSize w:val="1"/>
      <w:tblCellMar>
        <w:top w:w="100" w:type="dxa"/>
        <w:left w:w="100" w:type="dxa"/>
        <w:bottom w:w="100" w:type="dxa"/>
        <w:right w:w="100" w:type="dxa"/>
      </w:tblCellMar>
    </w:tblPr>
    <w:tcPr>
      <w:shd w:val="clear" w:color="auto" w:fill="FFFFFF"/>
    </w:tcPr>
  </w:style>
  <w:style w:type="paragraph" w:styleId="Antrats">
    <w:name w:val="header"/>
    <w:basedOn w:val="prastasis"/>
    <w:link w:val="AntratsDiagrama"/>
    <w:uiPriority w:val="99"/>
    <w:unhideWhenUsed/>
    <w:rsid w:val="006E53C8"/>
    <w:pPr>
      <w:tabs>
        <w:tab w:val="center" w:pos="4513"/>
        <w:tab w:val="right" w:pos="9026"/>
      </w:tabs>
      <w:spacing w:line="240" w:lineRule="auto"/>
    </w:pPr>
  </w:style>
  <w:style w:type="character" w:customStyle="1" w:styleId="AntratsDiagrama">
    <w:name w:val="Antraštės Diagrama"/>
    <w:basedOn w:val="Numatytasispastraiposriftas"/>
    <w:link w:val="Antrats"/>
    <w:uiPriority w:val="99"/>
    <w:rsid w:val="006E53C8"/>
  </w:style>
  <w:style w:type="paragraph" w:styleId="Porat">
    <w:name w:val="footer"/>
    <w:basedOn w:val="prastasis"/>
    <w:link w:val="PoratDiagrama"/>
    <w:uiPriority w:val="99"/>
    <w:unhideWhenUsed/>
    <w:rsid w:val="006E53C8"/>
    <w:pPr>
      <w:tabs>
        <w:tab w:val="center" w:pos="4513"/>
        <w:tab w:val="right" w:pos="9026"/>
      </w:tabs>
      <w:spacing w:line="240" w:lineRule="auto"/>
    </w:pPr>
  </w:style>
  <w:style w:type="character" w:customStyle="1" w:styleId="PoratDiagrama">
    <w:name w:val="Poraštė Diagrama"/>
    <w:basedOn w:val="Numatytasispastraiposriftas"/>
    <w:link w:val="Porat"/>
    <w:uiPriority w:val="99"/>
    <w:rsid w:val="006E53C8"/>
  </w:style>
  <w:style w:type="paragraph" w:styleId="Turinioantrat">
    <w:name w:val="TOC Heading"/>
    <w:basedOn w:val="Antrat1"/>
    <w:next w:val="prastasis"/>
    <w:uiPriority w:val="39"/>
    <w:unhideWhenUsed/>
    <w:qFormat/>
    <w:rsid w:val="00027BF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urinys1">
    <w:name w:val="toc 1"/>
    <w:basedOn w:val="prastasis"/>
    <w:next w:val="prastasis"/>
    <w:autoRedefine/>
    <w:uiPriority w:val="39"/>
    <w:unhideWhenUsed/>
    <w:rsid w:val="00027BF4"/>
    <w:pPr>
      <w:spacing w:after="100"/>
    </w:pPr>
  </w:style>
  <w:style w:type="paragraph" w:styleId="Turinys2">
    <w:name w:val="toc 2"/>
    <w:basedOn w:val="prastasis"/>
    <w:next w:val="prastasis"/>
    <w:autoRedefine/>
    <w:uiPriority w:val="39"/>
    <w:unhideWhenUsed/>
    <w:rsid w:val="00027BF4"/>
    <w:pPr>
      <w:spacing w:after="100"/>
      <w:ind w:left="220"/>
    </w:pPr>
  </w:style>
  <w:style w:type="character" w:styleId="Hipersaitas">
    <w:name w:val="Hyperlink"/>
    <w:basedOn w:val="Numatytasispastraiposriftas"/>
    <w:uiPriority w:val="99"/>
    <w:unhideWhenUsed/>
    <w:rsid w:val="00027B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16/j.tre.2017.04.0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EC855-9569-4AAB-85C2-B732BE9CC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4098</Words>
  <Characters>23365</Characters>
  <Application>Microsoft Office Word</Application>
  <DocSecurity>0</DocSecurity>
  <Lines>194</Lines>
  <Paragraphs>54</Paragraphs>
  <ScaleCrop>false</ScaleCrop>
  <Company/>
  <LinksUpToDate>false</LinksUpToDate>
  <CharactersWithSpaces>27409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Birmante</dc:creator>
  <cp:lastModifiedBy>Lina Birmante (2010698)</cp:lastModifiedBy>
  <cp:revision>2</cp:revision>
  <dcterms:created xsi:type="dcterms:W3CDTF">2021-04-19T17:00:00Z</dcterms:created>
  <dcterms:modified xsi:type="dcterms:W3CDTF">2021-04-19T17:00:00Z</dcterms:modified>
</cp:coreProperties>
</file>