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4A83A" w14:textId="77777777" w:rsidR="00194C65" w:rsidRPr="00194C65" w:rsidRDefault="00194C65" w:rsidP="00E402F5">
      <w:pPr>
        <w:spacing w:line="360" w:lineRule="auto"/>
        <w:rPr>
          <w:rFonts w:cs="Arial"/>
          <w:b/>
          <w:bCs/>
          <w:i/>
          <w:iCs/>
          <w:color w:val="156082" w:themeColor="accent1"/>
          <w:sz w:val="28"/>
          <w:szCs w:val="28"/>
        </w:rPr>
      </w:pPr>
      <w:r w:rsidRPr="00194C65">
        <w:rPr>
          <w:rFonts w:cs="Arial"/>
          <w:b/>
          <w:bCs/>
          <w:i/>
          <w:iCs/>
          <w:color w:val="156082" w:themeColor="accent1"/>
          <w:sz w:val="28"/>
          <w:szCs w:val="28"/>
        </w:rPr>
        <w:t>Strategic Management for Business</w:t>
      </w:r>
    </w:p>
    <w:p w14:paraId="593670F7" w14:textId="77777777" w:rsidR="00194C65" w:rsidRPr="00194C65" w:rsidRDefault="00194C65" w:rsidP="00E402F5">
      <w:pPr>
        <w:spacing w:line="360" w:lineRule="auto"/>
        <w:ind w:left="720"/>
        <w:rPr>
          <w:rFonts w:cs="Arial"/>
          <w:b/>
          <w:bCs/>
          <w:color w:val="156082" w:themeColor="accent1"/>
          <w:sz w:val="28"/>
          <w:szCs w:val="28"/>
        </w:rPr>
      </w:pPr>
    </w:p>
    <w:p w14:paraId="1898A0E8" w14:textId="77777777" w:rsidR="00194C65" w:rsidRPr="00194C65" w:rsidRDefault="00194C65" w:rsidP="00E402F5">
      <w:pPr>
        <w:spacing w:line="360" w:lineRule="auto"/>
        <w:ind w:left="720"/>
        <w:rPr>
          <w:rFonts w:cs="Arial"/>
          <w:b/>
          <w:bCs/>
          <w:color w:val="156082" w:themeColor="accent1"/>
          <w:sz w:val="28"/>
          <w:szCs w:val="28"/>
        </w:rPr>
      </w:pPr>
    </w:p>
    <w:p w14:paraId="326195CF" w14:textId="77777777" w:rsidR="00194C65" w:rsidRPr="00194C65" w:rsidRDefault="00194C65" w:rsidP="00E402F5">
      <w:pPr>
        <w:spacing w:line="360" w:lineRule="auto"/>
        <w:ind w:left="360"/>
        <w:rPr>
          <w:rFonts w:cs="Arial"/>
          <w:b/>
          <w:bCs/>
          <w:color w:val="156082" w:themeColor="accent1"/>
          <w:sz w:val="28"/>
          <w:szCs w:val="28"/>
        </w:rPr>
      </w:pPr>
    </w:p>
    <w:p w14:paraId="64BD0282" w14:textId="77777777" w:rsidR="00194C65" w:rsidRPr="00194C65" w:rsidRDefault="00194C65" w:rsidP="00E402F5">
      <w:pPr>
        <w:numPr>
          <w:ilvl w:val="0"/>
          <w:numId w:val="1"/>
        </w:numPr>
        <w:spacing w:line="360" w:lineRule="auto"/>
        <w:rPr>
          <w:rFonts w:cs="Arial"/>
          <w:b/>
          <w:bCs/>
          <w:color w:val="156082" w:themeColor="accent1"/>
          <w:sz w:val="28"/>
          <w:szCs w:val="28"/>
        </w:rPr>
      </w:pPr>
      <w:r w:rsidRPr="00194C65">
        <w:rPr>
          <w:rFonts w:cs="Arial"/>
          <w:b/>
          <w:bCs/>
          <w:color w:val="156082" w:themeColor="accent1"/>
          <w:sz w:val="28"/>
          <w:szCs w:val="28"/>
        </w:rPr>
        <w:t xml:space="preserve">Student Information </w:t>
      </w:r>
    </w:p>
    <w:p w14:paraId="42162D09" w14:textId="77777777" w:rsidR="00194C65" w:rsidRPr="00194C65" w:rsidRDefault="00194C65" w:rsidP="00E402F5">
      <w:pPr>
        <w:numPr>
          <w:ilvl w:val="0"/>
          <w:numId w:val="1"/>
        </w:numPr>
        <w:tabs>
          <w:tab w:val="left" w:pos="720"/>
        </w:tabs>
        <w:spacing w:line="360" w:lineRule="auto"/>
        <w:rPr>
          <w:rFonts w:cs="Arial"/>
          <w:b/>
          <w:bCs/>
          <w:color w:val="156082" w:themeColor="accent1"/>
          <w:sz w:val="28"/>
          <w:szCs w:val="28"/>
        </w:rPr>
      </w:pPr>
      <w:r w:rsidRPr="00194C65">
        <w:rPr>
          <w:rFonts w:cs="Arial"/>
          <w:b/>
          <w:bCs/>
          <w:color w:val="156082" w:themeColor="accent1"/>
          <w:sz w:val="28"/>
          <w:szCs w:val="28"/>
        </w:rPr>
        <w:t>Name: Adrian Georgian Geru</w:t>
      </w:r>
    </w:p>
    <w:p w14:paraId="67CA9D1D" w14:textId="77777777" w:rsidR="00194C65" w:rsidRPr="00194C65" w:rsidRDefault="00194C65" w:rsidP="00E402F5">
      <w:pPr>
        <w:numPr>
          <w:ilvl w:val="0"/>
          <w:numId w:val="1"/>
        </w:numPr>
        <w:tabs>
          <w:tab w:val="left" w:pos="720"/>
        </w:tabs>
        <w:spacing w:line="360" w:lineRule="auto"/>
        <w:rPr>
          <w:rFonts w:cs="Arial"/>
          <w:b/>
          <w:bCs/>
          <w:color w:val="156082" w:themeColor="accent1"/>
          <w:sz w:val="28"/>
          <w:szCs w:val="28"/>
        </w:rPr>
      </w:pPr>
      <w:r w:rsidRPr="00194C65">
        <w:rPr>
          <w:rFonts w:cs="Arial"/>
          <w:b/>
          <w:bCs/>
          <w:color w:val="156082" w:themeColor="accent1"/>
          <w:sz w:val="28"/>
          <w:szCs w:val="28"/>
        </w:rPr>
        <w:t>Student Number: 2319635</w:t>
      </w:r>
    </w:p>
    <w:p w14:paraId="62FA627C" w14:textId="77777777" w:rsidR="00194C65" w:rsidRPr="00194C65" w:rsidRDefault="00194C65" w:rsidP="00E402F5">
      <w:pPr>
        <w:numPr>
          <w:ilvl w:val="0"/>
          <w:numId w:val="1"/>
        </w:numPr>
        <w:tabs>
          <w:tab w:val="left" w:pos="720"/>
        </w:tabs>
        <w:spacing w:line="360" w:lineRule="auto"/>
        <w:rPr>
          <w:rFonts w:cs="Arial"/>
          <w:b/>
          <w:bCs/>
          <w:color w:val="156082" w:themeColor="accent1"/>
          <w:sz w:val="28"/>
          <w:szCs w:val="28"/>
        </w:rPr>
      </w:pPr>
      <w:r w:rsidRPr="00194C65">
        <w:rPr>
          <w:rFonts w:cs="Arial"/>
          <w:b/>
          <w:bCs/>
          <w:color w:val="156082" w:themeColor="accent1"/>
          <w:sz w:val="28"/>
          <w:szCs w:val="28"/>
        </w:rPr>
        <w:t>Lecturer: Md Ashikul Khan</w:t>
      </w:r>
    </w:p>
    <w:p w14:paraId="3AA1200A" w14:textId="77777777" w:rsidR="00194C65" w:rsidRDefault="00194C65" w:rsidP="00E402F5">
      <w:pPr>
        <w:numPr>
          <w:ilvl w:val="0"/>
          <w:numId w:val="1"/>
        </w:numPr>
        <w:tabs>
          <w:tab w:val="left" w:pos="720"/>
        </w:tabs>
        <w:spacing w:line="360" w:lineRule="auto"/>
        <w:rPr>
          <w:rFonts w:cs="Arial"/>
          <w:b/>
          <w:bCs/>
          <w:color w:val="156082" w:themeColor="accent1"/>
          <w:sz w:val="28"/>
          <w:szCs w:val="28"/>
        </w:rPr>
      </w:pPr>
      <w:r w:rsidRPr="00194C65">
        <w:rPr>
          <w:rFonts w:cs="Arial"/>
          <w:b/>
          <w:bCs/>
          <w:color w:val="156082" w:themeColor="accent1"/>
          <w:sz w:val="28"/>
          <w:szCs w:val="28"/>
        </w:rPr>
        <w:t>Module: Strategic Management for Business</w:t>
      </w:r>
    </w:p>
    <w:p w14:paraId="6FE54BAE" w14:textId="77777777" w:rsidR="00194C65" w:rsidRDefault="00194C65" w:rsidP="00E402F5">
      <w:pPr>
        <w:tabs>
          <w:tab w:val="left" w:pos="720"/>
        </w:tabs>
        <w:spacing w:line="360" w:lineRule="auto"/>
        <w:ind w:left="720"/>
        <w:rPr>
          <w:rFonts w:cs="Arial"/>
          <w:b/>
          <w:bCs/>
          <w:color w:val="156082" w:themeColor="accent1"/>
          <w:sz w:val="28"/>
          <w:szCs w:val="28"/>
        </w:rPr>
      </w:pPr>
    </w:p>
    <w:p w14:paraId="5C3A0D41" w14:textId="77777777" w:rsidR="00194C65" w:rsidRDefault="00194C65" w:rsidP="00E402F5">
      <w:pPr>
        <w:tabs>
          <w:tab w:val="left" w:pos="720"/>
        </w:tabs>
        <w:spacing w:line="360" w:lineRule="auto"/>
        <w:ind w:left="720"/>
        <w:rPr>
          <w:rFonts w:cs="Arial"/>
          <w:b/>
          <w:bCs/>
          <w:color w:val="156082" w:themeColor="accent1"/>
          <w:sz w:val="28"/>
          <w:szCs w:val="28"/>
        </w:rPr>
      </w:pPr>
    </w:p>
    <w:p w14:paraId="488ABA0A" w14:textId="77777777" w:rsidR="00194C65" w:rsidRDefault="00194C65" w:rsidP="00E402F5">
      <w:pPr>
        <w:tabs>
          <w:tab w:val="left" w:pos="720"/>
        </w:tabs>
        <w:spacing w:line="360" w:lineRule="auto"/>
        <w:ind w:left="720"/>
        <w:rPr>
          <w:rFonts w:cs="Arial"/>
          <w:b/>
          <w:bCs/>
          <w:color w:val="156082" w:themeColor="accent1"/>
          <w:sz w:val="28"/>
          <w:szCs w:val="28"/>
        </w:rPr>
      </w:pPr>
    </w:p>
    <w:p w14:paraId="38759F5C" w14:textId="703211AB" w:rsidR="00194C65" w:rsidRDefault="00194C65" w:rsidP="00E402F5">
      <w:pPr>
        <w:tabs>
          <w:tab w:val="left" w:pos="720"/>
        </w:tabs>
        <w:spacing w:line="360" w:lineRule="auto"/>
        <w:ind w:left="720"/>
        <w:rPr>
          <w:rFonts w:cs="Arial"/>
          <w:b/>
          <w:bCs/>
          <w:color w:val="156082" w:themeColor="accent1"/>
          <w:sz w:val="28"/>
          <w:szCs w:val="28"/>
        </w:rPr>
      </w:pPr>
      <w:r w:rsidRPr="00EB5062">
        <w:rPr>
          <w:rFonts w:cs="Arial"/>
          <w:b/>
          <w:bCs/>
          <w:noProof/>
        </w:rPr>
        <w:drawing>
          <wp:inline distT="0" distB="0" distL="0" distR="0" wp14:anchorId="4BDCBC77" wp14:editId="6E36F812">
            <wp:extent cx="4945380" cy="2170323"/>
            <wp:effectExtent l="0" t="0" r="7620" b="1905"/>
            <wp:docPr id="7" name="Picture 6" descr="A blue and white logo&#10;&#10;Description automatically generated">
              <a:extLst xmlns:a="http://schemas.openxmlformats.org/drawingml/2006/main">
                <a:ext uri="{FF2B5EF4-FFF2-40B4-BE49-F238E27FC236}">
                  <a16:creationId xmlns:a16="http://schemas.microsoft.com/office/drawing/2014/main" id="{427D53F7-6F43-43A0-AF39-B7C75DF1FC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logo&#10;&#10;Description automatically generated">
                      <a:extLst>
                        <a:ext uri="{FF2B5EF4-FFF2-40B4-BE49-F238E27FC236}">
                          <a16:creationId xmlns:a16="http://schemas.microsoft.com/office/drawing/2014/main" id="{427D53F7-6F43-43A0-AF39-B7C75DF1FCBD}"/>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bwMode="auto">
                    <a:xfrm>
                      <a:off x="0" y="0"/>
                      <a:ext cx="4974412" cy="2183064"/>
                    </a:xfrm>
                    <a:prstGeom prst="rect">
                      <a:avLst/>
                    </a:prstGeom>
                    <a:noFill/>
                  </pic:spPr>
                </pic:pic>
              </a:graphicData>
            </a:graphic>
          </wp:inline>
        </w:drawing>
      </w:r>
    </w:p>
    <w:p w14:paraId="33990B2D" w14:textId="77777777" w:rsidR="00194C65" w:rsidRPr="00194C65" w:rsidRDefault="00194C65" w:rsidP="00E402F5">
      <w:pPr>
        <w:tabs>
          <w:tab w:val="left" w:pos="720"/>
        </w:tabs>
        <w:spacing w:line="360" w:lineRule="auto"/>
        <w:ind w:left="720"/>
        <w:rPr>
          <w:rFonts w:cs="Arial"/>
          <w:b/>
          <w:bCs/>
          <w:color w:val="156082" w:themeColor="accent1"/>
          <w:sz w:val="28"/>
          <w:szCs w:val="28"/>
        </w:rPr>
      </w:pPr>
    </w:p>
    <w:p w14:paraId="7BE6C2AC" w14:textId="77777777" w:rsidR="00194C65" w:rsidRPr="001357B9" w:rsidRDefault="00194C65" w:rsidP="00E402F5">
      <w:pPr>
        <w:pStyle w:val="NoSpacing"/>
        <w:spacing w:before="480" w:line="360" w:lineRule="auto"/>
        <w:jc w:val="center"/>
        <w:rPr>
          <w:rFonts w:cs="Arial"/>
          <w:b/>
          <w:bCs/>
          <w:i/>
          <w:iCs/>
          <w:color w:val="156082" w:themeColor="accent1"/>
          <w:sz w:val="48"/>
          <w:szCs w:val="48"/>
        </w:rPr>
      </w:pPr>
      <w:r w:rsidRPr="001357B9">
        <w:rPr>
          <w:rFonts w:cs="Arial"/>
          <w:b/>
          <w:bCs/>
          <w:i/>
          <w:iCs/>
          <w:color w:val="156082" w:themeColor="accent1"/>
          <w:sz w:val="48"/>
          <w:szCs w:val="48"/>
        </w:rPr>
        <w:t xml:space="preserve">Individual Report – Innocent Drinks </w:t>
      </w:r>
    </w:p>
    <w:p w14:paraId="5EC745B5" w14:textId="77777777" w:rsidR="00194C65" w:rsidRPr="001357B9" w:rsidRDefault="00194C65" w:rsidP="00E402F5">
      <w:pPr>
        <w:pStyle w:val="NoSpacing"/>
        <w:spacing w:before="480" w:line="360" w:lineRule="auto"/>
        <w:jc w:val="center"/>
        <w:rPr>
          <w:rFonts w:cs="Arial"/>
          <w:color w:val="156082" w:themeColor="accent1"/>
        </w:rPr>
      </w:pPr>
    </w:p>
    <w:p w14:paraId="1DCA147C" w14:textId="77777777" w:rsidR="00194C65" w:rsidRDefault="00194C65" w:rsidP="00E402F5">
      <w:pPr>
        <w:pStyle w:val="NoSpacing"/>
        <w:spacing w:before="480" w:line="360" w:lineRule="auto"/>
        <w:jc w:val="center"/>
        <w:rPr>
          <w:rFonts w:cs="Arial"/>
          <w:color w:val="156082" w:themeColor="accent1"/>
        </w:rPr>
      </w:pPr>
    </w:p>
    <w:p w14:paraId="6C80A9D1" w14:textId="77777777" w:rsidR="00194C65" w:rsidRDefault="00194C65" w:rsidP="00E402F5">
      <w:pPr>
        <w:pStyle w:val="NoSpacing"/>
        <w:spacing w:before="480" w:line="360" w:lineRule="auto"/>
        <w:rPr>
          <w:rFonts w:cs="Arial"/>
          <w:b/>
          <w:bCs/>
          <w:i/>
          <w:iCs/>
          <w:color w:val="156082" w:themeColor="accent1"/>
          <w:sz w:val="40"/>
          <w:szCs w:val="40"/>
        </w:rPr>
      </w:pPr>
      <w:r w:rsidRPr="001357B9">
        <w:rPr>
          <w:rFonts w:cs="Arial"/>
          <w:b/>
          <w:bCs/>
          <w:i/>
          <w:iCs/>
          <w:color w:val="156082" w:themeColor="accent1"/>
          <w:sz w:val="40"/>
          <w:szCs w:val="40"/>
        </w:rPr>
        <w:t xml:space="preserve">                          Table of contents</w:t>
      </w:r>
    </w:p>
    <w:p w14:paraId="1EFFAFCA" w14:textId="77777777" w:rsidR="00194C65" w:rsidRDefault="00194C65" w:rsidP="00E402F5">
      <w:pPr>
        <w:pStyle w:val="NoSpacing"/>
        <w:spacing w:before="480" w:line="360" w:lineRule="auto"/>
        <w:rPr>
          <w:rFonts w:cs="Arial"/>
          <w:b/>
          <w:bCs/>
          <w:i/>
          <w:iCs/>
          <w:color w:val="156082" w:themeColor="accent1"/>
          <w:sz w:val="40"/>
          <w:szCs w:val="40"/>
        </w:rPr>
      </w:pPr>
    </w:p>
    <w:p w14:paraId="52078B69" w14:textId="77777777" w:rsidR="00194C65" w:rsidRDefault="00194C65" w:rsidP="00E402F5">
      <w:pPr>
        <w:pStyle w:val="NoSpacing"/>
        <w:spacing w:before="480" w:line="360" w:lineRule="auto"/>
        <w:rPr>
          <w:rFonts w:cs="Arial"/>
        </w:rPr>
      </w:pPr>
      <w:r w:rsidRPr="001357B9">
        <w:rPr>
          <w:rFonts w:cs="Arial"/>
        </w:rPr>
        <w:t>1 Executive Summary</w:t>
      </w:r>
      <w:r w:rsidRPr="001357B9">
        <w:rPr>
          <w:rFonts w:cs="Arial"/>
        </w:rPr>
        <w:br/>
        <w:t>2 Introduction to Innocent Drinks</w:t>
      </w:r>
      <w:r w:rsidRPr="001357B9">
        <w:rPr>
          <w:rFonts w:cs="Arial"/>
        </w:rPr>
        <w:br/>
        <w:t>3 Evaluation of the Current Market Situation</w:t>
      </w:r>
      <w:r w:rsidRPr="001357B9">
        <w:rPr>
          <w:rFonts w:cs="Arial"/>
        </w:rPr>
        <w:br/>
      </w:r>
      <w:r w:rsidRPr="001357B9">
        <w:rPr>
          <w:rFonts w:cs="Arial"/>
        </w:rPr>
        <w:t> </w:t>
      </w:r>
      <w:r w:rsidRPr="001357B9">
        <w:rPr>
          <w:rFonts w:cs="Arial"/>
        </w:rPr>
        <w:t>3.1 PESTEL Analysis</w:t>
      </w:r>
      <w:r w:rsidRPr="001357B9">
        <w:rPr>
          <w:rFonts w:cs="Arial"/>
        </w:rPr>
        <w:br/>
      </w:r>
      <w:r w:rsidRPr="001357B9">
        <w:rPr>
          <w:rFonts w:cs="Arial"/>
        </w:rPr>
        <w:t> </w:t>
      </w:r>
      <w:r w:rsidRPr="001357B9">
        <w:rPr>
          <w:rFonts w:cs="Arial"/>
        </w:rPr>
        <w:t>3.2 Porter’s Five Forces Analysis</w:t>
      </w:r>
      <w:r w:rsidRPr="001357B9">
        <w:rPr>
          <w:rFonts w:cs="Arial"/>
        </w:rPr>
        <w:br/>
      </w:r>
      <w:r w:rsidRPr="001357B9">
        <w:rPr>
          <w:rFonts w:cs="Arial"/>
        </w:rPr>
        <w:t> </w:t>
      </w:r>
      <w:r w:rsidRPr="001357B9">
        <w:rPr>
          <w:rFonts w:cs="Arial"/>
        </w:rPr>
        <w:t>3.3 SWOT Analysis</w:t>
      </w:r>
      <w:r w:rsidRPr="001357B9">
        <w:rPr>
          <w:rFonts w:cs="Arial"/>
        </w:rPr>
        <w:br/>
        <w:t>4 Strategic Growth Options and Proposed Strategy</w:t>
      </w:r>
      <w:r w:rsidRPr="001357B9">
        <w:rPr>
          <w:rFonts w:cs="Arial"/>
        </w:rPr>
        <w:br/>
        <w:t>5 Strategy Evaluation</w:t>
      </w:r>
      <w:r w:rsidRPr="001357B9">
        <w:rPr>
          <w:rFonts w:cs="Arial"/>
        </w:rPr>
        <w:br/>
        <w:t>6 Stakeholder Analysis</w:t>
      </w:r>
      <w:r w:rsidRPr="001357B9">
        <w:rPr>
          <w:rFonts w:cs="Arial"/>
        </w:rPr>
        <w:br/>
        <w:t>7 Implementation and Monitoring</w:t>
      </w:r>
      <w:r w:rsidRPr="001357B9">
        <w:rPr>
          <w:rFonts w:cs="Arial"/>
        </w:rPr>
        <w:br/>
        <w:t>8 Conclusion</w:t>
      </w:r>
      <w:r w:rsidRPr="001357B9">
        <w:rPr>
          <w:rFonts w:cs="Arial"/>
        </w:rPr>
        <w:br/>
        <w:t>9 References</w:t>
      </w:r>
    </w:p>
    <w:p w14:paraId="43D3C65D" w14:textId="4564EF13" w:rsidR="00194C65" w:rsidRPr="00194C65" w:rsidRDefault="00194C65" w:rsidP="00E402F5">
      <w:pPr>
        <w:pStyle w:val="NoSpacing"/>
        <w:spacing w:before="480" w:line="360" w:lineRule="auto"/>
        <w:rPr>
          <w:rFonts w:cs="Arial"/>
          <w:b/>
          <w:bCs/>
        </w:rPr>
      </w:pPr>
    </w:p>
    <w:p w14:paraId="2E6DB77A" w14:textId="77D4C624" w:rsidR="00194C65" w:rsidRPr="00194C65" w:rsidRDefault="00194C65" w:rsidP="00E402F5">
      <w:pPr>
        <w:pStyle w:val="NoSpacing"/>
        <w:spacing w:before="480" w:line="360" w:lineRule="auto"/>
        <w:rPr>
          <w:rFonts w:cs="Arial"/>
          <w:b/>
          <w:bCs/>
        </w:rPr>
      </w:pPr>
      <w:r w:rsidRPr="00194C65">
        <w:rPr>
          <w:rFonts w:cs="Arial"/>
          <w:b/>
          <w:bCs/>
        </w:rPr>
        <w:t xml:space="preserve">Executive Summary </w:t>
      </w:r>
    </w:p>
    <w:p w14:paraId="4224870E" w14:textId="3BE1D48B" w:rsidR="00194C65" w:rsidRPr="00194C65" w:rsidRDefault="00194C65" w:rsidP="00E402F5">
      <w:pPr>
        <w:pStyle w:val="NoSpacing"/>
        <w:spacing w:before="480" w:line="360" w:lineRule="auto"/>
        <w:rPr>
          <w:rFonts w:cs="Arial"/>
        </w:rPr>
      </w:pPr>
      <w:r w:rsidRPr="00194C65">
        <w:rPr>
          <w:rFonts w:cs="Arial"/>
        </w:rPr>
        <w:t xml:space="preserve">Innocent Drinks is a leading healthy beverage company based in the United Kingdom, recognised for producing smoothies, juices and plant-based drinks made from natural ingredients. Since its establishment in 1999, the company has developed a strong reputation for sustainability, ethical sourcing and responsible business practices. The organization’s mission focuses on creating natural and healthy drinks while contributing positively to society and the </w:t>
      </w:r>
      <w:r w:rsidRPr="00194C65">
        <w:rPr>
          <w:rFonts w:cs="Arial"/>
        </w:rPr>
        <w:lastRenderedPageBreak/>
        <w:t>environment. However, the global beverage industry has become increasingly competitive, with multinational corporations and emerging health-focused brands competing for market share. In addition, supply chain disruptions, rising raw material costs and stricter environmental regulations have created new strategic challenges for beverage companies operating within international markets (Grant, 2021). This report evaluates the strategic position of Innocent Drinks by applying several strategic management frameworks including PESTEL analysis, Porter’s Five Forces and SWOT analysis. These analytical tools allow organizations to better understand their external environment and internal capabilities when developing long-term strategies (Johnson, Scholes and Whittington, 2017). The analysis identifies strong opportunities for growth through product innovation and international market expansion. The report proposes a strategy focused on developing innovative plant-based functional beverages and expanding into emerging global markets where demand for healthy drinks is increasing. The proposed strategy supports Innocent Drinks’ differentiation strategy, which emphasizes high-quality natural ingredients, sustainability and ethical production. The strategy is evaluated using the Suitability, Acceptability and Feasibility (SAF) framework to assess its effectiveness. Stakeholder impacts are also examined using stakeholder theory and Mendelow’s matrix. Finally, the report outlines an implementation plan including strategic objectives, operational actions and key performance indicators (KPIs) that can support successful strategy execution and long-term organisational growth.</w:t>
      </w:r>
    </w:p>
    <w:p w14:paraId="0AFCF69E" w14:textId="77777777" w:rsidR="005E2ED3" w:rsidRDefault="005E2ED3" w:rsidP="00E402F5">
      <w:pPr>
        <w:spacing w:line="360" w:lineRule="auto"/>
      </w:pPr>
    </w:p>
    <w:p w14:paraId="5CE122BC" w14:textId="77777777" w:rsidR="00194C65" w:rsidRDefault="00194C65" w:rsidP="00E402F5">
      <w:pPr>
        <w:spacing w:line="360" w:lineRule="auto"/>
      </w:pPr>
    </w:p>
    <w:p w14:paraId="082366E5" w14:textId="77777777" w:rsidR="00194C65" w:rsidRPr="00194C65" w:rsidRDefault="00194C65" w:rsidP="00E402F5">
      <w:pPr>
        <w:spacing w:line="360" w:lineRule="auto"/>
        <w:rPr>
          <w:b/>
          <w:bCs/>
        </w:rPr>
      </w:pPr>
      <w:r w:rsidRPr="00194C65">
        <w:rPr>
          <w:b/>
          <w:bCs/>
        </w:rPr>
        <w:t>Introduction to Innocent Drinks</w:t>
      </w:r>
    </w:p>
    <w:p w14:paraId="0ED495E2" w14:textId="2DC7FE11" w:rsidR="00194C65" w:rsidRPr="00194C65" w:rsidRDefault="00194C65" w:rsidP="00E402F5">
      <w:pPr>
        <w:spacing w:line="360" w:lineRule="auto"/>
      </w:pPr>
      <w:r w:rsidRPr="00194C65">
        <w:t>Innocent Drinks is a British beverage company founded in London in 1999 by Richard Reed, Adam Balon and Jon Wright. The organization initially started selling smoothies at a small music festival before developing into one of the most recognized healthy beverage brands in Europe. Today, Innocent Drinks produces a wide range of smoothies, juices and plant-based beverages and distributes its products across several international markets (Rindova, Dalpiaz and Ravasi, 2010</w:t>
      </w:r>
      <w:r w:rsidR="00161E6D" w:rsidRPr="00194C65">
        <w:t>). The</w:t>
      </w:r>
      <w:r w:rsidRPr="00194C65">
        <w:t xml:space="preserve"> company’s mission is to produce natural and delicious drinks that support healthier lifestyles. Innocent Drinks </w:t>
      </w:r>
      <w:r w:rsidR="00161E6D" w:rsidRPr="00194C65">
        <w:t>focus</w:t>
      </w:r>
      <w:r w:rsidRPr="00194C65">
        <w:t xml:space="preserve"> on using natural ingredients while avoiding artificial additives and preservatives. This commitment to product quality and transparency has helped the organization build strong consumer trust and brand loyalty. The company’s vision is centered on leaving the world better than it was found. This vision shapes the organization’s long-term strategy and sustainability initiatives. Innocent Drinks has implemented several environmental </w:t>
      </w:r>
      <w:r w:rsidRPr="00194C65">
        <w:lastRenderedPageBreak/>
        <w:t>initiatives including reducing carbon emissions, investing in recyclable packaging and supporting responsible sourcing practices (Smith, 2013</w:t>
      </w:r>
      <w:r w:rsidR="00161E6D" w:rsidRPr="00194C65">
        <w:t>). Corporate</w:t>
      </w:r>
      <w:r w:rsidRPr="00194C65">
        <w:t xml:space="preserve"> social responsibility also plays an important role in the organization’s strategy. Through the Innocent Foundation, the company supports charitable projects that focus on reducing global hunger and improving community wellbeing. According to Carroll (1991), organizations that integrate social responsibility into their core business strategy can achieve long-term sustainability and improved reputation. Through its strong brand identity, commitment to sustainability and focus on healthy products, Innocent Drinks has successfully positioned itself within the rapidly expanding global health beverage market.</w:t>
      </w:r>
    </w:p>
    <w:p w14:paraId="4EC52F8F" w14:textId="77777777" w:rsidR="00194C65" w:rsidRPr="00194C65" w:rsidRDefault="00194C65" w:rsidP="00E402F5">
      <w:pPr>
        <w:spacing w:line="360" w:lineRule="auto"/>
        <w:rPr>
          <w:b/>
          <w:bCs/>
        </w:rPr>
      </w:pPr>
      <w:r w:rsidRPr="00194C65">
        <w:rPr>
          <w:b/>
          <w:bCs/>
        </w:rPr>
        <w:t>Evaluation of the Current Market Situation</w:t>
      </w:r>
    </w:p>
    <w:p w14:paraId="7DBE5E15" w14:textId="77777777" w:rsidR="00194C65" w:rsidRPr="00194C65" w:rsidRDefault="00194C65" w:rsidP="00E402F5">
      <w:pPr>
        <w:spacing w:line="360" w:lineRule="auto"/>
      </w:pPr>
      <w:r w:rsidRPr="00194C65">
        <w:t>Understanding the business environment is essential for organisations seeking to develop effective strategies. Strategic management frameworks such as PESTEL analysis, Porter’s Five Forces and SWOT analysis help organisations analyse external forces and internal capabilities that influence strategic decisions (Johnson, Scholes and Whittington, 2017).</w:t>
      </w:r>
    </w:p>
    <w:p w14:paraId="3C212AD1" w14:textId="77777777" w:rsidR="00194C65" w:rsidRPr="00194C65" w:rsidRDefault="00194C65" w:rsidP="00E402F5">
      <w:pPr>
        <w:spacing w:line="360" w:lineRule="auto"/>
        <w:rPr>
          <w:b/>
          <w:bCs/>
        </w:rPr>
      </w:pPr>
      <w:r w:rsidRPr="00194C65">
        <w:rPr>
          <w:b/>
          <w:bCs/>
        </w:rPr>
        <w:t>PESTEL Analysis</w:t>
      </w:r>
    </w:p>
    <w:p w14:paraId="5F745A35" w14:textId="77777777" w:rsidR="00194C65" w:rsidRPr="00194C65" w:rsidRDefault="00194C65" w:rsidP="00E402F5">
      <w:pPr>
        <w:spacing w:line="360" w:lineRule="auto"/>
      </w:pPr>
      <w:r w:rsidRPr="00194C65">
        <w:t>PESTEL analysis evaluates the macro-environmental factors that influence business operations including political, economic, social, technological, environmental and legal forces.</w:t>
      </w:r>
    </w:p>
    <w:p w14:paraId="0DB58BA2" w14:textId="77777777" w:rsidR="00194C65" w:rsidRPr="00194C65" w:rsidRDefault="00194C65" w:rsidP="00E402F5">
      <w:pPr>
        <w:spacing w:line="360" w:lineRule="auto"/>
        <w:rPr>
          <w:b/>
          <w:bCs/>
        </w:rPr>
      </w:pPr>
      <w:r w:rsidRPr="00194C65">
        <w:rPr>
          <w:b/>
          <w:bCs/>
        </w:rPr>
        <w:t>Political Factors</w:t>
      </w:r>
    </w:p>
    <w:p w14:paraId="08BA7A4E" w14:textId="77777777" w:rsidR="00194C65" w:rsidRPr="00194C65" w:rsidRDefault="00194C65" w:rsidP="00E402F5">
      <w:pPr>
        <w:spacing w:line="360" w:lineRule="auto"/>
      </w:pPr>
      <w:r w:rsidRPr="00194C65">
        <w:t>Government policies and regulatory frameworks significantly influence the beverage industry. Governments increasingly promote environmental sustainability through policies related to packaging waste, carbon emissions and sustainable agriculture. Companies that prioritise sustainable production practices are more likely to benefit from these regulatory trends (Grant, 2021).</w:t>
      </w:r>
    </w:p>
    <w:p w14:paraId="74F2BB81" w14:textId="77777777" w:rsidR="00194C65" w:rsidRPr="00194C65" w:rsidRDefault="00194C65" w:rsidP="00E402F5">
      <w:pPr>
        <w:spacing w:line="360" w:lineRule="auto"/>
        <w:rPr>
          <w:b/>
          <w:bCs/>
        </w:rPr>
      </w:pPr>
      <w:r w:rsidRPr="00194C65">
        <w:rPr>
          <w:b/>
          <w:bCs/>
        </w:rPr>
        <w:t>Economic Factors</w:t>
      </w:r>
    </w:p>
    <w:p w14:paraId="1F103468" w14:textId="77777777" w:rsidR="00194C65" w:rsidRPr="00194C65" w:rsidRDefault="00194C65" w:rsidP="00E402F5">
      <w:pPr>
        <w:spacing w:line="360" w:lineRule="auto"/>
      </w:pPr>
      <w:r w:rsidRPr="00194C65">
        <w:t>Economic conditions can strongly influence both consumer spending behaviour and production costs. Inflation, currency fluctuations and increasing transportation costs have affected many global supply chains in recent years (Hill, Jones and Schilling, 2019). However, the health beverage market continues to grow as consumers increasingly prioritise healthier lifestyles.</w:t>
      </w:r>
    </w:p>
    <w:p w14:paraId="4BB74D07" w14:textId="77777777" w:rsidR="00194C65" w:rsidRPr="00194C65" w:rsidRDefault="00194C65" w:rsidP="00E402F5">
      <w:pPr>
        <w:spacing w:line="360" w:lineRule="auto"/>
        <w:rPr>
          <w:b/>
          <w:bCs/>
        </w:rPr>
      </w:pPr>
      <w:r w:rsidRPr="00194C65">
        <w:rPr>
          <w:b/>
          <w:bCs/>
        </w:rPr>
        <w:t>Social Factors</w:t>
      </w:r>
    </w:p>
    <w:p w14:paraId="37EE3156" w14:textId="5225821C" w:rsidR="00194C65" w:rsidRPr="00194C65" w:rsidRDefault="00194C65" w:rsidP="00E402F5">
      <w:pPr>
        <w:spacing w:line="360" w:lineRule="auto"/>
      </w:pPr>
      <w:r w:rsidRPr="00194C65">
        <w:lastRenderedPageBreak/>
        <w:t>Social trends have played a major role in shaping the demand for healthier beverage options. Consumers are becoming more aware of nutrition, wellness and sustainability. Research suggests that health-conscious consumers increasingly prefer beverages made with natural ingredients and fewer artificial additives (Kotler and Keller, 2016</w:t>
      </w:r>
      <w:r w:rsidR="00161E6D" w:rsidRPr="00194C65">
        <w:t>). These</w:t>
      </w:r>
      <w:r w:rsidRPr="00194C65">
        <w:t xml:space="preserve"> consumer trends strongly benefit companies such as Innocent Drinks that focus on natural ingredients and ethical production.</w:t>
      </w:r>
    </w:p>
    <w:p w14:paraId="47E783DD" w14:textId="77777777" w:rsidR="00194C65" w:rsidRPr="00194C65" w:rsidRDefault="00194C65" w:rsidP="00E402F5">
      <w:pPr>
        <w:spacing w:line="360" w:lineRule="auto"/>
        <w:rPr>
          <w:b/>
          <w:bCs/>
        </w:rPr>
      </w:pPr>
      <w:r w:rsidRPr="00194C65">
        <w:rPr>
          <w:b/>
          <w:bCs/>
        </w:rPr>
        <w:t>Technological Factors</w:t>
      </w:r>
    </w:p>
    <w:p w14:paraId="17BA840A" w14:textId="77777777" w:rsidR="00194C65" w:rsidRPr="00194C65" w:rsidRDefault="00194C65" w:rsidP="00E402F5">
      <w:pPr>
        <w:spacing w:line="360" w:lineRule="auto"/>
      </w:pPr>
      <w:r w:rsidRPr="00194C65">
        <w:t>Technological innovation supports product development, supply chain management and marketing strategies. Advances in food technology allow companies to create healthier and more innovative beverage products (Teece, 2010). Additionally, digital marketing platforms enable organisations to engage directly with consumers and strengthen brand relationships.</w:t>
      </w:r>
    </w:p>
    <w:p w14:paraId="6968236F" w14:textId="77777777" w:rsidR="00194C65" w:rsidRPr="00194C65" w:rsidRDefault="00194C65" w:rsidP="00E402F5">
      <w:pPr>
        <w:spacing w:line="360" w:lineRule="auto"/>
        <w:rPr>
          <w:b/>
          <w:bCs/>
        </w:rPr>
      </w:pPr>
      <w:r w:rsidRPr="00194C65">
        <w:rPr>
          <w:b/>
          <w:bCs/>
        </w:rPr>
        <w:t>Environmental Factors</w:t>
      </w:r>
    </w:p>
    <w:p w14:paraId="5B24552E" w14:textId="77777777" w:rsidR="00194C65" w:rsidRPr="00194C65" w:rsidRDefault="00194C65" w:rsidP="00E402F5">
      <w:pPr>
        <w:spacing w:line="360" w:lineRule="auto"/>
      </w:pPr>
      <w:r w:rsidRPr="00194C65">
        <w:t>Environmental sustainability has become a central strategic issue for many organisations. Climate change, resource scarcity and environmental regulations have forced companies to adopt more sustainable production processes and packaging solutions (Bocken et al., 2014). Innocent Drinks has responded to these challenges by investing in environmentally responsible packaging and reducing carbon emissions.</w:t>
      </w:r>
    </w:p>
    <w:p w14:paraId="1BE4A938" w14:textId="77777777" w:rsidR="00194C65" w:rsidRPr="00194C65" w:rsidRDefault="00194C65" w:rsidP="00E402F5">
      <w:pPr>
        <w:spacing w:line="360" w:lineRule="auto"/>
        <w:rPr>
          <w:b/>
          <w:bCs/>
        </w:rPr>
      </w:pPr>
      <w:r w:rsidRPr="00194C65">
        <w:rPr>
          <w:b/>
          <w:bCs/>
        </w:rPr>
        <w:t>Legal Factors</w:t>
      </w:r>
    </w:p>
    <w:p w14:paraId="2E3C8536" w14:textId="77777777" w:rsidR="00194C65" w:rsidRPr="00194C65" w:rsidRDefault="00194C65" w:rsidP="00E402F5">
      <w:pPr>
        <w:spacing w:line="360" w:lineRule="auto"/>
      </w:pPr>
      <w:r w:rsidRPr="00194C65">
        <w:t>The beverage industry is subject to strict food safety regulations and product labelling requirements. Organisations must comply with regulations regarding ingredient transparency, nutritional information and environmental claims. Failure to comply with these requirements can result in reputational damage and legal consequences (Johnson, Scholes and Whittington, 2017).</w:t>
      </w:r>
    </w:p>
    <w:p w14:paraId="44F5EB83" w14:textId="77777777" w:rsidR="00194C65" w:rsidRPr="00194C65" w:rsidRDefault="00194C65" w:rsidP="00E402F5">
      <w:pPr>
        <w:spacing w:line="360" w:lineRule="auto"/>
        <w:rPr>
          <w:b/>
          <w:bCs/>
        </w:rPr>
      </w:pPr>
      <w:r w:rsidRPr="00194C65">
        <w:rPr>
          <w:b/>
          <w:bCs/>
        </w:rPr>
        <w:t>Porter’s Five Forces Analysis</w:t>
      </w:r>
    </w:p>
    <w:p w14:paraId="2958D26A" w14:textId="77777777" w:rsidR="00194C65" w:rsidRPr="00194C65" w:rsidRDefault="00194C65" w:rsidP="00E402F5">
      <w:pPr>
        <w:spacing w:line="360" w:lineRule="auto"/>
      </w:pPr>
      <w:r w:rsidRPr="00194C65">
        <w:t>Porter’s Five Forces framework is commonly used to evaluate the level of competition within an industry and identify factors that influence profitability (Porter, 2008).</w:t>
      </w:r>
    </w:p>
    <w:p w14:paraId="4F8CED78" w14:textId="77777777" w:rsidR="00194C65" w:rsidRPr="00194C65" w:rsidRDefault="00194C65" w:rsidP="00E402F5">
      <w:pPr>
        <w:spacing w:line="360" w:lineRule="auto"/>
        <w:rPr>
          <w:b/>
          <w:bCs/>
        </w:rPr>
      </w:pPr>
      <w:r w:rsidRPr="00194C65">
        <w:rPr>
          <w:b/>
          <w:bCs/>
        </w:rPr>
        <w:t>Competitive Rivalry</w:t>
      </w:r>
    </w:p>
    <w:p w14:paraId="6C7F00F0" w14:textId="77777777" w:rsidR="00194C65" w:rsidRPr="00194C65" w:rsidRDefault="00194C65" w:rsidP="00E402F5">
      <w:pPr>
        <w:spacing w:line="360" w:lineRule="auto"/>
      </w:pPr>
      <w:r w:rsidRPr="00194C65">
        <w:t xml:space="preserve">The healthy beverage market is highly competitive. Large multinational companies such as Coca-Cola and PepsiCo have expanded their portfolios to include healthier beverage options. In </w:t>
      </w:r>
      <w:r w:rsidRPr="00194C65">
        <w:lastRenderedPageBreak/>
        <w:t>addition, smaller start-ups and niche brands continue to enter the market, increasing competition.</w:t>
      </w:r>
    </w:p>
    <w:p w14:paraId="5F53EA0D" w14:textId="77777777" w:rsidR="00194C65" w:rsidRPr="00194C65" w:rsidRDefault="00194C65" w:rsidP="00E402F5">
      <w:pPr>
        <w:spacing w:line="360" w:lineRule="auto"/>
        <w:rPr>
          <w:b/>
          <w:bCs/>
        </w:rPr>
      </w:pPr>
      <w:r w:rsidRPr="00194C65">
        <w:rPr>
          <w:b/>
          <w:bCs/>
        </w:rPr>
        <w:t>Threat of New Entrants</w:t>
      </w:r>
    </w:p>
    <w:p w14:paraId="3146E019" w14:textId="77777777" w:rsidR="00194C65" w:rsidRPr="00194C65" w:rsidRDefault="00194C65" w:rsidP="00E402F5">
      <w:pPr>
        <w:spacing w:line="360" w:lineRule="auto"/>
      </w:pPr>
      <w:r w:rsidRPr="00194C65">
        <w:t>Although launching a beverage brand may require relatively low initial investment, building strong brand recognition and distribution networks is more difficult. Established brands such as Innocent Drinks benefit from strong customer loyalty and retail partnerships, which create barriers to entry.</w:t>
      </w:r>
    </w:p>
    <w:p w14:paraId="070FDDBA" w14:textId="77777777" w:rsidR="00194C65" w:rsidRPr="00194C65" w:rsidRDefault="00194C65" w:rsidP="00E402F5">
      <w:pPr>
        <w:spacing w:line="360" w:lineRule="auto"/>
        <w:rPr>
          <w:b/>
          <w:bCs/>
        </w:rPr>
      </w:pPr>
      <w:r w:rsidRPr="00194C65">
        <w:rPr>
          <w:b/>
          <w:bCs/>
        </w:rPr>
        <w:t>Bargaining Power of Suppliers</w:t>
      </w:r>
    </w:p>
    <w:p w14:paraId="06B9D65B" w14:textId="77777777" w:rsidR="00194C65" w:rsidRPr="00194C65" w:rsidRDefault="00194C65" w:rsidP="00E402F5">
      <w:pPr>
        <w:spacing w:line="360" w:lineRule="auto"/>
      </w:pPr>
      <w:r w:rsidRPr="00194C65">
        <w:t>Beverage companies rely heavily on agricultural suppliers for fruit and natural ingredients. Environmental factors such as climate change and extreme weather conditions can influence agricultural production and affect ingredient prices (Grant, 2021).</w:t>
      </w:r>
    </w:p>
    <w:p w14:paraId="226113DD" w14:textId="77777777" w:rsidR="00194C65" w:rsidRPr="00194C65" w:rsidRDefault="00194C65" w:rsidP="00E402F5">
      <w:pPr>
        <w:spacing w:line="360" w:lineRule="auto"/>
        <w:rPr>
          <w:b/>
          <w:bCs/>
        </w:rPr>
      </w:pPr>
      <w:r w:rsidRPr="00194C65">
        <w:rPr>
          <w:b/>
          <w:bCs/>
        </w:rPr>
        <w:t>Bargaining Power of Buyers</w:t>
      </w:r>
    </w:p>
    <w:p w14:paraId="0143BE9C" w14:textId="77777777" w:rsidR="00194C65" w:rsidRPr="00194C65" w:rsidRDefault="00194C65" w:rsidP="00E402F5">
      <w:pPr>
        <w:spacing w:line="360" w:lineRule="auto"/>
      </w:pPr>
      <w:r w:rsidRPr="00194C65">
        <w:t>Consumers have a wide range of beverage choices including juices, soft drinks, flavoured water and plant-based beverages. As a result, buyers have relatively strong bargaining power and companies must differentiate their products through branding and innovation.</w:t>
      </w:r>
    </w:p>
    <w:p w14:paraId="1EF4186D" w14:textId="77777777" w:rsidR="00194C65" w:rsidRPr="00194C65" w:rsidRDefault="00194C65" w:rsidP="00E402F5">
      <w:pPr>
        <w:spacing w:line="360" w:lineRule="auto"/>
        <w:rPr>
          <w:b/>
          <w:bCs/>
        </w:rPr>
      </w:pPr>
      <w:r w:rsidRPr="00194C65">
        <w:rPr>
          <w:b/>
          <w:bCs/>
        </w:rPr>
        <w:t>Threat of Substitutes</w:t>
      </w:r>
    </w:p>
    <w:p w14:paraId="1559D875" w14:textId="77777777" w:rsidR="00194C65" w:rsidRPr="00194C65" w:rsidRDefault="00194C65" w:rsidP="00E402F5">
      <w:pPr>
        <w:spacing w:line="360" w:lineRule="auto"/>
      </w:pPr>
      <w:r w:rsidRPr="00194C65">
        <w:t>Substitute products such as energy drinks, coffee and soft drinks are widely available. To remain competitive, companies must continuously innovate and offer products that provide unique health or nutritional benefits.</w:t>
      </w:r>
    </w:p>
    <w:p w14:paraId="32D1AABA" w14:textId="7C01D681" w:rsidR="00194C65" w:rsidRPr="00194C65" w:rsidRDefault="00194C65" w:rsidP="00E402F5">
      <w:pPr>
        <w:spacing w:line="360" w:lineRule="auto"/>
      </w:pPr>
    </w:p>
    <w:p w14:paraId="308F75D4" w14:textId="77777777" w:rsidR="00194C65" w:rsidRPr="00194C65" w:rsidRDefault="00194C65" w:rsidP="00E402F5">
      <w:pPr>
        <w:spacing w:line="360" w:lineRule="auto"/>
        <w:rPr>
          <w:b/>
          <w:bCs/>
        </w:rPr>
      </w:pPr>
      <w:r w:rsidRPr="00194C65">
        <w:rPr>
          <w:b/>
          <w:bCs/>
        </w:rPr>
        <w:t>SWOT Analysis</w:t>
      </w:r>
    </w:p>
    <w:p w14:paraId="2CC8E81E" w14:textId="3D7EA848" w:rsidR="00E402F5" w:rsidRPr="00E402F5" w:rsidRDefault="00194C65" w:rsidP="00E402F5">
      <w:pPr>
        <w:spacing w:line="360" w:lineRule="auto"/>
      </w:pPr>
      <w:r w:rsidRPr="00194C65">
        <w:t>SWOT analysis helps organisations identify internal strengths and weaknesses while also recognising external opportunities and threats (Johnson, Scholes and Whittington, 2017).</w:t>
      </w:r>
    </w:p>
    <w:tbl>
      <w:tblPr>
        <w:tblW w:w="10080" w:type="dxa"/>
        <w:tblLayout w:type="fixed"/>
        <w:tblCellMar>
          <w:left w:w="115" w:type="dxa"/>
          <w:right w:w="115" w:type="dxa"/>
        </w:tblCellMar>
        <w:tblLook w:val="0600" w:firstRow="0" w:lastRow="0" w:firstColumn="0" w:lastColumn="0" w:noHBand="1" w:noVBand="1"/>
      </w:tblPr>
      <w:tblGrid>
        <w:gridCol w:w="2592"/>
        <w:gridCol w:w="4896"/>
        <w:gridCol w:w="2592"/>
      </w:tblGrid>
      <w:tr w:rsidR="00E402F5" w14:paraId="7467A6F1" w14:textId="77777777" w:rsidTr="002138C6">
        <w:trPr>
          <w:trHeight w:val="2535"/>
        </w:trPr>
        <w:tc>
          <w:tcPr>
            <w:tcW w:w="2592" w:type="dxa"/>
          </w:tcPr>
          <w:sdt>
            <w:sdtPr>
              <w:id w:val="841667111"/>
              <w:placeholder>
                <w:docPart w:val="33F3A7AF8AF34C798D7AF33B1142559D"/>
              </w:placeholder>
              <w:temporary/>
              <w:showingPlcHdr/>
              <w15:appearance w15:val="hidden"/>
            </w:sdtPr>
            <w:sdtContent>
              <w:p w14:paraId="327D8338" w14:textId="77777777" w:rsidR="00E402F5" w:rsidRDefault="00E402F5" w:rsidP="002138C6">
                <w:pPr>
                  <w:pStyle w:val="Graphheading1"/>
                  <w:spacing w:line="360" w:lineRule="auto"/>
                </w:pPr>
                <w:r w:rsidRPr="008965F6">
                  <w:t>STRENGTHS</w:t>
                </w:r>
              </w:p>
            </w:sdtContent>
          </w:sdt>
          <w:p w14:paraId="141FB74A" w14:textId="77777777" w:rsidR="00E402F5" w:rsidRPr="00500CEE" w:rsidRDefault="00E402F5" w:rsidP="00E402F5">
            <w:pPr>
              <w:pStyle w:val="Graphbullet"/>
              <w:spacing w:line="360" w:lineRule="auto"/>
              <w:ind w:left="284" w:hanging="284"/>
            </w:pPr>
            <w:r w:rsidRPr="00500CEE">
              <w:t>Strong brand reputation built around natural ingredients and sustainability, which increases consumer trust (Kotler and Keller, 2016).</w:t>
            </w:r>
          </w:p>
          <w:p w14:paraId="1FC75159" w14:textId="77777777" w:rsidR="00E402F5" w:rsidRPr="00500CEE" w:rsidRDefault="00E402F5" w:rsidP="00E402F5">
            <w:pPr>
              <w:pStyle w:val="Graphbullet"/>
              <w:spacing w:line="360" w:lineRule="auto"/>
              <w:ind w:left="284" w:hanging="284"/>
            </w:pPr>
            <w:r w:rsidRPr="00500CEE">
              <w:t xml:space="preserve"> Established presence in the healthy beverage market supported by effective marketing and product differentiation.</w:t>
            </w:r>
          </w:p>
          <w:p w14:paraId="3C889767" w14:textId="77777777" w:rsidR="00E402F5" w:rsidRPr="008965F6" w:rsidRDefault="00E402F5" w:rsidP="002138C6">
            <w:pPr>
              <w:pStyle w:val="Graphbullet"/>
              <w:numPr>
                <w:ilvl w:val="0"/>
                <w:numId w:val="0"/>
              </w:numPr>
              <w:spacing w:line="360" w:lineRule="auto"/>
              <w:ind w:left="284"/>
            </w:pPr>
          </w:p>
        </w:tc>
        <w:tc>
          <w:tcPr>
            <w:tcW w:w="4896" w:type="dxa"/>
            <w:vMerge w:val="restart"/>
            <w:vAlign w:val="center"/>
          </w:tcPr>
          <w:p w14:paraId="5F251C9D" w14:textId="77777777" w:rsidR="00E402F5" w:rsidRDefault="00E402F5" w:rsidP="002138C6">
            <w:pPr>
              <w:pStyle w:val="ListBullet"/>
              <w:numPr>
                <w:ilvl w:val="0"/>
                <w:numId w:val="0"/>
              </w:numPr>
              <w:spacing w:line="360" w:lineRule="auto"/>
              <w:jc w:val="center"/>
            </w:pPr>
            <w:r w:rsidRPr="007157EF">
              <w:rPr>
                <w:noProof/>
              </w:rPr>
              <w:drawing>
                <wp:inline distT="0" distB="0" distL="0" distR="0" wp14:anchorId="0E601F30" wp14:editId="189934A7">
                  <wp:extent cx="3009900" cy="2968625"/>
                  <wp:effectExtent l="0" t="0" r="0" b="3175"/>
                  <wp:docPr id="194" name="Chart 194" descr="Pie 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c>
        <w:tc>
          <w:tcPr>
            <w:tcW w:w="2592" w:type="dxa"/>
          </w:tcPr>
          <w:sdt>
            <w:sdtPr>
              <w:id w:val="-1737780101"/>
              <w:placeholder>
                <w:docPart w:val="231E7CC1BB8F4ABCA4F110474BADEFF1"/>
              </w:placeholder>
              <w:temporary/>
              <w:showingPlcHdr/>
              <w15:appearance w15:val="hidden"/>
            </w:sdtPr>
            <w:sdtContent>
              <w:p w14:paraId="2DC796D7" w14:textId="77777777" w:rsidR="00E402F5" w:rsidRDefault="00E402F5" w:rsidP="002138C6">
                <w:pPr>
                  <w:pStyle w:val="Graphheading2"/>
                  <w:spacing w:line="360" w:lineRule="auto"/>
                </w:pPr>
                <w:r w:rsidRPr="008965F6">
                  <w:t>WEAKNESSES</w:t>
                </w:r>
              </w:p>
            </w:sdtContent>
          </w:sdt>
          <w:p w14:paraId="5CF28DD8" w14:textId="77777777" w:rsidR="00E402F5" w:rsidRDefault="00E402F5" w:rsidP="00E402F5">
            <w:pPr>
              <w:pStyle w:val="Graphbullet2"/>
              <w:spacing w:line="360" w:lineRule="auto"/>
              <w:ind w:left="284" w:hanging="284"/>
            </w:pPr>
            <w:r w:rsidRPr="00500CEE">
              <w:t xml:space="preserve">Higher product prices compared with some competitors may limit accessibility for price-sensitive consumers. </w:t>
            </w:r>
          </w:p>
          <w:p w14:paraId="60388C35" w14:textId="77777777" w:rsidR="00E402F5" w:rsidRPr="008965F6" w:rsidRDefault="00E402F5" w:rsidP="00E402F5">
            <w:pPr>
              <w:pStyle w:val="Graphbullet2"/>
              <w:spacing w:line="360" w:lineRule="auto"/>
              <w:ind w:left="284" w:hanging="284"/>
            </w:pPr>
            <w:r w:rsidRPr="00500CEE">
              <w:t>Dependence on agricultural raw materials can expose the company to supply chain disruptions and price fluctuations.</w:t>
            </w:r>
          </w:p>
        </w:tc>
      </w:tr>
      <w:tr w:rsidR="00E402F5" w14:paraId="66D54EEC" w14:textId="77777777" w:rsidTr="002138C6">
        <w:trPr>
          <w:trHeight w:val="2535"/>
        </w:trPr>
        <w:tc>
          <w:tcPr>
            <w:tcW w:w="2592" w:type="dxa"/>
          </w:tcPr>
          <w:sdt>
            <w:sdtPr>
              <w:id w:val="-2099856493"/>
              <w:placeholder>
                <w:docPart w:val="5DB2B0AF82434D7491930BE2E3032330"/>
              </w:placeholder>
              <w:temporary/>
              <w:showingPlcHdr/>
              <w15:appearance w15:val="hidden"/>
            </w:sdtPr>
            <w:sdtContent>
              <w:p w14:paraId="477C55A6" w14:textId="77777777" w:rsidR="00E402F5" w:rsidRDefault="00E402F5" w:rsidP="002138C6">
                <w:pPr>
                  <w:pStyle w:val="Graphheading3"/>
                  <w:spacing w:line="360" w:lineRule="auto"/>
                </w:pPr>
                <w:r w:rsidRPr="008965F6">
                  <w:t>OPPORTUNITIES</w:t>
                </w:r>
              </w:p>
            </w:sdtContent>
          </w:sdt>
          <w:p w14:paraId="07EEA2F1" w14:textId="77777777" w:rsidR="00E402F5" w:rsidRDefault="00E402F5" w:rsidP="00E402F5">
            <w:pPr>
              <w:pStyle w:val="Graphbullet3"/>
              <w:spacing w:line="360" w:lineRule="auto"/>
              <w:ind w:left="284" w:hanging="284"/>
            </w:pPr>
            <w:r w:rsidRPr="00500CEE">
              <w:t xml:space="preserve">Growing global demand for plant-based and functional beverages creates opportunities for product innovation. </w:t>
            </w:r>
          </w:p>
          <w:p w14:paraId="68ED9EA9" w14:textId="77777777" w:rsidR="00E402F5" w:rsidRPr="008965F6" w:rsidRDefault="00E402F5" w:rsidP="00E402F5">
            <w:pPr>
              <w:pStyle w:val="Graphbullet3"/>
              <w:spacing w:line="360" w:lineRule="auto"/>
              <w:ind w:left="284" w:hanging="284"/>
            </w:pPr>
            <w:r w:rsidRPr="00500CEE">
              <w:t>Expansion into emerging international markets can help increase market share and revenue.</w:t>
            </w:r>
          </w:p>
        </w:tc>
        <w:tc>
          <w:tcPr>
            <w:tcW w:w="4896" w:type="dxa"/>
            <w:vMerge/>
          </w:tcPr>
          <w:p w14:paraId="7EECB28D" w14:textId="77777777" w:rsidR="00E402F5" w:rsidRDefault="00E402F5" w:rsidP="002138C6">
            <w:pPr>
              <w:pStyle w:val="ListBullet"/>
              <w:numPr>
                <w:ilvl w:val="0"/>
                <w:numId w:val="0"/>
              </w:numPr>
              <w:spacing w:line="360" w:lineRule="auto"/>
            </w:pPr>
          </w:p>
        </w:tc>
        <w:tc>
          <w:tcPr>
            <w:tcW w:w="2592" w:type="dxa"/>
          </w:tcPr>
          <w:sdt>
            <w:sdtPr>
              <w:id w:val="996142121"/>
              <w:placeholder>
                <w:docPart w:val="EE944B5D045741F5978F7245B1537A96"/>
              </w:placeholder>
              <w:temporary/>
              <w:showingPlcHdr/>
              <w15:appearance w15:val="hidden"/>
            </w:sdtPr>
            <w:sdtContent>
              <w:p w14:paraId="598AC069" w14:textId="77777777" w:rsidR="00E402F5" w:rsidRDefault="00E402F5" w:rsidP="002138C6">
                <w:pPr>
                  <w:pStyle w:val="Graphheading4"/>
                  <w:spacing w:line="360" w:lineRule="auto"/>
                </w:pPr>
                <w:r w:rsidRPr="008965F6">
                  <w:t>THREATS</w:t>
                </w:r>
              </w:p>
            </w:sdtContent>
          </w:sdt>
          <w:p w14:paraId="3B045948" w14:textId="77777777" w:rsidR="00E402F5" w:rsidRDefault="00E402F5" w:rsidP="00E402F5">
            <w:pPr>
              <w:pStyle w:val="Graphbullet4"/>
              <w:spacing w:line="360" w:lineRule="auto"/>
              <w:ind w:left="284" w:hanging="284"/>
            </w:pPr>
            <w:r w:rsidRPr="00500CEE">
              <w:t>Intense competition from multinational beverage companies and new health-focused brands.</w:t>
            </w:r>
          </w:p>
          <w:p w14:paraId="30E1F088" w14:textId="77777777" w:rsidR="00E402F5" w:rsidRPr="008965F6" w:rsidRDefault="00E402F5" w:rsidP="00E402F5">
            <w:pPr>
              <w:pStyle w:val="Graphbullet4"/>
              <w:spacing w:line="360" w:lineRule="auto"/>
              <w:ind w:left="284" w:hanging="284"/>
            </w:pPr>
            <w:r w:rsidRPr="00500CEE">
              <w:t xml:space="preserve"> Rising production and transportation costs may impact on long-term profitability (Grant, 2021).</w:t>
            </w:r>
          </w:p>
        </w:tc>
      </w:tr>
    </w:tbl>
    <w:p w14:paraId="20419272" w14:textId="77777777" w:rsidR="00E402F5" w:rsidRPr="004B15BD" w:rsidRDefault="00E402F5" w:rsidP="00E402F5">
      <w:pPr>
        <w:spacing w:line="360" w:lineRule="auto"/>
        <w:rPr>
          <w:rFonts w:cs="Arial"/>
          <w:b/>
          <w:bCs/>
        </w:rPr>
      </w:pPr>
    </w:p>
    <w:p w14:paraId="3D02BAE6" w14:textId="77777777" w:rsidR="00E402F5" w:rsidRDefault="00E402F5" w:rsidP="00E402F5">
      <w:pPr>
        <w:spacing w:line="360" w:lineRule="auto"/>
        <w:rPr>
          <w:b/>
          <w:bCs/>
        </w:rPr>
      </w:pPr>
    </w:p>
    <w:p w14:paraId="6D722675" w14:textId="0EF736EC" w:rsidR="00194C65" w:rsidRPr="00194C65" w:rsidRDefault="00194C65" w:rsidP="00E402F5">
      <w:pPr>
        <w:spacing w:line="360" w:lineRule="auto"/>
        <w:rPr>
          <w:b/>
          <w:bCs/>
        </w:rPr>
      </w:pPr>
      <w:r w:rsidRPr="00194C65">
        <w:rPr>
          <w:b/>
          <w:bCs/>
        </w:rPr>
        <w:t>Strengths</w:t>
      </w:r>
    </w:p>
    <w:p w14:paraId="4F3A558B" w14:textId="77777777" w:rsidR="00194C65" w:rsidRPr="00194C65" w:rsidRDefault="00194C65" w:rsidP="00E402F5">
      <w:pPr>
        <w:spacing w:line="360" w:lineRule="auto"/>
      </w:pPr>
      <w:r w:rsidRPr="00194C65">
        <w:t>One of Innocent Drinks’ main strengths is its strong brand identity built around natural ingredients and sustainability. According to Barney (1991), strong brand reputation can provide a valuable competitive advantage. The company’s commitment to ethical sourcing and environmental initiatives also strengthens consumer trust.</w:t>
      </w:r>
    </w:p>
    <w:p w14:paraId="0BF0A179" w14:textId="77777777" w:rsidR="00194C65" w:rsidRPr="00194C65" w:rsidRDefault="00194C65" w:rsidP="00E402F5">
      <w:pPr>
        <w:spacing w:line="360" w:lineRule="auto"/>
      </w:pPr>
      <w:r w:rsidRPr="00194C65">
        <w:lastRenderedPageBreak/>
        <w:t>Additionally, Innocent Drinks benefits from its partnership with Coca-Cola, which provides access to extensive distribution networks and financial resources.</w:t>
      </w:r>
    </w:p>
    <w:p w14:paraId="296F489E" w14:textId="77777777" w:rsidR="00194C65" w:rsidRPr="00194C65" w:rsidRDefault="00194C65" w:rsidP="00E402F5">
      <w:pPr>
        <w:spacing w:line="360" w:lineRule="auto"/>
        <w:rPr>
          <w:b/>
          <w:bCs/>
        </w:rPr>
      </w:pPr>
      <w:r w:rsidRPr="00194C65">
        <w:rPr>
          <w:b/>
          <w:bCs/>
        </w:rPr>
        <w:t>Weaknesses</w:t>
      </w:r>
    </w:p>
    <w:p w14:paraId="2D41AEF0" w14:textId="77777777" w:rsidR="00194C65" w:rsidRPr="00194C65" w:rsidRDefault="00194C65" w:rsidP="00E402F5">
      <w:pPr>
        <w:spacing w:line="360" w:lineRule="auto"/>
      </w:pPr>
      <w:r w:rsidRPr="00194C65">
        <w:t>Despite its strong brand reputation, Innocent Drinks faces certain weaknesses. The company’s products are often priced higher than competitors’ alternatives, which may reduce accessibility for price-sensitive consumers. Furthermore, the organisation relies heavily on agricultural raw materials, making it vulnerable to supply chain disruptions.</w:t>
      </w:r>
    </w:p>
    <w:p w14:paraId="4BE10959" w14:textId="77777777" w:rsidR="00194C65" w:rsidRPr="00194C65" w:rsidRDefault="00194C65" w:rsidP="00E402F5">
      <w:pPr>
        <w:spacing w:line="360" w:lineRule="auto"/>
        <w:rPr>
          <w:b/>
          <w:bCs/>
        </w:rPr>
      </w:pPr>
      <w:r w:rsidRPr="00194C65">
        <w:rPr>
          <w:b/>
          <w:bCs/>
        </w:rPr>
        <w:t>Opportunities</w:t>
      </w:r>
    </w:p>
    <w:p w14:paraId="13308535" w14:textId="77777777" w:rsidR="00194C65" w:rsidRPr="00194C65" w:rsidRDefault="00194C65" w:rsidP="00E402F5">
      <w:pPr>
        <w:spacing w:line="360" w:lineRule="auto"/>
      </w:pPr>
      <w:r w:rsidRPr="00194C65">
        <w:t>Growing global demand for plant-based beverages presents significant opportunities for innovation. Consumers increasingly seek functional drinks containing vitamins, protein or probiotics. Expanding into emerging international markets may also allow Innocent Drinks to reach new customer segments.</w:t>
      </w:r>
    </w:p>
    <w:p w14:paraId="47730EFB" w14:textId="77777777" w:rsidR="00194C65" w:rsidRPr="00194C65" w:rsidRDefault="00194C65" w:rsidP="00E402F5">
      <w:pPr>
        <w:spacing w:line="360" w:lineRule="auto"/>
        <w:rPr>
          <w:b/>
          <w:bCs/>
        </w:rPr>
      </w:pPr>
      <w:r w:rsidRPr="00194C65">
        <w:rPr>
          <w:b/>
          <w:bCs/>
        </w:rPr>
        <w:t>Threats</w:t>
      </w:r>
    </w:p>
    <w:p w14:paraId="24128D06" w14:textId="77777777" w:rsidR="00194C65" w:rsidRPr="00194C65" w:rsidRDefault="00194C65" w:rsidP="00E402F5">
      <w:pPr>
        <w:spacing w:line="360" w:lineRule="auto"/>
      </w:pPr>
      <w:r w:rsidRPr="00194C65">
        <w:t>The beverage industry remains highly competitive. Large multinational corporations possess significant financial resources and marketing capabilities that allow them to compete aggressively. Rising production costs and supply chain disruptions may also threaten long-term profitability.</w:t>
      </w:r>
    </w:p>
    <w:p w14:paraId="2FFCB496" w14:textId="77777777" w:rsidR="00194C65" w:rsidRPr="00194C65" w:rsidRDefault="00194C65" w:rsidP="00E402F5">
      <w:pPr>
        <w:spacing w:line="360" w:lineRule="auto"/>
        <w:rPr>
          <w:b/>
          <w:bCs/>
        </w:rPr>
      </w:pPr>
      <w:r w:rsidRPr="00194C65">
        <w:rPr>
          <w:b/>
          <w:bCs/>
        </w:rPr>
        <w:t>Strategic Growth Options and Proposed Strategy</w:t>
      </w:r>
    </w:p>
    <w:p w14:paraId="53A1FE09" w14:textId="0FE9AECF" w:rsidR="00194C65" w:rsidRPr="00194C65" w:rsidRDefault="00194C65" w:rsidP="00E402F5">
      <w:pPr>
        <w:spacing w:line="360" w:lineRule="auto"/>
      </w:pPr>
      <w:r w:rsidRPr="00194C65">
        <w:t>Developing an effective growth strategy requires identifying opportunities that align with organisational strengths and market trends. The Ansoff Matrix is a widely used strategic tool that identifies four possible growth strategies: market penetration, product development, market development and diversification (Ansoff, 1957</w:t>
      </w:r>
      <w:r w:rsidR="00161E6D" w:rsidRPr="00194C65">
        <w:t>). Market</w:t>
      </w:r>
      <w:r w:rsidRPr="00194C65">
        <w:t xml:space="preserve"> penetration focuses on increasing sales of existing products within existing markets. While this strategy may increase market share, Innocent Drinks already has strong presence within many European markets, which may limit further growth.Product development involves introducing new products into existing markets. This strategy offers strong potential for Innocent Drinks because consumer demand for functional beverages continues to grow.Market development involves expanding existing products into new geographic markets. Emerging economies present attractive opportunities because demand for healthy beverages is increasing rapidly.</w:t>
      </w:r>
    </w:p>
    <w:p w14:paraId="089B7045" w14:textId="77777777" w:rsidR="00194C65" w:rsidRPr="00194C65" w:rsidRDefault="00194C65" w:rsidP="00E402F5">
      <w:pPr>
        <w:spacing w:line="360" w:lineRule="auto"/>
      </w:pPr>
      <w:r w:rsidRPr="00194C65">
        <w:lastRenderedPageBreak/>
        <w:t>Diversification involves entering new markets with new products. While diversification can provide growth opportunities, it also involves higher levels of risk (Mintzberg, 1994).</w:t>
      </w:r>
    </w:p>
    <w:p w14:paraId="73BF80C2" w14:textId="3DFC7797" w:rsidR="00194C65" w:rsidRPr="00194C65" w:rsidRDefault="00194C65" w:rsidP="00E402F5">
      <w:pPr>
        <w:spacing w:line="360" w:lineRule="auto"/>
      </w:pPr>
      <w:r w:rsidRPr="00194C65">
        <w:t>From a competitive perspective, Innocent Drinks follows a differentiation strategy. According to Porter (1985), differentiation involves offering products that are perceived as unique by consumers. Innocent achieves differentiation through natural ingredients, sustainability commitments and strong brand communication.Based on this analysis, the recommended strategy combines product development with market development. By developing innovative plant-based functional beverages and expanding into emerging markets, Innocent Drinks can strengthen its competitive position while maintaining alignment with its sustainability values.</w:t>
      </w:r>
    </w:p>
    <w:p w14:paraId="78592D2A" w14:textId="77777777" w:rsidR="00194C65" w:rsidRPr="00194C65" w:rsidRDefault="00194C65" w:rsidP="00E402F5">
      <w:pPr>
        <w:spacing w:line="360" w:lineRule="auto"/>
        <w:rPr>
          <w:b/>
          <w:bCs/>
        </w:rPr>
      </w:pPr>
      <w:r w:rsidRPr="00194C65">
        <w:rPr>
          <w:b/>
          <w:bCs/>
        </w:rPr>
        <w:t>Strategy Evaluation</w:t>
      </w:r>
    </w:p>
    <w:p w14:paraId="10268CB6" w14:textId="77777777" w:rsidR="00194C65" w:rsidRPr="00194C65" w:rsidRDefault="00194C65" w:rsidP="00E402F5">
      <w:pPr>
        <w:spacing w:line="360" w:lineRule="auto"/>
      </w:pPr>
      <w:r w:rsidRPr="00194C65">
        <w:t>Strategic options must be evaluated to determine whether they are suitable, acceptable and feasible. The SAF framework provides a useful tool for assessing these criteria (Johnson, Scholes and Whittington, 2017).</w:t>
      </w:r>
    </w:p>
    <w:p w14:paraId="31F0DDB0" w14:textId="77777777" w:rsidR="00194C65" w:rsidRPr="00194C65" w:rsidRDefault="00194C65" w:rsidP="00E402F5">
      <w:pPr>
        <w:spacing w:line="360" w:lineRule="auto"/>
        <w:rPr>
          <w:b/>
          <w:bCs/>
        </w:rPr>
      </w:pPr>
      <w:r w:rsidRPr="00194C65">
        <w:rPr>
          <w:b/>
          <w:bCs/>
        </w:rPr>
        <w:t>Suitability</w:t>
      </w:r>
    </w:p>
    <w:p w14:paraId="00756BED" w14:textId="77777777" w:rsidR="00194C65" w:rsidRPr="00194C65" w:rsidRDefault="00194C65" w:rsidP="00E402F5">
      <w:pPr>
        <w:spacing w:line="360" w:lineRule="auto"/>
      </w:pPr>
      <w:r w:rsidRPr="00194C65">
        <w:t>The proposed strategy aligns with current market trends and consumer preferences. Increasing demand for plant-based and functional beverages creates opportunities for innovation. Expanding into new international markets also allows the organisation to reduce dependence on mature markets.</w:t>
      </w:r>
    </w:p>
    <w:p w14:paraId="33BA2569" w14:textId="77777777" w:rsidR="00194C65" w:rsidRPr="00194C65" w:rsidRDefault="00194C65" w:rsidP="00E402F5">
      <w:pPr>
        <w:spacing w:line="360" w:lineRule="auto"/>
        <w:rPr>
          <w:b/>
          <w:bCs/>
        </w:rPr>
      </w:pPr>
      <w:r w:rsidRPr="00194C65">
        <w:rPr>
          <w:b/>
          <w:bCs/>
        </w:rPr>
        <w:t>Acceptability</w:t>
      </w:r>
    </w:p>
    <w:p w14:paraId="56BDBF25" w14:textId="0905C8FE" w:rsidR="00194C65" w:rsidRPr="00194C65" w:rsidRDefault="00194C65" w:rsidP="00E402F5">
      <w:pPr>
        <w:spacing w:line="360" w:lineRule="auto"/>
      </w:pPr>
      <w:r w:rsidRPr="00194C65">
        <w:t>The strategy is likely to be acceptable to key stakeholders. Investors may benefit from increased revenue growth, while consumers gain access to healthier product options. Employees may also benefit from increased career opportunities as the organisation expands internationally.However, international expansion may involve certain risks such as increased operational complexity and supply chain challenges.</w:t>
      </w:r>
    </w:p>
    <w:p w14:paraId="485AC8C4" w14:textId="77777777" w:rsidR="00194C65" w:rsidRPr="00194C65" w:rsidRDefault="00194C65" w:rsidP="00E402F5">
      <w:pPr>
        <w:spacing w:line="360" w:lineRule="auto"/>
        <w:rPr>
          <w:b/>
          <w:bCs/>
        </w:rPr>
      </w:pPr>
      <w:r w:rsidRPr="00194C65">
        <w:rPr>
          <w:b/>
          <w:bCs/>
        </w:rPr>
        <w:t>Feasibility</w:t>
      </w:r>
    </w:p>
    <w:p w14:paraId="5DD4F2F3" w14:textId="77777777" w:rsidR="00194C65" w:rsidRPr="00194C65" w:rsidRDefault="00194C65" w:rsidP="00E402F5">
      <w:pPr>
        <w:spacing w:line="360" w:lineRule="auto"/>
      </w:pPr>
      <w:r w:rsidRPr="00194C65">
        <w:t>The feasibility of the strategy depends on the organisation’s available resources and capabilities. Innocent Drinks possesses strong brand recognition, innovative marketing capabilities and established distribution networks. Furthermore, its partnership with Coca-Cola provides financial resources and logistical support that can facilitate international expansion.</w:t>
      </w:r>
    </w:p>
    <w:p w14:paraId="4D7935C2" w14:textId="735AE2C5" w:rsidR="00194C65" w:rsidRPr="00194C65" w:rsidRDefault="00194C65" w:rsidP="00E402F5">
      <w:pPr>
        <w:spacing w:line="360" w:lineRule="auto"/>
      </w:pPr>
    </w:p>
    <w:p w14:paraId="3E103961" w14:textId="77777777" w:rsidR="00194C65" w:rsidRPr="00194C65" w:rsidRDefault="00194C65" w:rsidP="00E402F5">
      <w:pPr>
        <w:spacing w:line="360" w:lineRule="auto"/>
        <w:rPr>
          <w:b/>
          <w:bCs/>
        </w:rPr>
      </w:pPr>
      <w:r w:rsidRPr="00194C65">
        <w:rPr>
          <w:b/>
          <w:bCs/>
        </w:rPr>
        <w:lastRenderedPageBreak/>
        <w:t>Stakeholder Analysis</w:t>
      </w:r>
    </w:p>
    <w:p w14:paraId="5F5B1E06" w14:textId="54D4F69D" w:rsidR="00194C65" w:rsidRPr="00194C65" w:rsidRDefault="00194C65" w:rsidP="00E402F5">
      <w:pPr>
        <w:spacing w:line="360" w:lineRule="auto"/>
      </w:pPr>
      <w:r w:rsidRPr="00194C65">
        <w:t>Stakeholder theory suggests that organisations must consider the interests of all groups affected by their activities (Freeman, 1984). Key stakeholders for Innocent Drinks include customers, employees, suppliers, investors, regulators and local communities.Customers are critical stakeholders because their purchasing decisions directly influence organisational revenue. Maintaining product quality and sustainability standards helps build consumer trust.Employees also play a crucial role in implementing strategy. Providing supportive working environments and development opportunities can improve employee motivation and productivity.Suppliers represent another important stakeholder group because they provide essential raw materials. Building long-term partnerships with sustainable agricultural suppliers can improve supply chain stability.Using Mendelow’s matrix, stakeholders can be classified according to their power and interest. Investors and senior management typically possess high power and high interest, meaning they must be closely managed. Customers and employees have high interest but moderate power and should therefore be kept informed and engaged.Effective stakeholder engagement strategies may include transparent communication, sustainability reporting and collaborative partnerships with suppliers and community organisations.</w:t>
      </w:r>
    </w:p>
    <w:p w14:paraId="459BA4AC" w14:textId="02077688" w:rsidR="00194C65" w:rsidRPr="00194C65" w:rsidRDefault="00194C65" w:rsidP="00E402F5">
      <w:pPr>
        <w:spacing w:line="360" w:lineRule="auto"/>
      </w:pPr>
    </w:p>
    <w:p w14:paraId="7F0921D0" w14:textId="77777777" w:rsidR="00194C65" w:rsidRPr="00194C65" w:rsidRDefault="00194C65" w:rsidP="00E402F5">
      <w:pPr>
        <w:spacing w:line="360" w:lineRule="auto"/>
        <w:rPr>
          <w:b/>
          <w:bCs/>
        </w:rPr>
      </w:pPr>
      <w:r w:rsidRPr="00194C65">
        <w:rPr>
          <w:b/>
          <w:bCs/>
        </w:rPr>
        <w:t>Implementation and Monitoring</w:t>
      </w:r>
    </w:p>
    <w:p w14:paraId="26F70592" w14:textId="2D2A3BCD" w:rsidR="00194C65" w:rsidRPr="00194C65" w:rsidRDefault="00194C65" w:rsidP="00E402F5">
      <w:pPr>
        <w:spacing w:line="360" w:lineRule="auto"/>
      </w:pPr>
      <w:r w:rsidRPr="00194C65">
        <w:t xml:space="preserve">Successful strategy implementation requires clear objectives, defined responsibilities and effective monitoring systems. Strategic implementation involves translating strategic plans into operational activities (Kaplan and Norton, 2008).The primary objective of the proposed strategy is to expand Innocent Drinks’ product portfolio and increase international market presence over the next five years.To achieve this objective, the company should invest in research and development to develop innovative plant-based functional beverages. These products may include protein-based smoothies, vitamin-enriched drinks and plant-based dairy alternatives.In addition, the organisation should expand its distribution network through partnerships with international retailers and distributors. Digital marketing strategies should also be strengthened to increase brand awareness within new markets.Monitoring progress is essential for ensuring effective implementation. Key performance indicators should include revenue growth, market share expansion, number of new product launches and carbon emission reductions.Regular performance evaluations allow managers to assess progress and make necessary adjustments. </w:t>
      </w:r>
      <w:r w:rsidRPr="00194C65">
        <w:lastRenderedPageBreak/>
        <w:t>Continuous monitoring ensures that the organisation remains adaptable in response to changing market conditions.</w:t>
      </w:r>
    </w:p>
    <w:p w14:paraId="288C33ED" w14:textId="77777777" w:rsidR="00194C65" w:rsidRDefault="00194C65" w:rsidP="00E402F5">
      <w:pPr>
        <w:spacing w:line="360" w:lineRule="auto"/>
        <w:rPr>
          <w:b/>
          <w:bCs/>
        </w:rPr>
      </w:pPr>
      <w:r w:rsidRPr="00194C65">
        <w:rPr>
          <w:b/>
          <w:bCs/>
        </w:rPr>
        <w:t>Conclusion</w:t>
      </w:r>
    </w:p>
    <w:p w14:paraId="4549B89D" w14:textId="7768BD84" w:rsidR="00161E6D" w:rsidRPr="00161E6D" w:rsidRDefault="00161E6D" w:rsidP="00E402F5">
      <w:pPr>
        <w:spacing w:line="360" w:lineRule="auto"/>
      </w:pPr>
      <w:r w:rsidRPr="00161E6D">
        <w:t xml:space="preserve">This report has examined the strategic position of Innocent Drinks and evaluated the key factors influencing its future growth. By applying recognised strategic management frameworks such as PESTEL analysis, Porter’s Five Forces and SWOT analysis, the report has highlighted both the opportunities and challenges facing the organisation within the global beverage market. The findings demonstrate that Innocent Drinks operates in a highly competitive environment where consumer expectations, environmental concerns and market innovation play a significant role in shaping strategic decisions.The analysis shows that Innocent Drinks possesses several important strengths that contribute to its competitive advantage. These include a strong brand identity, a reputation for sustainability and ethical sourcing, and a product portfolio that aligns with growing consumer demand for natural and healthier beverages. According to Porter (1985), organisations that successfully differentiate their products through quality, innovation and brand reputation can achieve a sustainable competitive advantage. Innocent Drinks has successfully implemented such a differentiation strategy by focusing on natural ingredients, transparent communication and socially responsible business practices.However, the evaluation also identified several challenges that the organisation must address to maintain its market position. Increasing competition from global beverage companies, rising supply chain costs and evolving consumer preferences require continuous innovation and strategic adaptation. As Grant (2021) suggests, organisations operating in dynamic industries must regularly review their strategies to ensure they remain competitive and responsive to environmental changes.The report therefore proposed a strategic growth approach focused on product development and international market expansion. Developing innovative plant-based functional beverages would allow Innocent Drinks to capitalise on the growing global demand for healthier drink alternatives. At the same time, expanding into emerging international markets could provide access to new customer segments and additional revenue streams. This strategy aligns closely with global health and sustainability trends, which have become increasingly important drivers of consumer purchasing behaviour (Kotler and Keller, 2016).The strategy was evaluated using the Suitability, Acceptability and Feasibility framework, which confirmed that the proposed approach is strategically appropriate and achievable. From a stakeholder perspective, the strategy also supports long-term value creation by providing benefits for customers, employees, investors and society. Stakeholder theory emphasises that organisations must balance the interests of </w:t>
      </w:r>
      <w:r w:rsidRPr="00161E6D">
        <w:lastRenderedPageBreak/>
        <w:t>different stakeholder groups in order to achieve sustainable success (Freeman, 1984). Effective implementation will be critical to the success of the proposed strategy. This requires clear strategic objectives, strong leadership and continuous monitoring through measurable performance indicators. Kaplan and Norton (2008) argue that organisations must translate strategic goals into operational actions in order to ensure successful execution. By investing in innovation, strengthening its international presence and maintaining its commitment to sustainability, Innocent Drinks can continue to build on its strong brand reputation and adapt to evolving market conditions.Overall, the findings of this report suggest that Innocent Drinks is well positioned to achieve sustainable growth in the future. By maintaining its differentiation strategy while expanding its product portfolio and geographic reach, the organisation can strengthen its competitive advantage and remain a leading brand within the global health beverage market.</w:t>
      </w:r>
    </w:p>
    <w:p w14:paraId="15021F1E" w14:textId="77777777" w:rsidR="00194C65" w:rsidRDefault="00194C65" w:rsidP="00E402F5">
      <w:pPr>
        <w:spacing w:line="360" w:lineRule="auto"/>
      </w:pPr>
    </w:p>
    <w:p w14:paraId="2895DA31" w14:textId="77777777" w:rsidR="00161E6D" w:rsidRDefault="00161E6D" w:rsidP="00E402F5">
      <w:pPr>
        <w:spacing w:line="360" w:lineRule="auto"/>
      </w:pPr>
    </w:p>
    <w:p w14:paraId="13EE7830" w14:textId="77777777" w:rsidR="00161E6D" w:rsidRDefault="00161E6D" w:rsidP="00E402F5">
      <w:pPr>
        <w:spacing w:line="360" w:lineRule="auto"/>
      </w:pPr>
    </w:p>
    <w:p w14:paraId="232FA202" w14:textId="77777777" w:rsidR="00161E6D" w:rsidRDefault="00161E6D" w:rsidP="00E402F5">
      <w:pPr>
        <w:spacing w:line="360" w:lineRule="auto"/>
      </w:pPr>
    </w:p>
    <w:p w14:paraId="608C083F" w14:textId="77777777" w:rsidR="00161E6D" w:rsidRPr="00161E6D" w:rsidRDefault="00161E6D" w:rsidP="00E402F5">
      <w:pPr>
        <w:spacing w:line="360" w:lineRule="auto"/>
        <w:rPr>
          <w:b/>
          <w:bCs/>
        </w:rPr>
      </w:pPr>
      <w:r w:rsidRPr="00161E6D">
        <w:rPr>
          <w:b/>
          <w:bCs/>
        </w:rPr>
        <w:t>References</w:t>
      </w:r>
    </w:p>
    <w:p w14:paraId="77253412" w14:textId="77777777" w:rsidR="00161E6D" w:rsidRPr="00161E6D" w:rsidRDefault="00161E6D" w:rsidP="00E402F5">
      <w:pPr>
        <w:pStyle w:val="ListParagraph"/>
        <w:numPr>
          <w:ilvl w:val="0"/>
          <w:numId w:val="2"/>
        </w:numPr>
        <w:spacing w:line="360" w:lineRule="auto"/>
      </w:pPr>
      <w:r w:rsidRPr="00161E6D">
        <w:t xml:space="preserve">Ansoff, H.I. (1957) ‘Strategies for diversification’, </w:t>
      </w:r>
      <w:r w:rsidRPr="00161E6D">
        <w:rPr>
          <w:i/>
          <w:iCs/>
        </w:rPr>
        <w:t>Harvard Business Review</w:t>
      </w:r>
      <w:r w:rsidRPr="00161E6D">
        <w:t>.</w:t>
      </w:r>
    </w:p>
    <w:p w14:paraId="694B98E9" w14:textId="77777777" w:rsidR="00161E6D" w:rsidRPr="00161E6D" w:rsidRDefault="00161E6D" w:rsidP="00E402F5">
      <w:pPr>
        <w:pStyle w:val="ListParagraph"/>
        <w:numPr>
          <w:ilvl w:val="0"/>
          <w:numId w:val="2"/>
        </w:numPr>
        <w:spacing w:line="360" w:lineRule="auto"/>
      </w:pPr>
      <w:r w:rsidRPr="00161E6D">
        <w:t xml:space="preserve">Barney, J. (1991) ‘Firm resources and sustained competitive advantage’, </w:t>
      </w:r>
      <w:r w:rsidRPr="00161E6D">
        <w:rPr>
          <w:i/>
          <w:iCs/>
        </w:rPr>
        <w:t>Journal of Management</w:t>
      </w:r>
      <w:r w:rsidRPr="00161E6D">
        <w:t>, 17(1), pp. 99-120.</w:t>
      </w:r>
    </w:p>
    <w:p w14:paraId="143624F3" w14:textId="77777777" w:rsidR="00161E6D" w:rsidRPr="00161E6D" w:rsidRDefault="00161E6D" w:rsidP="00E402F5">
      <w:pPr>
        <w:pStyle w:val="ListParagraph"/>
        <w:numPr>
          <w:ilvl w:val="0"/>
          <w:numId w:val="2"/>
        </w:numPr>
        <w:spacing w:line="360" w:lineRule="auto"/>
      </w:pPr>
      <w:r w:rsidRPr="00161E6D">
        <w:t xml:space="preserve">Bocken, N., Short, S., Rana, P. and Evans, S. (2014) ‘A literature review of sustainable business model innovation’, </w:t>
      </w:r>
      <w:r w:rsidRPr="00161E6D">
        <w:rPr>
          <w:i/>
          <w:iCs/>
        </w:rPr>
        <w:t>Journal of Cleaner Production</w:t>
      </w:r>
      <w:r w:rsidRPr="00161E6D">
        <w:t>, 65, pp. 42-56.</w:t>
      </w:r>
    </w:p>
    <w:p w14:paraId="7C342CE1" w14:textId="77777777" w:rsidR="00161E6D" w:rsidRPr="00161E6D" w:rsidRDefault="00161E6D" w:rsidP="00E402F5">
      <w:pPr>
        <w:pStyle w:val="ListParagraph"/>
        <w:numPr>
          <w:ilvl w:val="0"/>
          <w:numId w:val="2"/>
        </w:numPr>
        <w:spacing w:line="360" w:lineRule="auto"/>
      </w:pPr>
      <w:r w:rsidRPr="00161E6D">
        <w:t xml:space="preserve">Carroll, A. (1991) ‘The pyramid of corporate social responsibility’, </w:t>
      </w:r>
      <w:r w:rsidRPr="00161E6D">
        <w:rPr>
          <w:i/>
          <w:iCs/>
        </w:rPr>
        <w:t>Business Horizons</w:t>
      </w:r>
      <w:r w:rsidRPr="00161E6D">
        <w:t>, 34(4), pp. 39-48.</w:t>
      </w:r>
    </w:p>
    <w:p w14:paraId="78AAB330" w14:textId="77777777" w:rsidR="00161E6D" w:rsidRPr="00161E6D" w:rsidRDefault="00161E6D" w:rsidP="00E402F5">
      <w:pPr>
        <w:pStyle w:val="ListParagraph"/>
        <w:numPr>
          <w:ilvl w:val="0"/>
          <w:numId w:val="2"/>
        </w:numPr>
        <w:spacing w:line="360" w:lineRule="auto"/>
      </w:pPr>
      <w:r w:rsidRPr="00161E6D">
        <w:t xml:space="preserve">Euromonitor (2022) </w:t>
      </w:r>
      <w:r w:rsidRPr="00161E6D">
        <w:rPr>
          <w:i/>
          <w:iCs/>
        </w:rPr>
        <w:t>Health and Wellness Beverages Market Report.</w:t>
      </w:r>
    </w:p>
    <w:p w14:paraId="47A93797" w14:textId="77777777" w:rsidR="00161E6D" w:rsidRPr="00161E6D" w:rsidRDefault="00161E6D" w:rsidP="00E402F5">
      <w:pPr>
        <w:pStyle w:val="ListParagraph"/>
        <w:numPr>
          <w:ilvl w:val="0"/>
          <w:numId w:val="2"/>
        </w:numPr>
        <w:spacing w:line="360" w:lineRule="auto"/>
      </w:pPr>
      <w:r w:rsidRPr="00161E6D">
        <w:t xml:space="preserve">Freeman, R.E. (1984) </w:t>
      </w:r>
      <w:r w:rsidRPr="00161E6D">
        <w:rPr>
          <w:i/>
          <w:iCs/>
        </w:rPr>
        <w:t>Strategic Management: A Stakeholder Approach</w:t>
      </w:r>
      <w:r w:rsidRPr="00161E6D">
        <w:t>. Boston: Pitman.</w:t>
      </w:r>
    </w:p>
    <w:p w14:paraId="41C67F23" w14:textId="77777777" w:rsidR="00161E6D" w:rsidRPr="00161E6D" w:rsidRDefault="00161E6D" w:rsidP="00E402F5">
      <w:pPr>
        <w:pStyle w:val="ListParagraph"/>
        <w:numPr>
          <w:ilvl w:val="0"/>
          <w:numId w:val="2"/>
        </w:numPr>
        <w:spacing w:line="360" w:lineRule="auto"/>
      </w:pPr>
      <w:r w:rsidRPr="00161E6D">
        <w:t xml:space="preserve">Grant, R.M. (2021) </w:t>
      </w:r>
      <w:r w:rsidRPr="00161E6D">
        <w:rPr>
          <w:i/>
          <w:iCs/>
        </w:rPr>
        <w:t>Contemporary Strategy Analysis</w:t>
      </w:r>
      <w:r w:rsidRPr="00161E6D">
        <w:t>. Wiley.</w:t>
      </w:r>
    </w:p>
    <w:p w14:paraId="77082F0A" w14:textId="77777777" w:rsidR="00161E6D" w:rsidRPr="00161E6D" w:rsidRDefault="00161E6D" w:rsidP="00E402F5">
      <w:pPr>
        <w:pStyle w:val="ListParagraph"/>
        <w:numPr>
          <w:ilvl w:val="0"/>
          <w:numId w:val="2"/>
        </w:numPr>
        <w:spacing w:line="360" w:lineRule="auto"/>
      </w:pPr>
      <w:r w:rsidRPr="00161E6D">
        <w:t xml:space="preserve">Hill, C., Jones, G. and Schilling, M. (2019) </w:t>
      </w:r>
      <w:r w:rsidRPr="00161E6D">
        <w:rPr>
          <w:i/>
          <w:iCs/>
        </w:rPr>
        <w:t>Strategic Management: Theory and Cases</w:t>
      </w:r>
      <w:r w:rsidRPr="00161E6D">
        <w:t>. Cengage.</w:t>
      </w:r>
    </w:p>
    <w:p w14:paraId="10017DDC" w14:textId="77777777" w:rsidR="00161E6D" w:rsidRPr="00161E6D" w:rsidRDefault="00161E6D" w:rsidP="00E402F5">
      <w:pPr>
        <w:pStyle w:val="ListParagraph"/>
        <w:numPr>
          <w:ilvl w:val="0"/>
          <w:numId w:val="2"/>
        </w:numPr>
        <w:spacing w:line="360" w:lineRule="auto"/>
      </w:pPr>
      <w:r w:rsidRPr="00161E6D">
        <w:t xml:space="preserve">Johnson, G., Scholes, K. and Whittington, R. (2017) </w:t>
      </w:r>
      <w:r w:rsidRPr="00161E6D">
        <w:rPr>
          <w:i/>
          <w:iCs/>
        </w:rPr>
        <w:t>Exploring Strategy</w:t>
      </w:r>
      <w:r w:rsidRPr="00161E6D">
        <w:t>. Pearson.</w:t>
      </w:r>
    </w:p>
    <w:p w14:paraId="244611B4" w14:textId="77777777" w:rsidR="00161E6D" w:rsidRPr="00161E6D" w:rsidRDefault="00161E6D" w:rsidP="00E402F5">
      <w:pPr>
        <w:pStyle w:val="ListParagraph"/>
        <w:numPr>
          <w:ilvl w:val="0"/>
          <w:numId w:val="2"/>
        </w:numPr>
        <w:spacing w:line="360" w:lineRule="auto"/>
      </w:pPr>
      <w:r w:rsidRPr="00161E6D">
        <w:lastRenderedPageBreak/>
        <w:t xml:space="preserve">Kaplan, R. and Norton, D. (2008) </w:t>
      </w:r>
      <w:r w:rsidRPr="00161E6D">
        <w:rPr>
          <w:i/>
          <w:iCs/>
        </w:rPr>
        <w:t>The Execution Premium</w:t>
      </w:r>
      <w:r w:rsidRPr="00161E6D">
        <w:t>. Harvard Business School Press.</w:t>
      </w:r>
    </w:p>
    <w:p w14:paraId="2F21E362" w14:textId="77777777" w:rsidR="00161E6D" w:rsidRPr="00161E6D" w:rsidRDefault="00161E6D" w:rsidP="00E402F5">
      <w:pPr>
        <w:pStyle w:val="ListParagraph"/>
        <w:numPr>
          <w:ilvl w:val="0"/>
          <w:numId w:val="2"/>
        </w:numPr>
        <w:spacing w:line="360" w:lineRule="auto"/>
      </w:pPr>
      <w:r w:rsidRPr="00161E6D">
        <w:t xml:space="preserve">Kotler, P. and Keller, K. (2016) </w:t>
      </w:r>
      <w:r w:rsidRPr="00161E6D">
        <w:rPr>
          <w:i/>
          <w:iCs/>
        </w:rPr>
        <w:t>Marketing Management</w:t>
      </w:r>
      <w:r w:rsidRPr="00161E6D">
        <w:t>. Pearson.</w:t>
      </w:r>
    </w:p>
    <w:p w14:paraId="421CFAE5" w14:textId="77777777" w:rsidR="00161E6D" w:rsidRPr="00161E6D" w:rsidRDefault="00161E6D" w:rsidP="00E402F5">
      <w:pPr>
        <w:pStyle w:val="ListParagraph"/>
        <w:numPr>
          <w:ilvl w:val="0"/>
          <w:numId w:val="2"/>
        </w:numPr>
        <w:spacing w:line="360" w:lineRule="auto"/>
      </w:pPr>
      <w:r w:rsidRPr="00161E6D">
        <w:t xml:space="preserve">Mintzberg, H. (1994) </w:t>
      </w:r>
      <w:r w:rsidRPr="00161E6D">
        <w:rPr>
          <w:i/>
          <w:iCs/>
        </w:rPr>
        <w:t>The Rise and Fall of Strategic Planning</w:t>
      </w:r>
      <w:r w:rsidRPr="00161E6D">
        <w:t>. Free Press.</w:t>
      </w:r>
    </w:p>
    <w:p w14:paraId="6CD20A4A" w14:textId="77777777" w:rsidR="00161E6D" w:rsidRPr="00161E6D" w:rsidRDefault="00161E6D" w:rsidP="00E402F5">
      <w:pPr>
        <w:pStyle w:val="ListParagraph"/>
        <w:numPr>
          <w:ilvl w:val="0"/>
          <w:numId w:val="2"/>
        </w:numPr>
        <w:spacing w:line="360" w:lineRule="auto"/>
      </w:pPr>
      <w:r w:rsidRPr="00161E6D">
        <w:t xml:space="preserve">Porter, M.E. (1985) </w:t>
      </w:r>
      <w:r w:rsidRPr="00161E6D">
        <w:rPr>
          <w:i/>
          <w:iCs/>
        </w:rPr>
        <w:t>Competitive Advantage</w:t>
      </w:r>
      <w:r w:rsidRPr="00161E6D">
        <w:t>. Free Press.</w:t>
      </w:r>
    </w:p>
    <w:p w14:paraId="50E1B6B0" w14:textId="77777777" w:rsidR="00161E6D" w:rsidRPr="00161E6D" w:rsidRDefault="00161E6D" w:rsidP="00E402F5">
      <w:pPr>
        <w:pStyle w:val="ListParagraph"/>
        <w:numPr>
          <w:ilvl w:val="0"/>
          <w:numId w:val="2"/>
        </w:numPr>
        <w:spacing w:line="360" w:lineRule="auto"/>
      </w:pPr>
      <w:r w:rsidRPr="00161E6D">
        <w:t xml:space="preserve">Porter, M.E. (2008) ‘The five competitive forces that shape strategy’, </w:t>
      </w:r>
      <w:r w:rsidRPr="00161E6D">
        <w:rPr>
          <w:i/>
          <w:iCs/>
        </w:rPr>
        <w:t>Harvard Business Review</w:t>
      </w:r>
      <w:r w:rsidRPr="00161E6D">
        <w:t>.</w:t>
      </w:r>
    </w:p>
    <w:p w14:paraId="7E2A56E0" w14:textId="77777777" w:rsidR="00161E6D" w:rsidRPr="00161E6D" w:rsidRDefault="00161E6D" w:rsidP="00E402F5">
      <w:pPr>
        <w:pStyle w:val="ListParagraph"/>
        <w:numPr>
          <w:ilvl w:val="0"/>
          <w:numId w:val="2"/>
        </w:numPr>
        <w:spacing w:line="360" w:lineRule="auto"/>
      </w:pPr>
      <w:r w:rsidRPr="00161E6D">
        <w:t xml:space="preserve">Porter, M.E. and Kramer, M. (2019) ‘Creating shared value’, </w:t>
      </w:r>
      <w:r w:rsidRPr="00161E6D">
        <w:rPr>
          <w:i/>
          <w:iCs/>
        </w:rPr>
        <w:t>Harvard Business Review</w:t>
      </w:r>
      <w:r w:rsidRPr="00161E6D">
        <w:t>.</w:t>
      </w:r>
    </w:p>
    <w:p w14:paraId="3953C084" w14:textId="77777777" w:rsidR="00161E6D" w:rsidRPr="00161E6D" w:rsidRDefault="00161E6D" w:rsidP="00E402F5">
      <w:pPr>
        <w:pStyle w:val="ListParagraph"/>
        <w:numPr>
          <w:ilvl w:val="0"/>
          <w:numId w:val="2"/>
        </w:numPr>
        <w:spacing w:line="360" w:lineRule="auto"/>
      </w:pPr>
      <w:r w:rsidRPr="00161E6D">
        <w:t xml:space="preserve">Rindova, V., Dalpiaz, E. and Ravasi, D. (2010) ‘A cultural quest’, </w:t>
      </w:r>
      <w:r w:rsidRPr="00161E6D">
        <w:rPr>
          <w:i/>
          <w:iCs/>
        </w:rPr>
        <w:t>Organization Science</w:t>
      </w:r>
      <w:r w:rsidRPr="00161E6D">
        <w:t>.</w:t>
      </w:r>
    </w:p>
    <w:p w14:paraId="5D0D6C95" w14:textId="77777777" w:rsidR="00161E6D" w:rsidRPr="00161E6D" w:rsidRDefault="00161E6D" w:rsidP="00E402F5">
      <w:pPr>
        <w:pStyle w:val="ListParagraph"/>
        <w:numPr>
          <w:ilvl w:val="0"/>
          <w:numId w:val="2"/>
        </w:numPr>
        <w:spacing w:line="360" w:lineRule="auto"/>
      </w:pPr>
      <w:r w:rsidRPr="00161E6D">
        <w:t xml:space="preserve">Smith, N. (2013) ‘Corporate social responsibility: whether or how’, </w:t>
      </w:r>
      <w:r w:rsidRPr="00161E6D">
        <w:rPr>
          <w:i/>
          <w:iCs/>
        </w:rPr>
        <w:t>California Management Review</w:t>
      </w:r>
      <w:r w:rsidRPr="00161E6D">
        <w:t>.</w:t>
      </w:r>
    </w:p>
    <w:p w14:paraId="670B67CB" w14:textId="77777777" w:rsidR="00161E6D" w:rsidRPr="00161E6D" w:rsidRDefault="00161E6D" w:rsidP="00E402F5">
      <w:pPr>
        <w:pStyle w:val="ListParagraph"/>
        <w:numPr>
          <w:ilvl w:val="0"/>
          <w:numId w:val="2"/>
        </w:numPr>
        <w:spacing w:line="360" w:lineRule="auto"/>
      </w:pPr>
      <w:r w:rsidRPr="00161E6D">
        <w:t xml:space="preserve">Teece, D. (2010) ‘Business models and innovation’, </w:t>
      </w:r>
      <w:r w:rsidRPr="00161E6D">
        <w:rPr>
          <w:i/>
          <w:iCs/>
        </w:rPr>
        <w:t>Long Range Planning</w:t>
      </w:r>
      <w:r w:rsidRPr="00161E6D">
        <w:t>, 43(2-3), pp. 172-194.</w:t>
      </w:r>
    </w:p>
    <w:p w14:paraId="0874300C" w14:textId="77777777" w:rsidR="00161E6D" w:rsidRPr="00194C65" w:rsidRDefault="00161E6D" w:rsidP="00E402F5">
      <w:pPr>
        <w:spacing w:line="360" w:lineRule="auto"/>
      </w:pPr>
    </w:p>
    <w:sectPr w:rsidR="00161E6D" w:rsidRPr="00194C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97132" w:themeColor="accent2"/>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4EA72E" w:themeColor="accent6"/>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97132" w:themeColor="accent2"/>
        <w:u w:color="156082"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A1520"/>
    <w:multiLevelType w:val="hybridMultilevel"/>
    <w:tmpl w:val="3470380C"/>
    <w:lvl w:ilvl="0" w:tplc="9F20309C">
      <w:start w:val="1"/>
      <w:numFmt w:val="bullet"/>
      <w:lvlText w:val="•"/>
      <w:lvlJc w:val="left"/>
      <w:pPr>
        <w:tabs>
          <w:tab w:val="num" w:pos="720"/>
        </w:tabs>
        <w:ind w:left="720" w:hanging="360"/>
      </w:pPr>
      <w:rPr>
        <w:rFonts w:ascii="Arial" w:hAnsi="Arial" w:hint="default"/>
      </w:rPr>
    </w:lvl>
    <w:lvl w:ilvl="1" w:tplc="39A4D114" w:tentative="1">
      <w:start w:val="1"/>
      <w:numFmt w:val="bullet"/>
      <w:lvlText w:val="•"/>
      <w:lvlJc w:val="left"/>
      <w:pPr>
        <w:tabs>
          <w:tab w:val="num" w:pos="1440"/>
        </w:tabs>
        <w:ind w:left="1440" w:hanging="360"/>
      </w:pPr>
      <w:rPr>
        <w:rFonts w:ascii="Arial" w:hAnsi="Arial" w:hint="default"/>
      </w:rPr>
    </w:lvl>
    <w:lvl w:ilvl="2" w:tplc="ACBC2F26" w:tentative="1">
      <w:start w:val="1"/>
      <w:numFmt w:val="bullet"/>
      <w:lvlText w:val="•"/>
      <w:lvlJc w:val="left"/>
      <w:pPr>
        <w:tabs>
          <w:tab w:val="num" w:pos="2160"/>
        </w:tabs>
        <w:ind w:left="2160" w:hanging="360"/>
      </w:pPr>
      <w:rPr>
        <w:rFonts w:ascii="Arial" w:hAnsi="Arial" w:hint="default"/>
      </w:rPr>
    </w:lvl>
    <w:lvl w:ilvl="3" w:tplc="1CEA8CD2" w:tentative="1">
      <w:start w:val="1"/>
      <w:numFmt w:val="bullet"/>
      <w:lvlText w:val="•"/>
      <w:lvlJc w:val="left"/>
      <w:pPr>
        <w:tabs>
          <w:tab w:val="num" w:pos="2880"/>
        </w:tabs>
        <w:ind w:left="2880" w:hanging="360"/>
      </w:pPr>
      <w:rPr>
        <w:rFonts w:ascii="Arial" w:hAnsi="Arial" w:hint="default"/>
      </w:rPr>
    </w:lvl>
    <w:lvl w:ilvl="4" w:tplc="EC5637D6" w:tentative="1">
      <w:start w:val="1"/>
      <w:numFmt w:val="bullet"/>
      <w:lvlText w:val="•"/>
      <w:lvlJc w:val="left"/>
      <w:pPr>
        <w:tabs>
          <w:tab w:val="num" w:pos="3600"/>
        </w:tabs>
        <w:ind w:left="3600" w:hanging="360"/>
      </w:pPr>
      <w:rPr>
        <w:rFonts w:ascii="Arial" w:hAnsi="Arial" w:hint="default"/>
      </w:rPr>
    </w:lvl>
    <w:lvl w:ilvl="5" w:tplc="839466EE" w:tentative="1">
      <w:start w:val="1"/>
      <w:numFmt w:val="bullet"/>
      <w:lvlText w:val="•"/>
      <w:lvlJc w:val="left"/>
      <w:pPr>
        <w:tabs>
          <w:tab w:val="num" w:pos="4320"/>
        </w:tabs>
        <w:ind w:left="4320" w:hanging="360"/>
      </w:pPr>
      <w:rPr>
        <w:rFonts w:ascii="Arial" w:hAnsi="Arial" w:hint="default"/>
      </w:rPr>
    </w:lvl>
    <w:lvl w:ilvl="6" w:tplc="1B6C4864" w:tentative="1">
      <w:start w:val="1"/>
      <w:numFmt w:val="bullet"/>
      <w:lvlText w:val="•"/>
      <w:lvlJc w:val="left"/>
      <w:pPr>
        <w:tabs>
          <w:tab w:val="num" w:pos="5040"/>
        </w:tabs>
        <w:ind w:left="5040" w:hanging="360"/>
      </w:pPr>
      <w:rPr>
        <w:rFonts w:ascii="Arial" w:hAnsi="Arial" w:hint="default"/>
      </w:rPr>
    </w:lvl>
    <w:lvl w:ilvl="7" w:tplc="BA0E3DC2" w:tentative="1">
      <w:start w:val="1"/>
      <w:numFmt w:val="bullet"/>
      <w:lvlText w:val="•"/>
      <w:lvlJc w:val="left"/>
      <w:pPr>
        <w:tabs>
          <w:tab w:val="num" w:pos="5760"/>
        </w:tabs>
        <w:ind w:left="5760" w:hanging="360"/>
      </w:pPr>
      <w:rPr>
        <w:rFonts w:ascii="Arial" w:hAnsi="Arial" w:hint="default"/>
      </w:rPr>
    </w:lvl>
    <w:lvl w:ilvl="8" w:tplc="B29C8A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196B24" w:themeColor="accent3"/>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71AD3"/>
    <w:multiLevelType w:val="hybridMultilevel"/>
    <w:tmpl w:val="7D828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A02B93" w:themeColor="accent5"/>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615407">
    <w:abstractNumId w:val="3"/>
  </w:num>
  <w:num w:numId="2" w16cid:durableId="1744789000">
    <w:abstractNumId w:val="5"/>
  </w:num>
  <w:num w:numId="3" w16cid:durableId="1400782858">
    <w:abstractNumId w:val="2"/>
  </w:num>
  <w:num w:numId="4" w16cid:durableId="1125583346">
    <w:abstractNumId w:val="4"/>
  </w:num>
  <w:num w:numId="5" w16cid:durableId="1293828759">
    <w:abstractNumId w:val="1"/>
  </w:num>
  <w:num w:numId="6" w16cid:durableId="485051773">
    <w:abstractNumId w:val="6"/>
  </w:num>
  <w:num w:numId="7" w16cid:durableId="456073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32"/>
    <w:rsid w:val="000662EA"/>
    <w:rsid w:val="00161E6D"/>
    <w:rsid w:val="00194C65"/>
    <w:rsid w:val="004235BE"/>
    <w:rsid w:val="005E2ED3"/>
    <w:rsid w:val="008D4C32"/>
    <w:rsid w:val="00CF39AE"/>
    <w:rsid w:val="00E402F5"/>
    <w:rsid w:val="00FF1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190DA"/>
  <w15:chartTrackingRefBased/>
  <w15:docId w15:val="{4845BC61-1111-4277-9E53-B54D2297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C65"/>
    <w:pPr>
      <w:spacing w:line="259" w:lineRule="auto"/>
    </w:pPr>
    <w:rPr>
      <w:rFonts w:ascii="Arial" w:hAnsi="Arial"/>
      <w:sz w:val="22"/>
      <w:szCs w:val="22"/>
    </w:rPr>
  </w:style>
  <w:style w:type="paragraph" w:styleId="Heading1">
    <w:name w:val="heading 1"/>
    <w:basedOn w:val="Normal"/>
    <w:next w:val="Normal"/>
    <w:link w:val="Heading1Char"/>
    <w:uiPriority w:val="9"/>
    <w:qFormat/>
    <w:rsid w:val="008D4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C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C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C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C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C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C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C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C32"/>
    <w:rPr>
      <w:rFonts w:eastAsiaTheme="majorEastAsia" w:cstheme="majorBidi"/>
      <w:color w:val="272727" w:themeColor="text1" w:themeTint="D8"/>
    </w:rPr>
  </w:style>
  <w:style w:type="paragraph" w:styleId="Title">
    <w:name w:val="Title"/>
    <w:basedOn w:val="Normal"/>
    <w:next w:val="Normal"/>
    <w:link w:val="TitleChar"/>
    <w:uiPriority w:val="10"/>
    <w:qFormat/>
    <w:rsid w:val="008D4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C32"/>
    <w:pPr>
      <w:spacing w:before="160"/>
      <w:jc w:val="center"/>
    </w:pPr>
    <w:rPr>
      <w:i/>
      <w:iCs/>
      <w:color w:val="404040" w:themeColor="text1" w:themeTint="BF"/>
    </w:rPr>
  </w:style>
  <w:style w:type="character" w:customStyle="1" w:styleId="QuoteChar">
    <w:name w:val="Quote Char"/>
    <w:basedOn w:val="DefaultParagraphFont"/>
    <w:link w:val="Quote"/>
    <w:uiPriority w:val="29"/>
    <w:rsid w:val="008D4C32"/>
    <w:rPr>
      <w:i/>
      <w:iCs/>
      <w:color w:val="404040" w:themeColor="text1" w:themeTint="BF"/>
    </w:rPr>
  </w:style>
  <w:style w:type="paragraph" w:styleId="ListParagraph">
    <w:name w:val="List Paragraph"/>
    <w:basedOn w:val="Normal"/>
    <w:uiPriority w:val="34"/>
    <w:qFormat/>
    <w:rsid w:val="008D4C32"/>
    <w:pPr>
      <w:ind w:left="720"/>
      <w:contextualSpacing/>
    </w:pPr>
  </w:style>
  <w:style w:type="character" w:styleId="IntenseEmphasis">
    <w:name w:val="Intense Emphasis"/>
    <w:basedOn w:val="DefaultParagraphFont"/>
    <w:uiPriority w:val="21"/>
    <w:qFormat/>
    <w:rsid w:val="008D4C32"/>
    <w:rPr>
      <w:i/>
      <w:iCs/>
      <w:color w:val="0F4761" w:themeColor="accent1" w:themeShade="BF"/>
    </w:rPr>
  </w:style>
  <w:style w:type="paragraph" w:styleId="IntenseQuote">
    <w:name w:val="Intense Quote"/>
    <w:basedOn w:val="Normal"/>
    <w:next w:val="Normal"/>
    <w:link w:val="IntenseQuoteChar"/>
    <w:uiPriority w:val="30"/>
    <w:qFormat/>
    <w:rsid w:val="008D4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C32"/>
    <w:rPr>
      <w:i/>
      <w:iCs/>
      <w:color w:val="0F4761" w:themeColor="accent1" w:themeShade="BF"/>
    </w:rPr>
  </w:style>
  <w:style w:type="character" w:styleId="IntenseReference">
    <w:name w:val="Intense Reference"/>
    <w:basedOn w:val="DefaultParagraphFont"/>
    <w:uiPriority w:val="32"/>
    <w:qFormat/>
    <w:rsid w:val="008D4C32"/>
    <w:rPr>
      <w:b/>
      <w:bCs/>
      <w:smallCaps/>
      <w:color w:val="0F4761" w:themeColor="accent1" w:themeShade="BF"/>
      <w:spacing w:val="5"/>
    </w:rPr>
  </w:style>
  <w:style w:type="paragraph" w:styleId="NoSpacing">
    <w:name w:val="No Spacing"/>
    <w:link w:val="NoSpacingChar"/>
    <w:uiPriority w:val="1"/>
    <w:qFormat/>
    <w:rsid w:val="00194C65"/>
    <w:pPr>
      <w:spacing w:after="0" w:line="240" w:lineRule="auto"/>
    </w:pPr>
    <w:rPr>
      <w:rFonts w:ascii="Arial" w:eastAsiaTheme="minorEastAsia" w:hAnsi="Arial"/>
      <w:kern w:val="0"/>
      <w:sz w:val="22"/>
      <w:szCs w:val="22"/>
      <w14:ligatures w14:val="none"/>
    </w:rPr>
  </w:style>
  <w:style w:type="character" w:customStyle="1" w:styleId="NoSpacingChar">
    <w:name w:val="No Spacing Char"/>
    <w:basedOn w:val="DefaultParagraphFont"/>
    <w:link w:val="NoSpacing"/>
    <w:uiPriority w:val="1"/>
    <w:rsid w:val="00194C65"/>
    <w:rPr>
      <w:rFonts w:ascii="Arial" w:eastAsiaTheme="minorEastAsia" w:hAnsi="Arial"/>
      <w:kern w:val="0"/>
      <w:sz w:val="22"/>
      <w:szCs w:val="22"/>
      <w14:ligatures w14:val="none"/>
    </w:rPr>
  </w:style>
  <w:style w:type="paragraph" w:styleId="Header">
    <w:name w:val="header"/>
    <w:basedOn w:val="Normal"/>
    <w:link w:val="HeaderChar"/>
    <w:uiPriority w:val="99"/>
    <w:unhideWhenUsed/>
    <w:rsid w:val="00194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4C65"/>
    <w:rPr>
      <w:rFonts w:ascii="Arial" w:hAnsi="Arial"/>
      <w:sz w:val="22"/>
      <w:szCs w:val="22"/>
    </w:rPr>
  </w:style>
  <w:style w:type="paragraph" w:styleId="ListBullet">
    <w:name w:val="List Bullet"/>
    <w:basedOn w:val="Normal"/>
    <w:uiPriority w:val="99"/>
    <w:qFormat/>
    <w:rsid w:val="00E402F5"/>
    <w:pPr>
      <w:numPr>
        <w:numId w:val="3"/>
      </w:numPr>
      <w:spacing w:after="200" w:line="276" w:lineRule="auto"/>
      <w:ind w:left="0" w:firstLine="0"/>
    </w:pPr>
    <w:rPr>
      <w:color w:val="595959" w:themeColor="text1" w:themeTint="A6"/>
      <w:kern w:val="0"/>
      <w:sz w:val="24"/>
      <w:szCs w:val="24"/>
      <w14:ligatures w14:val="none"/>
    </w:rPr>
  </w:style>
  <w:style w:type="paragraph" w:customStyle="1" w:styleId="Graphheading1">
    <w:name w:val="Graph heading 1"/>
    <w:basedOn w:val="Normal"/>
    <w:qFormat/>
    <w:rsid w:val="00E402F5"/>
    <w:pPr>
      <w:spacing w:before="120" w:after="60" w:line="240" w:lineRule="auto"/>
    </w:pPr>
    <w:rPr>
      <w:b/>
      <w:color w:val="196B24" w:themeColor="accent3"/>
      <w:kern w:val="0"/>
      <w:sz w:val="24"/>
      <w:szCs w:val="24"/>
      <w14:ligatures w14:val="none"/>
    </w:rPr>
  </w:style>
  <w:style w:type="paragraph" w:customStyle="1" w:styleId="Graphheading2">
    <w:name w:val="Graph heading 2"/>
    <w:basedOn w:val="Normal"/>
    <w:qFormat/>
    <w:rsid w:val="00E402F5"/>
    <w:pPr>
      <w:spacing w:before="120" w:after="60" w:line="240" w:lineRule="auto"/>
    </w:pPr>
    <w:rPr>
      <w:b/>
      <w:color w:val="A02B93" w:themeColor="accent5"/>
      <w:kern w:val="0"/>
      <w:sz w:val="24"/>
      <w:szCs w:val="24"/>
      <w14:ligatures w14:val="none"/>
    </w:rPr>
  </w:style>
  <w:style w:type="paragraph" w:customStyle="1" w:styleId="Graphheading3">
    <w:name w:val="Graph heading 3"/>
    <w:basedOn w:val="Normal"/>
    <w:qFormat/>
    <w:rsid w:val="00E402F5"/>
    <w:pPr>
      <w:spacing w:before="120" w:after="60" w:line="240" w:lineRule="auto"/>
    </w:pPr>
    <w:rPr>
      <w:b/>
      <w:color w:val="4EA72E" w:themeColor="accent6"/>
      <w:kern w:val="0"/>
      <w:sz w:val="24"/>
      <w:szCs w:val="24"/>
      <w14:ligatures w14:val="none"/>
    </w:rPr>
  </w:style>
  <w:style w:type="paragraph" w:customStyle="1" w:styleId="Graphheading4">
    <w:name w:val="Graph heading 4"/>
    <w:basedOn w:val="Normal"/>
    <w:qFormat/>
    <w:rsid w:val="00E402F5"/>
    <w:pPr>
      <w:spacing w:before="120" w:after="60" w:line="240" w:lineRule="auto"/>
    </w:pPr>
    <w:rPr>
      <w:b/>
      <w:color w:val="E97132" w:themeColor="accent2"/>
      <w:kern w:val="0"/>
      <w:sz w:val="24"/>
      <w:szCs w:val="24"/>
      <w14:ligatures w14:val="none"/>
    </w:rPr>
  </w:style>
  <w:style w:type="paragraph" w:customStyle="1" w:styleId="Graphbullet">
    <w:name w:val="Graph bullet"/>
    <w:basedOn w:val="Normal"/>
    <w:qFormat/>
    <w:rsid w:val="00E402F5"/>
    <w:pPr>
      <w:numPr>
        <w:numId w:val="4"/>
      </w:numPr>
      <w:spacing w:after="0" w:line="216" w:lineRule="auto"/>
      <w:ind w:left="0" w:firstLine="0"/>
    </w:pPr>
    <w:rPr>
      <w:color w:val="595959" w:themeColor="text1" w:themeTint="A6"/>
      <w:kern w:val="0"/>
      <w:sz w:val="20"/>
      <w:szCs w:val="24"/>
      <w14:ligatures w14:val="none"/>
    </w:rPr>
  </w:style>
  <w:style w:type="paragraph" w:customStyle="1" w:styleId="Graphbullet2">
    <w:name w:val="Graph bullet 2"/>
    <w:basedOn w:val="Normal"/>
    <w:qFormat/>
    <w:rsid w:val="00E402F5"/>
    <w:pPr>
      <w:numPr>
        <w:numId w:val="6"/>
      </w:numPr>
      <w:spacing w:after="0" w:line="216" w:lineRule="auto"/>
      <w:ind w:left="0" w:firstLine="0"/>
    </w:pPr>
    <w:rPr>
      <w:color w:val="595959" w:themeColor="text1" w:themeTint="A6"/>
      <w:kern w:val="0"/>
      <w:sz w:val="20"/>
      <w:szCs w:val="24"/>
      <w14:ligatures w14:val="none"/>
    </w:rPr>
  </w:style>
  <w:style w:type="paragraph" w:customStyle="1" w:styleId="Graphbullet3">
    <w:name w:val="Graph bullet 3"/>
    <w:basedOn w:val="Normal"/>
    <w:qFormat/>
    <w:rsid w:val="00E402F5"/>
    <w:pPr>
      <w:numPr>
        <w:numId w:val="5"/>
      </w:numPr>
      <w:spacing w:after="0" w:line="216" w:lineRule="auto"/>
      <w:ind w:left="0" w:firstLine="0"/>
    </w:pPr>
    <w:rPr>
      <w:color w:val="595959" w:themeColor="text1" w:themeTint="A6"/>
      <w:kern w:val="0"/>
      <w:sz w:val="20"/>
      <w:szCs w:val="24"/>
      <w14:ligatures w14:val="none"/>
    </w:rPr>
  </w:style>
  <w:style w:type="paragraph" w:customStyle="1" w:styleId="Graphbullet4">
    <w:name w:val="Graph bullet 4"/>
    <w:basedOn w:val="Normal"/>
    <w:qFormat/>
    <w:rsid w:val="00E402F5"/>
    <w:pPr>
      <w:numPr>
        <w:numId w:val="7"/>
      </w:numPr>
      <w:spacing w:after="0" w:line="240" w:lineRule="auto"/>
      <w:ind w:left="0" w:firstLine="0"/>
    </w:pPr>
    <w:rPr>
      <w:color w:val="595959" w:themeColor="text1" w:themeTint="A6"/>
      <w:kern w:val="0"/>
      <w:sz w:val="2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4004554968603608"/>
          <c:y val="0.46115322750431603"/>
        </c:manualLayout>
      </c:layout>
      <c:overlay val="0"/>
      <c:spPr>
        <a:noFill/>
        <a:ln>
          <a:noFill/>
        </a:ln>
        <a:effectLst/>
      </c:spPr>
      <c:txPr>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2.3931623931623933E-2"/>
          <c:y val="2.6320667284522706E-2"/>
          <c:w val="0.97492877492877494"/>
          <c:h val="0.95143651529193696"/>
        </c:manualLayout>
      </c:layout>
      <c:doughnutChart>
        <c:varyColors val="1"/>
        <c:ser>
          <c:idx val="0"/>
          <c:order val="0"/>
          <c:tx>
            <c:strRef>
              <c:f>Sheet1!$B$1</c:f>
              <c:strCache>
                <c:ptCount val="1"/>
                <c:pt idx="0">
                  <c:v>SWOT</c:v>
                </c:pt>
              </c:strCache>
            </c:strRef>
          </c:tx>
          <c:dPt>
            <c:idx val="0"/>
            <c:bubble3D val="0"/>
            <c:spPr>
              <a:solidFill>
                <a:srgbClr val="F99927"/>
              </a:solidFill>
              <a:ln w="19050">
                <a:solidFill>
                  <a:schemeClr val="lt1"/>
                </a:solidFill>
              </a:ln>
              <a:effectLst/>
            </c:spPr>
            <c:extLst>
              <c:ext xmlns:c16="http://schemas.microsoft.com/office/drawing/2014/chart" uri="{C3380CC4-5D6E-409C-BE32-E72D297353CC}">
                <c16:uniqueId val="{00000001-98E8-45A6-A834-F21BC00BEEF2}"/>
              </c:ext>
            </c:extLst>
          </c:dPt>
          <c:dPt>
            <c:idx val="1"/>
            <c:bubble3D val="0"/>
            <c:spPr>
              <a:solidFill>
                <a:srgbClr val="107082"/>
              </a:solidFill>
              <a:ln w="19050">
                <a:noFill/>
              </a:ln>
              <a:effectLst/>
            </c:spPr>
            <c:extLst>
              <c:ext xmlns:c16="http://schemas.microsoft.com/office/drawing/2014/chart" uri="{C3380CC4-5D6E-409C-BE32-E72D297353CC}">
                <c16:uniqueId val="{00000003-98E8-45A6-A834-F21BC00BEEF2}"/>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98E8-45A6-A834-F21BC00BEEF2}"/>
              </c:ext>
            </c:extLst>
          </c:dPt>
          <c:dPt>
            <c:idx val="3"/>
            <c:bubble3D val="0"/>
            <c:spPr>
              <a:solidFill>
                <a:schemeClr val="accent3"/>
              </a:solidFill>
              <a:ln w="19050">
                <a:solidFill>
                  <a:schemeClr val="lt1"/>
                </a:solidFill>
              </a:ln>
              <a:effectLst/>
            </c:spPr>
            <c:extLst>
              <c:ext xmlns:c16="http://schemas.microsoft.com/office/drawing/2014/chart" uri="{C3380CC4-5D6E-409C-BE32-E72D297353CC}">
                <c16:uniqueId val="{00000007-98E8-45A6-A834-F21BC00BEEF2}"/>
              </c:ext>
            </c:extLst>
          </c:dPt>
          <c:dLbls>
            <c:delete val="1"/>
          </c:dLbls>
          <c:cat>
            <c:strRef>
              <c:f>Sheet1!$A$2:$A$5</c:f>
              <c:strCache>
                <c:ptCount val="4"/>
                <c:pt idx="0">
                  <c:v>Weaknesses</c:v>
                </c:pt>
                <c:pt idx="1">
                  <c:v>Threats</c:v>
                </c:pt>
                <c:pt idx="2">
                  <c:v>Opportunities</c:v>
                </c:pt>
                <c:pt idx="3">
                  <c:v>Strengths</c:v>
                </c:pt>
              </c:strCache>
            </c:strRef>
          </c:cat>
          <c:val>
            <c:numRef>
              <c:f>Sheet1!$B$2:$B$5</c:f>
              <c:numCache>
                <c:formatCode>General</c:formatCode>
                <c:ptCount val="4"/>
                <c:pt idx="0">
                  <c:v>25</c:v>
                </c:pt>
                <c:pt idx="1">
                  <c:v>25</c:v>
                </c:pt>
                <c:pt idx="2">
                  <c:v>25</c:v>
                </c:pt>
                <c:pt idx="3">
                  <c:v>25</c:v>
                </c:pt>
              </c:numCache>
            </c:numRef>
          </c:val>
          <c:extLst>
            <c:ext xmlns:c16="http://schemas.microsoft.com/office/drawing/2014/chart" uri="{C3380CC4-5D6E-409C-BE32-E72D297353CC}">
              <c16:uniqueId val="{00000008-98E8-45A6-A834-F21BC00BEEF2}"/>
            </c:ext>
          </c:extLst>
        </c:ser>
        <c:dLbls>
          <c:showLegendKey val="0"/>
          <c:showVal val="0"/>
          <c:showCatName val="0"/>
          <c:showSerName val="0"/>
          <c:showPercent val="1"/>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F3A7AF8AF34C798D7AF33B1142559D"/>
        <w:category>
          <w:name w:val="General"/>
          <w:gallery w:val="placeholder"/>
        </w:category>
        <w:types>
          <w:type w:val="bbPlcHdr"/>
        </w:types>
        <w:behaviors>
          <w:behavior w:val="content"/>
        </w:behaviors>
        <w:guid w:val="{457577D9-4DAF-48F2-B09C-0B1FC0710804}"/>
      </w:docPartPr>
      <w:docPartBody>
        <w:p w:rsidR="00000000" w:rsidRDefault="00C204EB" w:rsidP="00C204EB">
          <w:pPr>
            <w:pStyle w:val="33F3A7AF8AF34C798D7AF33B1142559D"/>
          </w:pPr>
          <w:r w:rsidRPr="008965F6">
            <w:t>STRENGTHS</w:t>
          </w:r>
        </w:p>
      </w:docPartBody>
    </w:docPart>
    <w:docPart>
      <w:docPartPr>
        <w:name w:val="231E7CC1BB8F4ABCA4F110474BADEFF1"/>
        <w:category>
          <w:name w:val="General"/>
          <w:gallery w:val="placeholder"/>
        </w:category>
        <w:types>
          <w:type w:val="bbPlcHdr"/>
        </w:types>
        <w:behaviors>
          <w:behavior w:val="content"/>
        </w:behaviors>
        <w:guid w:val="{30E56049-C5E8-42EC-8776-D1A4A6AB645D}"/>
      </w:docPartPr>
      <w:docPartBody>
        <w:p w:rsidR="00000000" w:rsidRDefault="00C204EB" w:rsidP="00C204EB">
          <w:pPr>
            <w:pStyle w:val="231E7CC1BB8F4ABCA4F110474BADEFF1"/>
          </w:pPr>
          <w:r w:rsidRPr="008965F6">
            <w:t>WEAKNESSES</w:t>
          </w:r>
        </w:p>
      </w:docPartBody>
    </w:docPart>
    <w:docPart>
      <w:docPartPr>
        <w:name w:val="5DB2B0AF82434D7491930BE2E3032330"/>
        <w:category>
          <w:name w:val="General"/>
          <w:gallery w:val="placeholder"/>
        </w:category>
        <w:types>
          <w:type w:val="bbPlcHdr"/>
        </w:types>
        <w:behaviors>
          <w:behavior w:val="content"/>
        </w:behaviors>
        <w:guid w:val="{A5C2D9ED-1406-4215-8F7C-9E2ED9CA0171}"/>
      </w:docPartPr>
      <w:docPartBody>
        <w:p w:rsidR="00000000" w:rsidRDefault="00C204EB" w:rsidP="00C204EB">
          <w:pPr>
            <w:pStyle w:val="5DB2B0AF82434D7491930BE2E3032330"/>
          </w:pPr>
          <w:r w:rsidRPr="008965F6">
            <w:t>OPPORTUNITIES</w:t>
          </w:r>
        </w:p>
      </w:docPartBody>
    </w:docPart>
    <w:docPart>
      <w:docPartPr>
        <w:name w:val="EE944B5D045741F5978F7245B1537A96"/>
        <w:category>
          <w:name w:val="General"/>
          <w:gallery w:val="placeholder"/>
        </w:category>
        <w:types>
          <w:type w:val="bbPlcHdr"/>
        </w:types>
        <w:behaviors>
          <w:behavior w:val="content"/>
        </w:behaviors>
        <w:guid w:val="{D614531C-98C3-4330-B140-5764AB25772A}"/>
      </w:docPartPr>
      <w:docPartBody>
        <w:p w:rsidR="00000000" w:rsidRDefault="00C204EB" w:rsidP="00C204EB">
          <w:pPr>
            <w:pStyle w:val="EE944B5D045741F5978F7245B1537A96"/>
          </w:pPr>
          <w:r w:rsidRPr="008965F6">
            <w:t>THREATS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4EB"/>
    <w:rsid w:val="000662EA"/>
    <w:rsid w:val="009421C0"/>
    <w:rsid w:val="00C20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F3A7AF8AF34C798D7AF33B1142559D">
    <w:name w:val="33F3A7AF8AF34C798D7AF33B1142559D"/>
    <w:rsid w:val="00C204EB"/>
  </w:style>
  <w:style w:type="paragraph" w:customStyle="1" w:styleId="231E7CC1BB8F4ABCA4F110474BADEFF1">
    <w:name w:val="231E7CC1BB8F4ABCA4F110474BADEFF1"/>
    <w:rsid w:val="00C204EB"/>
  </w:style>
  <w:style w:type="paragraph" w:customStyle="1" w:styleId="5DB2B0AF82434D7491930BE2E3032330">
    <w:name w:val="5DB2B0AF82434D7491930BE2E3032330"/>
    <w:rsid w:val="00C204EB"/>
  </w:style>
  <w:style w:type="paragraph" w:customStyle="1" w:styleId="EE944B5D045741F5978F7245B1537A96">
    <w:name w:val="EE944B5D045741F5978F7245B1537A96"/>
    <w:rsid w:val="00C204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TotalTime>
  <Pages>13</Pages>
  <Words>3457</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Georgian Geru (2319635)</dc:creator>
  <cp:keywords/>
  <dc:description/>
  <cp:lastModifiedBy>Adrian Georgian Geru (2319635)</cp:lastModifiedBy>
  <cp:revision>3</cp:revision>
  <dcterms:created xsi:type="dcterms:W3CDTF">2026-03-15T18:53:00Z</dcterms:created>
  <dcterms:modified xsi:type="dcterms:W3CDTF">2026-03-15T19:19:00Z</dcterms:modified>
</cp:coreProperties>
</file>