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E85AE" w14:textId="77777777" w:rsidR="001B2A7B" w:rsidRDefault="00000000">
      <w:r>
        <w:rPr>
          <w:noProof/>
        </w:rPr>
        <w:drawing>
          <wp:anchor distT="0" distB="0" distL="114300" distR="114300" simplePos="0" relativeHeight="251658240" behindDoc="0" locked="0" layoutInCell="1" allowOverlap="1" wp14:anchorId="3ADBF5CC" wp14:editId="23716768">
            <wp:simplePos x="0" y="0"/>
            <wp:positionH relativeFrom="margin">
              <wp:posOffset>3009903</wp:posOffset>
            </wp:positionH>
            <wp:positionV relativeFrom="paragraph">
              <wp:posOffset>0</wp:posOffset>
            </wp:positionV>
            <wp:extent cx="2543175" cy="2010408"/>
            <wp:effectExtent l="0" t="0" r="9525" b="8892"/>
            <wp:wrapTight wrapText="bothSides">
              <wp:wrapPolygon edited="0">
                <wp:start x="0" y="0"/>
                <wp:lineTo x="0" y="21498"/>
                <wp:lineTo x="21357" y="21498"/>
                <wp:lineTo x="21357" y="0"/>
                <wp:lineTo x="0" y="0"/>
              </wp:wrapPolygon>
            </wp:wrapTight>
            <wp:docPr id="1449761300" name="Picture 1" descr="Kolb’s Learning Styles Tes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543175" cy="2010408"/>
                    </a:xfrm>
                    <a:prstGeom prst="rect">
                      <a:avLst/>
                    </a:prstGeom>
                    <a:noFill/>
                    <a:ln>
                      <a:noFill/>
                      <a:prstDash/>
                    </a:ln>
                  </pic:spPr>
                </pic:pic>
              </a:graphicData>
            </a:graphic>
          </wp:anchor>
        </w:drawing>
      </w:r>
      <w:r>
        <w:rPr>
          <w:b/>
          <w:bCs/>
          <w:u w:val="single"/>
        </w:rPr>
        <w:t xml:space="preserve">Task 5 – 1250 words </w:t>
      </w:r>
    </w:p>
    <w:p w14:paraId="5BDB4368" w14:textId="77777777" w:rsidR="001B2A7B" w:rsidRDefault="00000000">
      <w:pPr>
        <w:rPr>
          <w:sz w:val="22"/>
          <w:szCs w:val="22"/>
        </w:rPr>
      </w:pPr>
      <w:r>
        <w:rPr>
          <w:sz w:val="22"/>
          <w:szCs w:val="22"/>
        </w:rPr>
        <w:t xml:space="preserve">6.1 - Learning and development activities are vital for both graduate trainee and Inter Luxe Hotel Group. For the trainee, by participating in rotational training programmes across both the People Function and guest service roles helps build a broader skill set and enhancing confidence. Exposure to multiple departments will create a deeper understanding of business operations and customer service. This makes the graduate trainee more versatile and better prepared for future roles. Programmes that are work integrated can improve employability and efficiency, preparing the graduates for longer term career success. </w:t>
      </w:r>
    </w:p>
    <w:p w14:paraId="05B5D130" w14:textId="77777777" w:rsidR="001B2A7B" w:rsidRDefault="00000000">
      <w:pPr>
        <w:rPr>
          <w:sz w:val="22"/>
          <w:szCs w:val="22"/>
        </w:rPr>
      </w:pPr>
      <w:r>
        <w:rPr>
          <w:sz w:val="22"/>
          <w:szCs w:val="22"/>
        </w:rPr>
        <w:t xml:space="preserve">Kolb’s experimental learning theory, 1984, emphasises that people can learn more effectively through experience, reflection, conceptualisation and experimentation. This reinforces the importance of rotational placements and practical tasks in the learning cycle of a trainee. </w:t>
      </w:r>
    </w:p>
    <w:p w14:paraId="2B26E133" w14:textId="77777777" w:rsidR="001B2A7B" w:rsidRDefault="00000000">
      <w:pPr>
        <w:rPr>
          <w:sz w:val="22"/>
          <w:szCs w:val="22"/>
        </w:rPr>
      </w:pPr>
      <w:r>
        <w:rPr>
          <w:sz w:val="22"/>
          <w:szCs w:val="22"/>
        </w:rPr>
        <w:t xml:space="preserve">For Inter Luxe, L&amp;D investments contribute a sustainable leadership as the company nurtures talent who already understand its operational and brand standards. According CIPD (2023), early investment in talent increases employee engagement and retention, which will end up reducing recruitment costs down the line. In a customer focused industry like hospitality, service quality and employee capability are linked. Organisations that prioritise staff development often see better performance outcomes and reduced turnover. A report by LinkedIn states that 94% of employees would stay with a company longer if it invested in their career development. </w:t>
      </w:r>
    </w:p>
    <w:p w14:paraId="0D9A354D" w14:textId="7B81C771" w:rsidR="001B2A7B" w:rsidRDefault="00000000">
      <w:pPr>
        <w:rPr>
          <w:sz w:val="22"/>
          <w:szCs w:val="22"/>
        </w:rPr>
      </w:pPr>
      <w:r>
        <w:rPr>
          <w:sz w:val="22"/>
          <w:szCs w:val="22"/>
        </w:rPr>
        <w:t>6.2- Graduate trainees and the Inter Luxe Group experience</w:t>
      </w:r>
      <w:r w:rsidR="00D06454">
        <w:rPr>
          <w:sz w:val="22"/>
          <w:szCs w:val="22"/>
        </w:rPr>
        <w:t xml:space="preserve"> </w:t>
      </w:r>
      <w:r w:rsidR="00D06454">
        <w:rPr>
          <w:color w:val="EE0000"/>
          <w:sz w:val="22"/>
          <w:szCs w:val="22"/>
        </w:rPr>
        <w:t xml:space="preserve">a range of learning needs based on role expectations and business priorities. Theses include role specific needs, such as understanding systems, policies and procedures in each department. </w:t>
      </w:r>
      <w:r>
        <w:rPr>
          <w:sz w:val="22"/>
          <w:szCs w:val="22"/>
        </w:rPr>
        <w:t xml:space="preserve"> </w:t>
      </w:r>
      <w:r w:rsidRPr="00D06454">
        <w:rPr>
          <w:strike/>
          <w:sz w:val="22"/>
          <w:szCs w:val="22"/>
        </w:rPr>
        <w:t>several different types of learning needs depending on role expectations and strategic goals</w:t>
      </w:r>
      <w:r>
        <w:rPr>
          <w:sz w:val="22"/>
          <w:szCs w:val="22"/>
        </w:rPr>
        <w:t xml:space="preserve">. For </w:t>
      </w:r>
      <w:r w:rsidR="00D06454">
        <w:rPr>
          <w:color w:val="EE0000"/>
          <w:sz w:val="22"/>
          <w:szCs w:val="22"/>
        </w:rPr>
        <w:t xml:space="preserve">example, when transitioning into the people function, trainees need to learn about HR Systems, local employment laws and employee relations practices relevant across different hotel locations. </w:t>
      </w:r>
      <w:r w:rsidRPr="00D06454">
        <w:rPr>
          <w:strike/>
          <w:sz w:val="22"/>
          <w:szCs w:val="22"/>
        </w:rPr>
        <w:t>the graduate, role specific needs will arise as they transition between departments. For example, when moving into the People function, the trainee must understand HR systems, local employment legislations and employee relation practices relevant across Inter Luxe’s hotels.</w:t>
      </w:r>
      <w:r>
        <w:rPr>
          <w:sz w:val="22"/>
          <w:szCs w:val="22"/>
        </w:rPr>
        <w:t xml:space="preserve"> </w:t>
      </w:r>
      <w:r w:rsidR="008E20A1" w:rsidRPr="008E20A1">
        <w:rPr>
          <w:color w:val="EE0000"/>
          <w:sz w:val="22"/>
          <w:szCs w:val="22"/>
        </w:rPr>
        <w:t>There are</w:t>
      </w:r>
      <w:r w:rsidR="008E20A1">
        <w:rPr>
          <w:color w:val="EE0000"/>
          <w:sz w:val="22"/>
          <w:szCs w:val="22"/>
        </w:rPr>
        <w:t xml:space="preserve"> also organisational learning needs, such as understanding Inter Luxe face</w:t>
      </w:r>
      <w:r w:rsidR="008E20A1" w:rsidRPr="008E20A1">
        <w:rPr>
          <w:color w:val="EE0000"/>
          <w:sz w:val="22"/>
          <w:szCs w:val="22"/>
        </w:rPr>
        <w:t xml:space="preserve"> </w:t>
      </w:r>
      <w:r w:rsidR="008E20A1">
        <w:rPr>
          <w:sz w:val="22"/>
          <w:szCs w:val="22"/>
        </w:rPr>
        <w:t>s</w:t>
      </w:r>
      <w:r>
        <w:rPr>
          <w:sz w:val="22"/>
          <w:szCs w:val="22"/>
        </w:rPr>
        <w:t xml:space="preserve">oft skills </w:t>
      </w:r>
      <w:r w:rsidR="008E20A1">
        <w:rPr>
          <w:sz w:val="22"/>
          <w:szCs w:val="22"/>
        </w:rPr>
        <w:t xml:space="preserve">and </w:t>
      </w:r>
      <w:r w:rsidR="008E20A1">
        <w:rPr>
          <w:color w:val="EE0000"/>
          <w:sz w:val="22"/>
          <w:szCs w:val="22"/>
        </w:rPr>
        <w:t xml:space="preserve">behavioural learning needs </w:t>
      </w:r>
      <w:r w:rsidRPr="008E20A1">
        <w:rPr>
          <w:strike/>
          <w:sz w:val="22"/>
          <w:szCs w:val="22"/>
        </w:rPr>
        <w:t>also present a key learning need. Development in</w:t>
      </w:r>
      <w:r w:rsidR="008E20A1">
        <w:rPr>
          <w:strike/>
          <w:sz w:val="22"/>
          <w:szCs w:val="22"/>
        </w:rPr>
        <w:t xml:space="preserve"> </w:t>
      </w:r>
      <w:r w:rsidR="008E20A1">
        <w:rPr>
          <w:color w:val="EE0000"/>
          <w:sz w:val="22"/>
          <w:szCs w:val="22"/>
        </w:rPr>
        <w:t>such as</w:t>
      </w:r>
      <w:r>
        <w:rPr>
          <w:sz w:val="22"/>
          <w:szCs w:val="22"/>
        </w:rPr>
        <w:t xml:space="preserve"> emotional intelligence, </w:t>
      </w:r>
      <w:r w:rsidR="008E20A1">
        <w:rPr>
          <w:color w:val="EE0000"/>
          <w:sz w:val="22"/>
          <w:szCs w:val="22"/>
        </w:rPr>
        <w:t xml:space="preserve">communication, </w:t>
      </w:r>
      <w:r>
        <w:rPr>
          <w:sz w:val="22"/>
          <w:szCs w:val="22"/>
        </w:rPr>
        <w:t>conflict resolution and cultural awareness</w:t>
      </w:r>
      <w:r w:rsidR="008E20A1">
        <w:rPr>
          <w:sz w:val="22"/>
          <w:szCs w:val="22"/>
        </w:rPr>
        <w:t>.</w:t>
      </w:r>
      <w:r>
        <w:rPr>
          <w:sz w:val="22"/>
          <w:szCs w:val="22"/>
        </w:rPr>
        <w:t xml:space="preserve"> </w:t>
      </w:r>
      <w:r w:rsidRPr="008E20A1">
        <w:rPr>
          <w:strike/>
          <w:sz w:val="22"/>
          <w:szCs w:val="22"/>
        </w:rPr>
        <w:t>is crucial for working in a multinational environment. These are considered developmental needs which help prepare trainees for leadership roles and promote collaboration across teams.</w:t>
      </w:r>
      <w:r>
        <w:rPr>
          <w:sz w:val="22"/>
          <w:szCs w:val="22"/>
        </w:rPr>
        <w:t xml:space="preserve"> Learning needs emerge due to onboarding, organisational change, individual performance gaps or future career ambitions (Armstrong &amp; Taylor, 2020)</w:t>
      </w:r>
    </w:p>
    <w:p w14:paraId="2A91F181" w14:textId="77115C21" w:rsidR="009D5A3E" w:rsidRPr="009D5A3E" w:rsidRDefault="009D5A3E">
      <w:pPr>
        <w:rPr>
          <w:color w:val="EE0000"/>
          <w:sz w:val="22"/>
          <w:szCs w:val="22"/>
        </w:rPr>
      </w:pPr>
      <w:r>
        <w:rPr>
          <w:color w:val="EE0000"/>
          <w:sz w:val="22"/>
          <w:szCs w:val="22"/>
        </w:rPr>
        <w:t xml:space="preserve">These learning needs arise for several reasons. Onboarding and department rotations create new demands, as graduates move between functions and must quickly adapt. Organisational </w:t>
      </w:r>
      <w:r>
        <w:rPr>
          <w:color w:val="EE0000"/>
          <w:sz w:val="22"/>
          <w:szCs w:val="22"/>
        </w:rPr>
        <w:lastRenderedPageBreak/>
        <w:t>changes, like new systems or sustainability initiatives</w:t>
      </w:r>
      <w:r w:rsidR="00240AEA">
        <w:rPr>
          <w:color w:val="EE0000"/>
          <w:sz w:val="22"/>
          <w:szCs w:val="22"/>
        </w:rPr>
        <w:t xml:space="preserve">, also require learning. Performance gaps may be identified through feedback or reviews, highlighting areas where support is needed. In other cases, learning is driven by career ambitions, especially where trainee graduates are preparing for future leadership roles. Inter Luxe may also identify learning need through workforce planning, such as developing skills in areas like sustainability or digital guest experience to support strategic goals. </w:t>
      </w:r>
    </w:p>
    <w:p w14:paraId="257D812D" w14:textId="77777777" w:rsidR="008E20A1" w:rsidRDefault="008E20A1">
      <w:pPr>
        <w:rPr>
          <w:sz w:val="22"/>
          <w:szCs w:val="22"/>
        </w:rPr>
      </w:pPr>
    </w:p>
    <w:p w14:paraId="6FFB814B" w14:textId="77777777" w:rsidR="001B2A7B" w:rsidRDefault="00000000">
      <w:pPr>
        <w:rPr>
          <w:sz w:val="22"/>
          <w:szCs w:val="22"/>
        </w:rPr>
      </w:pPr>
      <w:r>
        <w:rPr>
          <w:sz w:val="22"/>
          <w:szCs w:val="22"/>
        </w:rPr>
        <w:t>6.3 – Various L&amp;D approaches can be applied when developing graduate trainees, including face to face and blended methods. Facilitation involves guided group sessions where participants actively engage in discussion, problem solving and reflection. For example, a diversity and inclusion workshop where trainees can analyse case studies with People Advisors, where they allow for peer support and shared learning. This method can encourage collaboration and helps individuals apply theory to real-life scenarios (Brookfield, 2013)</w:t>
      </w:r>
    </w:p>
    <w:p w14:paraId="1E9C0E8A" w14:textId="77777777" w:rsidR="001B2A7B" w:rsidRDefault="00000000">
      <w:pPr>
        <w:rPr>
          <w:sz w:val="22"/>
          <w:szCs w:val="22"/>
        </w:rPr>
      </w:pPr>
      <w:r>
        <w:rPr>
          <w:sz w:val="22"/>
          <w:szCs w:val="22"/>
        </w:rPr>
        <w:t xml:space="preserve">Training is typically a structured method used to deliver specific knowledge and skills. For example, system training for software or workshops can be delivered in a classroom or online setting. </w:t>
      </w:r>
    </w:p>
    <w:p w14:paraId="63E67403" w14:textId="77777777" w:rsidR="001B2A7B" w:rsidRDefault="00000000">
      <w:r>
        <w:rPr>
          <w:noProof/>
          <w:sz w:val="22"/>
          <w:szCs w:val="22"/>
        </w:rPr>
        <w:drawing>
          <wp:anchor distT="0" distB="0" distL="114300" distR="114300" simplePos="0" relativeHeight="251659264" behindDoc="0" locked="0" layoutInCell="1" allowOverlap="1" wp14:anchorId="5098C185" wp14:editId="0F44E2C3">
            <wp:simplePos x="0" y="0"/>
            <wp:positionH relativeFrom="margin">
              <wp:posOffset>3390896</wp:posOffset>
            </wp:positionH>
            <wp:positionV relativeFrom="paragraph">
              <wp:posOffset>8887</wp:posOffset>
            </wp:positionV>
            <wp:extent cx="2324103" cy="1715771"/>
            <wp:effectExtent l="0" t="0" r="0" b="0"/>
            <wp:wrapTight wrapText="bothSides">
              <wp:wrapPolygon edited="0">
                <wp:start x="0" y="0"/>
                <wp:lineTo x="0" y="21344"/>
                <wp:lineTo x="21423" y="21344"/>
                <wp:lineTo x="21423" y="0"/>
                <wp:lineTo x="0" y="0"/>
              </wp:wrapPolygon>
            </wp:wrapTight>
            <wp:docPr id="76459649" name="Picture 1" descr="A diagram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324103" cy="1715771"/>
                    </a:xfrm>
                    <a:prstGeom prst="rect">
                      <a:avLst/>
                    </a:prstGeom>
                    <a:noFill/>
                    <a:ln>
                      <a:noFill/>
                      <a:prstDash/>
                    </a:ln>
                  </pic:spPr>
                </pic:pic>
              </a:graphicData>
            </a:graphic>
          </wp:anchor>
        </w:drawing>
      </w:r>
      <w:r>
        <w:rPr>
          <w:sz w:val="22"/>
          <w:szCs w:val="22"/>
        </w:rPr>
        <w:t>Coaching provides one to one and goal orientated training. A coach may support a graduate in preparing for a disciplinary meeting or navigating team dynamics. Coaching fosters a rapid growth and self-awareness yet also requires commitment from both the coach and trainee. The GROW model stands for Goal, Reality, Options and Will. This suggests that the trainee should have clear goals of what they want to achieve and in what time frame while being realistic and considering their current situation. (Whitmore, 2017)</w:t>
      </w:r>
    </w:p>
    <w:p w14:paraId="1AFD738E" w14:textId="77777777" w:rsidR="001B2A7B" w:rsidRDefault="00000000">
      <w:pPr>
        <w:rPr>
          <w:sz w:val="22"/>
          <w:szCs w:val="22"/>
        </w:rPr>
      </w:pPr>
      <w:r>
        <w:rPr>
          <w:sz w:val="22"/>
          <w:szCs w:val="22"/>
        </w:rPr>
        <w:t xml:space="preserve">Mentoring involves a more experienced colleague offering guidance over time, supporting both professional and personal development. This relationship will become valuable over time in helping graduates understand organisational culture. Studies of this relationship suggest that it can be instrumental in supporting both career advancement and personal growth by enabling young adults to successfully enter the adult world of work. (Kram, 1985) </w:t>
      </w:r>
    </w:p>
    <w:p w14:paraId="0846C79C" w14:textId="77777777" w:rsidR="001B2A7B" w:rsidRDefault="00000000">
      <w:pPr>
        <w:rPr>
          <w:sz w:val="22"/>
          <w:szCs w:val="22"/>
        </w:rPr>
      </w:pPr>
      <w:r>
        <w:rPr>
          <w:sz w:val="22"/>
          <w:szCs w:val="22"/>
        </w:rPr>
        <w:t xml:space="preserve">Blended learning combines online modules, webinars and live workshops, offering flexibility and accommodating different learning preferences. For instance, GDPR training might begin with e-learning followed by live Q&amp;A sessions to deepen understanding. Virtual coaching combined with hands-on project work also supports flexible and reflective learning. </w:t>
      </w:r>
    </w:p>
    <w:p w14:paraId="1E6467EB" w14:textId="77777777" w:rsidR="001B2A7B" w:rsidRDefault="00000000">
      <w:pPr>
        <w:rPr>
          <w:sz w:val="22"/>
          <w:szCs w:val="22"/>
        </w:rPr>
      </w:pPr>
      <w:r>
        <w:rPr>
          <w:sz w:val="22"/>
          <w:szCs w:val="22"/>
        </w:rPr>
        <w:t xml:space="preserve">6.4 – Effective L&amp;D design must account for the trainee’s individual learning styles, goals and circumstances. People have different preferences which must be addressed through their learning. Some people may prefer hands-on tasks, visual content, structured readings or group discussions. Using a blended approach ensures that multiple preferences are met, enhancing engagement and retention of knowledge. </w:t>
      </w:r>
    </w:p>
    <w:p w14:paraId="0CF35759" w14:textId="77777777" w:rsidR="001B2A7B" w:rsidRDefault="00000000">
      <w:r>
        <w:rPr>
          <w:noProof/>
          <w:sz w:val="22"/>
          <w:szCs w:val="22"/>
        </w:rPr>
        <w:lastRenderedPageBreak/>
        <w:drawing>
          <wp:anchor distT="0" distB="0" distL="114300" distR="114300" simplePos="0" relativeHeight="251660288" behindDoc="0" locked="0" layoutInCell="1" allowOverlap="1" wp14:anchorId="60BC0557" wp14:editId="2825C4C8">
            <wp:simplePos x="0" y="0"/>
            <wp:positionH relativeFrom="margin">
              <wp:align>left</wp:align>
            </wp:positionH>
            <wp:positionV relativeFrom="paragraph">
              <wp:posOffset>615318</wp:posOffset>
            </wp:positionV>
            <wp:extent cx="2359023" cy="2095503"/>
            <wp:effectExtent l="0" t="0" r="3177" b="0"/>
            <wp:wrapTight wrapText="bothSides">
              <wp:wrapPolygon edited="0">
                <wp:start x="0" y="0"/>
                <wp:lineTo x="0" y="21404"/>
                <wp:lineTo x="21460" y="21404"/>
                <wp:lineTo x="21460" y="0"/>
                <wp:lineTo x="0" y="0"/>
              </wp:wrapPolygon>
            </wp:wrapTight>
            <wp:docPr id="1936703725" name="Picture 1" descr="A diagram of a studen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359023" cy="2095503"/>
                    </a:xfrm>
                    <a:prstGeom prst="rect">
                      <a:avLst/>
                    </a:prstGeom>
                    <a:noFill/>
                    <a:ln>
                      <a:noFill/>
                      <a:prstDash/>
                    </a:ln>
                  </pic:spPr>
                </pic:pic>
              </a:graphicData>
            </a:graphic>
          </wp:anchor>
        </w:drawing>
      </w:r>
      <w:r>
        <w:rPr>
          <w:sz w:val="22"/>
          <w:szCs w:val="22"/>
        </w:rPr>
        <w:t xml:space="preserve">Honey and </w:t>
      </w:r>
      <w:proofErr w:type="spellStart"/>
      <w:r>
        <w:rPr>
          <w:sz w:val="22"/>
          <w:szCs w:val="22"/>
        </w:rPr>
        <w:t>Mumfords</w:t>
      </w:r>
      <w:proofErr w:type="spellEnd"/>
      <w:r>
        <w:rPr>
          <w:sz w:val="22"/>
          <w:szCs w:val="22"/>
        </w:rPr>
        <w:t xml:space="preserve"> (1986) learning styles theory – activist, theorist, pragmatist and reflector – highlights how individuals vary in their preferred modes of learning. Each approach has its own strengths and weaknesses. By understanding individuals’ dominant learning style, training can be tailored to suit preferences and maximize potential. </w:t>
      </w:r>
    </w:p>
    <w:p w14:paraId="6E6AB4EA" w14:textId="77777777" w:rsidR="001B2A7B" w:rsidRDefault="00000000">
      <w:pPr>
        <w:rPr>
          <w:sz w:val="22"/>
          <w:szCs w:val="22"/>
        </w:rPr>
      </w:pPr>
      <w:r>
        <w:rPr>
          <w:sz w:val="22"/>
          <w:szCs w:val="22"/>
        </w:rPr>
        <w:t xml:space="preserve">L&amp;D programmes must also consider accessibility needs, such as providing materials in various formats. Online and in person materials allow flexibility, and an array of different learning types for individuals. Inter Luxe as a multinational organisation must also ensure that materials are culturally inclusive and respectful. Trainees should have opportunities to tailor their development pathways. For example, if a graduate is particularly interested in employee relations their learning plan can include shadowing opportunities or projects in that area. This helps align individual ambitions with organisational needs, increasing motivation and long-term retention. </w:t>
      </w:r>
    </w:p>
    <w:p w14:paraId="0EAB6F12" w14:textId="77777777" w:rsidR="001B2A7B" w:rsidRDefault="00000000">
      <w:pPr>
        <w:rPr>
          <w:sz w:val="22"/>
          <w:szCs w:val="22"/>
        </w:rPr>
      </w:pPr>
      <w:r>
        <w:rPr>
          <w:sz w:val="22"/>
          <w:szCs w:val="22"/>
        </w:rPr>
        <w:t>6.5 – Two useful methods of evaluating are:</w:t>
      </w:r>
    </w:p>
    <w:p w14:paraId="61D0B4F8" w14:textId="77777777" w:rsidR="001B2A7B" w:rsidRDefault="00000000">
      <w:pPr>
        <w:rPr>
          <w:sz w:val="22"/>
          <w:szCs w:val="22"/>
        </w:rPr>
      </w:pPr>
      <w:r>
        <w:rPr>
          <w:sz w:val="22"/>
          <w:szCs w:val="22"/>
        </w:rPr>
        <w:t xml:space="preserve">Observation and Feedback: Line managers and HR professionals can observe the graduate trainee in the workplace and provide structured and constructive feedback. This enables real time performance monitoring and allows for immediate support and development. Feedback sessions help highlight strengths and weaknesses, while addressing the areas for improvement promoting continuous learning. In a Grant Thornton Study (2021) 45% of workers don’t feel that their needs are understood by their employers, therefore feedback lets the employee know what they, and their work have been noticed. They can also provide structured feedback on competencies such as communication, problem solving and teamwork. Feedback can be provided during day-to-day tasks, or formal evaluation meetings at specific intervals such as mid or end of term placement. Kirkpatrick (1996) uses a 4-step model of Reaction, Learning, Behaviour and Results known for analysing and evaluating results of training It considers multiple styles of training, both formal and informal. Reaction measures how participants react to the training, for example satisfaction. Learning analyses if they truly understood the training, if they have an increase in knowledge, skills or experience? Behaviour looks </w:t>
      </w:r>
      <w:proofErr w:type="spellStart"/>
      <w:r>
        <w:rPr>
          <w:sz w:val="22"/>
          <w:szCs w:val="22"/>
        </w:rPr>
        <w:t>at</w:t>
      </w:r>
      <w:proofErr w:type="spellEnd"/>
      <w:r>
        <w:rPr>
          <w:sz w:val="22"/>
          <w:szCs w:val="22"/>
        </w:rPr>
        <w:t xml:space="preserve"> if they are utilising what they learnt at work and results show if the material had a positive impact on the individual/organisation. </w:t>
      </w:r>
    </w:p>
    <w:p w14:paraId="1EBB671C" w14:textId="77777777" w:rsidR="001B2A7B" w:rsidRDefault="00000000">
      <w:pPr>
        <w:rPr>
          <w:sz w:val="22"/>
          <w:szCs w:val="22"/>
        </w:rPr>
      </w:pPr>
      <w:r>
        <w:rPr>
          <w:sz w:val="22"/>
          <w:szCs w:val="22"/>
        </w:rPr>
        <w:t xml:space="preserve">A self-reflective journal is where the trainee would submit a reflective report documenting experiences, tasks completed, challenges faced, and lessons learned. This method encourages critical thinking and self-assessment of personal and professional growth. If the trainee writes weekly entries covering key experiences, what they learned and how they applied the knowledge into practice. A mentor can review entries and understand what the trainee has learnt and how they applied this knowledge into practice. The impact of self-assessing can portray the development of soft skills such as critical thinking and problem solving. Self-assessing also helps the organisation whether placement is meeting learning objectives and can inform improvements for future trainees. For maximum effectiveness on evaluating, using both methods will enhance knowledge and development for the trainees. </w:t>
      </w:r>
    </w:p>
    <w:p w14:paraId="166F6EEC" w14:textId="77777777" w:rsidR="001B2A7B" w:rsidRDefault="001B2A7B">
      <w:pPr>
        <w:rPr>
          <w:sz w:val="22"/>
          <w:szCs w:val="22"/>
        </w:rPr>
      </w:pPr>
    </w:p>
    <w:p w14:paraId="4BFF0DBA" w14:textId="77777777" w:rsidR="001B2A7B" w:rsidRDefault="001B2A7B">
      <w:pPr>
        <w:rPr>
          <w:b/>
          <w:bCs/>
          <w:i/>
          <w:iCs/>
          <w:u w:val="single"/>
        </w:rPr>
      </w:pPr>
    </w:p>
    <w:p w14:paraId="12BE890A" w14:textId="77777777" w:rsidR="001B2A7B" w:rsidRDefault="00000000">
      <w:pPr>
        <w:rPr>
          <w:b/>
          <w:bCs/>
          <w:i/>
          <w:iCs/>
          <w:sz w:val="22"/>
          <w:szCs w:val="22"/>
          <w:u w:val="single"/>
        </w:rPr>
      </w:pPr>
      <w:r>
        <w:rPr>
          <w:b/>
          <w:bCs/>
          <w:i/>
          <w:iCs/>
          <w:sz w:val="22"/>
          <w:szCs w:val="22"/>
          <w:u w:val="single"/>
        </w:rPr>
        <w:t xml:space="preserve">References: </w:t>
      </w:r>
    </w:p>
    <w:p w14:paraId="329C10C3" w14:textId="77777777" w:rsidR="001B2A7B" w:rsidRDefault="00000000">
      <w:r>
        <w:rPr>
          <w:b/>
          <w:bCs/>
          <w:i/>
          <w:iCs/>
          <w:sz w:val="22"/>
          <w:szCs w:val="22"/>
        </w:rPr>
        <w:t>Kolb’s Experiential Learning Theory</w:t>
      </w:r>
      <w:r>
        <w:rPr>
          <w:i/>
          <w:iCs/>
          <w:sz w:val="22"/>
          <w:szCs w:val="22"/>
        </w:rPr>
        <w:br/>
        <w:t>Kolb, D.A., 1984. Experiential learning: Experience as the source of learning and development. Englewood Cliffs, NJ: Prentice Hall.</w:t>
      </w:r>
    </w:p>
    <w:p w14:paraId="283BD14C" w14:textId="77777777" w:rsidR="001B2A7B" w:rsidRDefault="00000000">
      <w:r>
        <w:rPr>
          <w:b/>
          <w:bCs/>
          <w:i/>
          <w:iCs/>
          <w:sz w:val="22"/>
          <w:szCs w:val="22"/>
        </w:rPr>
        <w:t>Brookfield’s Facilitation Theory</w:t>
      </w:r>
      <w:r>
        <w:rPr>
          <w:i/>
          <w:iCs/>
          <w:sz w:val="22"/>
          <w:szCs w:val="22"/>
        </w:rPr>
        <w:br/>
        <w:t xml:space="preserve">Brookfield, S.D., 2013. Facilitating learning in groups. [video] Available at: </w:t>
      </w:r>
      <w:hyperlink r:id="rId9" w:history="1">
        <w:r>
          <w:rPr>
            <w:rStyle w:val="Hyperlink"/>
            <w:i/>
            <w:iCs/>
            <w:sz w:val="22"/>
            <w:szCs w:val="22"/>
          </w:rPr>
          <w:t>https://youtu.be/uyb9fj_gxtA</w:t>
        </w:r>
      </w:hyperlink>
      <w:r>
        <w:rPr>
          <w:i/>
          <w:iCs/>
          <w:sz w:val="22"/>
          <w:szCs w:val="22"/>
        </w:rPr>
        <w:t xml:space="preserve"> [Accessed 5 August 2025].</w:t>
      </w:r>
    </w:p>
    <w:p w14:paraId="19D91CE4" w14:textId="77777777" w:rsidR="001B2A7B" w:rsidRDefault="00000000">
      <w:r>
        <w:rPr>
          <w:b/>
          <w:bCs/>
          <w:i/>
          <w:iCs/>
          <w:sz w:val="22"/>
          <w:szCs w:val="22"/>
        </w:rPr>
        <w:t>The GROW Coaching Model</w:t>
      </w:r>
      <w:r>
        <w:rPr>
          <w:i/>
          <w:iCs/>
          <w:sz w:val="22"/>
          <w:szCs w:val="22"/>
        </w:rPr>
        <w:br/>
        <w:t xml:space="preserve">Whitmore, J., 2009. Coaching for performance: </w:t>
      </w:r>
      <w:proofErr w:type="spellStart"/>
      <w:r>
        <w:rPr>
          <w:i/>
          <w:iCs/>
          <w:sz w:val="22"/>
          <w:szCs w:val="22"/>
        </w:rPr>
        <w:t>GROWing</w:t>
      </w:r>
      <w:proofErr w:type="spellEnd"/>
      <w:r>
        <w:rPr>
          <w:i/>
          <w:iCs/>
          <w:sz w:val="22"/>
          <w:szCs w:val="22"/>
        </w:rPr>
        <w:t xml:space="preserve"> human potential and purpose: The principles and practice of coaching and leadership. 4th ed. London: Nicholas Brealey Publishing.</w:t>
      </w:r>
    </w:p>
    <w:p w14:paraId="393606DC" w14:textId="77777777" w:rsidR="001B2A7B" w:rsidRDefault="00000000">
      <w:r>
        <w:rPr>
          <w:rStyle w:val="Strong"/>
          <w:i/>
          <w:iCs/>
          <w:sz w:val="22"/>
          <w:szCs w:val="22"/>
        </w:rPr>
        <w:t>Kram’s Mentoring Theory</w:t>
      </w:r>
      <w:r>
        <w:rPr>
          <w:i/>
          <w:iCs/>
          <w:sz w:val="22"/>
          <w:szCs w:val="22"/>
        </w:rPr>
        <w:br/>
        <w:t xml:space="preserve">Kram, K.E., 1985. </w:t>
      </w:r>
      <w:r>
        <w:rPr>
          <w:rStyle w:val="Emphasis"/>
          <w:i w:val="0"/>
          <w:iCs w:val="0"/>
          <w:sz w:val="22"/>
          <w:szCs w:val="22"/>
        </w:rPr>
        <w:t>Mentoring at work: Developmental relationships in organizational life</w:t>
      </w:r>
      <w:r>
        <w:rPr>
          <w:i/>
          <w:iCs/>
          <w:sz w:val="22"/>
          <w:szCs w:val="22"/>
        </w:rPr>
        <w:t>. Glenview, IL: Scott Foresman.</w:t>
      </w:r>
    </w:p>
    <w:p w14:paraId="68B1E9F4" w14:textId="77777777" w:rsidR="001B2A7B" w:rsidRDefault="00000000">
      <w:pPr>
        <w:spacing w:after="0"/>
      </w:pPr>
      <w:r>
        <w:rPr>
          <w:b/>
          <w:bCs/>
          <w:i/>
          <w:iCs/>
          <w:sz w:val="22"/>
          <w:szCs w:val="22"/>
        </w:rPr>
        <w:t>Kurt, S. (2016). Kirkpatrick Model: Four Levels of Learning Evaluation.</w:t>
      </w:r>
      <w:r>
        <w:rPr>
          <w:i/>
          <w:iCs/>
          <w:sz w:val="22"/>
          <w:szCs w:val="22"/>
        </w:rPr>
        <w:t xml:space="preserve"> </w:t>
      </w:r>
    </w:p>
    <w:p w14:paraId="0C693326" w14:textId="77777777" w:rsidR="001B2A7B" w:rsidRDefault="00000000">
      <w:pPr>
        <w:spacing w:after="0"/>
      </w:pPr>
      <w:r>
        <w:rPr>
          <w:i/>
          <w:iCs/>
          <w:sz w:val="22"/>
          <w:szCs w:val="22"/>
        </w:rPr>
        <w:t xml:space="preserve">Educational Technology. Available at: </w:t>
      </w:r>
      <w:hyperlink r:id="rId10" w:history="1">
        <w:r>
          <w:rPr>
            <w:i/>
            <w:iCs/>
            <w:color w:val="0000FF"/>
            <w:sz w:val="22"/>
            <w:szCs w:val="22"/>
            <w:u w:val="single"/>
          </w:rPr>
          <w:t>https://educationaltechnology.net/kirkpatrick-model-four-levels-learning-evaluation/</w:t>
        </w:r>
      </w:hyperlink>
      <w:r>
        <w:rPr>
          <w:i/>
          <w:iCs/>
          <w:sz w:val="22"/>
          <w:szCs w:val="22"/>
        </w:rPr>
        <w:t xml:space="preserve"> [Accessed 6 August 2025].</w:t>
      </w:r>
    </w:p>
    <w:sectPr w:rsidR="001B2A7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01ED5" w14:textId="77777777" w:rsidR="00CD3FDC" w:rsidRDefault="00CD3FDC">
      <w:pPr>
        <w:spacing w:after="0" w:line="240" w:lineRule="auto"/>
      </w:pPr>
      <w:r>
        <w:separator/>
      </w:r>
    </w:p>
  </w:endnote>
  <w:endnote w:type="continuationSeparator" w:id="0">
    <w:p w14:paraId="41497D6C" w14:textId="77777777" w:rsidR="00CD3FDC" w:rsidRDefault="00CD3F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05F8A" w14:textId="77777777" w:rsidR="00CD3FDC" w:rsidRDefault="00CD3FDC">
      <w:pPr>
        <w:spacing w:after="0" w:line="240" w:lineRule="auto"/>
      </w:pPr>
      <w:r>
        <w:rPr>
          <w:color w:val="000000"/>
        </w:rPr>
        <w:separator/>
      </w:r>
    </w:p>
  </w:footnote>
  <w:footnote w:type="continuationSeparator" w:id="0">
    <w:p w14:paraId="3537945E" w14:textId="77777777" w:rsidR="00CD3FDC" w:rsidRDefault="00CD3F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B2A7B"/>
    <w:rsid w:val="001B2A7B"/>
    <w:rsid w:val="00240AEA"/>
    <w:rsid w:val="00544789"/>
    <w:rsid w:val="00793E01"/>
    <w:rsid w:val="008E20A1"/>
    <w:rsid w:val="009D5A3E"/>
    <w:rsid w:val="00CD3FDC"/>
    <w:rsid w:val="00D06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94777"/>
  <w15:docId w15:val="{1289DE69-8AF1-43A9-84A8-B78825388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Strong">
    <w:name w:val="Strong"/>
    <w:basedOn w:val="DefaultParagraphFont"/>
    <w:rPr>
      <w:b/>
      <w:bCs/>
    </w:rPr>
  </w:style>
  <w:style w:type="character" w:styleId="Emphasis">
    <w:name w:val="Emphasis"/>
    <w:basedOn w:val="DefaultParagraphFon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educationaltechnology.net/kirkpatrick-model-four-levels-learning-evaluation/" TargetMode="External"/><Relationship Id="rId4" Type="http://schemas.openxmlformats.org/officeDocument/2006/relationships/footnotes" Target="footnotes.xml"/><Relationship Id="rId9" Type="http://schemas.openxmlformats.org/officeDocument/2006/relationships/hyperlink" Target="https://youtu.be/uyb9fj_gxt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1574</Words>
  <Characters>8976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Jenkins</dc:creator>
  <dc:description/>
  <cp:lastModifiedBy>Eva Jenkins</cp:lastModifiedBy>
  <cp:revision>2</cp:revision>
  <cp:lastPrinted>2025-09-16T15:07:00Z</cp:lastPrinted>
  <dcterms:created xsi:type="dcterms:W3CDTF">2025-09-16T15:07:00Z</dcterms:created>
  <dcterms:modified xsi:type="dcterms:W3CDTF">2025-09-16T15:07:00Z</dcterms:modified>
</cp:coreProperties>
</file>