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20173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8A24422" wp14:editId="041CD7D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2F27796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2"/>
      </w:tblGrid>
      <w:tr w:rsidR="003A3CE5" w:rsidRPr="00A406E5" w14:paraId="28752423" w14:textId="77777777" w:rsidTr="00A406E5">
        <w:tc>
          <w:tcPr>
            <w:tcW w:w="9922" w:type="dxa"/>
            <w:shd w:val="clear" w:color="auto" w:fill="C0C0C0"/>
          </w:tcPr>
          <w:p w14:paraId="1869A895"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0F81B8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7AC28B5" w14:textId="77777777" w:rsidTr="008F1308">
        <w:tc>
          <w:tcPr>
            <w:tcW w:w="2093" w:type="dxa"/>
            <w:shd w:val="pct15" w:color="auto" w:fill="auto"/>
          </w:tcPr>
          <w:p w14:paraId="3945929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167930" w14:textId="205B0895"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360E94">
              <w:rPr>
                <w:rFonts w:ascii="Arial" w:hAnsi="Arial" w:cs="Arial"/>
                <w:b/>
                <w:sz w:val="22"/>
                <w:szCs w:val="22"/>
              </w:rPr>
              <w:t>James Edmunds</w:t>
            </w:r>
          </w:p>
        </w:tc>
        <w:tc>
          <w:tcPr>
            <w:tcW w:w="2268" w:type="dxa"/>
            <w:shd w:val="clear" w:color="auto" w:fill="D9D9D9"/>
          </w:tcPr>
          <w:p w14:paraId="2233EC5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FED7DE" w14:textId="69DB44AA" w:rsidR="003B3F9D" w:rsidRPr="00A406E5" w:rsidRDefault="00360E94" w:rsidP="001E57C1">
            <w:pPr>
              <w:spacing w:before="120" w:after="120"/>
              <w:jc w:val="both"/>
              <w:rPr>
                <w:rFonts w:ascii="Arial" w:hAnsi="Arial" w:cs="Arial"/>
                <w:b/>
                <w:sz w:val="22"/>
                <w:szCs w:val="22"/>
              </w:rPr>
            </w:pPr>
            <w:r>
              <w:rPr>
                <w:rFonts w:ascii="Arial" w:hAnsi="Arial" w:cs="Arial"/>
                <w:b/>
                <w:sz w:val="22"/>
                <w:szCs w:val="22"/>
              </w:rPr>
              <w:t>1805540</w:t>
            </w:r>
          </w:p>
        </w:tc>
      </w:tr>
      <w:tr w:rsidR="00DB116D" w:rsidRPr="00A406E5" w14:paraId="34B4D59F" w14:textId="77777777" w:rsidTr="00A406E5">
        <w:tc>
          <w:tcPr>
            <w:tcW w:w="2093" w:type="dxa"/>
            <w:shd w:val="pct15" w:color="auto" w:fill="auto"/>
          </w:tcPr>
          <w:p w14:paraId="42A25F0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A255182" w14:textId="77777777" w:rsidR="00DB116D" w:rsidRPr="00A406E5" w:rsidRDefault="00F63C8B" w:rsidP="00E51AAC">
            <w:pPr>
              <w:spacing w:before="120" w:after="120"/>
              <w:jc w:val="both"/>
              <w:rPr>
                <w:rFonts w:ascii="Arial" w:hAnsi="Arial" w:cs="Arial"/>
                <w:b/>
                <w:sz w:val="22"/>
                <w:szCs w:val="22"/>
              </w:rPr>
            </w:pPr>
            <w:r>
              <w:rPr>
                <w:rFonts w:ascii="Arial" w:hAnsi="Arial" w:cs="Arial"/>
                <w:b/>
                <w:sz w:val="22"/>
                <w:szCs w:val="22"/>
              </w:rPr>
              <w:t>Secondary PGCE</w:t>
            </w:r>
          </w:p>
        </w:tc>
      </w:tr>
      <w:tr w:rsidR="008F1308" w:rsidRPr="00A406E5" w14:paraId="069728E3" w14:textId="77777777" w:rsidTr="00A628CC">
        <w:tc>
          <w:tcPr>
            <w:tcW w:w="2093" w:type="dxa"/>
            <w:shd w:val="pct15" w:color="auto" w:fill="auto"/>
          </w:tcPr>
          <w:p w14:paraId="1874161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8806EAF" w14:textId="77777777" w:rsidR="00F63C8B" w:rsidRPr="00F63C8B" w:rsidRDefault="00F63C8B" w:rsidP="00F63C8B">
            <w:pPr>
              <w:pStyle w:val="NormalWeb"/>
              <w:rPr>
                <w:sz w:val="22"/>
                <w:szCs w:val="22"/>
              </w:rPr>
            </w:pPr>
            <w:r w:rsidRPr="00F63C8B">
              <w:rPr>
                <w:rFonts w:ascii="Arial" w:hAnsi="Arial" w:cs="Arial"/>
                <w:b/>
                <w:bCs/>
                <w:sz w:val="22"/>
                <w:szCs w:val="22"/>
              </w:rPr>
              <w:t xml:space="preserve">Curriculum Development and Enhancement </w:t>
            </w:r>
          </w:p>
          <w:p w14:paraId="322312DB" w14:textId="77777777" w:rsidR="008F1308" w:rsidRPr="00F63C8B" w:rsidRDefault="008F1308" w:rsidP="00E51AAC">
            <w:pPr>
              <w:spacing w:before="120" w:after="120"/>
              <w:jc w:val="both"/>
              <w:rPr>
                <w:rFonts w:ascii="Arial" w:hAnsi="Arial" w:cs="Arial"/>
                <w:b/>
                <w:sz w:val="22"/>
                <w:szCs w:val="22"/>
              </w:rPr>
            </w:pPr>
          </w:p>
        </w:tc>
      </w:tr>
      <w:tr w:rsidR="00B84B5B" w:rsidRPr="00A406E5" w14:paraId="55BA7AD7" w14:textId="77777777" w:rsidTr="008F1308">
        <w:tc>
          <w:tcPr>
            <w:tcW w:w="2093" w:type="dxa"/>
            <w:shd w:val="pct15" w:color="auto" w:fill="auto"/>
          </w:tcPr>
          <w:p w14:paraId="7008515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A24B439" w14:textId="77777777" w:rsidR="00B84B5B" w:rsidRPr="00A406E5" w:rsidRDefault="00F63C8B" w:rsidP="00152E9D">
            <w:pPr>
              <w:spacing w:before="120" w:after="120"/>
              <w:jc w:val="both"/>
              <w:rPr>
                <w:rFonts w:ascii="Arial" w:hAnsi="Arial" w:cs="Arial"/>
                <w:b/>
                <w:sz w:val="22"/>
                <w:szCs w:val="22"/>
              </w:rPr>
            </w:pPr>
            <w:r>
              <w:rPr>
                <w:rFonts w:ascii="Arial" w:hAnsi="Arial" w:cs="Arial"/>
                <w:b/>
                <w:sz w:val="22"/>
                <w:szCs w:val="22"/>
              </w:rPr>
              <w:t>ECSP7002</w:t>
            </w:r>
          </w:p>
        </w:tc>
        <w:tc>
          <w:tcPr>
            <w:tcW w:w="2268" w:type="dxa"/>
            <w:shd w:val="clear" w:color="auto" w:fill="D9D9D9"/>
          </w:tcPr>
          <w:p w14:paraId="3D22A4E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51C3216" w14:textId="77777777" w:rsidR="00B84B5B" w:rsidRPr="00A406E5" w:rsidRDefault="00F63C8B"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12924DD" w14:textId="77777777" w:rsidTr="008F1308">
        <w:tc>
          <w:tcPr>
            <w:tcW w:w="2093" w:type="dxa"/>
            <w:shd w:val="pct15" w:color="auto" w:fill="auto"/>
          </w:tcPr>
          <w:p w14:paraId="6E0765E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CDCC93A" w14:textId="77777777" w:rsidR="00DB116D" w:rsidRPr="00A406E5" w:rsidRDefault="00F63C8B" w:rsidP="00E51AAC">
            <w:pPr>
              <w:spacing w:before="120" w:after="120"/>
              <w:jc w:val="both"/>
              <w:rPr>
                <w:rFonts w:ascii="Arial" w:hAnsi="Arial" w:cs="Arial"/>
                <w:b/>
                <w:sz w:val="22"/>
                <w:szCs w:val="22"/>
              </w:rPr>
            </w:pPr>
            <w:r>
              <w:rPr>
                <w:rFonts w:ascii="Arial" w:hAnsi="Arial" w:cs="Arial"/>
                <w:b/>
                <w:sz w:val="22"/>
                <w:szCs w:val="22"/>
              </w:rPr>
              <w:t>Helen Denny</w:t>
            </w:r>
          </w:p>
        </w:tc>
        <w:tc>
          <w:tcPr>
            <w:tcW w:w="2268" w:type="dxa"/>
            <w:shd w:val="clear" w:color="auto" w:fill="D9D9D9"/>
          </w:tcPr>
          <w:p w14:paraId="2D20710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09D6499" w14:textId="77777777" w:rsidR="00DB116D" w:rsidRPr="00A406E5" w:rsidRDefault="00DB116D" w:rsidP="00E51AAC">
            <w:pPr>
              <w:spacing w:before="120" w:after="120"/>
              <w:jc w:val="both"/>
              <w:rPr>
                <w:rFonts w:ascii="Arial" w:hAnsi="Arial" w:cs="Arial"/>
                <w:b/>
                <w:sz w:val="22"/>
                <w:szCs w:val="22"/>
              </w:rPr>
            </w:pPr>
          </w:p>
        </w:tc>
      </w:tr>
      <w:tr w:rsidR="00DB116D" w:rsidRPr="00A406E5" w14:paraId="58EF55DF" w14:textId="77777777" w:rsidTr="008F1308">
        <w:tc>
          <w:tcPr>
            <w:tcW w:w="2093" w:type="dxa"/>
            <w:shd w:val="pct15" w:color="auto" w:fill="auto"/>
          </w:tcPr>
          <w:p w14:paraId="6277FF9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095EEE5" w14:textId="77777777" w:rsidR="00F63C8B" w:rsidRDefault="00F63C8B" w:rsidP="00F63C8B">
            <w:pPr>
              <w:pStyle w:val="NormalWeb"/>
            </w:pPr>
            <w:r>
              <w:rPr>
                <w:rFonts w:ascii="Arial" w:hAnsi="Arial" w:cs="Arial"/>
                <w:b/>
                <w:bCs/>
                <w:sz w:val="22"/>
                <w:szCs w:val="22"/>
              </w:rPr>
              <w:t xml:space="preserve">Research Study including Ethics Form </w:t>
            </w:r>
          </w:p>
          <w:p w14:paraId="02FA9E43" w14:textId="77777777"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6396265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24A9635" w14:textId="77777777" w:rsidR="00F63C8B" w:rsidRDefault="00F63C8B" w:rsidP="00F63C8B">
            <w:pPr>
              <w:pStyle w:val="NormalWeb"/>
            </w:pPr>
            <w:r>
              <w:rPr>
                <w:rFonts w:ascii="Arial" w:hAnsi="Arial" w:cs="Arial"/>
                <w:b/>
                <w:bCs/>
                <w:sz w:val="22"/>
                <w:szCs w:val="22"/>
              </w:rPr>
              <w:t>10.000 words in total including an Ethics form (to be given in on January 11</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14:paraId="52712042" w14:textId="77777777" w:rsidR="00DB116D" w:rsidRPr="00A406E5" w:rsidRDefault="00DB116D" w:rsidP="00E51AAC">
            <w:pPr>
              <w:spacing w:before="120" w:after="120"/>
              <w:jc w:val="both"/>
              <w:rPr>
                <w:rFonts w:ascii="Arial" w:hAnsi="Arial" w:cs="Arial"/>
                <w:b/>
                <w:sz w:val="22"/>
                <w:szCs w:val="22"/>
              </w:rPr>
            </w:pPr>
          </w:p>
        </w:tc>
      </w:tr>
      <w:tr w:rsidR="00B84B5B" w:rsidRPr="00A406E5" w14:paraId="57299C12" w14:textId="77777777" w:rsidTr="008F1308">
        <w:tc>
          <w:tcPr>
            <w:tcW w:w="2093" w:type="dxa"/>
            <w:shd w:val="pct15" w:color="auto" w:fill="auto"/>
          </w:tcPr>
          <w:p w14:paraId="70BE3A4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CCFAA90" w14:textId="77777777" w:rsidR="00F63C8B" w:rsidRDefault="00F63C8B" w:rsidP="00F63C8B">
            <w:pPr>
              <w:pStyle w:val="NormalWeb"/>
            </w:pPr>
            <w:r>
              <w:rPr>
                <w:rFonts w:ascii="Arial" w:hAnsi="Arial" w:cs="Arial"/>
                <w:b/>
                <w:bCs/>
                <w:sz w:val="22"/>
                <w:szCs w:val="22"/>
              </w:rPr>
              <w:t>May 13</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14:paraId="55CF2343" w14:textId="7777777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0688B01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4D8014D" w14:textId="77777777" w:rsidR="00F63C8B" w:rsidRDefault="00F63C8B" w:rsidP="00F63C8B">
            <w:pPr>
              <w:pStyle w:val="NormalWeb"/>
            </w:pPr>
            <w:r>
              <w:rPr>
                <w:rFonts w:ascii="Arial" w:hAnsi="Arial" w:cs="Arial"/>
                <w:b/>
                <w:bCs/>
                <w:sz w:val="22"/>
                <w:szCs w:val="22"/>
              </w:rPr>
              <w:t>June 10</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14:paraId="2DB6C17D" w14:textId="77777777" w:rsidR="00B84B5B" w:rsidRPr="00A406E5" w:rsidRDefault="00B84B5B" w:rsidP="005F0579">
            <w:pPr>
              <w:spacing w:before="120" w:after="120"/>
              <w:jc w:val="both"/>
              <w:rPr>
                <w:rFonts w:ascii="Arial" w:hAnsi="Arial" w:cs="Arial"/>
                <w:b/>
                <w:sz w:val="22"/>
                <w:szCs w:val="22"/>
              </w:rPr>
            </w:pPr>
          </w:p>
        </w:tc>
      </w:tr>
      <w:tr w:rsidR="00152E9D" w:rsidRPr="00A406E5" w14:paraId="4D6607D7" w14:textId="77777777" w:rsidTr="00A406E5">
        <w:tc>
          <w:tcPr>
            <w:tcW w:w="2093" w:type="dxa"/>
            <w:shd w:val="pct15" w:color="auto" w:fill="auto"/>
          </w:tcPr>
          <w:p w14:paraId="7255393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A80517D"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37C2FAE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E206F9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42E66D6C" w14:textId="77777777" w:rsidTr="00A406E5">
        <w:tc>
          <w:tcPr>
            <w:tcW w:w="2093" w:type="dxa"/>
            <w:shd w:val="pct15" w:color="auto" w:fill="auto"/>
          </w:tcPr>
          <w:p w14:paraId="5E4792F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ADE72C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D00B15C" w14:textId="77777777" w:rsidR="0028204E" w:rsidRPr="00A406E5" w:rsidRDefault="0028204E" w:rsidP="00DB116D">
      <w:pPr>
        <w:rPr>
          <w:rFonts w:ascii="Arial" w:hAnsi="Arial" w:cs="Arial"/>
          <w:sz w:val="32"/>
        </w:rPr>
      </w:pPr>
    </w:p>
    <w:p w14:paraId="4513D0A4" w14:textId="77777777" w:rsidR="00360E94" w:rsidRDefault="00360E94" w:rsidP="00360E94">
      <w:pPr>
        <w:spacing w:after="160" w:line="259" w:lineRule="auto"/>
        <w:rPr>
          <w:rFonts w:ascii="Arial" w:hAnsi="Arial" w:cs="Arial"/>
          <w:sz w:val="32"/>
        </w:rPr>
      </w:pPr>
    </w:p>
    <w:p w14:paraId="118374BF" w14:textId="77777777" w:rsidR="00360E94" w:rsidRDefault="00360E94" w:rsidP="00360E94">
      <w:pPr>
        <w:spacing w:after="160" w:line="259" w:lineRule="auto"/>
        <w:rPr>
          <w:rFonts w:ascii="Arial" w:hAnsi="Arial" w:cs="Arial"/>
          <w:sz w:val="32"/>
        </w:rPr>
      </w:pPr>
    </w:p>
    <w:p w14:paraId="2C3AF10E" w14:textId="2437F374" w:rsidR="00360E94" w:rsidRPr="00360E94" w:rsidRDefault="00360E94" w:rsidP="00360E94">
      <w:pPr>
        <w:spacing w:after="160" w:line="259" w:lineRule="auto"/>
        <w:rPr>
          <w:rFonts w:ascii="Calibri" w:eastAsia="Calibri" w:hAnsi="Calibri"/>
          <w:b/>
          <w:sz w:val="22"/>
          <w:szCs w:val="22"/>
          <w:lang w:eastAsia="en-US"/>
        </w:rPr>
      </w:pPr>
      <w:r w:rsidRPr="00360E94">
        <w:rPr>
          <w:rFonts w:ascii="Calibri" w:eastAsia="Calibri" w:hAnsi="Calibri"/>
          <w:b/>
          <w:sz w:val="22"/>
          <w:szCs w:val="22"/>
          <w:lang w:eastAsia="en-US"/>
        </w:rPr>
        <w:t>Introduction</w:t>
      </w:r>
    </w:p>
    <w:p w14:paraId="6C3E68D8" w14:textId="61490C41"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 xml:space="preserve">This study aims to evaluate the effectiveness of using pre-planned, step by step strategies to tackle reading comprehension based questions to aid the development of scientific literacy. The research comprises of an in depth literature review exploring the different aspects of comprehension strategies and scientific literacy. The study used all relevant literature to encompass a strategy that aimed to generate appropriate and successful answers based on the learners’ prior knowledge, information given in the text, key vocabulary and analysing the questions asked. </w:t>
      </w:r>
    </w:p>
    <w:p w14:paraId="3149209A"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 xml:space="preserve">For the purposes of confidentiality and ethics, the individual school in the case study will be referred to as School X and individual pupils will be referred to as Pupil 1, Pupil 2, Pupil 3 </w:t>
      </w:r>
      <w:proofErr w:type="spellStart"/>
      <w:r w:rsidRPr="00360E94">
        <w:rPr>
          <w:rFonts w:ascii="Calibri" w:eastAsia="Calibri" w:hAnsi="Calibri"/>
          <w:sz w:val="22"/>
          <w:szCs w:val="22"/>
          <w:lang w:eastAsia="en-US"/>
        </w:rPr>
        <w:t>etc</w:t>
      </w:r>
      <w:proofErr w:type="spellEnd"/>
      <w:r w:rsidRPr="00360E94">
        <w:rPr>
          <w:rFonts w:ascii="Calibri" w:eastAsia="Calibri" w:hAnsi="Calibri"/>
          <w:sz w:val="22"/>
          <w:szCs w:val="22"/>
          <w:lang w:eastAsia="en-US"/>
        </w:rPr>
        <w:t xml:space="preserve"> as to preserve their anonymity (BERA, 2011). School X is situated in South Wales and is an English-medium 11 to 19 mixed comprehensive school maintained by Swansea local authority. There are currently 1,112 pupils on roll, a number that is expected to increase next year. Most pupils display good understanding of comprehension texts and are usually able to extract information effectively from them (</w:t>
      </w:r>
      <w:proofErr w:type="spellStart"/>
      <w:r w:rsidRPr="00360E94">
        <w:rPr>
          <w:rFonts w:ascii="Calibri" w:eastAsia="Calibri" w:hAnsi="Calibri"/>
          <w:sz w:val="22"/>
          <w:szCs w:val="22"/>
          <w:lang w:eastAsia="en-US"/>
        </w:rPr>
        <w:t>Estyn</w:t>
      </w:r>
      <w:proofErr w:type="spellEnd"/>
      <w:r w:rsidRPr="00360E94">
        <w:rPr>
          <w:rFonts w:ascii="Calibri" w:eastAsia="Calibri" w:hAnsi="Calibri"/>
          <w:sz w:val="22"/>
          <w:szCs w:val="22"/>
          <w:lang w:eastAsia="en-US"/>
        </w:rPr>
        <w:t xml:space="preserve">, 2017). However, </w:t>
      </w:r>
      <w:proofErr w:type="spellStart"/>
      <w:r w:rsidRPr="00360E94">
        <w:rPr>
          <w:rFonts w:ascii="Calibri" w:eastAsia="Calibri" w:hAnsi="Calibri"/>
          <w:sz w:val="22"/>
          <w:szCs w:val="22"/>
          <w:lang w:eastAsia="en-US"/>
        </w:rPr>
        <w:t>Estyn</w:t>
      </w:r>
      <w:proofErr w:type="spellEnd"/>
      <w:r w:rsidRPr="00360E94">
        <w:rPr>
          <w:rFonts w:ascii="Calibri" w:eastAsia="Calibri" w:hAnsi="Calibri"/>
          <w:sz w:val="22"/>
          <w:szCs w:val="22"/>
          <w:lang w:eastAsia="en-US"/>
        </w:rPr>
        <w:t xml:space="preserve"> go on to suggest that comprehension and reading could be improved further if pupils had a better understanding of how to use strategies that enable pupils effectively answer questions. This is not entirely specific to School X as</w:t>
      </w:r>
      <w:r w:rsidRPr="00360E94">
        <w:rPr>
          <w:rFonts w:ascii="Helvetica" w:eastAsia="Calibri" w:hAnsi="Helvetica" w:cs="Helvetica"/>
          <w:color w:val="555555"/>
          <w:sz w:val="21"/>
          <w:szCs w:val="21"/>
          <w:shd w:val="clear" w:color="auto" w:fill="FFFFFF"/>
          <w:lang w:eastAsia="en-US"/>
        </w:rPr>
        <w:t xml:space="preserve"> </w:t>
      </w:r>
      <w:r w:rsidRPr="00360E94">
        <w:rPr>
          <w:rFonts w:ascii="Calibri" w:eastAsia="Calibri" w:hAnsi="Calibri"/>
          <w:sz w:val="22"/>
          <w:szCs w:val="22"/>
          <w:lang w:eastAsia="en-US"/>
        </w:rPr>
        <w:t xml:space="preserve">Durkin (1978) established that while teaching reading skills, a very small amount of time is dedicated to teaching comprehension strategies. However, Data from Gaskins (2003) and Sweet &amp; Snow (2003) suggests that comprehension strategies should be clearly taught and demonstrated at all key stages. </w:t>
      </w:r>
    </w:p>
    <w:p w14:paraId="5D7490C8"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 xml:space="preserve">The research in this essay focuses on attempting to improve comprehension skills from a scientific point of view. The research compiled of pupils in two classes of school X answering comprehension questions. The research attempts to outline a possible method in which learners are able to compartmentalize comprehension and literacy questions in order to build effective answers, giving them a greater understanding on how to answer these particular types of questions and a schema on which to answer these types of questions in the future. </w:t>
      </w:r>
    </w:p>
    <w:p w14:paraId="5BE32484" w14:textId="77777777" w:rsidR="00360E94" w:rsidRPr="00360E94" w:rsidRDefault="00360E94" w:rsidP="00360E94">
      <w:pPr>
        <w:spacing w:after="160" w:line="259" w:lineRule="auto"/>
        <w:rPr>
          <w:rFonts w:ascii="Calibri" w:eastAsia="Calibri" w:hAnsi="Calibri"/>
          <w:b/>
          <w:sz w:val="22"/>
          <w:szCs w:val="22"/>
          <w:lang w:eastAsia="en-US"/>
        </w:rPr>
      </w:pPr>
      <w:r w:rsidRPr="00360E94">
        <w:rPr>
          <w:rFonts w:ascii="Calibri" w:eastAsia="Calibri" w:hAnsi="Calibri"/>
          <w:b/>
          <w:sz w:val="22"/>
          <w:szCs w:val="22"/>
          <w:lang w:eastAsia="en-US"/>
        </w:rPr>
        <w:t>Literature Review</w:t>
      </w:r>
    </w:p>
    <w:p w14:paraId="33FCD051" w14:textId="677D1CBC" w:rsidR="00360E94" w:rsidRPr="00360E94" w:rsidRDefault="00360E94" w:rsidP="00360E94">
      <w:pPr>
        <w:spacing w:before="240" w:after="160" w:line="259" w:lineRule="auto"/>
        <w:rPr>
          <w:rFonts w:ascii="Calibri" w:eastAsia="Calibri" w:hAnsi="Calibri"/>
          <w:sz w:val="22"/>
          <w:szCs w:val="22"/>
          <w:lang w:eastAsia="en-US"/>
        </w:rPr>
      </w:pPr>
      <w:r w:rsidRPr="00360E94">
        <w:rPr>
          <w:rFonts w:ascii="Calibri" w:eastAsia="Calibri" w:hAnsi="Calibri"/>
          <w:sz w:val="22"/>
          <w:szCs w:val="22"/>
          <w:lang w:eastAsia="en-US"/>
        </w:rPr>
        <w:t>Reading is often considered one of the most significant skills that pupils can attain in education (Meese et al, 2001). If a learner is unable to read, they will be significantly disadvantaged when it comes to understanding, learning and deciphering certain information. It also in turn is closely related to writing skills, spelling skills, mathematical skills and many other core skills (Reed, 2007). Pupils who read at a higher level are more likely to achieve academically, they are more likely to go on to do further education such as sixth form, college or university and have more chance of successful employment (Lyon, 1999; Snow, Burns, &amp; Griffin, 1998). One major component of reading is comprehension. Comprehension is a form of academic literacy that is the ability to read proficiently enough to be capable of interpreting and inferring meaning from text (</w:t>
      </w:r>
      <w:proofErr w:type="spellStart"/>
      <w:r w:rsidRPr="00360E94">
        <w:rPr>
          <w:rFonts w:ascii="Calibri" w:eastAsia="Calibri" w:hAnsi="Calibri"/>
          <w:sz w:val="22"/>
          <w:szCs w:val="22"/>
          <w:lang w:eastAsia="en-US"/>
        </w:rPr>
        <w:t>Kamil</w:t>
      </w:r>
      <w:proofErr w:type="spellEnd"/>
      <w:r w:rsidRPr="00360E94">
        <w:rPr>
          <w:rFonts w:ascii="Calibri" w:eastAsia="Calibri" w:hAnsi="Calibri"/>
          <w:sz w:val="22"/>
          <w:szCs w:val="22"/>
          <w:lang w:eastAsia="en-US"/>
        </w:rPr>
        <w:t xml:space="preserve"> et al., 2008; </w:t>
      </w:r>
      <w:proofErr w:type="spellStart"/>
      <w:r w:rsidRPr="00360E94">
        <w:rPr>
          <w:rFonts w:ascii="Calibri" w:eastAsia="Calibri" w:hAnsi="Calibri"/>
          <w:sz w:val="22"/>
          <w:szCs w:val="22"/>
          <w:lang w:eastAsia="en-US"/>
        </w:rPr>
        <w:t>Kosanovich</w:t>
      </w:r>
      <w:proofErr w:type="spellEnd"/>
      <w:r w:rsidRPr="00360E94">
        <w:rPr>
          <w:rFonts w:ascii="Calibri" w:eastAsia="Calibri" w:hAnsi="Calibri"/>
          <w:sz w:val="22"/>
          <w:szCs w:val="22"/>
          <w:lang w:eastAsia="en-US"/>
        </w:rPr>
        <w:t xml:space="preserve"> et al, 2010). Pupils with good comprehension skills use a range of approaches when faced with these types of questions including, activating prior knowledge, answering and generating questions, inferring, understanding text structure, and summarising (Pressley, 2000; </w:t>
      </w:r>
      <w:proofErr w:type="spellStart"/>
      <w:r w:rsidRPr="00360E94">
        <w:rPr>
          <w:rFonts w:ascii="Calibri" w:eastAsia="Calibri" w:hAnsi="Calibri"/>
          <w:sz w:val="22"/>
          <w:szCs w:val="22"/>
          <w:lang w:eastAsia="en-US"/>
        </w:rPr>
        <w:t>Smolkin</w:t>
      </w:r>
      <w:proofErr w:type="spellEnd"/>
      <w:r w:rsidRPr="00360E94">
        <w:rPr>
          <w:rFonts w:ascii="Calibri" w:eastAsia="Calibri" w:hAnsi="Calibri"/>
          <w:sz w:val="22"/>
          <w:szCs w:val="22"/>
          <w:lang w:eastAsia="en-US"/>
        </w:rPr>
        <w:t xml:space="preserve"> &amp; Donovan, 2002). Reed et al (2007) suggest that a critical role is played by teachers in aiding development of these approaches and strategies in order to further progress learners’ comprehension skills. They propose that suitable instruction is the most effective way to develop and enhance the ability of reading, inference and comprehension skills.</w:t>
      </w:r>
      <w:r w:rsidRPr="00360E94">
        <w:rPr>
          <w:rFonts w:ascii="Calibri" w:eastAsia="Calibri" w:hAnsi="Calibri"/>
          <w:color w:val="0070C0"/>
          <w:sz w:val="22"/>
          <w:szCs w:val="22"/>
          <w:lang w:eastAsia="en-US"/>
        </w:rPr>
        <w:t xml:space="preserve"> </w:t>
      </w:r>
      <w:r w:rsidRPr="00360E94">
        <w:rPr>
          <w:rFonts w:ascii="Calibri" w:eastAsia="Calibri" w:hAnsi="Calibri"/>
          <w:color w:val="000000"/>
          <w:sz w:val="22"/>
          <w:szCs w:val="22"/>
          <w:lang w:eastAsia="en-US"/>
        </w:rPr>
        <w:t xml:space="preserve">Guthrie &amp; </w:t>
      </w:r>
      <w:proofErr w:type="spellStart"/>
      <w:r w:rsidRPr="00360E94">
        <w:rPr>
          <w:rFonts w:ascii="Calibri" w:eastAsia="Calibri" w:hAnsi="Calibri"/>
          <w:color w:val="000000"/>
          <w:sz w:val="22"/>
          <w:szCs w:val="22"/>
          <w:lang w:eastAsia="en-US"/>
        </w:rPr>
        <w:t>Ozgungor</w:t>
      </w:r>
      <w:proofErr w:type="spellEnd"/>
      <w:r w:rsidRPr="00360E94">
        <w:rPr>
          <w:rFonts w:ascii="Calibri" w:eastAsia="Calibri" w:hAnsi="Calibri"/>
          <w:color w:val="000000"/>
          <w:sz w:val="22"/>
          <w:szCs w:val="22"/>
          <w:lang w:eastAsia="en-US"/>
        </w:rPr>
        <w:t xml:space="preserve"> (2002) claim that during the early years there is little focus placed upon teaching comprehension skills, they </w:t>
      </w:r>
      <w:r w:rsidRPr="00360E94">
        <w:rPr>
          <w:rFonts w:ascii="Calibri" w:eastAsia="Calibri" w:hAnsi="Calibri"/>
          <w:color w:val="000000"/>
          <w:sz w:val="22"/>
          <w:szCs w:val="22"/>
          <w:lang w:eastAsia="en-US"/>
        </w:rPr>
        <w:lastRenderedPageBreak/>
        <w:t xml:space="preserve">criticise the lack of comprehension training in the early years and proposed integrating such instruction across the curriculum. </w:t>
      </w:r>
      <w:proofErr w:type="spellStart"/>
      <w:r w:rsidRPr="00360E94">
        <w:rPr>
          <w:rFonts w:ascii="Calibri" w:eastAsia="Calibri" w:hAnsi="Calibri"/>
          <w:color w:val="000000"/>
          <w:sz w:val="22"/>
          <w:szCs w:val="22"/>
          <w:lang w:eastAsia="en-US"/>
        </w:rPr>
        <w:t>Armbruster</w:t>
      </w:r>
      <w:proofErr w:type="spellEnd"/>
      <w:r w:rsidRPr="00360E94">
        <w:rPr>
          <w:rFonts w:ascii="Calibri" w:eastAsia="Calibri" w:hAnsi="Calibri"/>
          <w:color w:val="000000"/>
          <w:sz w:val="22"/>
          <w:szCs w:val="22"/>
          <w:lang w:eastAsia="en-US"/>
        </w:rPr>
        <w:t xml:space="preserve"> et al (2003) states that using </w:t>
      </w:r>
      <w:r w:rsidRPr="00360E94">
        <w:rPr>
          <w:rFonts w:ascii="Calibri" w:eastAsia="Calibri" w:hAnsi="Calibri"/>
          <w:sz w:val="22"/>
          <w:szCs w:val="22"/>
          <w:lang w:eastAsia="en-US"/>
        </w:rPr>
        <w:t>effective instruction and comprehension strategies enables pupils to construct ordered plans that capable readers build upon to decipher and comprehend text. Therefore, taking this in to consideration, detailed instruction that considers the necessary building blocks of vocabulary and appropriate questions is essential for the success of the</w:t>
      </w:r>
      <w:r w:rsidR="000E4D2B">
        <w:rPr>
          <w:rFonts w:ascii="Calibri" w:eastAsia="Calibri" w:hAnsi="Calibri"/>
          <w:sz w:val="22"/>
          <w:szCs w:val="22"/>
          <w:lang w:eastAsia="en-US"/>
        </w:rPr>
        <w:t xml:space="preserve"> learners. Durkin (1993) referre</w:t>
      </w:r>
      <w:r w:rsidRPr="00360E94">
        <w:rPr>
          <w:rFonts w:ascii="Calibri" w:eastAsia="Calibri" w:hAnsi="Calibri"/>
          <w:sz w:val="22"/>
          <w:szCs w:val="22"/>
          <w:lang w:eastAsia="en-US"/>
        </w:rPr>
        <w:t>d to this as “comprehension skills”, “the very essence of reading”.  In recent years, writers of science curricula have increased the number of literacy activities in their resources, in an attempt to improve literacy across the curriculum. This coincides with the recent introduction of the literacy and numeracy frame work (Welsh Government, 2014) and the development of the new curriculum “Successful Futures” (Donaldson, 2015</w:t>
      </w:r>
      <w:r w:rsidRPr="00360E94">
        <w:rPr>
          <w:rFonts w:ascii="Calibri" w:eastAsia="Calibri" w:hAnsi="Calibri"/>
          <w:color w:val="000000"/>
          <w:sz w:val="22"/>
          <w:szCs w:val="22"/>
          <w:lang w:eastAsia="en-US"/>
        </w:rPr>
        <w:t xml:space="preserve">) which suggests that literacy, numeracy and digital competence should be a responsibility of all teachers. Thus providing the reasoning behind choosing comprehension in terms of scientific literacy as the basis of this work, attempting to incorporate all relevant literature to adapt a strategy that </w:t>
      </w:r>
      <w:r w:rsidRPr="00360E94">
        <w:rPr>
          <w:rFonts w:ascii="Calibri" w:eastAsia="Calibri" w:hAnsi="Calibri"/>
          <w:sz w:val="22"/>
          <w:szCs w:val="22"/>
          <w:lang w:eastAsia="en-US"/>
        </w:rPr>
        <w:t>tries to incorporate good instruction, the activation of prior knowledge and the ability to infer to aid the development of their scientific literacy and comprehension skills.</w:t>
      </w:r>
    </w:p>
    <w:p w14:paraId="04D090A4" w14:textId="77777777" w:rsidR="00360E94" w:rsidRPr="00360E94" w:rsidRDefault="00360E94" w:rsidP="00360E94">
      <w:pPr>
        <w:spacing w:before="240" w:after="160" w:line="259" w:lineRule="auto"/>
        <w:rPr>
          <w:rFonts w:ascii="Calibri" w:eastAsia="Calibri" w:hAnsi="Calibri"/>
          <w:sz w:val="22"/>
          <w:szCs w:val="22"/>
          <w:lang w:eastAsia="en-US"/>
        </w:rPr>
      </w:pPr>
      <w:r w:rsidRPr="00360E94">
        <w:rPr>
          <w:rFonts w:ascii="Calibri" w:eastAsia="Calibri" w:hAnsi="Calibri"/>
          <w:sz w:val="22"/>
          <w:szCs w:val="22"/>
          <w:lang w:eastAsia="en-US"/>
        </w:rPr>
        <w:t>Being able to effectively learn in STEM subjects, particularly science, is often challenging for learners and consequently pupils often find scientific information text difficult to understand. Science texts, websites, journals and textbooks often have a plethora of scientific terms that must be decoded and understood to be recalled at a later date (Sadoski, 2001). These texts also contain vast amounts of abstract concepts, meaning that they are referring to something that is not concrete in existence such as ionic and covalent bonds or electrical current (</w:t>
      </w:r>
      <w:proofErr w:type="spellStart"/>
      <w:r w:rsidRPr="00360E94">
        <w:rPr>
          <w:rFonts w:ascii="Calibri" w:eastAsia="Calibri" w:hAnsi="Calibri"/>
          <w:sz w:val="22"/>
          <w:szCs w:val="22"/>
          <w:lang w:eastAsia="en-US"/>
        </w:rPr>
        <w:t>Gentner</w:t>
      </w:r>
      <w:proofErr w:type="spellEnd"/>
      <w:r w:rsidRPr="00360E94">
        <w:rPr>
          <w:rFonts w:ascii="Calibri" w:eastAsia="Calibri" w:hAnsi="Calibri"/>
          <w:sz w:val="22"/>
          <w:szCs w:val="22"/>
          <w:lang w:eastAsia="en-US"/>
        </w:rPr>
        <w:t xml:space="preserve"> &amp; Stevens, 1983). Because of this it is important to make sure we develop new and existing strategies to improve learners’ ability to understand scientific comprehension.</w:t>
      </w:r>
    </w:p>
    <w:p w14:paraId="5049958E" w14:textId="77777777" w:rsidR="00360E94" w:rsidRPr="00360E94" w:rsidRDefault="00360E94" w:rsidP="00360E94">
      <w:pPr>
        <w:spacing w:before="240" w:after="160" w:line="259" w:lineRule="auto"/>
        <w:rPr>
          <w:rFonts w:ascii="Calibri" w:eastAsia="Calibri" w:hAnsi="Calibri"/>
          <w:sz w:val="22"/>
          <w:szCs w:val="22"/>
          <w:lang w:eastAsia="en-US"/>
        </w:rPr>
      </w:pPr>
      <w:r w:rsidRPr="00360E94">
        <w:rPr>
          <w:rFonts w:ascii="Calibri" w:eastAsia="Calibri" w:hAnsi="Calibri"/>
          <w:sz w:val="22"/>
          <w:szCs w:val="22"/>
          <w:lang w:eastAsia="en-US"/>
        </w:rPr>
        <w:t xml:space="preserve"> One of the most widely accepted models of comprehension instruction comes from the National Reading Panel (2000). They suggested that reading comprehension instruction can be taught using eight different strategies; </w:t>
      </w:r>
      <w:r w:rsidRPr="00360E94">
        <w:rPr>
          <w:rFonts w:ascii="Calibri" w:eastAsia="Calibri" w:hAnsi="Calibri"/>
          <w:i/>
          <w:sz w:val="22"/>
          <w:szCs w:val="22"/>
          <w:lang w:eastAsia="en-US"/>
        </w:rPr>
        <w:t>Comprehension monitoring</w:t>
      </w:r>
      <w:r w:rsidRPr="00360E94">
        <w:rPr>
          <w:rFonts w:ascii="Calibri" w:eastAsia="Calibri" w:hAnsi="Calibri"/>
          <w:sz w:val="22"/>
          <w:szCs w:val="22"/>
          <w:lang w:eastAsia="en-US"/>
        </w:rPr>
        <w:t xml:space="preserve">, where the reader develops techniques to deal with issues in understanding of the text as they arise. </w:t>
      </w:r>
      <w:r w:rsidRPr="00360E94">
        <w:rPr>
          <w:rFonts w:ascii="Calibri" w:eastAsia="Calibri" w:hAnsi="Calibri"/>
          <w:i/>
          <w:sz w:val="22"/>
          <w:szCs w:val="22"/>
          <w:lang w:eastAsia="en-US"/>
        </w:rPr>
        <w:t>Cooperative learning</w:t>
      </w:r>
      <w:r w:rsidRPr="00360E94">
        <w:rPr>
          <w:rFonts w:ascii="Calibri" w:eastAsia="Calibri" w:hAnsi="Calibri"/>
          <w:sz w:val="22"/>
          <w:szCs w:val="22"/>
          <w:lang w:eastAsia="en-US"/>
        </w:rPr>
        <w:t xml:space="preserve">, whereby learners work collaboratively to develop strategies related to their reading. </w:t>
      </w:r>
      <w:r w:rsidRPr="00360E94">
        <w:rPr>
          <w:rFonts w:ascii="Calibri" w:eastAsia="Calibri" w:hAnsi="Calibri"/>
          <w:i/>
          <w:sz w:val="22"/>
          <w:szCs w:val="22"/>
          <w:lang w:eastAsia="en-US"/>
        </w:rPr>
        <w:t>Graphic and semantic organisers</w:t>
      </w:r>
      <w:r w:rsidRPr="00360E94">
        <w:rPr>
          <w:rFonts w:ascii="Calibri" w:eastAsia="Calibri" w:hAnsi="Calibri"/>
          <w:sz w:val="22"/>
          <w:szCs w:val="22"/>
          <w:lang w:eastAsia="en-US"/>
        </w:rPr>
        <w:t xml:space="preserve">, this strategy permits the reader to draw or write any meanings or connections supported by the text. </w:t>
      </w:r>
      <w:r w:rsidRPr="00360E94">
        <w:rPr>
          <w:rFonts w:ascii="Calibri" w:eastAsia="Calibri" w:hAnsi="Calibri"/>
          <w:i/>
          <w:sz w:val="22"/>
          <w:szCs w:val="22"/>
          <w:lang w:eastAsia="en-US"/>
        </w:rPr>
        <w:t>Story structure</w:t>
      </w:r>
      <w:r w:rsidRPr="00360E94">
        <w:rPr>
          <w:rFonts w:ascii="Calibri" w:eastAsia="Calibri" w:hAnsi="Calibri"/>
          <w:sz w:val="22"/>
          <w:szCs w:val="22"/>
          <w:lang w:eastAsia="en-US"/>
        </w:rPr>
        <w:t xml:space="preserve">, where the learner begins to generate and answer questions of the “five w’s”, who, what, where, when and why in relation to the plot of a story. They may also to start to develop a time line, events and characters. </w:t>
      </w:r>
      <w:r w:rsidRPr="00360E94">
        <w:rPr>
          <w:rFonts w:ascii="Calibri" w:eastAsia="Calibri" w:hAnsi="Calibri"/>
          <w:i/>
          <w:sz w:val="22"/>
          <w:szCs w:val="22"/>
          <w:lang w:eastAsia="en-US"/>
        </w:rPr>
        <w:t>Question answering,</w:t>
      </w:r>
      <w:r w:rsidRPr="00360E94">
        <w:rPr>
          <w:rFonts w:ascii="Calibri" w:eastAsia="Calibri" w:hAnsi="Calibri"/>
          <w:sz w:val="22"/>
          <w:szCs w:val="22"/>
          <w:lang w:eastAsia="en-US"/>
        </w:rPr>
        <w:t xml:space="preserve"> the teacher gives questions that are answered by the learners and feedback is given where necessary. </w:t>
      </w:r>
      <w:r w:rsidRPr="00360E94">
        <w:rPr>
          <w:rFonts w:ascii="Calibri" w:eastAsia="Calibri" w:hAnsi="Calibri"/>
          <w:i/>
          <w:sz w:val="22"/>
          <w:szCs w:val="22"/>
          <w:lang w:eastAsia="en-US"/>
        </w:rPr>
        <w:t>Question generating</w:t>
      </w:r>
      <w:r w:rsidRPr="00360E94">
        <w:rPr>
          <w:rFonts w:ascii="Calibri" w:eastAsia="Calibri" w:hAnsi="Calibri"/>
          <w:sz w:val="22"/>
          <w:szCs w:val="22"/>
          <w:lang w:eastAsia="en-US"/>
        </w:rPr>
        <w:t xml:space="preserve">, which is similar to story structure, but can also be used for information text, where the reader begins to ask significant questions on where, who, why, when, how </w:t>
      </w:r>
      <w:proofErr w:type="spellStart"/>
      <w:r w:rsidRPr="00360E94">
        <w:rPr>
          <w:rFonts w:ascii="Calibri" w:eastAsia="Calibri" w:hAnsi="Calibri"/>
          <w:sz w:val="22"/>
          <w:szCs w:val="22"/>
          <w:lang w:eastAsia="en-US"/>
        </w:rPr>
        <w:t>etc</w:t>
      </w:r>
      <w:proofErr w:type="spellEnd"/>
      <w:r w:rsidRPr="00360E94">
        <w:rPr>
          <w:rFonts w:ascii="Calibri" w:eastAsia="Calibri" w:hAnsi="Calibri"/>
          <w:sz w:val="22"/>
          <w:szCs w:val="22"/>
          <w:lang w:eastAsia="en-US"/>
        </w:rPr>
        <w:t xml:space="preserve"> questions. </w:t>
      </w:r>
      <w:r w:rsidRPr="00360E94">
        <w:rPr>
          <w:rFonts w:ascii="Calibri" w:eastAsia="Calibri" w:hAnsi="Calibri"/>
          <w:i/>
          <w:sz w:val="22"/>
          <w:szCs w:val="22"/>
          <w:lang w:eastAsia="en-US"/>
        </w:rPr>
        <w:t>Summarisation</w:t>
      </w:r>
      <w:r w:rsidRPr="00360E94">
        <w:rPr>
          <w:rFonts w:ascii="Calibri" w:eastAsia="Calibri" w:hAnsi="Calibri"/>
          <w:sz w:val="22"/>
          <w:szCs w:val="22"/>
          <w:lang w:eastAsia="en-US"/>
        </w:rPr>
        <w:t xml:space="preserve">, where the reader aims to recognise and categorise the main ideas of a piece of text that make the text understandable as a whole. </w:t>
      </w:r>
      <w:r w:rsidRPr="00360E94">
        <w:rPr>
          <w:rFonts w:ascii="Calibri" w:eastAsia="Calibri" w:hAnsi="Calibri"/>
          <w:i/>
          <w:sz w:val="22"/>
          <w:szCs w:val="22"/>
          <w:lang w:eastAsia="en-US"/>
        </w:rPr>
        <w:t>Multiple strategy instruction</w:t>
      </w:r>
      <w:r w:rsidRPr="00360E94">
        <w:rPr>
          <w:rFonts w:ascii="Calibri" w:eastAsia="Calibri" w:hAnsi="Calibri"/>
          <w:sz w:val="22"/>
          <w:szCs w:val="22"/>
          <w:lang w:eastAsia="en-US"/>
        </w:rPr>
        <w:t xml:space="preserve">, this is where the learner uses multiple methods of interaction with the teacher as regards to the text. </w:t>
      </w:r>
    </w:p>
    <w:p w14:paraId="31FB4858" w14:textId="6BB5E367" w:rsidR="00360E94" w:rsidRPr="00360E94" w:rsidRDefault="00360E94" w:rsidP="00360E94">
      <w:pPr>
        <w:spacing w:before="240" w:after="160" w:line="259" w:lineRule="auto"/>
        <w:rPr>
          <w:rFonts w:ascii="Calibri" w:eastAsia="Calibri" w:hAnsi="Calibri"/>
          <w:sz w:val="22"/>
          <w:szCs w:val="22"/>
          <w:lang w:eastAsia="en-US"/>
        </w:rPr>
      </w:pPr>
      <w:r w:rsidRPr="00360E94">
        <w:rPr>
          <w:rFonts w:ascii="Calibri" w:eastAsia="Calibri" w:hAnsi="Calibri"/>
          <w:sz w:val="22"/>
          <w:szCs w:val="22"/>
          <w:lang w:eastAsia="en-US"/>
        </w:rPr>
        <w:t xml:space="preserve">As this research is focussing on scientific comprehension questions, not all of these strategies are available to us as some lend themselves predominantly to narrative comprehension. This is backed up by Leopold &amp; </w:t>
      </w:r>
      <w:proofErr w:type="spellStart"/>
      <w:r w:rsidRPr="00360E94">
        <w:rPr>
          <w:rFonts w:ascii="Calibri" w:eastAsia="Calibri" w:hAnsi="Calibri"/>
          <w:sz w:val="22"/>
          <w:szCs w:val="22"/>
          <w:lang w:eastAsia="en-US"/>
        </w:rPr>
        <w:t>Leutner</w:t>
      </w:r>
      <w:proofErr w:type="spellEnd"/>
      <w:r w:rsidRPr="00360E94">
        <w:rPr>
          <w:rFonts w:ascii="Calibri" w:eastAsia="Calibri" w:hAnsi="Calibri"/>
          <w:sz w:val="22"/>
          <w:szCs w:val="22"/>
          <w:lang w:eastAsia="en-US"/>
        </w:rPr>
        <w:t xml:space="preserve"> (2012) who suggest that because different cognitive strategies have an effect on the mental construction when processing new knowledge, it is essential that they use appropriate strategies to suit the type of text at hand. They give the example that a pupil reading a scientific text using a comprehension strategy that better suits a narrative, the mental representations can be completely different and the focus may be more on recalling the information </w:t>
      </w:r>
      <w:r w:rsidRPr="00360E94">
        <w:rPr>
          <w:rFonts w:ascii="Calibri" w:eastAsia="Calibri" w:hAnsi="Calibri"/>
          <w:sz w:val="22"/>
          <w:szCs w:val="22"/>
          <w:lang w:eastAsia="en-US"/>
        </w:rPr>
        <w:lastRenderedPageBreak/>
        <w:t>rather than act</w:t>
      </w:r>
      <w:r w:rsidR="00496A45">
        <w:rPr>
          <w:rFonts w:ascii="Calibri" w:eastAsia="Calibri" w:hAnsi="Calibri"/>
          <w:sz w:val="22"/>
          <w:szCs w:val="22"/>
          <w:lang w:eastAsia="en-US"/>
        </w:rPr>
        <w:t>ually understanding it.</w:t>
      </w:r>
      <w:r w:rsidRPr="00360E94">
        <w:rPr>
          <w:rFonts w:ascii="Calibri" w:eastAsia="Calibri" w:hAnsi="Calibri"/>
          <w:sz w:val="22"/>
          <w:szCs w:val="22"/>
          <w:lang w:eastAsia="en-US"/>
        </w:rPr>
        <w:t xml:space="preserve"> Greenleaf et al (2004) present evidence that suggests that</w:t>
      </w:r>
      <w:r w:rsidR="00496A45">
        <w:rPr>
          <w:rFonts w:ascii="Calibri" w:eastAsia="Calibri" w:hAnsi="Calibri"/>
          <w:sz w:val="22"/>
          <w:szCs w:val="22"/>
          <w:lang w:eastAsia="en-US"/>
        </w:rPr>
        <w:t xml:space="preserve"> when chosen correctly,</w:t>
      </w:r>
      <w:r w:rsidRPr="00360E94">
        <w:rPr>
          <w:rFonts w:ascii="Calibri" w:eastAsia="Calibri" w:hAnsi="Calibri"/>
          <w:sz w:val="22"/>
          <w:szCs w:val="22"/>
          <w:lang w:eastAsia="en-US"/>
        </w:rPr>
        <w:t xml:space="preserve"> especially in certain subjects such as science these comprehension instruction techniques can benefit pupil’s knowledge and understanding. Subsequently, given the evidence, it should be noted that there is a place for comprehension strategy instruction when learners’ are presented with scientific text however it is important that appropriate strategies are chosen as to develop learners’ understanding of the text. Therefore, focus will be placed on; comprehension monitoring, graphic and sematic organisers, question answering and generating, summarisation and multiple strategy instruction. </w:t>
      </w:r>
    </w:p>
    <w:p w14:paraId="1013370E" w14:textId="648CFBEA" w:rsidR="00360E94" w:rsidRPr="00360E94" w:rsidRDefault="00360E94" w:rsidP="00360E94">
      <w:pPr>
        <w:spacing w:before="240" w:after="160" w:line="259" w:lineRule="auto"/>
        <w:rPr>
          <w:rFonts w:ascii="Calibri" w:eastAsia="Calibri" w:hAnsi="Calibri"/>
          <w:color w:val="000000"/>
          <w:sz w:val="22"/>
          <w:szCs w:val="22"/>
          <w:lang w:eastAsia="en-US"/>
        </w:rPr>
      </w:pPr>
      <w:r w:rsidRPr="00360E94">
        <w:rPr>
          <w:rFonts w:ascii="Calibri" w:eastAsia="Calibri" w:hAnsi="Calibri"/>
          <w:sz w:val="22"/>
          <w:szCs w:val="22"/>
          <w:lang w:eastAsia="en-US"/>
        </w:rPr>
        <w:t xml:space="preserve">In order to fully understand a piece of text, the reader must build a rational mental representation of the information given in the text. This encompasses more than just reading single words or individual sentences, but understanding their significance as a </w:t>
      </w:r>
      <w:r w:rsidRPr="00360E94">
        <w:rPr>
          <w:rFonts w:ascii="Calibri" w:eastAsia="Calibri" w:hAnsi="Calibri"/>
          <w:color w:val="000000"/>
          <w:sz w:val="22"/>
          <w:szCs w:val="22"/>
          <w:lang w:eastAsia="en-US"/>
        </w:rPr>
        <w:t xml:space="preserve">one (Johnson-Laird, 1983). Readers </w:t>
      </w:r>
      <w:r w:rsidRPr="00360E94">
        <w:rPr>
          <w:rFonts w:ascii="Calibri" w:eastAsia="Calibri" w:hAnsi="Calibri"/>
          <w:sz w:val="22"/>
          <w:szCs w:val="22"/>
          <w:lang w:eastAsia="en-US"/>
        </w:rPr>
        <w:t xml:space="preserve">with good comprehension skills have the ability to continuously ‘remodel’ their representation as they read the text, meaning they are able to read and integrated new ideas into the original mental </w:t>
      </w:r>
      <w:r w:rsidRPr="00360E94">
        <w:rPr>
          <w:rFonts w:ascii="Calibri" w:eastAsia="Calibri" w:hAnsi="Calibri"/>
          <w:color w:val="000000"/>
          <w:sz w:val="22"/>
          <w:szCs w:val="22"/>
          <w:lang w:eastAsia="en-US"/>
        </w:rPr>
        <w:t xml:space="preserve">representation (Rapp &amp; </w:t>
      </w:r>
      <w:proofErr w:type="spellStart"/>
      <w:r w:rsidRPr="00360E94">
        <w:rPr>
          <w:rFonts w:ascii="Calibri" w:eastAsia="Calibri" w:hAnsi="Calibri"/>
          <w:color w:val="000000"/>
          <w:sz w:val="22"/>
          <w:szCs w:val="22"/>
          <w:lang w:eastAsia="en-US"/>
        </w:rPr>
        <w:t>Kendeou</w:t>
      </w:r>
      <w:proofErr w:type="spellEnd"/>
      <w:r w:rsidRPr="00360E94">
        <w:rPr>
          <w:rFonts w:ascii="Calibri" w:eastAsia="Calibri" w:hAnsi="Calibri"/>
          <w:color w:val="000000"/>
          <w:sz w:val="22"/>
          <w:szCs w:val="22"/>
          <w:lang w:eastAsia="en-US"/>
        </w:rPr>
        <w:t>, 2007). This evidence suggests that comprehension monitoring plays an essential role in the construction of a mental representation of text and comprehension as a whole.</w:t>
      </w:r>
      <w:r w:rsidR="007A6D0C" w:rsidRPr="007A6D0C">
        <w:rPr>
          <w:rFonts w:asciiTheme="minorHAnsi" w:eastAsiaTheme="minorHAnsi" w:hAnsiTheme="minorHAnsi" w:cstheme="minorHAnsi"/>
          <w:color w:val="0A0A0A"/>
          <w:sz w:val="22"/>
          <w:szCs w:val="22"/>
          <w:shd w:val="clear" w:color="auto" w:fill="FFFFFF"/>
          <w:lang w:eastAsia="en-US"/>
        </w:rPr>
        <w:t xml:space="preserve"> </w:t>
      </w:r>
      <w:r w:rsidR="007A6D0C" w:rsidRPr="007A6D0C">
        <w:rPr>
          <w:rFonts w:ascii="Calibri" w:eastAsia="Calibri" w:hAnsi="Calibri"/>
          <w:color w:val="000000"/>
          <w:sz w:val="22"/>
          <w:szCs w:val="22"/>
          <w:lang w:eastAsia="en-US"/>
        </w:rPr>
        <w:t>When faced with a situation where there is not complete understanding of a word, there is no access to prior knowledge or when certain texts are hard to piece together, good readers have the ability to take suitable actions such as researching the definitions of words, re-reading the text, and asking questions (Markman,1981).</w:t>
      </w:r>
      <w:r w:rsidR="007A6D0C">
        <w:rPr>
          <w:rFonts w:ascii="Calibri" w:eastAsia="Calibri" w:hAnsi="Calibri"/>
          <w:color w:val="000000"/>
          <w:sz w:val="22"/>
          <w:szCs w:val="22"/>
          <w:lang w:eastAsia="en-US"/>
        </w:rPr>
        <w:t xml:space="preserve"> </w:t>
      </w:r>
      <w:r w:rsidRPr="00360E94">
        <w:rPr>
          <w:rFonts w:ascii="Calibri" w:eastAsia="Calibri" w:hAnsi="Calibri"/>
          <w:color w:val="000000"/>
          <w:sz w:val="22"/>
          <w:szCs w:val="22"/>
          <w:lang w:eastAsia="en-US"/>
        </w:rPr>
        <w:t>Consequently, as this research is an attempt to find ways of improving comprehension skills, it could be argued that comprehension monitoring could be potentially improved by initiating a strategy that prompts pupils to re-read, generate inferences and ask questions of the text.</w:t>
      </w:r>
    </w:p>
    <w:p w14:paraId="4C33DAD1" w14:textId="7F115DC9" w:rsidR="00360E94" w:rsidRPr="00360E94" w:rsidRDefault="00360E94" w:rsidP="00360E94">
      <w:pPr>
        <w:spacing w:before="240" w:after="160" w:line="259" w:lineRule="auto"/>
        <w:rPr>
          <w:rFonts w:ascii="Calibri" w:eastAsia="Calibri" w:hAnsi="Calibri"/>
          <w:color w:val="000000"/>
          <w:sz w:val="22"/>
          <w:szCs w:val="22"/>
          <w:lang w:eastAsia="en-US"/>
        </w:rPr>
      </w:pPr>
      <w:r w:rsidRPr="00360E94">
        <w:rPr>
          <w:rFonts w:ascii="Calibri" w:eastAsia="Calibri" w:hAnsi="Calibri"/>
          <w:color w:val="000000"/>
          <w:sz w:val="22"/>
          <w:szCs w:val="22"/>
          <w:lang w:eastAsia="en-US"/>
        </w:rPr>
        <w:t xml:space="preserve">Another strategy mentioned above that may improve comprehension skills is the use of graphic and semantic organisers. </w:t>
      </w:r>
      <w:proofErr w:type="spellStart"/>
      <w:r w:rsidRPr="00360E94">
        <w:rPr>
          <w:rFonts w:ascii="Calibri" w:eastAsia="Calibri" w:hAnsi="Calibri"/>
          <w:color w:val="000000"/>
          <w:sz w:val="22"/>
          <w:szCs w:val="22"/>
          <w:lang w:eastAsia="en-US"/>
        </w:rPr>
        <w:t>Bromely</w:t>
      </w:r>
      <w:proofErr w:type="spellEnd"/>
      <w:r w:rsidRPr="00360E94">
        <w:rPr>
          <w:rFonts w:ascii="Calibri" w:eastAsia="Calibri" w:hAnsi="Calibri"/>
          <w:color w:val="000000"/>
          <w:sz w:val="22"/>
          <w:szCs w:val="22"/>
          <w:lang w:eastAsia="en-US"/>
        </w:rPr>
        <w:t xml:space="preserve"> et al (1999) defined graphic and semantic organisers to be “visual representations of Knowledge” in relation to a specific topic. Put simply, graphic and semantic organisers refer to the mapping or webbing of words or topics and their relationship between different concepts in the text (</w:t>
      </w:r>
      <w:proofErr w:type="spellStart"/>
      <w:r w:rsidRPr="00360E94">
        <w:rPr>
          <w:rFonts w:ascii="Calibri" w:eastAsia="Calibri" w:hAnsi="Calibri"/>
          <w:color w:val="000000"/>
          <w:sz w:val="22"/>
          <w:szCs w:val="22"/>
          <w:lang w:eastAsia="en-US"/>
        </w:rPr>
        <w:t>Olszak</w:t>
      </w:r>
      <w:proofErr w:type="spellEnd"/>
      <w:r w:rsidRPr="00360E94">
        <w:rPr>
          <w:rFonts w:ascii="Calibri" w:eastAsia="Calibri" w:hAnsi="Calibri"/>
          <w:color w:val="000000"/>
          <w:sz w:val="22"/>
          <w:szCs w:val="22"/>
          <w:lang w:eastAsia="en-US"/>
        </w:rPr>
        <w:t xml:space="preserve">, 2014). </w:t>
      </w:r>
      <w:proofErr w:type="spellStart"/>
      <w:r w:rsidRPr="00360E94">
        <w:rPr>
          <w:rFonts w:ascii="Calibri" w:eastAsia="Calibri" w:hAnsi="Calibri"/>
          <w:color w:val="000000"/>
          <w:sz w:val="22"/>
          <w:szCs w:val="22"/>
          <w:lang w:eastAsia="en-US"/>
        </w:rPr>
        <w:t>Olszak</w:t>
      </w:r>
      <w:proofErr w:type="spellEnd"/>
      <w:r w:rsidRPr="00360E94">
        <w:rPr>
          <w:rFonts w:ascii="Calibri" w:eastAsia="Calibri" w:hAnsi="Calibri"/>
          <w:color w:val="000000"/>
          <w:sz w:val="22"/>
          <w:szCs w:val="22"/>
          <w:lang w:eastAsia="en-US"/>
        </w:rPr>
        <w:t xml:space="preserve"> goes on to suggest that these semantic maps or organisers can be incredibly beneficial in aiding comprehension as they enable the reader to develop different co</w:t>
      </w:r>
      <w:r w:rsidR="00496A45">
        <w:rPr>
          <w:rFonts w:ascii="Calibri" w:eastAsia="Calibri" w:hAnsi="Calibri"/>
          <w:color w:val="000000"/>
          <w:sz w:val="22"/>
          <w:szCs w:val="22"/>
          <w:lang w:eastAsia="en-US"/>
        </w:rPr>
        <w:t>ncepts from connections between</w:t>
      </w:r>
      <w:r w:rsidRPr="00360E94">
        <w:rPr>
          <w:rFonts w:ascii="Calibri" w:eastAsia="Calibri" w:hAnsi="Calibri"/>
          <w:color w:val="000000"/>
          <w:sz w:val="22"/>
          <w:szCs w:val="22"/>
          <w:lang w:eastAsia="en-US"/>
        </w:rPr>
        <w:t xml:space="preserve"> concepts</w:t>
      </w:r>
      <w:r w:rsidR="00496A45">
        <w:rPr>
          <w:rFonts w:ascii="Calibri" w:eastAsia="Calibri" w:hAnsi="Calibri"/>
          <w:color w:val="000000"/>
          <w:sz w:val="22"/>
          <w:szCs w:val="22"/>
          <w:lang w:eastAsia="en-US"/>
        </w:rPr>
        <w:t xml:space="preserve"> within the text</w:t>
      </w:r>
      <w:r w:rsidRPr="00360E94">
        <w:rPr>
          <w:rFonts w:ascii="Calibri" w:eastAsia="Calibri" w:hAnsi="Calibri"/>
          <w:color w:val="000000"/>
          <w:sz w:val="22"/>
          <w:szCs w:val="22"/>
          <w:lang w:eastAsia="en-US"/>
        </w:rPr>
        <w:t xml:space="preserve">. </w:t>
      </w:r>
      <w:proofErr w:type="spellStart"/>
      <w:r w:rsidRPr="00360E94">
        <w:rPr>
          <w:rFonts w:ascii="Calibri" w:eastAsia="Calibri" w:hAnsi="Calibri"/>
          <w:color w:val="000000"/>
          <w:sz w:val="22"/>
          <w:szCs w:val="22"/>
          <w:lang w:eastAsia="en-US"/>
        </w:rPr>
        <w:t>Ausubel</w:t>
      </w:r>
      <w:proofErr w:type="spellEnd"/>
      <w:r w:rsidRPr="00360E94">
        <w:rPr>
          <w:rFonts w:ascii="Calibri" w:eastAsia="Calibri" w:hAnsi="Calibri"/>
          <w:color w:val="000000"/>
          <w:sz w:val="22"/>
          <w:szCs w:val="22"/>
          <w:lang w:eastAsia="en-US"/>
        </w:rPr>
        <w:t xml:space="preserve"> (1968) advocated that new information is learned when it is related and connected to currently present knowledge. In relation to graphic and semantic organises, he also stated that the purpose of developing graphic or semantic maps is to encourage the learner’s prior knowledge and associate it with new information to ensure that the new material is better understood. Despite this, </w:t>
      </w:r>
      <w:r w:rsidR="00496A45">
        <w:rPr>
          <w:rFonts w:ascii="Calibri" w:eastAsia="Calibri" w:hAnsi="Calibri"/>
          <w:color w:val="000000"/>
          <w:sz w:val="22"/>
          <w:szCs w:val="22"/>
          <w:lang w:eastAsia="en-US"/>
        </w:rPr>
        <w:t>graphic organisers</w:t>
      </w:r>
      <w:r w:rsidRPr="00360E94">
        <w:rPr>
          <w:rFonts w:ascii="Calibri" w:eastAsia="Calibri" w:hAnsi="Calibri"/>
          <w:color w:val="000000"/>
          <w:sz w:val="22"/>
          <w:szCs w:val="22"/>
          <w:lang w:eastAsia="en-US"/>
        </w:rPr>
        <w:t xml:space="preserve"> to be productive in developing comprehension skills,</w:t>
      </w:r>
      <w:r w:rsidRPr="00360E94">
        <w:rPr>
          <w:rFonts w:ascii="Calibri" w:eastAsia="Calibri" w:hAnsi="Calibri"/>
          <w:sz w:val="22"/>
          <w:szCs w:val="22"/>
          <w:lang w:eastAsia="en-US"/>
        </w:rPr>
        <w:t xml:space="preserve"> </w:t>
      </w:r>
      <w:r w:rsidRPr="00360E94">
        <w:rPr>
          <w:rFonts w:ascii="Calibri" w:eastAsia="Calibri" w:hAnsi="Calibri"/>
          <w:color w:val="000000"/>
          <w:sz w:val="22"/>
          <w:szCs w:val="22"/>
          <w:lang w:eastAsia="en-US"/>
        </w:rPr>
        <w:t xml:space="preserve">Horton, </w:t>
      </w:r>
      <w:proofErr w:type="spellStart"/>
      <w:r w:rsidRPr="00360E94">
        <w:rPr>
          <w:rFonts w:ascii="Calibri" w:eastAsia="Calibri" w:hAnsi="Calibri"/>
          <w:color w:val="000000"/>
          <w:sz w:val="22"/>
          <w:szCs w:val="22"/>
          <w:lang w:eastAsia="en-US"/>
        </w:rPr>
        <w:t>Lovitt</w:t>
      </w:r>
      <w:proofErr w:type="spellEnd"/>
      <w:r w:rsidRPr="00360E94">
        <w:rPr>
          <w:rFonts w:ascii="Calibri" w:eastAsia="Calibri" w:hAnsi="Calibri"/>
          <w:color w:val="000000"/>
          <w:sz w:val="22"/>
          <w:szCs w:val="22"/>
          <w:lang w:eastAsia="en-US"/>
        </w:rPr>
        <w:t xml:space="preserve">, &amp; </w:t>
      </w:r>
      <w:proofErr w:type="spellStart"/>
      <w:r w:rsidRPr="00360E94">
        <w:rPr>
          <w:rFonts w:ascii="Calibri" w:eastAsia="Calibri" w:hAnsi="Calibri"/>
          <w:color w:val="000000"/>
          <w:sz w:val="22"/>
          <w:szCs w:val="22"/>
          <w:lang w:eastAsia="en-US"/>
        </w:rPr>
        <w:t>Bergerud</w:t>
      </w:r>
      <w:proofErr w:type="spellEnd"/>
      <w:r w:rsidRPr="00360E94">
        <w:rPr>
          <w:rFonts w:ascii="Calibri" w:eastAsia="Calibri" w:hAnsi="Calibri"/>
          <w:color w:val="000000"/>
          <w:sz w:val="22"/>
          <w:szCs w:val="22"/>
          <w:lang w:eastAsia="en-US"/>
        </w:rPr>
        <w:t xml:space="preserve"> (1990) affirm that it is essential that these maps are arranged in such a way that best shows the comparisons and connections of the text. </w:t>
      </w:r>
      <w:proofErr w:type="spellStart"/>
      <w:r w:rsidRPr="00360E94">
        <w:rPr>
          <w:rFonts w:ascii="Calibri" w:eastAsia="Calibri" w:hAnsi="Calibri"/>
          <w:color w:val="000000"/>
          <w:sz w:val="22"/>
          <w:szCs w:val="22"/>
          <w:lang w:eastAsia="en-US"/>
        </w:rPr>
        <w:t>Condidorio</w:t>
      </w:r>
      <w:proofErr w:type="spellEnd"/>
      <w:r w:rsidRPr="00360E94">
        <w:rPr>
          <w:rFonts w:ascii="Calibri" w:eastAsia="Calibri" w:hAnsi="Calibri"/>
          <w:color w:val="000000"/>
          <w:sz w:val="22"/>
          <w:szCs w:val="22"/>
          <w:lang w:eastAsia="en-US"/>
        </w:rPr>
        <w:t xml:space="preserve"> (2010) agrees with this, maintaining that when selecting layout for a semantic organiser, it is vital to consider the eventual aim for the topics and ideas being taught, this way the semantic map will aid the pupil in understanding the text and new information. In regards to this study, </w:t>
      </w:r>
      <w:proofErr w:type="spellStart"/>
      <w:r w:rsidRPr="00360E94">
        <w:rPr>
          <w:rFonts w:ascii="Calibri" w:eastAsia="Calibri" w:hAnsi="Calibri"/>
          <w:color w:val="000000"/>
          <w:sz w:val="22"/>
          <w:szCs w:val="22"/>
          <w:lang w:eastAsia="en-US"/>
        </w:rPr>
        <w:t>Condidorio</w:t>
      </w:r>
      <w:proofErr w:type="spellEnd"/>
      <w:r w:rsidRPr="00360E94">
        <w:rPr>
          <w:rFonts w:ascii="Calibri" w:eastAsia="Calibri" w:hAnsi="Calibri"/>
          <w:color w:val="000000"/>
          <w:sz w:val="22"/>
          <w:szCs w:val="22"/>
          <w:lang w:eastAsia="en-US"/>
        </w:rPr>
        <w:t xml:space="preserve"> (2010) concluded that using these graphical representations and semantic maps has a positive effect on the Scientific comprehension skills of learners. He states that when used effectively, they enable the learner to develop a visual representation of relationships between new and old material which allows the learners to be able to learn more independently and be more responsible for their own learning.</w:t>
      </w:r>
    </w:p>
    <w:p w14:paraId="7C5E6FBF" w14:textId="74F058E7" w:rsidR="00360E94" w:rsidRPr="00360E94" w:rsidRDefault="00360E94" w:rsidP="00360E94">
      <w:pPr>
        <w:spacing w:before="240" w:after="160" w:line="259" w:lineRule="auto"/>
        <w:rPr>
          <w:rFonts w:ascii="Calibri" w:eastAsia="Calibri" w:hAnsi="Calibri"/>
          <w:sz w:val="22"/>
          <w:szCs w:val="22"/>
          <w:lang w:eastAsia="en-US"/>
        </w:rPr>
      </w:pPr>
      <w:r w:rsidRPr="00360E94">
        <w:rPr>
          <w:rFonts w:ascii="Calibri" w:eastAsia="Calibri" w:hAnsi="Calibri"/>
          <w:color w:val="000000"/>
          <w:sz w:val="22"/>
          <w:szCs w:val="22"/>
          <w:lang w:eastAsia="en-US"/>
        </w:rPr>
        <w:t xml:space="preserve">Another strategy that is thought to enhance comprehension skills is question generating. Question generating and self-questioning when referring to comprehension is a procedure where learners </w:t>
      </w:r>
      <w:r w:rsidRPr="00360E94">
        <w:rPr>
          <w:rFonts w:ascii="Calibri" w:eastAsia="Calibri" w:hAnsi="Calibri"/>
          <w:color w:val="000000"/>
          <w:sz w:val="22"/>
          <w:szCs w:val="22"/>
          <w:lang w:eastAsia="en-US"/>
        </w:rPr>
        <w:lastRenderedPageBreak/>
        <w:t xml:space="preserve">pause occasionally whist reading to generate and ask themselves questions about the information in the text (Ness, 2016). Many researchers sustain that when learners are able to generate questions </w:t>
      </w:r>
      <w:r w:rsidR="00496A45">
        <w:rPr>
          <w:rFonts w:ascii="Calibri" w:eastAsia="Calibri" w:hAnsi="Calibri"/>
          <w:color w:val="000000"/>
          <w:sz w:val="22"/>
          <w:szCs w:val="22"/>
          <w:lang w:eastAsia="en-US"/>
        </w:rPr>
        <w:t xml:space="preserve">about </w:t>
      </w:r>
      <w:proofErr w:type="gramStart"/>
      <w:r w:rsidR="00496A45">
        <w:rPr>
          <w:rFonts w:ascii="Calibri" w:eastAsia="Calibri" w:hAnsi="Calibri"/>
          <w:color w:val="000000"/>
          <w:sz w:val="22"/>
          <w:szCs w:val="22"/>
          <w:lang w:eastAsia="en-US"/>
        </w:rPr>
        <w:t xml:space="preserve">the </w:t>
      </w:r>
      <w:r w:rsidRPr="00360E94">
        <w:rPr>
          <w:rFonts w:ascii="Calibri" w:eastAsia="Calibri" w:hAnsi="Calibri"/>
          <w:color w:val="000000"/>
          <w:sz w:val="22"/>
          <w:szCs w:val="22"/>
          <w:lang w:eastAsia="en-US"/>
        </w:rPr>
        <w:t xml:space="preserve"> text</w:t>
      </w:r>
      <w:proofErr w:type="gramEnd"/>
      <w:r w:rsidRPr="00360E94">
        <w:rPr>
          <w:rFonts w:ascii="Calibri" w:eastAsia="Calibri" w:hAnsi="Calibri"/>
          <w:color w:val="000000"/>
          <w:sz w:val="22"/>
          <w:szCs w:val="22"/>
          <w:lang w:eastAsia="en-US"/>
        </w:rPr>
        <w:t xml:space="preserve"> they are reading, it can act as an invaluable strategy to improve comprehension skills and help to improv</w:t>
      </w:r>
      <w:r w:rsidR="00496A45">
        <w:rPr>
          <w:rFonts w:ascii="Calibri" w:eastAsia="Calibri" w:hAnsi="Calibri"/>
          <w:color w:val="000000"/>
          <w:sz w:val="22"/>
          <w:szCs w:val="22"/>
          <w:lang w:eastAsia="en-US"/>
        </w:rPr>
        <w:t>e</w:t>
      </w:r>
      <w:r w:rsidRPr="00360E94">
        <w:rPr>
          <w:rFonts w:ascii="Calibri" w:eastAsia="Calibri" w:hAnsi="Calibri"/>
          <w:color w:val="000000"/>
          <w:sz w:val="22"/>
          <w:szCs w:val="22"/>
          <w:lang w:eastAsia="en-US"/>
        </w:rPr>
        <w:t xml:space="preserve"> understanding </w:t>
      </w:r>
      <w:r w:rsidRPr="00360E94">
        <w:rPr>
          <w:rFonts w:ascii="Calibri" w:eastAsia="Calibri" w:hAnsi="Calibri"/>
          <w:sz w:val="22"/>
          <w:szCs w:val="22"/>
          <w:lang w:eastAsia="en-US"/>
        </w:rPr>
        <w:t>(</w:t>
      </w:r>
      <w:proofErr w:type="spellStart"/>
      <w:r w:rsidRPr="00360E94">
        <w:rPr>
          <w:rFonts w:ascii="Calibri" w:eastAsia="Calibri" w:hAnsi="Calibri"/>
          <w:sz w:val="22"/>
          <w:szCs w:val="22"/>
          <w:lang w:eastAsia="en-US"/>
        </w:rPr>
        <w:t>Taboada</w:t>
      </w:r>
      <w:proofErr w:type="spellEnd"/>
      <w:r w:rsidRPr="00360E94">
        <w:rPr>
          <w:rFonts w:ascii="Calibri" w:eastAsia="Calibri" w:hAnsi="Calibri"/>
          <w:sz w:val="22"/>
          <w:szCs w:val="22"/>
          <w:lang w:eastAsia="en-US"/>
        </w:rPr>
        <w:t xml:space="preserve"> &amp; Guthrie, 2006; </w:t>
      </w:r>
      <w:proofErr w:type="spellStart"/>
      <w:r w:rsidRPr="00360E94">
        <w:rPr>
          <w:rFonts w:ascii="Calibri" w:eastAsia="Calibri" w:hAnsi="Calibri"/>
          <w:sz w:val="22"/>
          <w:szCs w:val="22"/>
          <w:lang w:eastAsia="en-US"/>
        </w:rPr>
        <w:t>Therrien</w:t>
      </w:r>
      <w:proofErr w:type="spellEnd"/>
      <w:r w:rsidRPr="00360E94">
        <w:rPr>
          <w:rFonts w:ascii="Calibri" w:eastAsia="Calibri" w:hAnsi="Calibri"/>
          <w:sz w:val="22"/>
          <w:szCs w:val="22"/>
          <w:lang w:eastAsia="en-US"/>
        </w:rPr>
        <w:t xml:space="preserve"> &amp; Hughes, 2008). Research done by Weinstein et al (2010) proposed the question, “Does question generating actually improve comprehension”. They studied three different strategies to see how it improved comprehension. The strategies were, re-reading, question answering, and question generating. They found that all three strategies improved understanding of text, </w:t>
      </w:r>
      <w:r w:rsidR="00496A45">
        <w:rPr>
          <w:rFonts w:ascii="Calibri" w:eastAsia="Calibri" w:hAnsi="Calibri"/>
          <w:sz w:val="22"/>
          <w:szCs w:val="22"/>
          <w:lang w:eastAsia="en-US"/>
        </w:rPr>
        <w:t>but</w:t>
      </w:r>
      <w:r w:rsidRPr="00360E94">
        <w:rPr>
          <w:rFonts w:ascii="Calibri" w:eastAsia="Calibri" w:hAnsi="Calibri"/>
          <w:sz w:val="22"/>
          <w:szCs w:val="22"/>
          <w:lang w:eastAsia="en-US"/>
        </w:rPr>
        <w:t xml:space="preserve"> when participants were allowed to generate and answer their own questions, they made </w:t>
      </w:r>
      <w:r w:rsidR="00496A45">
        <w:rPr>
          <w:rFonts w:ascii="Calibri" w:eastAsia="Calibri" w:hAnsi="Calibri"/>
          <w:sz w:val="22"/>
          <w:szCs w:val="22"/>
          <w:lang w:eastAsia="en-US"/>
        </w:rPr>
        <w:t>the most significant</w:t>
      </w:r>
      <w:r w:rsidRPr="00360E94">
        <w:rPr>
          <w:rFonts w:ascii="Calibri" w:eastAsia="Calibri" w:hAnsi="Calibri"/>
          <w:sz w:val="22"/>
          <w:szCs w:val="22"/>
          <w:lang w:eastAsia="en-US"/>
        </w:rPr>
        <w:t xml:space="preserve"> improvement in the understanding of comprehension. However, despite the improvement in the results, it should be noted that when participants were asked to generate their own questions about the text it took considerably longer to complete the comprehension task compared to re-reading and answering questions set by somebody else. This could be seen as a slight disadvantage to this method as during test conditions it may not be as feasible as re reading. Despite this if the outcome is for the learner to fully understand the text and make meaningful comparisons to prior knowledge, from the evidence suggested it could be argued that this is a very important strategy to consider when evaluating how to successfully improve comprehension.</w:t>
      </w:r>
    </w:p>
    <w:p w14:paraId="49BD7989" w14:textId="77777777" w:rsidR="00C30B49" w:rsidRDefault="00360E94" w:rsidP="00360E94">
      <w:pPr>
        <w:shd w:val="clear" w:color="auto" w:fill="FFFFFF"/>
        <w:spacing w:after="255"/>
        <w:rPr>
          <w:rFonts w:ascii="Calibri" w:hAnsi="Calibri" w:cs="Calibri"/>
          <w:sz w:val="22"/>
          <w:szCs w:val="22"/>
        </w:rPr>
      </w:pPr>
      <w:r w:rsidRPr="00360E94">
        <w:rPr>
          <w:rFonts w:ascii="Calibri" w:hAnsi="Calibri" w:cs="Calibri"/>
          <w:sz w:val="22"/>
          <w:szCs w:val="22"/>
        </w:rPr>
        <w:t xml:space="preserve">Having the ability to summarise a piece of text, picking the most important concepts and </w:t>
      </w:r>
      <w:proofErr w:type="spellStart"/>
      <w:r w:rsidRPr="00360E94">
        <w:rPr>
          <w:rFonts w:ascii="Calibri" w:hAnsi="Calibri" w:cs="Calibri"/>
          <w:sz w:val="22"/>
          <w:szCs w:val="22"/>
        </w:rPr>
        <w:t>uselful</w:t>
      </w:r>
      <w:proofErr w:type="spellEnd"/>
      <w:r w:rsidRPr="00360E94">
        <w:rPr>
          <w:rFonts w:ascii="Calibri" w:hAnsi="Calibri" w:cs="Calibri"/>
          <w:sz w:val="22"/>
          <w:szCs w:val="22"/>
        </w:rPr>
        <w:t xml:space="preserve"> information can have a great impact on comprehension and understanding of text (Calfee &amp; Patrick, 1995). Summarising can be defined as, the capability to remove unnecessary information, pick out main points, link relevant topics and condense comparable ideas of an extract of text (Block &amp; Pressley, 2003). In simpler terms, </w:t>
      </w:r>
      <w:proofErr w:type="spellStart"/>
      <w:r w:rsidRPr="00360E94">
        <w:rPr>
          <w:rFonts w:ascii="Calibri" w:hAnsi="Calibri" w:cs="Calibri"/>
          <w:sz w:val="22"/>
          <w:szCs w:val="22"/>
        </w:rPr>
        <w:t>Marzano</w:t>
      </w:r>
      <w:proofErr w:type="spellEnd"/>
      <w:r w:rsidRPr="00360E94">
        <w:rPr>
          <w:rFonts w:ascii="Calibri" w:hAnsi="Calibri" w:cs="Calibri"/>
          <w:sz w:val="22"/>
          <w:szCs w:val="22"/>
        </w:rPr>
        <w:t xml:space="preserve"> (2010) describes summarising as; Redrafting ideas in such a way that draws attention to the most important information. </w:t>
      </w:r>
      <w:proofErr w:type="spellStart"/>
      <w:r w:rsidRPr="00360E94">
        <w:rPr>
          <w:rFonts w:ascii="Calibri" w:hAnsi="Calibri" w:cs="Calibri"/>
          <w:sz w:val="22"/>
          <w:szCs w:val="22"/>
        </w:rPr>
        <w:t>Dymock</w:t>
      </w:r>
      <w:proofErr w:type="spellEnd"/>
      <w:r w:rsidRPr="00360E94">
        <w:rPr>
          <w:rFonts w:ascii="Calibri" w:hAnsi="Calibri" w:cs="Calibri"/>
          <w:sz w:val="22"/>
          <w:szCs w:val="22"/>
        </w:rPr>
        <w:t xml:space="preserve"> &amp; Nicholson (2010) sustain that learners can naturally summarise information by a method they call the “High 5” strategy. The “High 5” strategy consists of five steps of summarising information. The first of which is simply reading the text. Secondly, learners should attempt to identify the structure of text</w:t>
      </w:r>
      <w:r w:rsidR="00C30B49">
        <w:rPr>
          <w:rFonts w:ascii="Calibri" w:hAnsi="Calibri" w:cs="Calibri"/>
          <w:sz w:val="22"/>
          <w:szCs w:val="22"/>
        </w:rPr>
        <w:t>,</w:t>
      </w:r>
      <w:r w:rsidRPr="00360E94">
        <w:rPr>
          <w:rFonts w:ascii="Calibri" w:hAnsi="Calibri" w:cs="Calibri"/>
          <w:sz w:val="22"/>
          <w:szCs w:val="22"/>
        </w:rPr>
        <w:t xml:space="preserve"> as information text can be written in many different structures. The next step is to construct a diagram of the text structure. The forth step requires the learner to remove the irrelevant details to leave only important information. And the final step is to circle the main ideas that will be necessary in the summary. </w:t>
      </w:r>
    </w:p>
    <w:p w14:paraId="122DBAF4" w14:textId="77777777" w:rsidR="00C30B49" w:rsidRDefault="00360E94" w:rsidP="00360E94">
      <w:pPr>
        <w:shd w:val="clear" w:color="auto" w:fill="FFFFFF"/>
        <w:spacing w:after="255"/>
        <w:rPr>
          <w:rFonts w:ascii="Calibri" w:hAnsi="Calibri" w:cs="Calibri"/>
          <w:sz w:val="22"/>
          <w:szCs w:val="22"/>
        </w:rPr>
      </w:pPr>
      <w:r w:rsidRPr="00360E94">
        <w:rPr>
          <w:rFonts w:ascii="Calibri" w:hAnsi="Calibri" w:cs="Calibri"/>
          <w:sz w:val="22"/>
          <w:szCs w:val="22"/>
        </w:rPr>
        <w:t>Th</w:t>
      </w:r>
      <w:r w:rsidR="00C30B49">
        <w:rPr>
          <w:rFonts w:ascii="Calibri" w:hAnsi="Calibri" w:cs="Calibri"/>
          <w:sz w:val="22"/>
          <w:szCs w:val="22"/>
        </w:rPr>
        <w:t>is strategy is also supported in</w:t>
      </w:r>
      <w:r w:rsidRPr="00360E94">
        <w:rPr>
          <w:rFonts w:ascii="Calibri" w:hAnsi="Calibri" w:cs="Calibri"/>
          <w:sz w:val="22"/>
          <w:szCs w:val="22"/>
        </w:rPr>
        <w:t xml:space="preserve"> </w:t>
      </w:r>
      <w:proofErr w:type="spellStart"/>
      <w:r w:rsidRPr="00360E94">
        <w:rPr>
          <w:rFonts w:ascii="Calibri" w:hAnsi="Calibri" w:cs="Calibri"/>
          <w:sz w:val="22"/>
          <w:szCs w:val="22"/>
        </w:rPr>
        <w:t>Marzano</w:t>
      </w:r>
      <w:proofErr w:type="spellEnd"/>
      <w:r w:rsidRPr="00360E94">
        <w:rPr>
          <w:rFonts w:ascii="Calibri" w:hAnsi="Calibri" w:cs="Calibri"/>
          <w:sz w:val="22"/>
          <w:szCs w:val="22"/>
        </w:rPr>
        <w:t xml:space="preserve"> (2010)</w:t>
      </w:r>
      <w:r w:rsidR="00C30B49">
        <w:rPr>
          <w:rFonts w:ascii="Calibri" w:hAnsi="Calibri" w:cs="Calibri"/>
          <w:sz w:val="22"/>
          <w:szCs w:val="22"/>
        </w:rPr>
        <w:t xml:space="preserve"> research,</w:t>
      </w:r>
      <w:r w:rsidRPr="00360E94">
        <w:rPr>
          <w:rFonts w:ascii="Calibri" w:hAnsi="Calibri" w:cs="Calibri"/>
          <w:sz w:val="22"/>
          <w:szCs w:val="22"/>
        </w:rPr>
        <w:t xml:space="preserve"> “</w:t>
      </w:r>
      <w:r w:rsidRPr="00360E94">
        <w:rPr>
          <w:rFonts w:ascii="Calibri" w:hAnsi="Calibri" w:cs="Calibri"/>
          <w:i/>
          <w:sz w:val="22"/>
          <w:szCs w:val="22"/>
        </w:rPr>
        <w:t>Summarizing to comprehend</w:t>
      </w:r>
      <w:r w:rsidRPr="00360E94">
        <w:rPr>
          <w:rFonts w:ascii="Calibri" w:hAnsi="Calibri" w:cs="Calibri"/>
          <w:sz w:val="22"/>
          <w:szCs w:val="22"/>
        </w:rPr>
        <w:t xml:space="preserve">” where he advocates that there are five strategies that enhance learners’ summarising skills. These skills are Similar to </w:t>
      </w:r>
      <w:proofErr w:type="spellStart"/>
      <w:r w:rsidRPr="00360E94">
        <w:rPr>
          <w:rFonts w:ascii="Calibri" w:hAnsi="Calibri" w:cs="Calibri"/>
          <w:sz w:val="22"/>
          <w:szCs w:val="22"/>
        </w:rPr>
        <w:t>Dymock</w:t>
      </w:r>
      <w:proofErr w:type="spellEnd"/>
      <w:r w:rsidRPr="00360E94">
        <w:rPr>
          <w:rFonts w:ascii="Calibri" w:hAnsi="Calibri" w:cs="Calibri"/>
          <w:sz w:val="22"/>
          <w:szCs w:val="22"/>
        </w:rPr>
        <w:t xml:space="preserve"> &amp; Nicholson’s “High 5” strategies however </w:t>
      </w:r>
      <w:proofErr w:type="spellStart"/>
      <w:r w:rsidRPr="00360E94">
        <w:rPr>
          <w:rFonts w:ascii="Calibri" w:hAnsi="Calibri" w:cs="Calibri"/>
          <w:sz w:val="22"/>
          <w:szCs w:val="22"/>
        </w:rPr>
        <w:t>Marzano’s</w:t>
      </w:r>
      <w:proofErr w:type="spellEnd"/>
      <w:r w:rsidRPr="00360E94">
        <w:rPr>
          <w:rFonts w:ascii="Calibri" w:hAnsi="Calibri" w:cs="Calibri"/>
          <w:sz w:val="22"/>
          <w:szCs w:val="22"/>
        </w:rPr>
        <w:t xml:space="preserve"> strategies highlight the importance of the teacher’s role, particularly when identifying text structure.</w:t>
      </w:r>
    </w:p>
    <w:p w14:paraId="4DF1DAD6" w14:textId="7F69CA93" w:rsidR="00360E94" w:rsidRPr="00360E94" w:rsidRDefault="00360E94" w:rsidP="00360E94">
      <w:pPr>
        <w:shd w:val="clear" w:color="auto" w:fill="FFFFFF"/>
        <w:spacing w:after="255"/>
        <w:rPr>
          <w:rFonts w:ascii="Calibri" w:hAnsi="Calibri" w:cs="Calibri"/>
          <w:sz w:val="22"/>
          <w:szCs w:val="22"/>
        </w:rPr>
      </w:pPr>
      <w:r w:rsidRPr="00360E94">
        <w:rPr>
          <w:rFonts w:ascii="Calibri" w:hAnsi="Calibri" w:cs="Calibri"/>
          <w:sz w:val="22"/>
          <w:szCs w:val="22"/>
        </w:rPr>
        <w:t xml:space="preserve">From the evidence suggested, it is widely agreed that the ability to summarise information has a profound effect on understanding and comprehension. However, conversely, Leopold &amp; </w:t>
      </w:r>
      <w:proofErr w:type="spellStart"/>
      <w:r w:rsidRPr="00360E94">
        <w:rPr>
          <w:rFonts w:ascii="Calibri" w:hAnsi="Calibri" w:cs="Calibri"/>
          <w:sz w:val="22"/>
          <w:szCs w:val="22"/>
        </w:rPr>
        <w:t>Leutner</w:t>
      </w:r>
      <w:proofErr w:type="spellEnd"/>
      <w:r w:rsidRPr="00360E94">
        <w:rPr>
          <w:rFonts w:ascii="Calibri" w:hAnsi="Calibri" w:cs="Calibri"/>
          <w:sz w:val="22"/>
          <w:szCs w:val="22"/>
        </w:rPr>
        <w:t xml:space="preserve"> (2012) argue that when summarising just by using the text, referred to as “text based processing” in their research, learners have difficulty distinguishing important ideas and concepts that are related and therefore more difficult to develop inferences from them. They particularly endorse the strategy of drawing or sketching ideas to develop the process of summarizing. They indicate that pupils who develop summaries based upon drawing or sketch prompts are able to achieve higher scores in test based comprehension, recall and understanding. This is supported by </w:t>
      </w:r>
      <w:bookmarkStart w:id="0" w:name="bbib42"/>
      <w:r w:rsidRPr="00360E94">
        <w:rPr>
          <w:rFonts w:ascii="Calibri" w:hAnsi="Calibri" w:cs="Calibri"/>
          <w:color w:val="000000"/>
          <w:sz w:val="22"/>
          <w:szCs w:val="22"/>
        </w:rPr>
        <w:fldChar w:fldCharType="begin"/>
      </w:r>
      <w:r w:rsidRPr="00360E94">
        <w:rPr>
          <w:rFonts w:ascii="Calibri" w:hAnsi="Calibri" w:cs="Calibri"/>
          <w:color w:val="000000"/>
          <w:sz w:val="22"/>
          <w:szCs w:val="22"/>
        </w:rPr>
        <w:instrText xml:space="preserve"> HYPERLINK "https://www-sciencedirect-com.ezproxy.uwtsd.ac.uk/science/article/pii/S0959475211000429" \l "bib42" </w:instrText>
      </w:r>
      <w:r w:rsidRPr="00360E94">
        <w:rPr>
          <w:rFonts w:ascii="Calibri" w:hAnsi="Calibri" w:cs="Calibri"/>
          <w:color w:val="000000"/>
          <w:sz w:val="22"/>
          <w:szCs w:val="22"/>
        </w:rPr>
        <w:fldChar w:fldCharType="separate"/>
      </w:r>
      <w:r w:rsidRPr="00360E94">
        <w:rPr>
          <w:rFonts w:ascii="Calibri" w:hAnsi="Calibri" w:cs="Calibri"/>
          <w:color w:val="000000"/>
          <w:sz w:val="22"/>
          <w:szCs w:val="22"/>
        </w:rPr>
        <w:t>Van Meter (2001)</w:t>
      </w:r>
      <w:r w:rsidRPr="00360E94">
        <w:rPr>
          <w:rFonts w:ascii="Calibri" w:hAnsi="Calibri" w:cs="Calibri"/>
          <w:color w:val="000000"/>
          <w:sz w:val="22"/>
          <w:szCs w:val="22"/>
        </w:rPr>
        <w:fldChar w:fldCharType="end"/>
      </w:r>
      <w:bookmarkEnd w:id="0"/>
      <w:r w:rsidRPr="00360E94">
        <w:rPr>
          <w:rFonts w:ascii="Calibri" w:hAnsi="Calibri" w:cs="Calibri"/>
          <w:sz w:val="22"/>
          <w:szCs w:val="22"/>
        </w:rPr>
        <w:t xml:space="preserve"> who affirms that pupils that participate in drawing activity during comprehension tasks tend to outperform those who have just summarised by processing the text and even pupils that have been given pictures to aid understanding, particularly in scientific subjects. Form the relevant literature, it seems that there is a strong argument that summarising is a highly useful tool to develop comprehension and understanding, however there is debate as to what is the best method to go about summarising, which needs to be considered when developing comprehension instruction strategies. </w:t>
      </w:r>
    </w:p>
    <w:p w14:paraId="03081D45" w14:textId="77777777" w:rsidR="00C30B49" w:rsidRDefault="00360E94" w:rsidP="00360E94">
      <w:pPr>
        <w:shd w:val="clear" w:color="auto" w:fill="FFFFFF"/>
        <w:spacing w:after="255"/>
        <w:rPr>
          <w:rFonts w:ascii="Calibri" w:hAnsi="Calibri" w:cs="Calibri"/>
          <w:sz w:val="22"/>
          <w:szCs w:val="22"/>
        </w:rPr>
      </w:pPr>
      <w:r w:rsidRPr="00360E94">
        <w:rPr>
          <w:rFonts w:ascii="Calibri" w:hAnsi="Calibri" w:cs="Calibri"/>
          <w:sz w:val="22"/>
          <w:szCs w:val="22"/>
        </w:rPr>
        <w:lastRenderedPageBreak/>
        <w:t xml:space="preserve">One of the major components of comprehension that has been outlined in a number of the previous strategies but has been slightly overlooked so far is the use of inference skills. Currie &amp; Cain (2015) suggest that without using inference skills when reading, readers are unable to incorporate ideas within text to fill in any implicit information. Inference is defined in many different ways by many different academics, researchers have divided inference skills into various different categories, ranging from as many as thirteen categories suggested by </w:t>
      </w:r>
      <w:proofErr w:type="spellStart"/>
      <w:r w:rsidRPr="00360E94">
        <w:rPr>
          <w:rFonts w:ascii="Calibri" w:hAnsi="Calibri" w:cs="Calibri"/>
          <w:sz w:val="22"/>
          <w:szCs w:val="22"/>
        </w:rPr>
        <w:t>Graesser</w:t>
      </w:r>
      <w:proofErr w:type="spellEnd"/>
      <w:r w:rsidRPr="00360E94">
        <w:rPr>
          <w:rFonts w:ascii="Calibri" w:hAnsi="Calibri" w:cs="Calibri"/>
          <w:sz w:val="22"/>
          <w:szCs w:val="22"/>
        </w:rPr>
        <w:t xml:space="preserve"> et al (1994), nine categories adopted by Pressley &amp; </w:t>
      </w:r>
      <w:proofErr w:type="spellStart"/>
      <w:r w:rsidRPr="00360E94">
        <w:rPr>
          <w:rFonts w:ascii="Calibri" w:hAnsi="Calibri" w:cs="Calibri"/>
          <w:sz w:val="22"/>
          <w:szCs w:val="22"/>
        </w:rPr>
        <w:t>Afflerbach</w:t>
      </w:r>
      <w:proofErr w:type="spellEnd"/>
      <w:r w:rsidRPr="00360E94">
        <w:rPr>
          <w:rFonts w:ascii="Calibri" w:hAnsi="Calibri" w:cs="Calibri"/>
          <w:sz w:val="22"/>
          <w:szCs w:val="22"/>
        </w:rPr>
        <w:t xml:space="preserve"> (1995) to the more customary two categories accepted by many other researchers such as Cain &amp; Oakhill (1998). Despite the many different categories suggested, it is widely agreed that inference skills play a huge part in having successful comprehension skills. Whilst inference cannot necessarily be taught, teachers can demonstrate strategies that can in turn develop learners’ inference skills or develop a path or schema to enhance their inference abilities (</w:t>
      </w:r>
      <w:proofErr w:type="spellStart"/>
      <w:r w:rsidRPr="00360E94">
        <w:rPr>
          <w:rFonts w:ascii="Calibri" w:hAnsi="Calibri" w:cs="Calibri"/>
          <w:sz w:val="22"/>
          <w:szCs w:val="22"/>
        </w:rPr>
        <w:t>Kispal</w:t>
      </w:r>
      <w:proofErr w:type="spellEnd"/>
      <w:r w:rsidRPr="00360E94">
        <w:rPr>
          <w:rFonts w:ascii="Calibri" w:hAnsi="Calibri" w:cs="Calibri"/>
          <w:sz w:val="22"/>
          <w:szCs w:val="22"/>
        </w:rPr>
        <w:t xml:space="preserve">, 2008). Research done by McGee and Johnson (2003) suggested three different strategies to improve inference skills in pupils; lexical training, question generation and prediction. They concluded that teaching these three strategies allowed learners to make connections between information from text and its significance, it enables the learners to individually derive meaning and develop inferences from the text. They maintain that these strategies can be taught with minimal interference to the lessons or the curriculum. </w:t>
      </w:r>
    </w:p>
    <w:p w14:paraId="526525AC" w14:textId="188D627D" w:rsidR="00360E94" w:rsidRPr="00360E94" w:rsidRDefault="00360E94" w:rsidP="00360E94">
      <w:pPr>
        <w:shd w:val="clear" w:color="auto" w:fill="FFFFFF"/>
        <w:spacing w:after="255"/>
        <w:rPr>
          <w:rFonts w:ascii="Calibri" w:hAnsi="Calibri" w:cs="Calibri"/>
          <w:sz w:val="22"/>
          <w:szCs w:val="22"/>
        </w:rPr>
      </w:pPr>
      <w:r w:rsidRPr="00360E94">
        <w:rPr>
          <w:rFonts w:ascii="Calibri" w:hAnsi="Calibri" w:cs="Calibri"/>
          <w:sz w:val="22"/>
          <w:szCs w:val="22"/>
        </w:rPr>
        <w:t xml:space="preserve">Equally, what is not mentioned in </w:t>
      </w:r>
      <w:proofErr w:type="spellStart"/>
      <w:r w:rsidRPr="00360E94">
        <w:rPr>
          <w:rFonts w:ascii="Calibri" w:hAnsi="Calibri" w:cs="Calibri"/>
          <w:sz w:val="22"/>
          <w:szCs w:val="22"/>
        </w:rPr>
        <w:t>Mcgee</w:t>
      </w:r>
      <w:proofErr w:type="spellEnd"/>
      <w:r w:rsidRPr="00360E94">
        <w:rPr>
          <w:rFonts w:ascii="Calibri" w:hAnsi="Calibri" w:cs="Calibri"/>
          <w:sz w:val="22"/>
          <w:szCs w:val="22"/>
        </w:rPr>
        <w:t xml:space="preserve"> &amp; Johnson’s research is the significance of prior knowledge when inferring. Research done by </w:t>
      </w:r>
      <w:proofErr w:type="spellStart"/>
      <w:r w:rsidRPr="00360E94">
        <w:rPr>
          <w:rFonts w:ascii="Calibri" w:hAnsi="Calibri" w:cs="Calibri"/>
          <w:sz w:val="22"/>
          <w:szCs w:val="22"/>
        </w:rPr>
        <w:t>Kostons</w:t>
      </w:r>
      <w:proofErr w:type="spellEnd"/>
      <w:r w:rsidRPr="00360E94">
        <w:rPr>
          <w:rFonts w:ascii="Calibri" w:hAnsi="Calibri" w:cs="Calibri"/>
          <w:sz w:val="22"/>
          <w:szCs w:val="22"/>
        </w:rPr>
        <w:t xml:space="preserve"> &amp; van der </w:t>
      </w:r>
      <w:proofErr w:type="spellStart"/>
      <w:r w:rsidRPr="00360E94">
        <w:rPr>
          <w:rFonts w:ascii="Calibri" w:hAnsi="Calibri" w:cs="Calibri"/>
          <w:sz w:val="22"/>
          <w:szCs w:val="22"/>
        </w:rPr>
        <w:t>Werf</w:t>
      </w:r>
      <w:proofErr w:type="spellEnd"/>
      <w:r w:rsidRPr="00360E94">
        <w:rPr>
          <w:rFonts w:ascii="Calibri" w:hAnsi="Calibri" w:cs="Calibri"/>
          <w:sz w:val="22"/>
          <w:szCs w:val="22"/>
        </w:rPr>
        <w:t xml:space="preserve"> (2015) claims that activating prior knowledge had a positive effect on comprehension scores. Despite this, Cain et al (2001) concluded that, even when learners had the sufficient background knowledge to make inferences, pupils that were less able </w:t>
      </w:r>
      <w:proofErr w:type="spellStart"/>
      <w:r w:rsidRPr="00360E94">
        <w:rPr>
          <w:rFonts w:ascii="Calibri" w:hAnsi="Calibri" w:cs="Calibri"/>
          <w:sz w:val="22"/>
          <w:szCs w:val="22"/>
        </w:rPr>
        <w:t>comprehenders</w:t>
      </w:r>
      <w:proofErr w:type="spellEnd"/>
      <w:r w:rsidRPr="00360E94">
        <w:rPr>
          <w:rFonts w:ascii="Calibri" w:hAnsi="Calibri" w:cs="Calibri"/>
          <w:sz w:val="22"/>
          <w:szCs w:val="22"/>
        </w:rPr>
        <w:t xml:space="preserve"> were still not as capable of generating inferences as well as their more established peers therefore concluding that access to prior knowledge is not a major influence in relation to inferring. Although there is abundance of research and different opinions about how to improve inference and the different types of inference skills, it is widely accepted that improving these skills does have a positive impact on comprehension skills. Furthermore, despite research suggesting that prior knowledge may not be a limiting factor of a reader’s ability to comprehend text, it is a feature that is widely mentioned previously to improve on other strategies that develop comprehension skills and therefore should also be considered when teaching comprehension instruction.   </w:t>
      </w:r>
      <w:r w:rsidRPr="00360E94">
        <w:rPr>
          <w:sz w:val="24"/>
          <w:szCs w:val="24"/>
        </w:rPr>
        <w:t xml:space="preserve"> </w:t>
      </w:r>
      <w:r w:rsidRPr="00360E94">
        <w:rPr>
          <w:rFonts w:ascii="Calibri" w:hAnsi="Calibri" w:cs="Calibri"/>
          <w:sz w:val="22"/>
          <w:szCs w:val="22"/>
        </w:rPr>
        <w:t xml:space="preserve"> </w:t>
      </w:r>
    </w:p>
    <w:p w14:paraId="0D6320D6" w14:textId="6AB4F624" w:rsidR="00360E94" w:rsidRPr="00360E94" w:rsidRDefault="00360E94" w:rsidP="00360E94">
      <w:pPr>
        <w:spacing w:after="160" w:line="259" w:lineRule="auto"/>
        <w:rPr>
          <w:rFonts w:ascii="Calibri" w:eastAsia="Calibri" w:hAnsi="Calibri"/>
          <w:color w:val="000000"/>
          <w:sz w:val="22"/>
          <w:szCs w:val="22"/>
          <w:lang w:eastAsia="en-US"/>
        </w:rPr>
      </w:pPr>
      <w:r w:rsidRPr="00360E94">
        <w:rPr>
          <w:rFonts w:ascii="Calibri" w:eastAsia="Calibri" w:hAnsi="Calibri"/>
          <w:color w:val="000000"/>
          <w:sz w:val="22"/>
          <w:szCs w:val="22"/>
          <w:lang w:eastAsia="en-US"/>
        </w:rPr>
        <w:t>As stated previously, it is now essential for teachers across the curriculum to be actively teachin</w:t>
      </w:r>
      <w:r w:rsidR="00C30B49">
        <w:rPr>
          <w:rFonts w:ascii="Calibri" w:eastAsia="Calibri" w:hAnsi="Calibri"/>
          <w:color w:val="000000"/>
          <w:sz w:val="22"/>
          <w:szCs w:val="22"/>
          <w:lang w:eastAsia="en-US"/>
        </w:rPr>
        <w:t xml:space="preserve">g literacy in all disciplines. </w:t>
      </w:r>
      <w:r w:rsidRPr="00360E94">
        <w:rPr>
          <w:rFonts w:ascii="Calibri" w:eastAsia="Calibri" w:hAnsi="Calibri"/>
          <w:color w:val="000000"/>
          <w:sz w:val="22"/>
          <w:szCs w:val="22"/>
          <w:lang w:eastAsia="en-US"/>
        </w:rPr>
        <w:t xml:space="preserve">Dawson &amp; </w:t>
      </w:r>
      <w:proofErr w:type="spellStart"/>
      <w:r w:rsidRPr="00360E94">
        <w:rPr>
          <w:rFonts w:ascii="Calibri" w:eastAsia="Calibri" w:hAnsi="Calibri"/>
          <w:color w:val="000000"/>
          <w:sz w:val="22"/>
          <w:szCs w:val="22"/>
          <w:lang w:eastAsia="en-US"/>
        </w:rPr>
        <w:t>Venville</w:t>
      </w:r>
      <w:proofErr w:type="spellEnd"/>
      <w:r w:rsidRPr="00360E94">
        <w:rPr>
          <w:rFonts w:ascii="Calibri" w:eastAsia="Calibri" w:hAnsi="Calibri"/>
          <w:color w:val="000000"/>
          <w:sz w:val="22"/>
          <w:szCs w:val="22"/>
          <w:lang w:eastAsia="en-US"/>
        </w:rPr>
        <w:t xml:space="preserve"> (2009) define scientific literacy to be, “the understanding of science that allows an individual to participate in socio-scientific topics and to make informed decisions on these issues, as well as the appreciation of processes, values, and ethics related to science”. In regards to education, it is important that instead of just learning scientific facts, learners are able to apply knowledge whilst critically evaluating information in order to encourage higher-order thinking (</w:t>
      </w:r>
      <w:proofErr w:type="spellStart"/>
      <w:r w:rsidRPr="00360E94">
        <w:rPr>
          <w:rFonts w:ascii="Calibri" w:eastAsia="Calibri" w:hAnsi="Calibri"/>
          <w:color w:val="000000"/>
          <w:sz w:val="22"/>
          <w:szCs w:val="22"/>
          <w:lang w:eastAsia="en-US"/>
        </w:rPr>
        <w:t>Zoller</w:t>
      </w:r>
      <w:proofErr w:type="spellEnd"/>
      <w:r w:rsidRPr="00360E94">
        <w:rPr>
          <w:rFonts w:ascii="Calibri" w:eastAsia="Calibri" w:hAnsi="Calibri"/>
          <w:color w:val="000000"/>
          <w:sz w:val="22"/>
          <w:szCs w:val="22"/>
          <w:lang w:eastAsia="en-US"/>
        </w:rPr>
        <w:t xml:space="preserve">, 1993). Based on the literature studied there is clearly a very wide variety of different strategies that can be used to develop comprehension technique. As recognised in many of the previous studies mentioned, it is important to notice that many of the different strategies are interlinked and may depend on each other for success. Therefore, it may be necessary to note that finding an effective strategy to improve comprehension skills should involve the collaboration of a number of different strategies together to further enhance the learners’ possibilities of improvement. Another limitation to this could be time so it is necessary to find a balance between selection and variety of different strategies as well as thinking of the time it may take to instruct these strategies. </w:t>
      </w:r>
    </w:p>
    <w:p w14:paraId="2EEF740E" w14:textId="77777777" w:rsidR="00360E94" w:rsidRPr="00360E94" w:rsidRDefault="00360E94" w:rsidP="00360E94">
      <w:pPr>
        <w:spacing w:after="160" w:line="259" w:lineRule="auto"/>
        <w:rPr>
          <w:rFonts w:ascii="Calibri" w:eastAsia="Calibri" w:hAnsi="Calibri"/>
          <w:b/>
          <w:color w:val="000000"/>
          <w:sz w:val="22"/>
          <w:szCs w:val="22"/>
          <w:lang w:eastAsia="en-US"/>
        </w:rPr>
      </w:pPr>
      <w:r w:rsidRPr="00360E94">
        <w:rPr>
          <w:rFonts w:ascii="Calibri" w:eastAsia="Calibri" w:hAnsi="Calibri"/>
          <w:b/>
          <w:color w:val="000000"/>
          <w:sz w:val="22"/>
          <w:szCs w:val="22"/>
          <w:lang w:eastAsia="en-US"/>
        </w:rPr>
        <w:t>School Policy and Practice</w:t>
      </w:r>
    </w:p>
    <w:p w14:paraId="541871B6" w14:textId="77777777" w:rsidR="00FD5EC6" w:rsidRDefault="00360E94" w:rsidP="00360E94">
      <w:pPr>
        <w:spacing w:after="160" w:line="259" w:lineRule="auto"/>
        <w:rPr>
          <w:rFonts w:ascii="Calibri" w:eastAsia="Calibri" w:hAnsi="Calibri"/>
          <w:color w:val="000000"/>
          <w:sz w:val="22"/>
          <w:szCs w:val="22"/>
          <w:lang w:eastAsia="en-US"/>
        </w:rPr>
      </w:pPr>
      <w:r w:rsidRPr="00360E94">
        <w:rPr>
          <w:rFonts w:ascii="Calibri" w:eastAsia="Calibri" w:hAnsi="Calibri"/>
          <w:color w:val="000000"/>
          <w:sz w:val="22"/>
          <w:szCs w:val="22"/>
          <w:lang w:eastAsia="en-US"/>
        </w:rPr>
        <w:lastRenderedPageBreak/>
        <w:t>In terms of literacy standards, On the whole, School X achieves very highly. They feature in the top quartile of family schools and have shown progression in this area in the last year.  Most pupils display good understanding of comprehension texts and are usually able to extract information effectively from them (</w:t>
      </w:r>
      <w:proofErr w:type="spellStart"/>
      <w:r w:rsidRPr="00360E94">
        <w:rPr>
          <w:rFonts w:ascii="Calibri" w:eastAsia="Calibri" w:hAnsi="Calibri"/>
          <w:color w:val="000000"/>
          <w:sz w:val="22"/>
          <w:szCs w:val="22"/>
          <w:lang w:eastAsia="en-US"/>
        </w:rPr>
        <w:t>Estyn</w:t>
      </w:r>
      <w:proofErr w:type="spellEnd"/>
      <w:r w:rsidRPr="00360E94">
        <w:rPr>
          <w:rFonts w:ascii="Calibri" w:eastAsia="Calibri" w:hAnsi="Calibri"/>
          <w:color w:val="000000"/>
          <w:sz w:val="22"/>
          <w:szCs w:val="22"/>
          <w:lang w:eastAsia="en-US"/>
        </w:rPr>
        <w:t xml:space="preserve">, 2017). However, </w:t>
      </w:r>
      <w:proofErr w:type="spellStart"/>
      <w:r w:rsidRPr="00360E94">
        <w:rPr>
          <w:rFonts w:ascii="Calibri" w:eastAsia="Calibri" w:hAnsi="Calibri"/>
          <w:color w:val="000000"/>
          <w:sz w:val="22"/>
          <w:szCs w:val="22"/>
          <w:lang w:eastAsia="en-US"/>
        </w:rPr>
        <w:t>Estyn</w:t>
      </w:r>
      <w:proofErr w:type="spellEnd"/>
      <w:r w:rsidRPr="00360E94">
        <w:rPr>
          <w:rFonts w:ascii="Calibri" w:eastAsia="Calibri" w:hAnsi="Calibri"/>
          <w:color w:val="000000"/>
          <w:sz w:val="22"/>
          <w:szCs w:val="22"/>
          <w:lang w:eastAsia="en-US"/>
        </w:rPr>
        <w:t xml:space="preserve"> go on to suggest that comprehension and reading could be improved further if pupils had a better understanding of how to use strategies that enable pupils effectively answer questions. Most pupils recall prior knowledge well and apply that prior learning effectively to grasp new concepts. However, in a number of cases, across the curriculum, a small number of pupils are not making sufficient progression. </w:t>
      </w:r>
      <w:proofErr w:type="spellStart"/>
      <w:r w:rsidRPr="00360E94">
        <w:rPr>
          <w:rFonts w:ascii="Calibri" w:eastAsia="Calibri" w:hAnsi="Calibri"/>
          <w:color w:val="000000"/>
          <w:sz w:val="22"/>
          <w:szCs w:val="22"/>
          <w:lang w:eastAsia="en-US"/>
        </w:rPr>
        <w:t>Thoung</w:t>
      </w:r>
      <w:proofErr w:type="spellEnd"/>
      <w:r w:rsidRPr="00360E94">
        <w:rPr>
          <w:rFonts w:ascii="Calibri" w:eastAsia="Calibri" w:hAnsi="Calibri"/>
          <w:color w:val="000000"/>
          <w:sz w:val="22"/>
          <w:szCs w:val="22"/>
          <w:lang w:eastAsia="en-US"/>
        </w:rPr>
        <w:t xml:space="preserve"> et al (2015), claim that pupil progress is the most defining factors of a successful School. In many of these cases where pupils are not making adequate progression, it may be down to a lack of recall of relevant prior knowledge, and in other cases, pupils rely too heavily on the class teacher for help and are therefore unable to make sufficient progress.</w:t>
      </w:r>
    </w:p>
    <w:p w14:paraId="33440D69" w14:textId="3B7FF978" w:rsidR="00360E94" w:rsidRPr="00360E94" w:rsidRDefault="00FD5EC6" w:rsidP="00360E94">
      <w:pPr>
        <w:spacing w:after="160" w:line="259" w:lineRule="auto"/>
        <w:rPr>
          <w:rFonts w:ascii="Calibri" w:eastAsia="Calibri" w:hAnsi="Calibri"/>
          <w:color w:val="000000"/>
          <w:sz w:val="22"/>
          <w:szCs w:val="22"/>
          <w:lang w:eastAsia="en-US"/>
        </w:rPr>
      </w:pPr>
      <w:r>
        <w:rPr>
          <w:rFonts w:ascii="Calibri" w:eastAsia="Calibri" w:hAnsi="Calibri"/>
          <w:color w:val="000000"/>
          <w:sz w:val="22"/>
          <w:szCs w:val="22"/>
          <w:lang w:eastAsia="en-US"/>
        </w:rPr>
        <w:t>The school improvement plan</w:t>
      </w:r>
      <w:r w:rsidR="00360E94" w:rsidRPr="00360E94">
        <w:rPr>
          <w:rFonts w:ascii="Calibri" w:eastAsia="Calibri" w:hAnsi="Calibri"/>
          <w:color w:val="000000"/>
          <w:sz w:val="22"/>
          <w:szCs w:val="22"/>
          <w:lang w:eastAsia="en-US"/>
        </w:rPr>
        <w:t xml:space="preserve"> for School X reflects observations made by </w:t>
      </w:r>
      <w:proofErr w:type="spellStart"/>
      <w:r w:rsidR="00360E94" w:rsidRPr="00360E94">
        <w:rPr>
          <w:rFonts w:ascii="Calibri" w:eastAsia="Calibri" w:hAnsi="Calibri"/>
          <w:color w:val="000000"/>
          <w:sz w:val="22"/>
          <w:szCs w:val="22"/>
          <w:lang w:eastAsia="en-US"/>
        </w:rPr>
        <w:t>Estyn</w:t>
      </w:r>
      <w:proofErr w:type="spellEnd"/>
      <w:r w:rsidR="00360E94" w:rsidRPr="00360E94">
        <w:rPr>
          <w:rFonts w:ascii="Calibri" w:eastAsia="Calibri" w:hAnsi="Calibri"/>
          <w:color w:val="000000"/>
          <w:sz w:val="22"/>
          <w:szCs w:val="22"/>
          <w:lang w:eastAsia="en-US"/>
        </w:rPr>
        <w:t xml:space="preserve">, stating one of its priorities as improving literacy across the curriculum. The departmental improvement plan refers specifically to scientific literacy and comprehension and outlines that strategies need to be implemented such as improving access to prior knowledge as one such method to improving literacy in science lessons. Another </w:t>
      </w:r>
      <w:r>
        <w:rPr>
          <w:rFonts w:ascii="Calibri" w:eastAsia="Calibri" w:hAnsi="Calibri"/>
          <w:color w:val="000000"/>
          <w:sz w:val="22"/>
          <w:szCs w:val="22"/>
          <w:lang w:eastAsia="en-US"/>
        </w:rPr>
        <w:t>feature of the sch</w:t>
      </w:r>
      <w:r w:rsidR="007A6D0C">
        <w:rPr>
          <w:rFonts w:ascii="Calibri" w:eastAsia="Calibri" w:hAnsi="Calibri"/>
          <w:color w:val="000000"/>
          <w:sz w:val="22"/>
          <w:szCs w:val="22"/>
          <w:lang w:eastAsia="en-US"/>
        </w:rPr>
        <w:t>ool</w:t>
      </w:r>
      <w:r w:rsidR="00360E94" w:rsidRPr="00360E94">
        <w:rPr>
          <w:rFonts w:ascii="Calibri" w:eastAsia="Calibri" w:hAnsi="Calibri"/>
          <w:color w:val="000000"/>
          <w:sz w:val="22"/>
          <w:szCs w:val="22"/>
          <w:lang w:eastAsia="en-US"/>
        </w:rPr>
        <w:t xml:space="preserve"> that </w:t>
      </w:r>
      <w:proofErr w:type="spellStart"/>
      <w:r w:rsidR="00360E94" w:rsidRPr="00360E94">
        <w:rPr>
          <w:rFonts w:ascii="Calibri" w:eastAsia="Calibri" w:hAnsi="Calibri"/>
          <w:color w:val="000000"/>
          <w:sz w:val="22"/>
          <w:szCs w:val="22"/>
          <w:lang w:eastAsia="en-US"/>
        </w:rPr>
        <w:t>Estyn</w:t>
      </w:r>
      <w:proofErr w:type="spellEnd"/>
      <w:r w:rsidR="00360E94" w:rsidRPr="00360E94">
        <w:rPr>
          <w:rFonts w:ascii="Calibri" w:eastAsia="Calibri" w:hAnsi="Calibri"/>
          <w:color w:val="000000"/>
          <w:sz w:val="22"/>
          <w:szCs w:val="22"/>
          <w:lang w:eastAsia="en-US"/>
        </w:rPr>
        <w:t xml:space="preserve"> mentions is that in a minority of lessons, there is a very slow pace to learning, and in these cases often teachers fail to provide appropriately challenging tasks or activities that may be required to build new skills. In these lessons there is also too much support provided by the teachers which inhibits the amount of independent learning. Du</w:t>
      </w:r>
      <w:r>
        <w:rPr>
          <w:rFonts w:ascii="Calibri" w:eastAsia="Calibri" w:hAnsi="Calibri"/>
          <w:color w:val="000000"/>
          <w:sz w:val="22"/>
          <w:szCs w:val="22"/>
          <w:lang w:eastAsia="en-US"/>
        </w:rPr>
        <w:t>e to this, pupils don not make sufficient progress,</w:t>
      </w:r>
      <w:r w:rsidR="00360E94" w:rsidRPr="00360E94">
        <w:rPr>
          <w:rFonts w:ascii="Calibri" w:eastAsia="Calibri" w:hAnsi="Calibri"/>
          <w:color w:val="000000"/>
          <w:sz w:val="22"/>
          <w:szCs w:val="22"/>
          <w:lang w:eastAsia="en-US"/>
        </w:rPr>
        <w:t xml:space="preserve"> particularly the </w:t>
      </w:r>
      <w:proofErr w:type="gramStart"/>
      <w:r w:rsidR="00360E94" w:rsidRPr="00360E94">
        <w:rPr>
          <w:rFonts w:ascii="Calibri" w:eastAsia="Calibri" w:hAnsi="Calibri"/>
          <w:color w:val="000000"/>
          <w:sz w:val="22"/>
          <w:szCs w:val="22"/>
          <w:lang w:eastAsia="en-US"/>
        </w:rPr>
        <w:t>more able</w:t>
      </w:r>
      <w:proofErr w:type="gramEnd"/>
      <w:r w:rsidR="00360E94" w:rsidRPr="00360E94">
        <w:rPr>
          <w:rFonts w:ascii="Calibri" w:eastAsia="Calibri" w:hAnsi="Calibri"/>
          <w:color w:val="000000"/>
          <w:sz w:val="22"/>
          <w:szCs w:val="22"/>
          <w:lang w:eastAsia="en-US"/>
        </w:rPr>
        <w:t xml:space="preserve"> pupils. This is also one of the key foundations that underpins the new curriculum “Successful Futures”, that we need to develop independent and confident learners, so they can contribute to Wales and the wider World (Donaldson, 2015). This could also link in with another priority of School X which is to increase the number of pupils achieving five or more A/A* at GCSE. From the observations and recommendations made by </w:t>
      </w:r>
      <w:proofErr w:type="spellStart"/>
      <w:r w:rsidR="00360E94" w:rsidRPr="00360E94">
        <w:rPr>
          <w:rFonts w:ascii="Calibri" w:eastAsia="Calibri" w:hAnsi="Calibri"/>
          <w:color w:val="000000"/>
          <w:sz w:val="22"/>
          <w:szCs w:val="22"/>
          <w:lang w:eastAsia="en-US"/>
        </w:rPr>
        <w:t>Estyn</w:t>
      </w:r>
      <w:proofErr w:type="spellEnd"/>
      <w:r w:rsidR="00360E94" w:rsidRPr="00360E94">
        <w:rPr>
          <w:rFonts w:ascii="Calibri" w:eastAsia="Calibri" w:hAnsi="Calibri"/>
          <w:color w:val="000000"/>
          <w:sz w:val="22"/>
          <w:szCs w:val="22"/>
          <w:lang w:eastAsia="en-US"/>
        </w:rPr>
        <w:t xml:space="preserve">, and the priorities set out in the school improvement plan and the departmental improvement plan, it could be argued that there is necessary basis for research into new strategies to tackle comprehension in an attempt to raise standards of literacy. Based on this and the extensive literature reviewed previously, a strategy that involves an amalgamation of the strategies reviewed, that is suitably challenging and still maintains a degree independent learning may be beneficial to School X. </w:t>
      </w:r>
    </w:p>
    <w:p w14:paraId="54C34431" w14:textId="77777777" w:rsidR="00360E94" w:rsidRPr="00360E94" w:rsidRDefault="00360E94" w:rsidP="00360E94">
      <w:pPr>
        <w:spacing w:after="160" w:line="259" w:lineRule="auto"/>
        <w:rPr>
          <w:rFonts w:ascii="Calibri" w:eastAsia="Calibri" w:hAnsi="Calibri"/>
          <w:b/>
          <w:color w:val="000000"/>
          <w:sz w:val="22"/>
          <w:szCs w:val="22"/>
          <w:lang w:eastAsia="en-US"/>
        </w:rPr>
      </w:pPr>
      <w:r w:rsidRPr="00360E94">
        <w:rPr>
          <w:rFonts w:ascii="Calibri" w:eastAsia="Calibri" w:hAnsi="Calibri"/>
          <w:b/>
          <w:color w:val="000000"/>
          <w:sz w:val="22"/>
          <w:szCs w:val="22"/>
          <w:lang w:eastAsia="en-US"/>
        </w:rPr>
        <w:t xml:space="preserve">Methodology and Ethics </w:t>
      </w:r>
    </w:p>
    <w:p w14:paraId="621BFDD7" w14:textId="03F90215"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color w:val="000000"/>
          <w:sz w:val="22"/>
          <w:szCs w:val="22"/>
          <w:lang w:eastAsia="en-US"/>
        </w:rPr>
        <w:t>The aim of this study was to provide an easily repeatable strategy that liked together a number of different techniques to improve comprehension whilst maintain or improving independent learning in secondary school pupils. The investigation used pre and post testing to examine whether the strategy was successful in improving comprehension of secondary school pupils. Pre and post testing refers to the giving participants a test at the beginning of an investigation, pre-test, prior to any external teacher intervention and the participants receiving the same test after educational intervention, post-test. This enables the researcher to assume that any improvements made are as a result of any materials or knew knowledge received during the intervention process (Wilson et al, 1998). In the case of this study the outcome of the post-test defines whether the intervention strategy improved the comprehension skills of 29 participants in School X. The reason for the procedure of pre and post testing was chosen is that this is a particularly favourable method of evaluating learner outcomes in education (La Barge, 2007). This is because as mentioned above, it allows the researcher to eliminate any other factors affecting the post</w:t>
      </w:r>
      <w:r w:rsidR="00FD5EC6">
        <w:rPr>
          <w:rFonts w:ascii="Calibri" w:eastAsia="Calibri" w:hAnsi="Calibri"/>
          <w:color w:val="000000"/>
          <w:sz w:val="22"/>
          <w:szCs w:val="22"/>
          <w:lang w:eastAsia="en-US"/>
        </w:rPr>
        <w:t>-</w:t>
      </w:r>
      <w:r w:rsidRPr="00360E94">
        <w:rPr>
          <w:rFonts w:ascii="Calibri" w:eastAsia="Calibri" w:hAnsi="Calibri"/>
          <w:color w:val="000000"/>
          <w:sz w:val="22"/>
          <w:szCs w:val="22"/>
          <w:lang w:eastAsia="en-US"/>
        </w:rPr>
        <w:t xml:space="preserve">test result aside from the intervention process. Another reason is that this method of evaluating results suits itself well to test </w:t>
      </w:r>
      <w:r w:rsidRPr="00360E94">
        <w:rPr>
          <w:rFonts w:ascii="Calibri" w:eastAsia="Calibri" w:hAnsi="Calibri"/>
          <w:color w:val="000000"/>
          <w:sz w:val="22"/>
          <w:szCs w:val="22"/>
          <w:lang w:eastAsia="en-US"/>
        </w:rPr>
        <w:lastRenderedPageBreak/>
        <w:t>groups of around 30 participants (Newton, 1999). It should be taken into consideration however that</w:t>
      </w:r>
      <w:r w:rsidRPr="00360E94">
        <w:rPr>
          <w:rFonts w:ascii="Calibri" w:eastAsia="Calibri" w:hAnsi="Calibri"/>
          <w:sz w:val="22"/>
          <w:szCs w:val="22"/>
          <w:lang w:eastAsia="en-US"/>
        </w:rPr>
        <w:t xml:space="preserve"> pre and post testing method of evaluating results could be subject to the tests themselves being a material that stimulates learning by repetition and practice, therefore the data could be swayed during the post-test as a result of the collective effects of the intervention and the repeating of the test (Draper</w:t>
      </w:r>
      <w:r w:rsidR="00C36D6F">
        <w:rPr>
          <w:rFonts w:ascii="Calibri" w:eastAsia="Calibri" w:hAnsi="Calibri"/>
          <w:sz w:val="22"/>
          <w:szCs w:val="22"/>
          <w:lang w:eastAsia="en-US"/>
        </w:rPr>
        <w:t xml:space="preserve"> </w:t>
      </w:r>
      <w:r w:rsidRPr="00360E94">
        <w:rPr>
          <w:rFonts w:ascii="Calibri" w:eastAsia="Calibri" w:hAnsi="Calibri"/>
          <w:sz w:val="22"/>
          <w:szCs w:val="22"/>
          <w:lang w:eastAsia="en-US"/>
        </w:rPr>
        <w:t>et al, 1994). Therefore, this will be taken in to consideration when evaluating the data obtained from the research.</w:t>
      </w:r>
    </w:p>
    <w:p w14:paraId="66E60C7A" w14:textId="77777777" w:rsidR="00360E94" w:rsidRPr="00360E94" w:rsidRDefault="00360E94" w:rsidP="00360E94">
      <w:pPr>
        <w:spacing w:after="160" w:line="259" w:lineRule="auto"/>
        <w:rPr>
          <w:rFonts w:ascii="Calibri" w:eastAsia="Calibri" w:hAnsi="Calibri"/>
          <w:color w:val="000000"/>
          <w:sz w:val="22"/>
          <w:szCs w:val="22"/>
          <w:lang w:eastAsia="en-US"/>
        </w:rPr>
      </w:pPr>
      <w:r w:rsidRPr="00360E94">
        <w:rPr>
          <w:rFonts w:ascii="Calibri" w:eastAsia="Calibri" w:hAnsi="Calibri"/>
          <w:color w:val="000000"/>
          <w:sz w:val="22"/>
          <w:szCs w:val="22"/>
          <w:lang w:eastAsia="en-US"/>
        </w:rPr>
        <w:t xml:space="preserve">During research of this kind, social or educational research, it is essential that we take ethics in to consideration. Social research can be defined as any research that collates and analyses the views and or experiences of young people (Allison &amp; Morrow, 2011). As stated previously, to preserve anonymity and comply with the Ethics Committee all individuals in the study will be referred to as Pupil 1, Pupil 2, Pupil 3 </w:t>
      </w:r>
      <w:proofErr w:type="spellStart"/>
      <w:r w:rsidRPr="00360E94">
        <w:rPr>
          <w:rFonts w:ascii="Calibri" w:eastAsia="Calibri" w:hAnsi="Calibri"/>
          <w:color w:val="000000"/>
          <w:sz w:val="22"/>
          <w:szCs w:val="22"/>
          <w:lang w:eastAsia="en-US"/>
        </w:rPr>
        <w:t>etc</w:t>
      </w:r>
      <w:proofErr w:type="spellEnd"/>
      <w:r w:rsidRPr="00360E94">
        <w:rPr>
          <w:rFonts w:ascii="Calibri" w:eastAsia="Calibri" w:hAnsi="Calibri"/>
          <w:color w:val="000000"/>
          <w:sz w:val="22"/>
          <w:szCs w:val="22"/>
          <w:lang w:eastAsia="en-US"/>
        </w:rPr>
        <w:t>, and the school involved in the research will be referred to as School X (BERA, 2011).</w:t>
      </w:r>
    </w:p>
    <w:p w14:paraId="22798953" w14:textId="3DD6A759" w:rsidR="00360E94" w:rsidRPr="00360E94" w:rsidRDefault="00360E94" w:rsidP="00360E94">
      <w:pPr>
        <w:spacing w:after="160" w:line="259" w:lineRule="auto"/>
        <w:rPr>
          <w:rFonts w:ascii="Calibri" w:eastAsia="Calibri" w:hAnsi="Calibri"/>
          <w:color w:val="000000"/>
          <w:sz w:val="22"/>
          <w:szCs w:val="22"/>
          <w:lang w:eastAsia="en-US"/>
        </w:rPr>
      </w:pPr>
      <w:r w:rsidRPr="00360E94">
        <w:rPr>
          <w:rFonts w:ascii="Calibri" w:eastAsia="Calibri" w:hAnsi="Calibri"/>
          <w:color w:val="000000"/>
          <w:sz w:val="22"/>
          <w:szCs w:val="22"/>
          <w:lang w:eastAsia="en-US"/>
        </w:rPr>
        <w:t>Before conducting the study, each participant was made fully aware of their rights, that their anonymity would be preserved, their data will be stored on an encrypted USB drive that is to be destroyed after the study is complete and that they were permitted to remove themselves from the research group at any point during the investigation. During the investigation process,</w:t>
      </w:r>
      <w:r w:rsidR="00FD5EC6">
        <w:rPr>
          <w:rFonts w:ascii="Calibri" w:eastAsia="Calibri" w:hAnsi="Calibri"/>
          <w:color w:val="000000"/>
          <w:sz w:val="22"/>
          <w:szCs w:val="22"/>
          <w:lang w:eastAsia="en-US"/>
        </w:rPr>
        <w:t xml:space="preserve"> all</w:t>
      </w:r>
      <w:r w:rsidRPr="00360E94">
        <w:rPr>
          <w:rFonts w:ascii="Calibri" w:eastAsia="Calibri" w:hAnsi="Calibri"/>
          <w:color w:val="000000"/>
          <w:sz w:val="22"/>
          <w:szCs w:val="22"/>
          <w:lang w:eastAsia="en-US"/>
        </w:rPr>
        <w:t xml:space="preserve"> participant</w:t>
      </w:r>
      <w:r w:rsidR="00FD5EC6">
        <w:rPr>
          <w:rFonts w:ascii="Calibri" w:eastAsia="Calibri" w:hAnsi="Calibri"/>
          <w:color w:val="000000"/>
          <w:sz w:val="22"/>
          <w:szCs w:val="22"/>
          <w:lang w:eastAsia="en-US"/>
        </w:rPr>
        <w:t>s</w:t>
      </w:r>
      <w:r w:rsidRPr="00360E94">
        <w:rPr>
          <w:rFonts w:ascii="Calibri" w:eastAsia="Calibri" w:hAnsi="Calibri"/>
          <w:color w:val="000000"/>
          <w:sz w:val="22"/>
          <w:szCs w:val="22"/>
          <w:lang w:eastAsia="en-US"/>
        </w:rPr>
        <w:t xml:space="preserve"> treated exactly the same way and the research was delivered to each participant simultaneously by the exact same means. </w:t>
      </w:r>
    </w:p>
    <w:p w14:paraId="2B96094C" w14:textId="77777777" w:rsidR="00360E94" w:rsidRPr="00360E94" w:rsidRDefault="00360E94" w:rsidP="00360E94">
      <w:pPr>
        <w:spacing w:after="160" w:line="259" w:lineRule="auto"/>
        <w:rPr>
          <w:rFonts w:ascii="Calibri" w:eastAsia="Calibri" w:hAnsi="Calibri"/>
          <w:color w:val="000000"/>
          <w:sz w:val="22"/>
          <w:szCs w:val="22"/>
          <w:lang w:eastAsia="en-US"/>
        </w:rPr>
      </w:pPr>
      <w:r w:rsidRPr="00360E94">
        <w:rPr>
          <w:rFonts w:ascii="Calibri" w:eastAsia="Calibri" w:hAnsi="Calibri"/>
          <w:color w:val="000000"/>
          <w:sz w:val="22"/>
          <w:szCs w:val="22"/>
          <w:lang w:eastAsia="en-US"/>
        </w:rPr>
        <w:t xml:space="preserve">Immediately after briefing the participants, they were given the pre-test (Appendix A). The pre-test consisted of a comprehension style extract of information text describing how the national grid system works, the extract was then followed by 6 questions that related to the text, some of which required a degree of prior knowledge. The comprehension was taken from the WJEC GCSE specification and aims to assess scientific literacy competencies including, recalling information and data from the text, explaining scientific phenomena, inference skills and interpretation of data. </w:t>
      </w:r>
    </w:p>
    <w:p w14:paraId="35EF81C6" w14:textId="77777777" w:rsidR="00360E94" w:rsidRPr="00360E94" w:rsidRDefault="00360E94" w:rsidP="00360E94">
      <w:pPr>
        <w:spacing w:after="160" w:line="259" w:lineRule="auto"/>
        <w:rPr>
          <w:rFonts w:ascii="Calibri" w:eastAsia="Calibri" w:hAnsi="Calibri"/>
          <w:color w:val="000000"/>
          <w:sz w:val="22"/>
          <w:szCs w:val="22"/>
          <w:lang w:eastAsia="en-US"/>
        </w:rPr>
      </w:pPr>
      <w:r w:rsidRPr="00360E94">
        <w:rPr>
          <w:rFonts w:ascii="Calibri" w:eastAsia="Calibri" w:hAnsi="Calibri"/>
          <w:color w:val="000000"/>
          <w:sz w:val="22"/>
          <w:szCs w:val="22"/>
          <w:lang w:eastAsia="en-US"/>
        </w:rPr>
        <w:t>The next stage of the research involved the strategic intervention. The intervention comprised of a variation of the inference square model (Appendix B). The inference square model aims to allow learners to breakdown the process of inferring to be able to link key vocabulary, prior knowledge and generate questions. It does this by providing a stimulus such as an image in the middle of the page that is encompassed by three concentric rectangles that have prompts to develop connections, and generate questions about the stimulus that allow pupils develop a deeper understanding of the stimulus. The stimuli provided in this study were the questions asked in the post-tests. The model of inference squares was adapted to form “inference arrows”. The aim of the arrows was to encourage pupils to link, compare and build on answers based on the previous and succeeding arrows. Each arrow prompted a different response and aimed to develop well educated response. In total there were 4 questions comprising of 4 different prompts:</w:t>
      </w:r>
    </w:p>
    <w:p w14:paraId="4052689D" w14:textId="77777777" w:rsidR="00360E94" w:rsidRPr="00360E94" w:rsidRDefault="00360E94" w:rsidP="00360E94">
      <w:pPr>
        <w:spacing w:after="160" w:line="259" w:lineRule="auto"/>
        <w:rPr>
          <w:rFonts w:ascii="Calibri" w:eastAsia="Calibri" w:hAnsi="Calibri"/>
          <w:color w:val="000000"/>
          <w:sz w:val="22"/>
          <w:szCs w:val="22"/>
          <w:lang w:eastAsia="en-US"/>
        </w:rPr>
      </w:pPr>
      <w:r w:rsidRPr="00360E94">
        <w:rPr>
          <w:rFonts w:ascii="Calibri" w:eastAsia="Calibri" w:hAnsi="Calibri"/>
          <w:color w:val="000000"/>
          <w:sz w:val="22"/>
          <w:szCs w:val="22"/>
          <w:lang w:eastAsia="en-US"/>
        </w:rPr>
        <w:t xml:space="preserve">Arrow 1 – Question 1 </w:t>
      </w:r>
    </w:p>
    <w:p w14:paraId="34842727" w14:textId="1B2B2542" w:rsidR="00360E94" w:rsidRPr="00360E94" w:rsidRDefault="00360E94" w:rsidP="00360E94">
      <w:pPr>
        <w:spacing w:after="160" w:line="259" w:lineRule="auto"/>
        <w:rPr>
          <w:rFonts w:ascii="Calibri" w:eastAsia="Calibri" w:hAnsi="Calibri"/>
          <w:color w:val="000000"/>
          <w:sz w:val="22"/>
          <w:szCs w:val="22"/>
          <w:lang w:eastAsia="en-US"/>
        </w:rPr>
      </w:pPr>
      <w:r w:rsidRPr="00360E94">
        <w:rPr>
          <w:rFonts w:ascii="Calibri" w:eastAsia="Calibri" w:hAnsi="Calibri"/>
          <w:color w:val="000000"/>
          <w:sz w:val="22"/>
          <w:szCs w:val="22"/>
          <w:lang w:eastAsia="en-US"/>
        </w:rPr>
        <w:t xml:space="preserve">The first of which included the question: What is the question asking you? This arrow immediately promotes pupils to start generating their own questions and answers about the information given in the text and in the comprehension question itself. From the literature </w:t>
      </w:r>
      <w:r w:rsidR="00FD5EC6">
        <w:rPr>
          <w:rFonts w:ascii="Calibri" w:eastAsia="Calibri" w:hAnsi="Calibri"/>
          <w:color w:val="000000"/>
          <w:sz w:val="22"/>
          <w:szCs w:val="22"/>
          <w:lang w:eastAsia="en-US"/>
        </w:rPr>
        <w:t>reviewed earlier in the study</w:t>
      </w:r>
      <w:r w:rsidRPr="00360E94">
        <w:rPr>
          <w:rFonts w:ascii="Calibri" w:eastAsia="Calibri" w:hAnsi="Calibri"/>
          <w:color w:val="000000"/>
          <w:sz w:val="22"/>
          <w:szCs w:val="22"/>
          <w:lang w:eastAsia="en-US"/>
        </w:rPr>
        <w:t xml:space="preserve">, research done by both </w:t>
      </w:r>
      <w:proofErr w:type="spellStart"/>
      <w:r w:rsidRPr="00360E94">
        <w:rPr>
          <w:rFonts w:ascii="Calibri" w:eastAsia="Calibri" w:hAnsi="Calibri"/>
          <w:color w:val="000000"/>
          <w:sz w:val="22"/>
          <w:szCs w:val="22"/>
          <w:lang w:eastAsia="en-US"/>
        </w:rPr>
        <w:t>Taboada</w:t>
      </w:r>
      <w:proofErr w:type="spellEnd"/>
      <w:r w:rsidRPr="00360E94">
        <w:rPr>
          <w:rFonts w:ascii="Calibri" w:eastAsia="Calibri" w:hAnsi="Calibri"/>
          <w:color w:val="000000"/>
          <w:sz w:val="22"/>
          <w:szCs w:val="22"/>
          <w:lang w:eastAsia="en-US"/>
        </w:rPr>
        <w:t xml:space="preserve"> &amp; Guthrie (2006) and </w:t>
      </w:r>
      <w:proofErr w:type="spellStart"/>
      <w:r w:rsidRPr="00360E94">
        <w:rPr>
          <w:rFonts w:ascii="Calibri" w:eastAsia="Calibri" w:hAnsi="Calibri"/>
          <w:color w:val="000000"/>
          <w:sz w:val="22"/>
          <w:szCs w:val="22"/>
          <w:lang w:eastAsia="en-US"/>
        </w:rPr>
        <w:t>Therrien</w:t>
      </w:r>
      <w:proofErr w:type="spellEnd"/>
      <w:r w:rsidRPr="00360E94">
        <w:rPr>
          <w:rFonts w:ascii="Calibri" w:eastAsia="Calibri" w:hAnsi="Calibri"/>
          <w:color w:val="000000"/>
          <w:sz w:val="22"/>
          <w:szCs w:val="22"/>
          <w:lang w:eastAsia="en-US"/>
        </w:rPr>
        <w:t xml:space="preserve"> &amp; Hughes (2008) claims that when readers are able to generate questions about information they are reading it significantly improves understanding and comprehension. This is further reinforced by Weinstein et al (2010) who concluded that the when one generates their own questions about the text it not only has a positive effect on understanding but it improves recall and test results in comprehension based questions. </w:t>
      </w:r>
    </w:p>
    <w:p w14:paraId="4CDECE05" w14:textId="77777777" w:rsidR="00360E94" w:rsidRPr="00360E94" w:rsidRDefault="00360E94" w:rsidP="00360E94">
      <w:pPr>
        <w:spacing w:after="160" w:line="259" w:lineRule="auto"/>
        <w:rPr>
          <w:rFonts w:ascii="Calibri" w:eastAsia="Calibri" w:hAnsi="Calibri"/>
          <w:color w:val="000000"/>
          <w:sz w:val="22"/>
          <w:szCs w:val="22"/>
          <w:lang w:eastAsia="en-US"/>
        </w:rPr>
      </w:pPr>
      <w:r w:rsidRPr="00360E94">
        <w:rPr>
          <w:rFonts w:ascii="Calibri" w:eastAsia="Calibri" w:hAnsi="Calibri"/>
          <w:color w:val="000000"/>
          <w:sz w:val="22"/>
          <w:szCs w:val="22"/>
          <w:lang w:eastAsia="en-US"/>
        </w:rPr>
        <w:lastRenderedPageBreak/>
        <w:t>Arrow 2 – Question 2</w:t>
      </w:r>
    </w:p>
    <w:p w14:paraId="1A928144" w14:textId="77777777" w:rsidR="00360E94" w:rsidRPr="00360E94" w:rsidRDefault="00360E94" w:rsidP="00360E94">
      <w:pPr>
        <w:spacing w:after="160" w:line="259" w:lineRule="auto"/>
        <w:rPr>
          <w:rFonts w:ascii="Calibri" w:eastAsia="Calibri" w:hAnsi="Calibri"/>
          <w:color w:val="000000"/>
          <w:sz w:val="22"/>
          <w:szCs w:val="22"/>
          <w:lang w:eastAsia="en-US"/>
        </w:rPr>
      </w:pPr>
      <w:r w:rsidRPr="00360E94">
        <w:rPr>
          <w:rFonts w:ascii="Calibri" w:eastAsia="Calibri" w:hAnsi="Calibri"/>
          <w:color w:val="000000"/>
          <w:sz w:val="22"/>
          <w:szCs w:val="22"/>
          <w:lang w:eastAsia="en-US"/>
        </w:rPr>
        <w:t xml:space="preserve">The second arrow asked the question; What information about the question do you already know? This question prompted the participants to activate their prior knowledge about the topic and begin linking it to the previous question. Although research by Cain et al (2001) deduced that activating prior knowledge had little influence on improving comprehension, the decision to include it in the intervention was based on research done by researchers such as </w:t>
      </w:r>
      <w:proofErr w:type="spellStart"/>
      <w:r w:rsidRPr="00360E94">
        <w:rPr>
          <w:rFonts w:ascii="Calibri" w:eastAsia="Calibri" w:hAnsi="Calibri"/>
          <w:color w:val="000000"/>
          <w:sz w:val="22"/>
          <w:szCs w:val="22"/>
          <w:lang w:eastAsia="en-US"/>
        </w:rPr>
        <w:t>Kostons</w:t>
      </w:r>
      <w:proofErr w:type="spellEnd"/>
      <w:r w:rsidRPr="00360E94">
        <w:rPr>
          <w:rFonts w:ascii="Calibri" w:eastAsia="Calibri" w:hAnsi="Calibri"/>
          <w:color w:val="000000"/>
          <w:sz w:val="22"/>
          <w:szCs w:val="22"/>
          <w:lang w:eastAsia="en-US"/>
        </w:rPr>
        <w:t xml:space="preserve"> &amp; van Der </w:t>
      </w:r>
      <w:proofErr w:type="spellStart"/>
      <w:r w:rsidRPr="00360E94">
        <w:rPr>
          <w:rFonts w:ascii="Calibri" w:eastAsia="Calibri" w:hAnsi="Calibri"/>
          <w:color w:val="000000"/>
          <w:sz w:val="22"/>
          <w:szCs w:val="22"/>
          <w:lang w:eastAsia="en-US"/>
        </w:rPr>
        <w:t>Werf</w:t>
      </w:r>
      <w:proofErr w:type="spellEnd"/>
      <w:r w:rsidRPr="00360E94">
        <w:rPr>
          <w:rFonts w:ascii="Calibri" w:eastAsia="Calibri" w:hAnsi="Calibri"/>
          <w:color w:val="000000"/>
          <w:sz w:val="22"/>
          <w:szCs w:val="22"/>
          <w:lang w:eastAsia="en-US"/>
        </w:rPr>
        <w:t xml:space="preserve"> (2015) who claimed that activating prior knowledge has a beneficial impact on comprehension and understanding. This coupled with findings from notable scientists, psychologists and educators such as Piaget (1953) justified the incorporation of activating prior knowledge in this intervention strategy. Piaget affirmed that the in order for learners to learn new knowledge and develop new information, prior knowledge known as schemas need to be built upon. This process is known as the assimilation stage. This is also supported by researchers such as Andre (1987) and Day (2012) who both sustain that, for learners to develop new ideas and learn new knowledge they must build on their existing knowledge.</w:t>
      </w:r>
    </w:p>
    <w:p w14:paraId="0175D351" w14:textId="77777777" w:rsidR="00360E94" w:rsidRPr="00360E94" w:rsidRDefault="00360E94" w:rsidP="00360E94">
      <w:pPr>
        <w:spacing w:after="160" w:line="259" w:lineRule="auto"/>
        <w:rPr>
          <w:rFonts w:ascii="Calibri" w:eastAsia="Calibri" w:hAnsi="Calibri"/>
          <w:color w:val="000000"/>
          <w:sz w:val="22"/>
          <w:szCs w:val="22"/>
          <w:lang w:eastAsia="en-US"/>
        </w:rPr>
      </w:pPr>
      <w:r w:rsidRPr="00360E94">
        <w:rPr>
          <w:rFonts w:ascii="Calibri" w:eastAsia="Calibri" w:hAnsi="Calibri"/>
          <w:color w:val="000000"/>
          <w:sz w:val="22"/>
          <w:szCs w:val="22"/>
          <w:lang w:eastAsia="en-US"/>
        </w:rPr>
        <w:t>Arrow 3 – Question 3</w:t>
      </w:r>
    </w:p>
    <w:p w14:paraId="20387417" w14:textId="77777777" w:rsidR="00360E94" w:rsidRPr="00360E94" w:rsidRDefault="00360E94" w:rsidP="00360E94">
      <w:pPr>
        <w:spacing w:after="160" w:line="259" w:lineRule="auto"/>
        <w:rPr>
          <w:rFonts w:ascii="Calibri" w:eastAsia="Calibri" w:hAnsi="Calibri"/>
          <w:color w:val="000000"/>
          <w:sz w:val="22"/>
          <w:szCs w:val="22"/>
          <w:lang w:eastAsia="en-US"/>
        </w:rPr>
      </w:pPr>
      <w:r w:rsidRPr="00360E94">
        <w:rPr>
          <w:rFonts w:ascii="Calibri" w:eastAsia="Calibri" w:hAnsi="Calibri"/>
          <w:color w:val="000000"/>
          <w:sz w:val="22"/>
          <w:szCs w:val="22"/>
          <w:lang w:eastAsia="en-US"/>
        </w:rPr>
        <w:t xml:space="preserve">The third question involved the participants answering the question: What information about the question can we get from the text? The aim of this question was to encourage participants to re-read the question and information and to establish the main ideas needed to answer the question, it stimulated them to delete any unrelated information and focus on the relevant information to answer the question. The motive for choosing this question was to incorporate as many strategies for summarising in a single question response. It incorporates at least three of the five main strategies suggested by both </w:t>
      </w:r>
      <w:proofErr w:type="spellStart"/>
      <w:r w:rsidRPr="00360E94">
        <w:rPr>
          <w:rFonts w:ascii="Calibri" w:eastAsia="Calibri" w:hAnsi="Calibri"/>
          <w:color w:val="000000"/>
          <w:sz w:val="22"/>
          <w:szCs w:val="22"/>
          <w:lang w:eastAsia="en-US"/>
        </w:rPr>
        <w:t>Moranzo</w:t>
      </w:r>
      <w:proofErr w:type="spellEnd"/>
      <w:r w:rsidRPr="00360E94">
        <w:rPr>
          <w:rFonts w:ascii="Calibri" w:eastAsia="Calibri" w:hAnsi="Calibri"/>
          <w:color w:val="000000"/>
          <w:sz w:val="22"/>
          <w:szCs w:val="22"/>
          <w:lang w:eastAsia="en-US"/>
        </w:rPr>
        <w:t xml:space="preserve"> (2010) and </w:t>
      </w:r>
      <w:proofErr w:type="spellStart"/>
      <w:r w:rsidRPr="00360E94">
        <w:rPr>
          <w:rFonts w:ascii="Calibri" w:eastAsia="Calibri" w:hAnsi="Calibri"/>
          <w:color w:val="000000"/>
          <w:sz w:val="22"/>
          <w:szCs w:val="22"/>
          <w:lang w:eastAsia="en-US"/>
        </w:rPr>
        <w:t>Dymock</w:t>
      </w:r>
      <w:proofErr w:type="spellEnd"/>
      <w:r w:rsidRPr="00360E94">
        <w:rPr>
          <w:rFonts w:ascii="Calibri" w:eastAsia="Calibri" w:hAnsi="Calibri"/>
          <w:color w:val="000000"/>
          <w:sz w:val="22"/>
          <w:szCs w:val="22"/>
          <w:lang w:eastAsia="en-US"/>
        </w:rPr>
        <w:t xml:space="preserve"> &amp; Nicholson, re-reading text, removing irrelevant information, and selecting the main ideas. </w:t>
      </w:r>
    </w:p>
    <w:p w14:paraId="30CA4989" w14:textId="77777777" w:rsidR="00360E94" w:rsidRPr="00360E94" w:rsidRDefault="00360E94" w:rsidP="00360E94">
      <w:pPr>
        <w:spacing w:after="160" w:line="259" w:lineRule="auto"/>
        <w:rPr>
          <w:rFonts w:ascii="Calibri" w:eastAsia="Calibri" w:hAnsi="Calibri"/>
          <w:color w:val="000000"/>
          <w:sz w:val="22"/>
          <w:szCs w:val="22"/>
          <w:lang w:eastAsia="en-US"/>
        </w:rPr>
      </w:pPr>
      <w:r w:rsidRPr="00360E94">
        <w:rPr>
          <w:rFonts w:ascii="Calibri" w:eastAsia="Calibri" w:hAnsi="Calibri"/>
          <w:color w:val="000000"/>
          <w:sz w:val="22"/>
          <w:szCs w:val="22"/>
          <w:lang w:eastAsia="en-US"/>
        </w:rPr>
        <w:t xml:space="preserve">Arrow 4 – Keywords </w:t>
      </w:r>
    </w:p>
    <w:p w14:paraId="5B73CE11" w14:textId="77777777" w:rsidR="00360E94" w:rsidRPr="00360E94" w:rsidRDefault="00360E94" w:rsidP="00360E94">
      <w:pPr>
        <w:spacing w:after="160" w:line="259" w:lineRule="auto"/>
        <w:rPr>
          <w:rFonts w:ascii="Calibri" w:eastAsia="Calibri" w:hAnsi="Calibri"/>
          <w:color w:val="FF0000"/>
          <w:sz w:val="22"/>
          <w:szCs w:val="22"/>
          <w:lang w:eastAsia="en-US"/>
        </w:rPr>
      </w:pPr>
      <w:r w:rsidRPr="00360E94">
        <w:rPr>
          <w:rFonts w:ascii="Calibri" w:eastAsia="Calibri" w:hAnsi="Calibri"/>
          <w:color w:val="000000"/>
          <w:sz w:val="22"/>
          <w:szCs w:val="22"/>
          <w:lang w:eastAsia="en-US"/>
        </w:rPr>
        <w:t xml:space="preserve">The fourth and final arrow simply prompted the participants to note down key words. There were two aims of this arrow. The first was to encourage the participants to identify the necessary key words in order to provide the basis for the four arrows together to act as a simple semantic organiser where the learners could piece together the relationships they have gathered form all of the four arrows and develop a visual representation of a successful answer. Justification for this inference arrow was based evidence from </w:t>
      </w:r>
      <w:proofErr w:type="spellStart"/>
      <w:r w:rsidRPr="00360E94">
        <w:rPr>
          <w:rFonts w:ascii="Calibri" w:eastAsia="Calibri" w:hAnsi="Calibri"/>
          <w:color w:val="000000"/>
          <w:sz w:val="22"/>
          <w:szCs w:val="22"/>
          <w:lang w:eastAsia="en-US"/>
        </w:rPr>
        <w:t>Condidorio</w:t>
      </w:r>
      <w:proofErr w:type="spellEnd"/>
      <w:r w:rsidRPr="00360E94">
        <w:rPr>
          <w:rFonts w:ascii="Calibri" w:eastAsia="Calibri" w:hAnsi="Calibri"/>
          <w:color w:val="000000"/>
          <w:sz w:val="22"/>
          <w:szCs w:val="22"/>
          <w:lang w:eastAsia="en-US"/>
        </w:rPr>
        <w:t xml:space="preserve"> (2010) who suggested that being able to construct a semantic map has particular beneficial effects on scientific comprehension. He links the ability to draw upon a visual representation of the relationship between the text and the question and the learners’ ability to work more independently. </w:t>
      </w:r>
    </w:p>
    <w:p w14:paraId="04B55AB4" w14:textId="77777777" w:rsidR="00360E94" w:rsidRPr="00360E94" w:rsidRDefault="00360E94" w:rsidP="00360E94">
      <w:pPr>
        <w:spacing w:after="160" w:line="259" w:lineRule="auto"/>
        <w:rPr>
          <w:rFonts w:ascii="Calibri" w:eastAsia="Calibri" w:hAnsi="Calibri"/>
          <w:color w:val="000000"/>
          <w:sz w:val="22"/>
          <w:szCs w:val="22"/>
          <w:lang w:eastAsia="en-US"/>
        </w:rPr>
      </w:pPr>
      <w:r w:rsidRPr="00360E94">
        <w:rPr>
          <w:rFonts w:ascii="Calibri" w:eastAsia="Calibri" w:hAnsi="Calibri"/>
          <w:color w:val="000000"/>
          <w:sz w:val="22"/>
          <w:szCs w:val="22"/>
          <w:lang w:eastAsia="en-US"/>
        </w:rPr>
        <w:t xml:space="preserve">The inference arrows as a whole provide a “Multiple strategy approach” to confronting comprehension question it aims to build upon and integrate as many strategies as possible in a limited time frame whilst still challenging pupils to work individually. Another characteristic of the inference arrows that lends itself to the multiple strategy approach is the element of waiting time they allow the pupils to incorporate into their process of answering the question, where they are able to produce a mental and physical plan on how to answer the questions. Goodwin (1983) suggested that when learners were allowed appropriate waiting time it has profound effects on the pupils’ abilities to respond to questions, develop inferences and generate questions of their own. All of which, form the evidence seen in the literature review, contribute to improved comprehension and literacy skills. This is developed from research done by Rowe (1974) who maintained that it is necessary for educators to allow adequate waiting time to stimulate higher order thinking skills. </w:t>
      </w:r>
      <w:r w:rsidRPr="00360E94">
        <w:rPr>
          <w:rFonts w:ascii="Calibri" w:eastAsia="Calibri" w:hAnsi="Calibri"/>
          <w:color w:val="000000"/>
          <w:sz w:val="22"/>
          <w:szCs w:val="22"/>
          <w:lang w:eastAsia="en-US"/>
        </w:rPr>
        <w:lastRenderedPageBreak/>
        <w:t xml:space="preserve">However, Goodwin does also claim that having too much waiting time can have a detrimental impact on learning so it is important to find an adequate balance between giving pupils enough time to develop higher order thinking skills and waiting valuable learning time. Considering this, I believe as the thinking time was determined by the participants themselves it gave them the freedom to explore higher order thinking skills as well as providing them with the responsibility to complete the test, allowing them to be accountable for their own learning. </w:t>
      </w:r>
    </w:p>
    <w:p w14:paraId="3C655234" w14:textId="6DDC999E" w:rsidR="00360E94" w:rsidRPr="00360E94" w:rsidRDefault="00360E94" w:rsidP="00360E94">
      <w:pPr>
        <w:spacing w:after="160" w:line="259" w:lineRule="auto"/>
        <w:rPr>
          <w:rFonts w:ascii="Calibri" w:eastAsia="Calibri" w:hAnsi="Calibri"/>
          <w:color w:val="000000"/>
          <w:sz w:val="22"/>
          <w:szCs w:val="22"/>
          <w:lang w:eastAsia="en-US"/>
        </w:rPr>
      </w:pPr>
      <w:r w:rsidRPr="00360E94">
        <w:rPr>
          <w:rFonts w:ascii="Calibri" w:eastAsia="Calibri" w:hAnsi="Calibri"/>
          <w:color w:val="000000"/>
          <w:sz w:val="22"/>
          <w:szCs w:val="22"/>
          <w:lang w:eastAsia="en-US"/>
        </w:rPr>
        <w:t xml:space="preserve"> It is important to note that no new knowledge or information about the content of the pre-test was taught during the intervention process. The process of intervention simply consisted of a short teacher instruction on how to use the Inference arrows and apply them to answering the questions efficiently. The Inference arrows were given to each participant to use alongside the post-test</w:t>
      </w:r>
      <w:r w:rsidR="00447025">
        <w:rPr>
          <w:rFonts w:ascii="Calibri" w:eastAsia="Calibri" w:hAnsi="Calibri"/>
          <w:color w:val="000000"/>
          <w:sz w:val="22"/>
          <w:szCs w:val="22"/>
          <w:lang w:eastAsia="en-US"/>
        </w:rPr>
        <w:t xml:space="preserve"> (Appendix C)</w:t>
      </w:r>
      <w:r w:rsidRPr="00360E94">
        <w:rPr>
          <w:rFonts w:ascii="Calibri" w:eastAsia="Calibri" w:hAnsi="Calibri"/>
          <w:color w:val="000000"/>
          <w:sz w:val="22"/>
          <w:szCs w:val="22"/>
          <w:lang w:eastAsia="en-US"/>
        </w:rPr>
        <w:t xml:space="preserve">. The post-test consisted of the same comprehension extract and questions as used in the pre-test, the difference being, each participant was actively encouraged to use the inference arrows to support them with the comprehension questions.  </w:t>
      </w:r>
    </w:p>
    <w:p w14:paraId="160F722E" w14:textId="77777777" w:rsidR="00360E94" w:rsidRPr="00360E94" w:rsidRDefault="00360E94" w:rsidP="00360E94">
      <w:pPr>
        <w:spacing w:after="160" w:line="259" w:lineRule="auto"/>
        <w:rPr>
          <w:rFonts w:ascii="Calibri" w:eastAsia="Calibri" w:hAnsi="Calibri"/>
          <w:b/>
          <w:color w:val="000000"/>
          <w:sz w:val="22"/>
          <w:szCs w:val="22"/>
          <w:lang w:eastAsia="en-US"/>
        </w:rPr>
      </w:pPr>
      <w:r w:rsidRPr="00360E94">
        <w:rPr>
          <w:rFonts w:ascii="Calibri" w:eastAsia="Calibri" w:hAnsi="Calibri"/>
          <w:b/>
          <w:color w:val="000000"/>
          <w:sz w:val="22"/>
          <w:szCs w:val="22"/>
          <w:lang w:eastAsia="en-US"/>
        </w:rPr>
        <w:t xml:space="preserve">Results </w:t>
      </w:r>
    </w:p>
    <w:p w14:paraId="699C07A7" w14:textId="77777777" w:rsidR="00360E94" w:rsidRPr="00360E94" w:rsidRDefault="00360E94" w:rsidP="00360E94">
      <w:pPr>
        <w:spacing w:after="160" w:line="259" w:lineRule="auto"/>
        <w:rPr>
          <w:rFonts w:ascii="Calibri" w:eastAsia="Calibri" w:hAnsi="Calibri"/>
          <w:b/>
          <w:color w:val="000000"/>
          <w:sz w:val="22"/>
          <w:szCs w:val="22"/>
          <w:lang w:eastAsia="en-US"/>
        </w:rPr>
      </w:pPr>
      <w:r w:rsidRPr="00360E94">
        <w:rPr>
          <w:rFonts w:ascii="Calibri" w:eastAsia="Calibri" w:hAnsi="Calibri"/>
          <w:b/>
          <w:color w:val="000000"/>
          <w:sz w:val="22"/>
          <w:szCs w:val="22"/>
          <w:lang w:eastAsia="en-US"/>
        </w:rPr>
        <w:t>Group A</w:t>
      </w:r>
    </w:p>
    <w:tbl>
      <w:tblPr>
        <w:tblStyle w:val="TableGrid1"/>
        <w:tblpPr w:leftFromText="180" w:rightFromText="180" w:vertAnchor="text" w:tblpY="1"/>
        <w:tblOverlap w:val="never"/>
        <w:tblW w:w="0" w:type="auto"/>
        <w:tblLook w:val="04A0" w:firstRow="1" w:lastRow="0" w:firstColumn="1" w:lastColumn="0" w:noHBand="0" w:noVBand="1"/>
      </w:tblPr>
      <w:tblGrid>
        <w:gridCol w:w="2317"/>
        <w:gridCol w:w="2145"/>
        <w:gridCol w:w="2317"/>
      </w:tblGrid>
      <w:tr w:rsidR="00360E94" w:rsidRPr="00360E94" w14:paraId="5F70D1E5" w14:textId="77777777" w:rsidTr="00EA4200">
        <w:trPr>
          <w:trHeight w:val="307"/>
        </w:trPr>
        <w:tc>
          <w:tcPr>
            <w:tcW w:w="2317" w:type="dxa"/>
            <w:noWrap/>
            <w:hideMark/>
          </w:tcPr>
          <w:p w14:paraId="21DE93AC" w14:textId="77777777" w:rsidR="00360E94" w:rsidRPr="00360E94" w:rsidRDefault="00360E94" w:rsidP="00360E94">
            <w:pPr>
              <w:spacing w:after="160" w:line="259" w:lineRule="auto"/>
              <w:jc w:val="center"/>
              <w:rPr>
                <w:color w:val="000000"/>
                <w:lang w:eastAsia="en-US"/>
              </w:rPr>
            </w:pPr>
            <w:r w:rsidRPr="00360E94">
              <w:rPr>
                <w:color w:val="000000"/>
                <w:lang w:eastAsia="en-US"/>
              </w:rPr>
              <w:t>Pupil</w:t>
            </w:r>
          </w:p>
        </w:tc>
        <w:tc>
          <w:tcPr>
            <w:tcW w:w="2145" w:type="dxa"/>
            <w:noWrap/>
            <w:hideMark/>
          </w:tcPr>
          <w:p w14:paraId="72D3E694" w14:textId="77777777" w:rsidR="00360E94" w:rsidRPr="00360E94" w:rsidRDefault="00360E94" w:rsidP="00360E94">
            <w:pPr>
              <w:spacing w:after="160" w:line="259" w:lineRule="auto"/>
              <w:jc w:val="center"/>
              <w:rPr>
                <w:color w:val="000000"/>
                <w:lang w:eastAsia="en-US"/>
              </w:rPr>
            </w:pPr>
            <w:r w:rsidRPr="00360E94">
              <w:rPr>
                <w:color w:val="000000"/>
                <w:lang w:eastAsia="en-US"/>
              </w:rPr>
              <w:t>Pre-test Score</w:t>
            </w:r>
          </w:p>
        </w:tc>
        <w:tc>
          <w:tcPr>
            <w:tcW w:w="2317" w:type="dxa"/>
            <w:noWrap/>
            <w:hideMark/>
          </w:tcPr>
          <w:p w14:paraId="4641A557" w14:textId="77777777" w:rsidR="00360E94" w:rsidRPr="00360E94" w:rsidRDefault="00360E94" w:rsidP="00360E94">
            <w:pPr>
              <w:spacing w:after="160" w:line="259" w:lineRule="auto"/>
              <w:jc w:val="center"/>
              <w:rPr>
                <w:color w:val="000000"/>
                <w:lang w:eastAsia="en-US"/>
              </w:rPr>
            </w:pPr>
            <w:r w:rsidRPr="00360E94">
              <w:rPr>
                <w:color w:val="000000"/>
                <w:lang w:eastAsia="en-US"/>
              </w:rPr>
              <w:t>Post -test Score</w:t>
            </w:r>
          </w:p>
        </w:tc>
      </w:tr>
      <w:tr w:rsidR="00360E94" w:rsidRPr="00360E94" w14:paraId="06CF033A" w14:textId="77777777" w:rsidTr="00EA4200">
        <w:trPr>
          <w:trHeight w:val="307"/>
        </w:trPr>
        <w:tc>
          <w:tcPr>
            <w:tcW w:w="2317" w:type="dxa"/>
            <w:noWrap/>
            <w:hideMark/>
          </w:tcPr>
          <w:p w14:paraId="06312F7D" w14:textId="77777777" w:rsidR="00360E94" w:rsidRPr="00360E94" w:rsidRDefault="00360E94" w:rsidP="00360E94">
            <w:pPr>
              <w:spacing w:after="160" w:line="259" w:lineRule="auto"/>
              <w:jc w:val="center"/>
              <w:rPr>
                <w:color w:val="000000"/>
                <w:lang w:eastAsia="en-US"/>
              </w:rPr>
            </w:pPr>
            <w:r w:rsidRPr="00360E94">
              <w:rPr>
                <w:color w:val="000000"/>
                <w:lang w:eastAsia="en-US"/>
              </w:rPr>
              <w:t>1</w:t>
            </w:r>
          </w:p>
        </w:tc>
        <w:tc>
          <w:tcPr>
            <w:tcW w:w="2145" w:type="dxa"/>
            <w:noWrap/>
            <w:hideMark/>
          </w:tcPr>
          <w:p w14:paraId="27F7741A" w14:textId="77777777" w:rsidR="00360E94" w:rsidRPr="00360E94" w:rsidRDefault="00360E94" w:rsidP="00360E94">
            <w:pPr>
              <w:spacing w:after="160" w:line="259" w:lineRule="auto"/>
              <w:jc w:val="center"/>
              <w:rPr>
                <w:color w:val="000000"/>
                <w:lang w:eastAsia="en-US"/>
              </w:rPr>
            </w:pPr>
            <w:r w:rsidRPr="00360E94">
              <w:rPr>
                <w:color w:val="000000"/>
                <w:lang w:eastAsia="en-US"/>
              </w:rPr>
              <w:t>0</w:t>
            </w:r>
          </w:p>
        </w:tc>
        <w:tc>
          <w:tcPr>
            <w:tcW w:w="2317" w:type="dxa"/>
            <w:noWrap/>
            <w:hideMark/>
          </w:tcPr>
          <w:p w14:paraId="5B2DCAEE" w14:textId="77777777" w:rsidR="00360E94" w:rsidRPr="00360E94" w:rsidRDefault="00360E94" w:rsidP="00360E94">
            <w:pPr>
              <w:spacing w:after="160" w:line="259" w:lineRule="auto"/>
              <w:jc w:val="center"/>
              <w:rPr>
                <w:color w:val="000000"/>
                <w:lang w:eastAsia="en-US"/>
              </w:rPr>
            </w:pPr>
            <w:r w:rsidRPr="00360E94">
              <w:rPr>
                <w:color w:val="000000"/>
                <w:lang w:eastAsia="en-US"/>
              </w:rPr>
              <w:t>1</w:t>
            </w:r>
          </w:p>
        </w:tc>
      </w:tr>
      <w:tr w:rsidR="00360E94" w:rsidRPr="00360E94" w14:paraId="148C0AFF" w14:textId="77777777" w:rsidTr="00EA4200">
        <w:trPr>
          <w:trHeight w:val="307"/>
        </w:trPr>
        <w:tc>
          <w:tcPr>
            <w:tcW w:w="2317" w:type="dxa"/>
            <w:noWrap/>
            <w:hideMark/>
          </w:tcPr>
          <w:p w14:paraId="4EBB77B9" w14:textId="77777777" w:rsidR="00360E94" w:rsidRPr="00360E94" w:rsidRDefault="00360E94" w:rsidP="00360E94">
            <w:pPr>
              <w:spacing w:after="160" w:line="259" w:lineRule="auto"/>
              <w:jc w:val="center"/>
              <w:rPr>
                <w:color w:val="000000"/>
                <w:lang w:eastAsia="en-US"/>
              </w:rPr>
            </w:pPr>
            <w:r w:rsidRPr="00360E94">
              <w:rPr>
                <w:color w:val="000000"/>
                <w:lang w:eastAsia="en-US"/>
              </w:rPr>
              <w:t>2</w:t>
            </w:r>
          </w:p>
        </w:tc>
        <w:tc>
          <w:tcPr>
            <w:tcW w:w="2145" w:type="dxa"/>
            <w:noWrap/>
            <w:hideMark/>
          </w:tcPr>
          <w:p w14:paraId="08ECE221" w14:textId="77777777" w:rsidR="00360E94" w:rsidRPr="00360E94" w:rsidRDefault="00360E94" w:rsidP="00360E94">
            <w:pPr>
              <w:spacing w:after="160" w:line="259" w:lineRule="auto"/>
              <w:jc w:val="center"/>
              <w:rPr>
                <w:color w:val="000000"/>
                <w:lang w:eastAsia="en-US"/>
              </w:rPr>
            </w:pPr>
            <w:r w:rsidRPr="00360E94">
              <w:rPr>
                <w:color w:val="000000"/>
                <w:lang w:eastAsia="en-US"/>
              </w:rPr>
              <w:t>1</w:t>
            </w:r>
          </w:p>
        </w:tc>
        <w:tc>
          <w:tcPr>
            <w:tcW w:w="2317" w:type="dxa"/>
            <w:noWrap/>
            <w:hideMark/>
          </w:tcPr>
          <w:p w14:paraId="02ABD160" w14:textId="77777777" w:rsidR="00360E94" w:rsidRPr="00360E94" w:rsidRDefault="00360E94" w:rsidP="00360E94">
            <w:pPr>
              <w:spacing w:after="160" w:line="259" w:lineRule="auto"/>
              <w:jc w:val="center"/>
              <w:rPr>
                <w:color w:val="000000"/>
                <w:lang w:eastAsia="en-US"/>
              </w:rPr>
            </w:pPr>
            <w:r w:rsidRPr="00360E94">
              <w:rPr>
                <w:color w:val="000000"/>
                <w:lang w:eastAsia="en-US"/>
              </w:rPr>
              <w:t>3</w:t>
            </w:r>
          </w:p>
        </w:tc>
      </w:tr>
      <w:tr w:rsidR="00360E94" w:rsidRPr="00360E94" w14:paraId="26C30D3F" w14:textId="77777777" w:rsidTr="00EA4200">
        <w:trPr>
          <w:trHeight w:val="307"/>
        </w:trPr>
        <w:tc>
          <w:tcPr>
            <w:tcW w:w="2317" w:type="dxa"/>
            <w:noWrap/>
            <w:hideMark/>
          </w:tcPr>
          <w:p w14:paraId="5B8E982D" w14:textId="77777777" w:rsidR="00360E94" w:rsidRPr="00360E94" w:rsidRDefault="00360E94" w:rsidP="00360E94">
            <w:pPr>
              <w:spacing w:after="160" w:line="259" w:lineRule="auto"/>
              <w:jc w:val="center"/>
              <w:rPr>
                <w:color w:val="000000"/>
                <w:lang w:eastAsia="en-US"/>
              </w:rPr>
            </w:pPr>
            <w:r w:rsidRPr="00360E94">
              <w:rPr>
                <w:color w:val="000000"/>
                <w:lang w:eastAsia="en-US"/>
              </w:rPr>
              <w:t>3</w:t>
            </w:r>
          </w:p>
        </w:tc>
        <w:tc>
          <w:tcPr>
            <w:tcW w:w="2145" w:type="dxa"/>
            <w:noWrap/>
            <w:hideMark/>
          </w:tcPr>
          <w:p w14:paraId="0870E864" w14:textId="77777777" w:rsidR="00360E94" w:rsidRPr="00360E94" w:rsidRDefault="00360E94" w:rsidP="00360E94">
            <w:pPr>
              <w:spacing w:after="160" w:line="259" w:lineRule="auto"/>
              <w:jc w:val="center"/>
              <w:rPr>
                <w:color w:val="000000"/>
                <w:lang w:eastAsia="en-US"/>
              </w:rPr>
            </w:pPr>
            <w:r w:rsidRPr="00360E94">
              <w:rPr>
                <w:color w:val="000000"/>
                <w:lang w:eastAsia="en-US"/>
              </w:rPr>
              <w:t>0</w:t>
            </w:r>
          </w:p>
        </w:tc>
        <w:tc>
          <w:tcPr>
            <w:tcW w:w="2317" w:type="dxa"/>
            <w:noWrap/>
            <w:hideMark/>
          </w:tcPr>
          <w:p w14:paraId="6E900956" w14:textId="77777777" w:rsidR="00360E94" w:rsidRPr="00360E94" w:rsidRDefault="00360E94" w:rsidP="00360E94">
            <w:pPr>
              <w:spacing w:after="160" w:line="259" w:lineRule="auto"/>
              <w:jc w:val="center"/>
              <w:rPr>
                <w:color w:val="000000"/>
                <w:lang w:eastAsia="en-US"/>
              </w:rPr>
            </w:pPr>
            <w:r w:rsidRPr="00360E94">
              <w:rPr>
                <w:color w:val="000000"/>
                <w:lang w:eastAsia="en-US"/>
              </w:rPr>
              <w:t>3</w:t>
            </w:r>
          </w:p>
        </w:tc>
      </w:tr>
      <w:tr w:rsidR="00360E94" w:rsidRPr="00360E94" w14:paraId="5C1CCED2" w14:textId="77777777" w:rsidTr="00EA4200">
        <w:trPr>
          <w:trHeight w:val="307"/>
        </w:trPr>
        <w:tc>
          <w:tcPr>
            <w:tcW w:w="2317" w:type="dxa"/>
            <w:noWrap/>
            <w:hideMark/>
          </w:tcPr>
          <w:p w14:paraId="23DFFE09" w14:textId="77777777" w:rsidR="00360E94" w:rsidRPr="00360E94" w:rsidRDefault="00360E94" w:rsidP="00360E94">
            <w:pPr>
              <w:spacing w:after="160" w:line="259" w:lineRule="auto"/>
              <w:jc w:val="center"/>
              <w:rPr>
                <w:color w:val="000000"/>
                <w:lang w:eastAsia="en-US"/>
              </w:rPr>
            </w:pPr>
            <w:r w:rsidRPr="00360E94">
              <w:rPr>
                <w:color w:val="000000"/>
                <w:lang w:eastAsia="en-US"/>
              </w:rPr>
              <w:t>4</w:t>
            </w:r>
          </w:p>
        </w:tc>
        <w:tc>
          <w:tcPr>
            <w:tcW w:w="2145" w:type="dxa"/>
            <w:noWrap/>
            <w:hideMark/>
          </w:tcPr>
          <w:p w14:paraId="63215212" w14:textId="77777777" w:rsidR="00360E94" w:rsidRPr="00360E94" w:rsidRDefault="00360E94" w:rsidP="00360E94">
            <w:pPr>
              <w:spacing w:after="160" w:line="259" w:lineRule="auto"/>
              <w:jc w:val="center"/>
              <w:rPr>
                <w:color w:val="000000"/>
                <w:lang w:eastAsia="en-US"/>
              </w:rPr>
            </w:pPr>
            <w:r w:rsidRPr="00360E94">
              <w:rPr>
                <w:color w:val="000000"/>
                <w:lang w:eastAsia="en-US"/>
              </w:rPr>
              <w:t>0</w:t>
            </w:r>
          </w:p>
        </w:tc>
        <w:tc>
          <w:tcPr>
            <w:tcW w:w="2317" w:type="dxa"/>
            <w:noWrap/>
            <w:hideMark/>
          </w:tcPr>
          <w:p w14:paraId="10565C3A" w14:textId="77777777" w:rsidR="00360E94" w:rsidRPr="00360E94" w:rsidRDefault="00360E94" w:rsidP="00360E94">
            <w:pPr>
              <w:spacing w:after="160" w:line="259" w:lineRule="auto"/>
              <w:jc w:val="center"/>
              <w:rPr>
                <w:color w:val="000000"/>
                <w:lang w:eastAsia="en-US"/>
              </w:rPr>
            </w:pPr>
            <w:r w:rsidRPr="00360E94">
              <w:rPr>
                <w:color w:val="000000"/>
                <w:lang w:eastAsia="en-US"/>
              </w:rPr>
              <w:t>0</w:t>
            </w:r>
          </w:p>
        </w:tc>
      </w:tr>
      <w:tr w:rsidR="00360E94" w:rsidRPr="00360E94" w14:paraId="4ACF8B82" w14:textId="77777777" w:rsidTr="00EA4200">
        <w:trPr>
          <w:trHeight w:val="307"/>
        </w:trPr>
        <w:tc>
          <w:tcPr>
            <w:tcW w:w="2317" w:type="dxa"/>
            <w:noWrap/>
            <w:hideMark/>
          </w:tcPr>
          <w:p w14:paraId="58373F81" w14:textId="77777777" w:rsidR="00360E94" w:rsidRPr="00360E94" w:rsidRDefault="00360E94" w:rsidP="00360E94">
            <w:pPr>
              <w:spacing w:after="160" w:line="259" w:lineRule="auto"/>
              <w:jc w:val="center"/>
              <w:rPr>
                <w:color w:val="000000"/>
                <w:lang w:eastAsia="en-US"/>
              </w:rPr>
            </w:pPr>
            <w:r w:rsidRPr="00360E94">
              <w:rPr>
                <w:color w:val="000000"/>
                <w:lang w:eastAsia="en-US"/>
              </w:rPr>
              <w:t>5</w:t>
            </w:r>
          </w:p>
        </w:tc>
        <w:tc>
          <w:tcPr>
            <w:tcW w:w="2145" w:type="dxa"/>
            <w:noWrap/>
            <w:hideMark/>
          </w:tcPr>
          <w:p w14:paraId="5A8C234F" w14:textId="77777777" w:rsidR="00360E94" w:rsidRPr="00360E94" w:rsidRDefault="00360E94" w:rsidP="00360E94">
            <w:pPr>
              <w:spacing w:after="160" w:line="259" w:lineRule="auto"/>
              <w:jc w:val="center"/>
              <w:rPr>
                <w:color w:val="000000"/>
                <w:lang w:eastAsia="en-US"/>
              </w:rPr>
            </w:pPr>
            <w:r w:rsidRPr="00360E94">
              <w:rPr>
                <w:color w:val="000000"/>
                <w:lang w:eastAsia="en-US"/>
              </w:rPr>
              <w:t>1</w:t>
            </w:r>
          </w:p>
        </w:tc>
        <w:tc>
          <w:tcPr>
            <w:tcW w:w="2317" w:type="dxa"/>
            <w:noWrap/>
            <w:hideMark/>
          </w:tcPr>
          <w:p w14:paraId="4D3379AC" w14:textId="77777777" w:rsidR="00360E94" w:rsidRPr="00360E94" w:rsidRDefault="00360E94" w:rsidP="00360E94">
            <w:pPr>
              <w:spacing w:after="160" w:line="259" w:lineRule="auto"/>
              <w:jc w:val="center"/>
              <w:rPr>
                <w:color w:val="000000"/>
                <w:lang w:eastAsia="en-US"/>
              </w:rPr>
            </w:pPr>
            <w:r w:rsidRPr="00360E94">
              <w:rPr>
                <w:color w:val="000000"/>
                <w:lang w:eastAsia="en-US"/>
              </w:rPr>
              <w:t>0</w:t>
            </w:r>
          </w:p>
        </w:tc>
      </w:tr>
      <w:tr w:rsidR="00360E94" w:rsidRPr="00360E94" w14:paraId="70736732" w14:textId="77777777" w:rsidTr="00EA4200">
        <w:trPr>
          <w:trHeight w:val="307"/>
        </w:trPr>
        <w:tc>
          <w:tcPr>
            <w:tcW w:w="2317" w:type="dxa"/>
            <w:noWrap/>
            <w:hideMark/>
          </w:tcPr>
          <w:p w14:paraId="1727D3C5" w14:textId="77777777" w:rsidR="00360E94" w:rsidRPr="00360E94" w:rsidRDefault="00360E94" w:rsidP="00360E94">
            <w:pPr>
              <w:spacing w:after="160" w:line="259" w:lineRule="auto"/>
              <w:jc w:val="center"/>
              <w:rPr>
                <w:color w:val="000000"/>
                <w:lang w:eastAsia="en-US"/>
              </w:rPr>
            </w:pPr>
            <w:r w:rsidRPr="00360E94">
              <w:rPr>
                <w:color w:val="000000"/>
                <w:lang w:eastAsia="en-US"/>
              </w:rPr>
              <w:t>6</w:t>
            </w:r>
          </w:p>
        </w:tc>
        <w:tc>
          <w:tcPr>
            <w:tcW w:w="2145" w:type="dxa"/>
            <w:noWrap/>
            <w:hideMark/>
          </w:tcPr>
          <w:p w14:paraId="6DF3E25D" w14:textId="77777777" w:rsidR="00360E94" w:rsidRPr="00360E94" w:rsidRDefault="00360E94" w:rsidP="00360E94">
            <w:pPr>
              <w:spacing w:after="160" w:line="259" w:lineRule="auto"/>
              <w:jc w:val="center"/>
              <w:rPr>
                <w:color w:val="000000"/>
                <w:lang w:eastAsia="en-US"/>
              </w:rPr>
            </w:pPr>
            <w:r w:rsidRPr="00360E94">
              <w:rPr>
                <w:color w:val="000000"/>
                <w:lang w:eastAsia="en-US"/>
              </w:rPr>
              <w:t>0</w:t>
            </w:r>
          </w:p>
        </w:tc>
        <w:tc>
          <w:tcPr>
            <w:tcW w:w="2317" w:type="dxa"/>
            <w:noWrap/>
            <w:hideMark/>
          </w:tcPr>
          <w:p w14:paraId="403FF3A9" w14:textId="77777777" w:rsidR="00360E94" w:rsidRPr="00360E94" w:rsidRDefault="00360E94" w:rsidP="00360E94">
            <w:pPr>
              <w:spacing w:after="160" w:line="259" w:lineRule="auto"/>
              <w:jc w:val="center"/>
              <w:rPr>
                <w:color w:val="000000"/>
                <w:lang w:eastAsia="en-US"/>
              </w:rPr>
            </w:pPr>
            <w:r w:rsidRPr="00360E94">
              <w:rPr>
                <w:color w:val="000000"/>
                <w:lang w:eastAsia="en-US"/>
              </w:rPr>
              <w:t>2</w:t>
            </w:r>
          </w:p>
        </w:tc>
      </w:tr>
      <w:tr w:rsidR="00360E94" w:rsidRPr="00360E94" w14:paraId="2687F57B" w14:textId="77777777" w:rsidTr="00EA4200">
        <w:trPr>
          <w:trHeight w:val="307"/>
        </w:trPr>
        <w:tc>
          <w:tcPr>
            <w:tcW w:w="2317" w:type="dxa"/>
            <w:noWrap/>
            <w:hideMark/>
          </w:tcPr>
          <w:p w14:paraId="164AC9F9" w14:textId="77777777" w:rsidR="00360E94" w:rsidRPr="00360E94" w:rsidRDefault="00360E94" w:rsidP="00360E94">
            <w:pPr>
              <w:spacing w:after="160" w:line="259" w:lineRule="auto"/>
              <w:jc w:val="center"/>
              <w:rPr>
                <w:color w:val="000000"/>
                <w:lang w:eastAsia="en-US"/>
              </w:rPr>
            </w:pPr>
            <w:r w:rsidRPr="00360E94">
              <w:rPr>
                <w:color w:val="000000"/>
                <w:lang w:eastAsia="en-US"/>
              </w:rPr>
              <w:t>7</w:t>
            </w:r>
          </w:p>
        </w:tc>
        <w:tc>
          <w:tcPr>
            <w:tcW w:w="2145" w:type="dxa"/>
            <w:noWrap/>
            <w:hideMark/>
          </w:tcPr>
          <w:p w14:paraId="4E332302" w14:textId="77777777" w:rsidR="00360E94" w:rsidRPr="00360E94" w:rsidRDefault="00360E94" w:rsidP="00360E94">
            <w:pPr>
              <w:spacing w:after="160" w:line="259" w:lineRule="auto"/>
              <w:jc w:val="center"/>
              <w:rPr>
                <w:color w:val="000000"/>
                <w:lang w:eastAsia="en-US"/>
              </w:rPr>
            </w:pPr>
            <w:r w:rsidRPr="00360E94">
              <w:rPr>
                <w:color w:val="000000"/>
                <w:lang w:eastAsia="en-US"/>
              </w:rPr>
              <w:t>0</w:t>
            </w:r>
          </w:p>
        </w:tc>
        <w:tc>
          <w:tcPr>
            <w:tcW w:w="2317" w:type="dxa"/>
            <w:noWrap/>
            <w:hideMark/>
          </w:tcPr>
          <w:p w14:paraId="1AD2DD7E" w14:textId="77777777" w:rsidR="00360E94" w:rsidRPr="00360E94" w:rsidRDefault="00360E94" w:rsidP="00360E94">
            <w:pPr>
              <w:spacing w:after="160" w:line="259" w:lineRule="auto"/>
              <w:jc w:val="center"/>
              <w:rPr>
                <w:color w:val="000000"/>
                <w:lang w:eastAsia="en-US"/>
              </w:rPr>
            </w:pPr>
            <w:r w:rsidRPr="00360E94">
              <w:rPr>
                <w:color w:val="000000"/>
                <w:lang w:eastAsia="en-US"/>
              </w:rPr>
              <w:t>2</w:t>
            </w:r>
          </w:p>
        </w:tc>
      </w:tr>
      <w:tr w:rsidR="00360E94" w:rsidRPr="00360E94" w14:paraId="2E714D57" w14:textId="77777777" w:rsidTr="00EA4200">
        <w:trPr>
          <w:trHeight w:val="307"/>
        </w:trPr>
        <w:tc>
          <w:tcPr>
            <w:tcW w:w="2317" w:type="dxa"/>
            <w:noWrap/>
            <w:hideMark/>
          </w:tcPr>
          <w:p w14:paraId="48E126D5" w14:textId="77777777" w:rsidR="00360E94" w:rsidRPr="00360E94" w:rsidRDefault="00360E94" w:rsidP="00360E94">
            <w:pPr>
              <w:spacing w:after="160" w:line="259" w:lineRule="auto"/>
              <w:jc w:val="center"/>
              <w:rPr>
                <w:color w:val="000000"/>
                <w:lang w:eastAsia="en-US"/>
              </w:rPr>
            </w:pPr>
            <w:r w:rsidRPr="00360E94">
              <w:rPr>
                <w:color w:val="000000"/>
                <w:lang w:eastAsia="en-US"/>
              </w:rPr>
              <w:t>8</w:t>
            </w:r>
          </w:p>
        </w:tc>
        <w:tc>
          <w:tcPr>
            <w:tcW w:w="2145" w:type="dxa"/>
            <w:noWrap/>
            <w:hideMark/>
          </w:tcPr>
          <w:p w14:paraId="009B873C" w14:textId="77777777" w:rsidR="00360E94" w:rsidRPr="00360E94" w:rsidRDefault="00360E94" w:rsidP="00360E94">
            <w:pPr>
              <w:spacing w:after="160" w:line="259" w:lineRule="auto"/>
              <w:jc w:val="center"/>
              <w:rPr>
                <w:color w:val="000000"/>
                <w:lang w:eastAsia="en-US"/>
              </w:rPr>
            </w:pPr>
            <w:r w:rsidRPr="00360E94">
              <w:rPr>
                <w:color w:val="000000"/>
                <w:lang w:eastAsia="en-US"/>
              </w:rPr>
              <w:t>0</w:t>
            </w:r>
          </w:p>
        </w:tc>
        <w:tc>
          <w:tcPr>
            <w:tcW w:w="2317" w:type="dxa"/>
            <w:noWrap/>
            <w:hideMark/>
          </w:tcPr>
          <w:p w14:paraId="699FB1B5" w14:textId="77777777" w:rsidR="00360E94" w:rsidRPr="00360E94" w:rsidRDefault="00360E94" w:rsidP="00360E94">
            <w:pPr>
              <w:spacing w:after="160" w:line="259" w:lineRule="auto"/>
              <w:jc w:val="center"/>
              <w:rPr>
                <w:color w:val="000000"/>
                <w:lang w:eastAsia="en-US"/>
              </w:rPr>
            </w:pPr>
            <w:r w:rsidRPr="00360E94">
              <w:rPr>
                <w:color w:val="000000"/>
                <w:lang w:eastAsia="en-US"/>
              </w:rPr>
              <w:t>1</w:t>
            </w:r>
          </w:p>
        </w:tc>
      </w:tr>
      <w:tr w:rsidR="00360E94" w:rsidRPr="00360E94" w14:paraId="4A5DBF06" w14:textId="77777777" w:rsidTr="00EA4200">
        <w:trPr>
          <w:trHeight w:val="307"/>
        </w:trPr>
        <w:tc>
          <w:tcPr>
            <w:tcW w:w="2317" w:type="dxa"/>
            <w:noWrap/>
            <w:hideMark/>
          </w:tcPr>
          <w:p w14:paraId="4BB0C6B7" w14:textId="77777777" w:rsidR="00360E94" w:rsidRPr="00360E94" w:rsidRDefault="00360E94" w:rsidP="00360E94">
            <w:pPr>
              <w:spacing w:after="160" w:line="259" w:lineRule="auto"/>
              <w:jc w:val="center"/>
              <w:rPr>
                <w:color w:val="000000"/>
                <w:lang w:eastAsia="en-US"/>
              </w:rPr>
            </w:pPr>
            <w:r w:rsidRPr="00360E94">
              <w:rPr>
                <w:color w:val="000000"/>
                <w:lang w:eastAsia="en-US"/>
              </w:rPr>
              <w:t>9</w:t>
            </w:r>
          </w:p>
        </w:tc>
        <w:tc>
          <w:tcPr>
            <w:tcW w:w="2145" w:type="dxa"/>
            <w:noWrap/>
            <w:hideMark/>
          </w:tcPr>
          <w:p w14:paraId="57C43897" w14:textId="77777777" w:rsidR="00360E94" w:rsidRPr="00360E94" w:rsidRDefault="00360E94" w:rsidP="00360E94">
            <w:pPr>
              <w:spacing w:after="160" w:line="259" w:lineRule="auto"/>
              <w:jc w:val="center"/>
              <w:rPr>
                <w:color w:val="000000"/>
                <w:lang w:eastAsia="en-US"/>
              </w:rPr>
            </w:pPr>
            <w:r w:rsidRPr="00360E94">
              <w:rPr>
                <w:color w:val="000000"/>
                <w:lang w:eastAsia="en-US"/>
              </w:rPr>
              <w:t>1</w:t>
            </w:r>
          </w:p>
        </w:tc>
        <w:tc>
          <w:tcPr>
            <w:tcW w:w="2317" w:type="dxa"/>
            <w:noWrap/>
            <w:hideMark/>
          </w:tcPr>
          <w:p w14:paraId="1DBBD817" w14:textId="77777777" w:rsidR="00360E94" w:rsidRPr="00360E94" w:rsidRDefault="00360E94" w:rsidP="00360E94">
            <w:pPr>
              <w:spacing w:after="160" w:line="259" w:lineRule="auto"/>
              <w:jc w:val="center"/>
              <w:rPr>
                <w:color w:val="000000"/>
                <w:lang w:eastAsia="en-US"/>
              </w:rPr>
            </w:pPr>
            <w:r w:rsidRPr="00360E94">
              <w:rPr>
                <w:color w:val="000000"/>
                <w:lang w:eastAsia="en-US"/>
              </w:rPr>
              <w:t>2</w:t>
            </w:r>
          </w:p>
        </w:tc>
      </w:tr>
      <w:tr w:rsidR="00360E94" w:rsidRPr="00360E94" w14:paraId="16B78D0F" w14:textId="77777777" w:rsidTr="00EA4200">
        <w:trPr>
          <w:trHeight w:val="307"/>
        </w:trPr>
        <w:tc>
          <w:tcPr>
            <w:tcW w:w="2317" w:type="dxa"/>
            <w:noWrap/>
            <w:hideMark/>
          </w:tcPr>
          <w:p w14:paraId="09762CC3" w14:textId="77777777" w:rsidR="00360E94" w:rsidRPr="00360E94" w:rsidRDefault="00360E94" w:rsidP="00360E94">
            <w:pPr>
              <w:spacing w:after="160" w:line="259" w:lineRule="auto"/>
              <w:jc w:val="center"/>
              <w:rPr>
                <w:color w:val="000000"/>
                <w:lang w:eastAsia="en-US"/>
              </w:rPr>
            </w:pPr>
            <w:r w:rsidRPr="00360E94">
              <w:rPr>
                <w:color w:val="000000"/>
                <w:lang w:eastAsia="en-US"/>
              </w:rPr>
              <w:t>10</w:t>
            </w:r>
          </w:p>
        </w:tc>
        <w:tc>
          <w:tcPr>
            <w:tcW w:w="2145" w:type="dxa"/>
            <w:noWrap/>
            <w:hideMark/>
          </w:tcPr>
          <w:p w14:paraId="159FF7AE" w14:textId="77777777" w:rsidR="00360E94" w:rsidRPr="00360E94" w:rsidRDefault="00360E94" w:rsidP="00360E94">
            <w:pPr>
              <w:spacing w:after="160" w:line="259" w:lineRule="auto"/>
              <w:jc w:val="center"/>
              <w:rPr>
                <w:color w:val="000000"/>
                <w:lang w:eastAsia="en-US"/>
              </w:rPr>
            </w:pPr>
            <w:r w:rsidRPr="00360E94">
              <w:rPr>
                <w:color w:val="000000"/>
                <w:lang w:eastAsia="en-US"/>
              </w:rPr>
              <w:t>1</w:t>
            </w:r>
          </w:p>
        </w:tc>
        <w:tc>
          <w:tcPr>
            <w:tcW w:w="2317" w:type="dxa"/>
            <w:noWrap/>
            <w:hideMark/>
          </w:tcPr>
          <w:p w14:paraId="34ED8296" w14:textId="77777777" w:rsidR="00360E94" w:rsidRPr="00360E94" w:rsidRDefault="00360E94" w:rsidP="00360E94">
            <w:pPr>
              <w:spacing w:after="160" w:line="259" w:lineRule="auto"/>
              <w:jc w:val="center"/>
              <w:rPr>
                <w:color w:val="000000"/>
                <w:lang w:eastAsia="en-US"/>
              </w:rPr>
            </w:pPr>
            <w:r w:rsidRPr="00360E94">
              <w:rPr>
                <w:color w:val="000000"/>
                <w:lang w:eastAsia="en-US"/>
              </w:rPr>
              <w:t>1</w:t>
            </w:r>
          </w:p>
        </w:tc>
      </w:tr>
      <w:tr w:rsidR="00360E94" w:rsidRPr="00360E94" w14:paraId="02E567D3" w14:textId="77777777" w:rsidTr="00EA4200">
        <w:trPr>
          <w:trHeight w:val="307"/>
        </w:trPr>
        <w:tc>
          <w:tcPr>
            <w:tcW w:w="2317" w:type="dxa"/>
            <w:noWrap/>
            <w:hideMark/>
          </w:tcPr>
          <w:p w14:paraId="1AAB46C0" w14:textId="77777777" w:rsidR="00360E94" w:rsidRPr="00360E94" w:rsidRDefault="00360E94" w:rsidP="00360E94">
            <w:pPr>
              <w:spacing w:after="160" w:line="259" w:lineRule="auto"/>
              <w:jc w:val="center"/>
              <w:rPr>
                <w:color w:val="000000"/>
                <w:lang w:eastAsia="en-US"/>
              </w:rPr>
            </w:pPr>
            <w:r w:rsidRPr="00360E94">
              <w:rPr>
                <w:color w:val="000000"/>
                <w:lang w:eastAsia="en-US"/>
              </w:rPr>
              <w:t>11</w:t>
            </w:r>
          </w:p>
        </w:tc>
        <w:tc>
          <w:tcPr>
            <w:tcW w:w="2145" w:type="dxa"/>
            <w:noWrap/>
            <w:hideMark/>
          </w:tcPr>
          <w:p w14:paraId="37C60679" w14:textId="77777777" w:rsidR="00360E94" w:rsidRPr="00360E94" w:rsidRDefault="00360E94" w:rsidP="00360E94">
            <w:pPr>
              <w:spacing w:after="160" w:line="259" w:lineRule="auto"/>
              <w:jc w:val="center"/>
              <w:rPr>
                <w:color w:val="000000"/>
                <w:lang w:eastAsia="en-US"/>
              </w:rPr>
            </w:pPr>
            <w:r w:rsidRPr="00360E94">
              <w:rPr>
                <w:color w:val="000000"/>
                <w:lang w:eastAsia="en-US"/>
              </w:rPr>
              <w:t>0</w:t>
            </w:r>
          </w:p>
        </w:tc>
        <w:tc>
          <w:tcPr>
            <w:tcW w:w="2317" w:type="dxa"/>
            <w:noWrap/>
            <w:hideMark/>
          </w:tcPr>
          <w:p w14:paraId="42F317D0" w14:textId="77777777" w:rsidR="00360E94" w:rsidRPr="00360E94" w:rsidRDefault="00360E94" w:rsidP="00360E94">
            <w:pPr>
              <w:spacing w:after="160" w:line="259" w:lineRule="auto"/>
              <w:jc w:val="center"/>
              <w:rPr>
                <w:color w:val="000000"/>
                <w:lang w:eastAsia="en-US"/>
              </w:rPr>
            </w:pPr>
            <w:r w:rsidRPr="00360E94">
              <w:rPr>
                <w:color w:val="000000"/>
                <w:lang w:eastAsia="en-US"/>
              </w:rPr>
              <w:t>0</w:t>
            </w:r>
          </w:p>
        </w:tc>
      </w:tr>
      <w:tr w:rsidR="00360E94" w:rsidRPr="00360E94" w14:paraId="4367359E" w14:textId="77777777" w:rsidTr="00EA4200">
        <w:trPr>
          <w:trHeight w:val="307"/>
        </w:trPr>
        <w:tc>
          <w:tcPr>
            <w:tcW w:w="2317" w:type="dxa"/>
            <w:noWrap/>
            <w:hideMark/>
          </w:tcPr>
          <w:p w14:paraId="35CCB44A" w14:textId="77777777" w:rsidR="00360E94" w:rsidRPr="00360E94" w:rsidRDefault="00360E94" w:rsidP="00360E94">
            <w:pPr>
              <w:spacing w:after="160" w:line="259" w:lineRule="auto"/>
              <w:jc w:val="center"/>
              <w:rPr>
                <w:color w:val="000000"/>
                <w:lang w:eastAsia="en-US"/>
              </w:rPr>
            </w:pPr>
            <w:r w:rsidRPr="00360E94">
              <w:rPr>
                <w:color w:val="000000"/>
                <w:lang w:eastAsia="en-US"/>
              </w:rPr>
              <w:t>12</w:t>
            </w:r>
          </w:p>
        </w:tc>
        <w:tc>
          <w:tcPr>
            <w:tcW w:w="2145" w:type="dxa"/>
            <w:noWrap/>
            <w:hideMark/>
          </w:tcPr>
          <w:p w14:paraId="092D3BED" w14:textId="77777777" w:rsidR="00360E94" w:rsidRPr="00360E94" w:rsidRDefault="00360E94" w:rsidP="00360E94">
            <w:pPr>
              <w:spacing w:after="160" w:line="259" w:lineRule="auto"/>
              <w:jc w:val="center"/>
              <w:rPr>
                <w:color w:val="000000"/>
                <w:lang w:eastAsia="en-US"/>
              </w:rPr>
            </w:pPr>
            <w:r w:rsidRPr="00360E94">
              <w:rPr>
                <w:color w:val="000000"/>
                <w:lang w:eastAsia="en-US"/>
              </w:rPr>
              <w:t>2</w:t>
            </w:r>
          </w:p>
        </w:tc>
        <w:tc>
          <w:tcPr>
            <w:tcW w:w="2317" w:type="dxa"/>
            <w:noWrap/>
            <w:hideMark/>
          </w:tcPr>
          <w:p w14:paraId="2760B0B1" w14:textId="77777777" w:rsidR="00360E94" w:rsidRPr="00360E94" w:rsidRDefault="00360E94" w:rsidP="00360E94">
            <w:pPr>
              <w:spacing w:after="160" w:line="259" w:lineRule="auto"/>
              <w:jc w:val="center"/>
              <w:rPr>
                <w:color w:val="000000"/>
                <w:lang w:eastAsia="en-US"/>
              </w:rPr>
            </w:pPr>
            <w:r w:rsidRPr="00360E94">
              <w:rPr>
                <w:color w:val="000000"/>
                <w:lang w:eastAsia="en-US"/>
              </w:rPr>
              <w:t>5</w:t>
            </w:r>
          </w:p>
        </w:tc>
      </w:tr>
      <w:tr w:rsidR="00360E94" w:rsidRPr="00360E94" w14:paraId="05016778" w14:textId="77777777" w:rsidTr="00EA4200">
        <w:trPr>
          <w:trHeight w:val="307"/>
        </w:trPr>
        <w:tc>
          <w:tcPr>
            <w:tcW w:w="2317" w:type="dxa"/>
            <w:noWrap/>
            <w:hideMark/>
          </w:tcPr>
          <w:p w14:paraId="6980B487" w14:textId="77777777" w:rsidR="00360E94" w:rsidRPr="00360E94" w:rsidRDefault="00360E94" w:rsidP="00360E94">
            <w:pPr>
              <w:spacing w:after="160" w:line="259" w:lineRule="auto"/>
              <w:jc w:val="center"/>
              <w:rPr>
                <w:color w:val="000000"/>
                <w:lang w:eastAsia="en-US"/>
              </w:rPr>
            </w:pPr>
            <w:r w:rsidRPr="00360E94">
              <w:rPr>
                <w:color w:val="000000"/>
                <w:lang w:eastAsia="en-US"/>
              </w:rPr>
              <w:t>13</w:t>
            </w:r>
          </w:p>
        </w:tc>
        <w:tc>
          <w:tcPr>
            <w:tcW w:w="2145" w:type="dxa"/>
            <w:noWrap/>
            <w:hideMark/>
          </w:tcPr>
          <w:p w14:paraId="099A9FD9" w14:textId="77777777" w:rsidR="00360E94" w:rsidRPr="00360E94" w:rsidRDefault="00360E94" w:rsidP="00360E94">
            <w:pPr>
              <w:spacing w:after="160" w:line="259" w:lineRule="auto"/>
              <w:jc w:val="center"/>
              <w:rPr>
                <w:color w:val="000000"/>
                <w:lang w:eastAsia="en-US"/>
              </w:rPr>
            </w:pPr>
            <w:r w:rsidRPr="00360E94">
              <w:rPr>
                <w:color w:val="000000"/>
                <w:lang w:eastAsia="en-US"/>
              </w:rPr>
              <w:t>1</w:t>
            </w:r>
          </w:p>
        </w:tc>
        <w:tc>
          <w:tcPr>
            <w:tcW w:w="2317" w:type="dxa"/>
            <w:noWrap/>
            <w:hideMark/>
          </w:tcPr>
          <w:p w14:paraId="0BF30487" w14:textId="77777777" w:rsidR="00360E94" w:rsidRPr="00360E94" w:rsidRDefault="00360E94" w:rsidP="00360E94">
            <w:pPr>
              <w:spacing w:after="160" w:line="259" w:lineRule="auto"/>
              <w:jc w:val="center"/>
              <w:rPr>
                <w:color w:val="000000"/>
                <w:lang w:eastAsia="en-US"/>
              </w:rPr>
            </w:pPr>
            <w:r w:rsidRPr="00360E94">
              <w:rPr>
                <w:color w:val="000000"/>
                <w:lang w:eastAsia="en-US"/>
              </w:rPr>
              <w:t>0</w:t>
            </w:r>
          </w:p>
        </w:tc>
      </w:tr>
      <w:tr w:rsidR="00360E94" w:rsidRPr="00360E94" w14:paraId="05B0C6A3" w14:textId="77777777" w:rsidTr="00EA4200">
        <w:trPr>
          <w:trHeight w:val="307"/>
        </w:trPr>
        <w:tc>
          <w:tcPr>
            <w:tcW w:w="2317" w:type="dxa"/>
            <w:noWrap/>
            <w:hideMark/>
          </w:tcPr>
          <w:p w14:paraId="21EB1174" w14:textId="77777777" w:rsidR="00360E94" w:rsidRPr="00360E94" w:rsidRDefault="00360E94" w:rsidP="00360E94">
            <w:pPr>
              <w:spacing w:after="160" w:line="259" w:lineRule="auto"/>
              <w:jc w:val="center"/>
              <w:rPr>
                <w:color w:val="000000"/>
                <w:lang w:eastAsia="en-US"/>
              </w:rPr>
            </w:pPr>
            <w:r w:rsidRPr="00360E94">
              <w:rPr>
                <w:color w:val="000000"/>
                <w:lang w:eastAsia="en-US"/>
              </w:rPr>
              <w:t>14</w:t>
            </w:r>
          </w:p>
        </w:tc>
        <w:tc>
          <w:tcPr>
            <w:tcW w:w="2145" w:type="dxa"/>
            <w:noWrap/>
            <w:hideMark/>
          </w:tcPr>
          <w:p w14:paraId="52096515" w14:textId="77777777" w:rsidR="00360E94" w:rsidRPr="00360E94" w:rsidRDefault="00360E94" w:rsidP="00360E94">
            <w:pPr>
              <w:spacing w:after="160" w:line="259" w:lineRule="auto"/>
              <w:jc w:val="center"/>
              <w:rPr>
                <w:color w:val="000000"/>
                <w:lang w:eastAsia="en-US"/>
              </w:rPr>
            </w:pPr>
            <w:r w:rsidRPr="00360E94">
              <w:rPr>
                <w:color w:val="000000"/>
                <w:lang w:eastAsia="en-US"/>
              </w:rPr>
              <w:t>1</w:t>
            </w:r>
          </w:p>
        </w:tc>
        <w:tc>
          <w:tcPr>
            <w:tcW w:w="2317" w:type="dxa"/>
            <w:noWrap/>
            <w:hideMark/>
          </w:tcPr>
          <w:p w14:paraId="4D77BD94" w14:textId="77777777" w:rsidR="00360E94" w:rsidRPr="00360E94" w:rsidRDefault="00360E94" w:rsidP="00360E94">
            <w:pPr>
              <w:spacing w:after="160" w:line="259" w:lineRule="auto"/>
              <w:jc w:val="center"/>
              <w:rPr>
                <w:color w:val="000000"/>
                <w:lang w:eastAsia="en-US"/>
              </w:rPr>
            </w:pPr>
            <w:r w:rsidRPr="00360E94">
              <w:rPr>
                <w:color w:val="000000"/>
                <w:lang w:eastAsia="en-US"/>
              </w:rPr>
              <w:t>1</w:t>
            </w:r>
          </w:p>
        </w:tc>
      </w:tr>
      <w:tr w:rsidR="00360E94" w:rsidRPr="00360E94" w14:paraId="623A30B9" w14:textId="77777777" w:rsidTr="00EA4200">
        <w:trPr>
          <w:trHeight w:val="307"/>
        </w:trPr>
        <w:tc>
          <w:tcPr>
            <w:tcW w:w="2317" w:type="dxa"/>
            <w:noWrap/>
            <w:hideMark/>
          </w:tcPr>
          <w:p w14:paraId="69C115F5" w14:textId="77777777" w:rsidR="00360E94" w:rsidRPr="00360E94" w:rsidRDefault="00360E94" w:rsidP="00360E94">
            <w:pPr>
              <w:spacing w:after="160" w:line="259" w:lineRule="auto"/>
              <w:jc w:val="center"/>
              <w:rPr>
                <w:color w:val="000000"/>
                <w:lang w:eastAsia="en-US"/>
              </w:rPr>
            </w:pPr>
            <w:r w:rsidRPr="00360E94">
              <w:rPr>
                <w:color w:val="000000"/>
                <w:lang w:eastAsia="en-US"/>
              </w:rPr>
              <w:t>15</w:t>
            </w:r>
          </w:p>
        </w:tc>
        <w:tc>
          <w:tcPr>
            <w:tcW w:w="2145" w:type="dxa"/>
            <w:noWrap/>
            <w:hideMark/>
          </w:tcPr>
          <w:p w14:paraId="2F74416E" w14:textId="77777777" w:rsidR="00360E94" w:rsidRPr="00360E94" w:rsidRDefault="00360E94" w:rsidP="00360E94">
            <w:pPr>
              <w:spacing w:after="160" w:line="259" w:lineRule="auto"/>
              <w:jc w:val="center"/>
              <w:rPr>
                <w:color w:val="000000"/>
                <w:lang w:eastAsia="en-US"/>
              </w:rPr>
            </w:pPr>
            <w:r w:rsidRPr="00360E94">
              <w:rPr>
                <w:color w:val="000000"/>
                <w:lang w:eastAsia="en-US"/>
              </w:rPr>
              <w:t>2</w:t>
            </w:r>
          </w:p>
        </w:tc>
        <w:tc>
          <w:tcPr>
            <w:tcW w:w="2317" w:type="dxa"/>
            <w:noWrap/>
            <w:hideMark/>
          </w:tcPr>
          <w:p w14:paraId="19FEE23E" w14:textId="77777777" w:rsidR="00360E94" w:rsidRPr="00360E94" w:rsidRDefault="00360E94" w:rsidP="00360E94">
            <w:pPr>
              <w:spacing w:after="160" w:line="259" w:lineRule="auto"/>
              <w:jc w:val="center"/>
              <w:rPr>
                <w:color w:val="000000"/>
                <w:lang w:eastAsia="en-US"/>
              </w:rPr>
            </w:pPr>
            <w:r w:rsidRPr="00360E94">
              <w:rPr>
                <w:color w:val="000000"/>
                <w:lang w:eastAsia="en-US"/>
              </w:rPr>
              <w:t>3</w:t>
            </w:r>
          </w:p>
        </w:tc>
      </w:tr>
      <w:tr w:rsidR="00360E94" w:rsidRPr="00360E94" w14:paraId="3CC26656" w14:textId="77777777" w:rsidTr="00EA4200">
        <w:trPr>
          <w:trHeight w:val="307"/>
        </w:trPr>
        <w:tc>
          <w:tcPr>
            <w:tcW w:w="2317" w:type="dxa"/>
            <w:noWrap/>
            <w:hideMark/>
          </w:tcPr>
          <w:p w14:paraId="6D6C1EFE" w14:textId="77777777" w:rsidR="00360E94" w:rsidRPr="00360E94" w:rsidRDefault="00360E94" w:rsidP="00360E94">
            <w:pPr>
              <w:spacing w:after="160" w:line="259" w:lineRule="auto"/>
              <w:jc w:val="center"/>
              <w:rPr>
                <w:color w:val="000000"/>
                <w:lang w:eastAsia="en-US"/>
              </w:rPr>
            </w:pPr>
            <w:r w:rsidRPr="00360E94">
              <w:rPr>
                <w:color w:val="000000"/>
                <w:lang w:eastAsia="en-US"/>
              </w:rPr>
              <w:t>16</w:t>
            </w:r>
          </w:p>
        </w:tc>
        <w:tc>
          <w:tcPr>
            <w:tcW w:w="2145" w:type="dxa"/>
            <w:noWrap/>
            <w:hideMark/>
          </w:tcPr>
          <w:p w14:paraId="67EDE4CA" w14:textId="77777777" w:rsidR="00360E94" w:rsidRPr="00360E94" w:rsidRDefault="00360E94" w:rsidP="00360E94">
            <w:pPr>
              <w:spacing w:after="160" w:line="259" w:lineRule="auto"/>
              <w:jc w:val="center"/>
              <w:rPr>
                <w:color w:val="000000"/>
                <w:lang w:eastAsia="en-US"/>
              </w:rPr>
            </w:pPr>
            <w:r w:rsidRPr="00360E94">
              <w:rPr>
                <w:color w:val="000000"/>
                <w:lang w:eastAsia="en-US"/>
              </w:rPr>
              <w:t>0</w:t>
            </w:r>
          </w:p>
        </w:tc>
        <w:tc>
          <w:tcPr>
            <w:tcW w:w="2317" w:type="dxa"/>
            <w:noWrap/>
            <w:hideMark/>
          </w:tcPr>
          <w:p w14:paraId="2C6F1697" w14:textId="77777777" w:rsidR="00360E94" w:rsidRPr="00360E94" w:rsidRDefault="00360E94" w:rsidP="00360E94">
            <w:pPr>
              <w:spacing w:after="160" w:line="259" w:lineRule="auto"/>
              <w:jc w:val="center"/>
              <w:rPr>
                <w:color w:val="000000"/>
                <w:lang w:eastAsia="en-US"/>
              </w:rPr>
            </w:pPr>
            <w:r w:rsidRPr="00360E94">
              <w:rPr>
                <w:color w:val="000000"/>
                <w:lang w:eastAsia="en-US"/>
              </w:rPr>
              <w:t>1</w:t>
            </w:r>
          </w:p>
        </w:tc>
      </w:tr>
      <w:tr w:rsidR="00360E94" w:rsidRPr="00360E94" w14:paraId="40FA589D" w14:textId="77777777" w:rsidTr="00EA4200">
        <w:trPr>
          <w:trHeight w:val="307"/>
        </w:trPr>
        <w:tc>
          <w:tcPr>
            <w:tcW w:w="2317" w:type="dxa"/>
            <w:noWrap/>
            <w:hideMark/>
          </w:tcPr>
          <w:p w14:paraId="08DCD606" w14:textId="77777777" w:rsidR="00360E94" w:rsidRPr="00360E94" w:rsidRDefault="00360E94" w:rsidP="00360E94">
            <w:pPr>
              <w:spacing w:after="160" w:line="259" w:lineRule="auto"/>
              <w:jc w:val="center"/>
              <w:rPr>
                <w:color w:val="000000"/>
                <w:lang w:eastAsia="en-US"/>
              </w:rPr>
            </w:pPr>
            <w:r w:rsidRPr="00360E94">
              <w:rPr>
                <w:color w:val="000000"/>
                <w:lang w:eastAsia="en-US"/>
              </w:rPr>
              <w:t>17</w:t>
            </w:r>
          </w:p>
        </w:tc>
        <w:tc>
          <w:tcPr>
            <w:tcW w:w="2145" w:type="dxa"/>
            <w:noWrap/>
            <w:hideMark/>
          </w:tcPr>
          <w:p w14:paraId="1B0B636C" w14:textId="77777777" w:rsidR="00360E94" w:rsidRPr="00360E94" w:rsidRDefault="00360E94" w:rsidP="00360E94">
            <w:pPr>
              <w:spacing w:after="160" w:line="259" w:lineRule="auto"/>
              <w:jc w:val="center"/>
              <w:rPr>
                <w:color w:val="000000"/>
                <w:lang w:eastAsia="en-US"/>
              </w:rPr>
            </w:pPr>
            <w:r w:rsidRPr="00360E94">
              <w:rPr>
                <w:color w:val="000000"/>
                <w:lang w:eastAsia="en-US"/>
              </w:rPr>
              <w:t>0</w:t>
            </w:r>
          </w:p>
        </w:tc>
        <w:tc>
          <w:tcPr>
            <w:tcW w:w="2317" w:type="dxa"/>
            <w:noWrap/>
            <w:hideMark/>
          </w:tcPr>
          <w:p w14:paraId="1EF1E567" w14:textId="77777777" w:rsidR="00360E94" w:rsidRPr="00360E94" w:rsidRDefault="00360E94" w:rsidP="00360E94">
            <w:pPr>
              <w:spacing w:after="160" w:line="259" w:lineRule="auto"/>
              <w:jc w:val="center"/>
              <w:rPr>
                <w:color w:val="000000"/>
                <w:lang w:eastAsia="en-US"/>
              </w:rPr>
            </w:pPr>
            <w:r w:rsidRPr="00360E94">
              <w:rPr>
                <w:color w:val="000000"/>
                <w:lang w:eastAsia="en-US"/>
              </w:rPr>
              <w:t>2</w:t>
            </w:r>
          </w:p>
        </w:tc>
      </w:tr>
      <w:tr w:rsidR="00360E94" w:rsidRPr="00360E94" w14:paraId="6D28EFE6" w14:textId="77777777" w:rsidTr="00EA4200">
        <w:trPr>
          <w:trHeight w:val="307"/>
        </w:trPr>
        <w:tc>
          <w:tcPr>
            <w:tcW w:w="2317" w:type="dxa"/>
            <w:noWrap/>
            <w:hideMark/>
          </w:tcPr>
          <w:p w14:paraId="5F2661B7" w14:textId="77777777" w:rsidR="00360E94" w:rsidRPr="00360E94" w:rsidRDefault="00360E94" w:rsidP="00360E94">
            <w:pPr>
              <w:spacing w:after="160" w:line="259" w:lineRule="auto"/>
              <w:jc w:val="center"/>
              <w:rPr>
                <w:color w:val="000000"/>
                <w:lang w:eastAsia="en-US"/>
              </w:rPr>
            </w:pPr>
            <w:r w:rsidRPr="00360E94">
              <w:rPr>
                <w:color w:val="000000"/>
                <w:lang w:eastAsia="en-US"/>
              </w:rPr>
              <w:t>18</w:t>
            </w:r>
          </w:p>
        </w:tc>
        <w:tc>
          <w:tcPr>
            <w:tcW w:w="2145" w:type="dxa"/>
            <w:noWrap/>
            <w:hideMark/>
          </w:tcPr>
          <w:p w14:paraId="5E7F8BC9" w14:textId="77777777" w:rsidR="00360E94" w:rsidRPr="00360E94" w:rsidRDefault="00360E94" w:rsidP="00360E94">
            <w:pPr>
              <w:spacing w:after="160" w:line="259" w:lineRule="auto"/>
              <w:jc w:val="center"/>
              <w:rPr>
                <w:color w:val="000000"/>
                <w:lang w:eastAsia="en-US"/>
              </w:rPr>
            </w:pPr>
            <w:r w:rsidRPr="00360E94">
              <w:rPr>
                <w:color w:val="000000"/>
                <w:lang w:eastAsia="en-US"/>
              </w:rPr>
              <w:t>0</w:t>
            </w:r>
          </w:p>
        </w:tc>
        <w:tc>
          <w:tcPr>
            <w:tcW w:w="2317" w:type="dxa"/>
            <w:noWrap/>
            <w:hideMark/>
          </w:tcPr>
          <w:p w14:paraId="5E2283D8" w14:textId="77777777" w:rsidR="00360E94" w:rsidRPr="00360E94" w:rsidRDefault="00360E94" w:rsidP="00360E94">
            <w:pPr>
              <w:spacing w:after="160" w:line="259" w:lineRule="auto"/>
              <w:jc w:val="center"/>
              <w:rPr>
                <w:color w:val="000000"/>
                <w:lang w:eastAsia="en-US"/>
              </w:rPr>
            </w:pPr>
            <w:r w:rsidRPr="00360E94">
              <w:rPr>
                <w:color w:val="000000"/>
                <w:lang w:eastAsia="en-US"/>
              </w:rPr>
              <w:t>2</w:t>
            </w:r>
          </w:p>
        </w:tc>
      </w:tr>
      <w:tr w:rsidR="00360E94" w:rsidRPr="00360E94" w14:paraId="5502B699" w14:textId="77777777" w:rsidTr="00EA4200">
        <w:trPr>
          <w:trHeight w:val="307"/>
        </w:trPr>
        <w:tc>
          <w:tcPr>
            <w:tcW w:w="2317" w:type="dxa"/>
            <w:noWrap/>
            <w:hideMark/>
          </w:tcPr>
          <w:p w14:paraId="5688431D" w14:textId="77777777" w:rsidR="00360E94" w:rsidRPr="00360E94" w:rsidRDefault="00360E94" w:rsidP="00360E94">
            <w:pPr>
              <w:spacing w:after="160" w:line="259" w:lineRule="auto"/>
              <w:jc w:val="center"/>
              <w:rPr>
                <w:color w:val="000000"/>
                <w:lang w:eastAsia="en-US"/>
              </w:rPr>
            </w:pPr>
            <w:r w:rsidRPr="00360E94">
              <w:rPr>
                <w:color w:val="000000"/>
                <w:lang w:eastAsia="en-US"/>
              </w:rPr>
              <w:lastRenderedPageBreak/>
              <w:t>19</w:t>
            </w:r>
          </w:p>
        </w:tc>
        <w:tc>
          <w:tcPr>
            <w:tcW w:w="2145" w:type="dxa"/>
            <w:noWrap/>
            <w:hideMark/>
          </w:tcPr>
          <w:p w14:paraId="4483936A" w14:textId="77777777" w:rsidR="00360E94" w:rsidRPr="00360E94" w:rsidRDefault="00360E94" w:rsidP="00360E94">
            <w:pPr>
              <w:spacing w:after="160" w:line="259" w:lineRule="auto"/>
              <w:jc w:val="center"/>
              <w:rPr>
                <w:color w:val="000000"/>
                <w:lang w:eastAsia="en-US"/>
              </w:rPr>
            </w:pPr>
            <w:r w:rsidRPr="00360E94">
              <w:rPr>
                <w:color w:val="000000"/>
                <w:lang w:eastAsia="en-US"/>
              </w:rPr>
              <w:t>0</w:t>
            </w:r>
          </w:p>
        </w:tc>
        <w:tc>
          <w:tcPr>
            <w:tcW w:w="2317" w:type="dxa"/>
            <w:noWrap/>
            <w:hideMark/>
          </w:tcPr>
          <w:p w14:paraId="06BB2839" w14:textId="77777777" w:rsidR="00360E94" w:rsidRPr="00360E94" w:rsidRDefault="00360E94" w:rsidP="00360E94">
            <w:pPr>
              <w:spacing w:after="160" w:line="259" w:lineRule="auto"/>
              <w:jc w:val="center"/>
              <w:rPr>
                <w:color w:val="000000"/>
                <w:lang w:eastAsia="en-US"/>
              </w:rPr>
            </w:pPr>
            <w:r w:rsidRPr="00360E94">
              <w:rPr>
                <w:color w:val="000000"/>
                <w:lang w:eastAsia="en-US"/>
              </w:rPr>
              <w:t>2</w:t>
            </w:r>
          </w:p>
        </w:tc>
      </w:tr>
      <w:tr w:rsidR="00360E94" w:rsidRPr="00360E94" w14:paraId="08060752" w14:textId="77777777" w:rsidTr="00EA4200">
        <w:trPr>
          <w:trHeight w:val="307"/>
        </w:trPr>
        <w:tc>
          <w:tcPr>
            <w:tcW w:w="2317" w:type="dxa"/>
            <w:noWrap/>
            <w:hideMark/>
          </w:tcPr>
          <w:p w14:paraId="6423E5A5" w14:textId="77777777" w:rsidR="00360E94" w:rsidRPr="00360E94" w:rsidRDefault="00360E94" w:rsidP="00360E94">
            <w:pPr>
              <w:spacing w:after="160" w:line="259" w:lineRule="auto"/>
              <w:jc w:val="center"/>
              <w:rPr>
                <w:color w:val="000000"/>
                <w:lang w:eastAsia="en-US"/>
              </w:rPr>
            </w:pPr>
            <w:r w:rsidRPr="00360E94">
              <w:rPr>
                <w:color w:val="000000"/>
                <w:lang w:eastAsia="en-US"/>
              </w:rPr>
              <w:t>20</w:t>
            </w:r>
          </w:p>
        </w:tc>
        <w:tc>
          <w:tcPr>
            <w:tcW w:w="2145" w:type="dxa"/>
            <w:noWrap/>
            <w:hideMark/>
          </w:tcPr>
          <w:p w14:paraId="502DD184" w14:textId="77777777" w:rsidR="00360E94" w:rsidRPr="00360E94" w:rsidRDefault="00360E94" w:rsidP="00360E94">
            <w:pPr>
              <w:spacing w:after="160" w:line="259" w:lineRule="auto"/>
              <w:jc w:val="center"/>
              <w:rPr>
                <w:color w:val="000000"/>
                <w:lang w:eastAsia="en-US"/>
              </w:rPr>
            </w:pPr>
            <w:r w:rsidRPr="00360E94">
              <w:rPr>
                <w:color w:val="000000"/>
                <w:lang w:eastAsia="en-US"/>
              </w:rPr>
              <w:t>0</w:t>
            </w:r>
          </w:p>
        </w:tc>
        <w:tc>
          <w:tcPr>
            <w:tcW w:w="2317" w:type="dxa"/>
            <w:noWrap/>
            <w:hideMark/>
          </w:tcPr>
          <w:p w14:paraId="08CBA859" w14:textId="77777777" w:rsidR="00360E94" w:rsidRPr="00360E94" w:rsidRDefault="00360E94" w:rsidP="00360E94">
            <w:pPr>
              <w:spacing w:after="160" w:line="259" w:lineRule="auto"/>
              <w:jc w:val="center"/>
              <w:rPr>
                <w:color w:val="000000"/>
                <w:lang w:eastAsia="en-US"/>
              </w:rPr>
            </w:pPr>
            <w:r w:rsidRPr="00360E94">
              <w:rPr>
                <w:color w:val="000000"/>
                <w:lang w:eastAsia="en-US"/>
              </w:rPr>
              <w:t>1</w:t>
            </w:r>
          </w:p>
        </w:tc>
      </w:tr>
      <w:tr w:rsidR="00360E94" w:rsidRPr="00360E94" w14:paraId="07DD5A0A" w14:textId="77777777" w:rsidTr="00EA4200">
        <w:trPr>
          <w:trHeight w:val="307"/>
        </w:trPr>
        <w:tc>
          <w:tcPr>
            <w:tcW w:w="2317" w:type="dxa"/>
            <w:noWrap/>
            <w:hideMark/>
          </w:tcPr>
          <w:p w14:paraId="6A5395F9" w14:textId="77777777" w:rsidR="00360E94" w:rsidRPr="00360E94" w:rsidRDefault="00360E94" w:rsidP="00360E94">
            <w:pPr>
              <w:spacing w:after="160" w:line="259" w:lineRule="auto"/>
              <w:jc w:val="center"/>
              <w:rPr>
                <w:color w:val="000000"/>
                <w:lang w:eastAsia="en-US"/>
              </w:rPr>
            </w:pPr>
            <w:r w:rsidRPr="00360E94">
              <w:rPr>
                <w:color w:val="000000"/>
                <w:lang w:eastAsia="en-US"/>
              </w:rPr>
              <w:t>21</w:t>
            </w:r>
          </w:p>
        </w:tc>
        <w:tc>
          <w:tcPr>
            <w:tcW w:w="2145" w:type="dxa"/>
            <w:noWrap/>
            <w:hideMark/>
          </w:tcPr>
          <w:p w14:paraId="23AD72B6" w14:textId="77777777" w:rsidR="00360E94" w:rsidRPr="00360E94" w:rsidRDefault="00360E94" w:rsidP="00360E94">
            <w:pPr>
              <w:spacing w:after="160" w:line="259" w:lineRule="auto"/>
              <w:jc w:val="center"/>
              <w:rPr>
                <w:color w:val="000000"/>
                <w:lang w:eastAsia="en-US"/>
              </w:rPr>
            </w:pPr>
            <w:r w:rsidRPr="00360E94">
              <w:rPr>
                <w:color w:val="000000"/>
                <w:lang w:eastAsia="en-US"/>
              </w:rPr>
              <w:t>1</w:t>
            </w:r>
          </w:p>
        </w:tc>
        <w:tc>
          <w:tcPr>
            <w:tcW w:w="2317" w:type="dxa"/>
            <w:noWrap/>
            <w:hideMark/>
          </w:tcPr>
          <w:p w14:paraId="50167041" w14:textId="77777777" w:rsidR="00360E94" w:rsidRPr="00360E94" w:rsidRDefault="00360E94" w:rsidP="00360E94">
            <w:pPr>
              <w:spacing w:after="160" w:line="259" w:lineRule="auto"/>
              <w:jc w:val="center"/>
              <w:rPr>
                <w:color w:val="000000"/>
                <w:lang w:eastAsia="en-US"/>
              </w:rPr>
            </w:pPr>
            <w:r w:rsidRPr="00360E94">
              <w:rPr>
                <w:color w:val="000000"/>
                <w:lang w:eastAsia="en-US"/>
              </w:rPr>
              <w:t>2</w:t>
            </w:r>
          </w:p>
        </w:tc>
      </w:tr>
      <w:tr w:rsidR="00360E94" w:rsidRPr="00360E94" w14:paraId="080BF3EA" w14:textId="77777777" w:rsidTr="00EA4200">
        <w:trPr>
          <w:trHeight w:val="307"/>
        </w:trPr>
        <w:tc>
          <w:tcPr>
            <w:tcW w:w="2317" w:type="dxa"/>
            <w:noWrap/>
            <w:hideMark/>
          </w:tcPr>
          <w:p w14:paraId="51D3DEBD" w14:textId="77777777" w:rsidR="00360E94" w:rsidRPr="00360E94" w:rsidRDefault="00360E94" w:rsidP="00360E94">
            <w:pPr>
              <w:spacing w:after="160" w:line="259" w:lineRule="auto"/>
              <w:jc w:val="center"/>
              <w:rPr>
                <w:color w:val="000000"/>
                <w:lang w:eastAsia="en-US"/>
              </w:rPr>
            </w:pPr>
            <w:r w:rsidRPr="00360E94">
              <w:rPr>
                <w:color w:val="000000"/>
                <w:lang w:eastAsia="en-US"/>
              </w:rPr>
              <w:t>22</w:t>
            </w:r>
          </w:p>
        </w:tc>
        <w:tc>
          <w:tcPr>
            <w:tcW w:w="2145" w:type="dxa"/>
            <w:noWrap/>
            <w:hideMark/>
          </w:tcPr>
          <w:p w14:paraId="4814DFD6" w14:textId="77777777" w:rsidR="00360E94" w:rsidRPr="00360E94" w:rsidRDefault="00360E94" w:rsidP="00360E94">
            <w:pPr>
              <w:spacing w:after="160" w:line="259" w:lineRule="auto"/>
              <w:jc w:val="center"/>
              <w:rPr>
                <w:color w:val="000000"/>
                <w:lang w:eastAsia="en-US"/>
              </w:rPr>
            </w:pPr>
            <w:r w:rsidRPr="00360E94">
              <w:rPr>
                <w:color w:val="000000"/>
                <w:lang w:eastAsia="en-US"/>
              </w:rPr>
              <w:t>1</w:t>
            </w:r>
          </w:p>
        </w:tc>
        <w:tc>
          <w:tcPr>
            <w:tcW w:w="2317" w:type="dxa"/>
            <w:noWrap/>
            <w:hideMark/>
          </w:tcPr>
          <w:p w14:paraId="63DBF326" w14:textId="77777777" w:rsidR="00360E94" w:rsidRPr="00360E94" w:rsidRDefault="00360E94" w:rsidP="00360E94">
            <w:pPr>
              <w:spacing w:after="160" w:line="259" w:lineRule="auto"/>
              <w:jc w:val="center"/>
              <w:rPr>
                <w:color w:val="000000"/>
                <w:lang w:eastAsia="en-US"/>
              </w:rPr>
            </w:pPr>
            <w:r w:rsidRPr="00360E94">
              <w:rPr>
                <w:color w:val="000000"/>
                <w:lang w:eastAsia="en-US"/>
              </w:rPr>
              <w:t>3</w:t>
            </w:r>
          </w:p>
        </w:tc>
      </w:tr>
      <w:tr w:rsidR="00360E94" w:rsidRPr="00360E94" w14:paraId="11D1323E" w14:textId="77777777" w:rsidTr="00EA4200">
        <w:trPr>
          <w:trHeight w:val="307"/>
        </w:trPr>
        <w:tc>
          <w:tcPr>
            <w:tcW w:w="2317" w:type="dxa"/>
            <w:noWrap/>
            <w:hideMark/>
          </w:tcPr>
          <w:p w14:paraId="4D991C31" w14:textId="77777777" w:rsidR="00360E94" w:rsidRPr="00360E94" w:rsidRDefault="00360E94" w:rsidP="00360E94">
            <w:pPr>
              <w:spacing w:after="160" w:line="259" w:lineRule="auto"/>
              <w:jc w:val="center"/>
              <w:rPr>
                <w:color w:val="000000"/>
                <w:lang w:eastAsia="en-US"/>
              </w:rPr>
            </w:pPr>
            <w:r w:rsidRPr="00360E94">
              <w:rPr>
                <w:color w:val="000000"/>
                <w:lang w:eastAsia="en-US"/>
              </w:rPr>
              <w:t>23</w:t>
            </w:r>
          </w:p>
        </w:tc>
        <w:tc>
          <w:tcPr>
            <w:tcW w:w="2145" w:type="dxa"/>
            <w:noWrap/>
            <w:hideMark/>
          </w:tcPr>
          <w:p w14:paraId="05DB68E2" w14:textId="77777777" w:rsidR="00360E94" w:rsidRPr="00360E94" w:rsidRDefault="00360E94" w:rsidP="00360E94">
            <w:pPr>
              <w:spacing w:after="160" w:line="259" w:lineRule="auto"/>
              <w:jc w:val="center"/>
              <w:rPr>
                <w:color w:val="000000"/>
                <w:lang w:eastAsia="en-US"/>
              </w:rPr>
            </w:pPr>
            <w:r w:rsidRPr="00360E94">
              <w:rPr>
                <w:color w:val="000000"/>
                <w:lang w:eastAsia="en-US"/>
              </w:rPr>
              <w:t>2</w:t>
            </w:r>
          </w:p>
        </w:tc>
        <w:tc>
          <w:tcPr>
            <w:tcW w:w="2317" w:type="dxa"/>
            <w:noWrap/>
            <w:hideMark/>
          </w:tcPr>
          <w:p w14:paraId="4D535ADA" w14:textId="77777777" w:rsidR="00360E94" w:rsidRPr="00360E94" w:rsidRDefault="00360E94" w:rsidP="00360E94">
            <w:pPr>
              <w:spacing w:after="160" w:line="259" w:lineRule="auto"/>
              <w:jc w:val="center"/>
              <w:rPr>
                <w:color w:val="000000"/>
                <w:lang w:eastAsia="en-US"/>
              </w:rPr>
            </w:pPr>
            <w:r w:rsidRPr="00360E94">
              <w:rPr>
                <w:color w:val="000000"/>
                <w:lang w:eastAsia="en-US"/>
              </w:rPr>
              <w:t>2</w:t>
            </w:r>
          </w:p>
        </w:tc>
      </w:tr>
      <w:tr w:rsidR="00360E94" w:rsidRPr="00360E94" w14:paraId="6EB1046D" w14:textId="77777777" w:rsidTr="00EA4200">
        <w:trPr>
          <w:trHeight w:val="307"/>
        </w:trPr>
        <w:tc>
          <w:tcPr>
            <w:tcW w:w="2317" w:type="dxa"/>
            <w:noWrap/>
            <w:hideMark/>
          </w:tcPr>
          <w:p w14:paraId="21812E38" w14:textId="77777777" w:rsidR="00360E94" w:rsidRPr="00360E94" w:rsidRDefault="00360E94" w:rsidP="00360E94">
            <w:pPr>
              <w:spacing w:after="160" w:line="259" w:lineRule="auto"/>
              <w:jc w:val="center"/>
              <w:rPr>
                <w:color w:val="000000"/>
                <w:lang w:eastAsia="en-US"/>
              </w:rPr>
            </w:pPr>
            <w:r w:rsidRPr="00360E94">
              <w:rPr>
                <w:color w:val="000000"/>
                <w:lang w:eastAsia="en-US"/>
              </w:rPr>
              <w:t>24</w:t>
            </w:r>
          </w:p>
        </w:tc>
        <w:tc>
          <w:tcPr>
            <w:tcW w:w="2145" w:type="dxa"/>
            <w:noWrap/>
            <w:hideMark/>
          </w:tcPr>
          <w:p w14:paraId="73D6EEEF" w14:textId="77777777" w:rsidR="00360E94" w:rsidRPr="00360E94" w:rsidRDefault="00360E94" w:rsidP="00360E94">
            <w:pPr>
              <w:spacing w:after="160" w:line="259" w:lineRule="auto"/>
              <w:jc w:val="center"/>
              <w:rPr>
                <w:color w:val="000000"/>
                <w:lang w:eastAsia="en-US"/>
              </w:rPr>
            </w:pPr>
            <w:r w:rsidRPr="00360E94">
              <w:rPr>
                <w:color w:val="000000"/>
                <w:lang w:eastAsia="en-US"/>
              </w:rPr>
              <w:t>0</w:t>
            </w:r>
          </w:p>
        </w:tc>
        <w:tc>
          <w:tcPr>
            <w:tcW w:w="2317" w:type="dxa"/>
            <w:noWrap/>
            <w:hideMark/>
          </w:tcPr>
          <w:p w14:paraId="179949CD" w14:textId="77777777" w:rsidR="00360E94" w:rsidRPr="00360E94" w:rsidRDefault="00360E94" w:rsidP="00360E94">
            <w:pPr>
              <w:spacing w:after="160" w:line="259" w:lineRule="auto"/>
              <w:jc w:val="center"/>
              <w:rPr>
                <w:color w:val="000000"/>
                <w:lang w:eastAsia="en-US"/>
              </w:rPr>
            </w:pPr>
            <w:r w:rsidRPr="00360E94">
              <w:rPr>
                <w:color w:val="000000"/>
                <w:lang w:eastAsia="en-US"/>
              </w:rPr>
              <w:t>1</w:t>
            </w:r>
          </w:p>
        </w:tc>
      </w:tr>
      <w:tr w:rsidR="00360E94" w:rsidRPr="00360E94" w14:paraId="278259CE" w14:textId="77777777" w:rsidTr="00EA4200">
        <w:trPr>
          <w:trHeight w:val="307"/>
        </w:trPr>
        <w:tc>
          <w:tcPr>
            <w:tcW w:w="2317" w:type="dxa"/>
            <w:noWrap/>
            <w:hideMark/>
          </w:tcPr>
          <w:p w14:paraId="1803CA54" w14:textId="77777777" w:rsidR="00360E94" w:rsidRPr="00360E94" w:rsidRDefault="00360E94" w:rsidP="00360E94">
            <w:pPr>
              <w:spacing w:after="160" w:line="259" w:lineRule="auto"/>
              <w:jc w:val="center"/>
              <w:rPr>
                <w:color w:val="000000"/>
                <w:lang w:eastAsia="en-US"/>
              </w:rPr>
            </w:pPr>
            <w:r w:rsidRPr="00360E94">
              <w:rPr>
                <w:color w:val="000000"/>
                <w:lang w:eastAsia="en-US"/>
              </w:rPr>
              <w:t>25</w:t>
            </w:r>
          </w:p>
        </w:tc>
        <w:tc>
          <w:tcPr>
            <w:tcW w:w="2145" w:type="dxa"/>
            <w:noWrap/>
            <w:hideMark/>
          </w:tcPr>
          <w:p w14:paraId="6475AE63" w14:textId="77777777" w:rsidR="00360E94" w:rsidRPr="00360E94" w:rsidRDefault="00360E94" w:rsidP="00360E94">
            <w:pPr>
              <w:spacing w:after="160" w:line="259" w:lineRule="auto"/>
              <w:jc w:val="center"/>
              <w:rPr>
                <w:color w:val="000000"/>
                <w:lang w:eastAsia="en-US"/>
              </w:rPr>
            </w:pPr>
            <w:r w:rsidRPr="00360E94">
              <w:rPr>
                <w:color w:val="000000"/>
                <w:lang w:eastAsia="en-US"/>
              </w:rPr>
              <w:t>0</w:t>
            </w:r>
          </w:p>
        </w:tc>
        <w:tc>
          <w:tcPr>
            <w:tcW w:w="2317" w:type="dxa"/>
            <w:noWrap/>
            <w:hideMark/>
          </w:tcPr>
          <w:p w14:paraId="11AFFCCF" w14:textId="77777777" w:rsidR="00360E94" w:rsidRPr="00360E94" w:rsidRDefault="00360E94" w:rsidP="00360E94">
            <w:pPr>
              <w:spacing w:after="160" w:line="259" w:lineRule="auto"/>
              <w:jc w:val="center"/>
              <w:rPr>
                <w:color w:val="000000"/>
                <w:lang w:eastAsia="en-US"/>
              </w:rPr>
            </w:pPr>
            <w:r w:rsidRPr="00360E94">
              <w:rPr>
                <w:color w:val="000000"/>
                <w:lang w:eastAsia="en-US"/>
              </w:rPr>
              <w:t>4</w:t>
            </w:r>
          </w:p>
        </w:tc>
      </w:tr>
      <w:tr w:rsidR="00360E94" w:rsidRPr="00360E94" w14:paraId="3C9D38FE" w14:textId="77777777" w:rsidTr="00EA4200">
        <w:trPr>
          <w:trHeight w:val="307"/>
        </w:trPr>
        <w:tc>
          <w:tcPr>
            <w:tcW w:w="2317" w:type="dxa"/>
            <w:noWrap/>
            <w:hideMark/>
          </w:tcPr>
          <w:p w14:paraId="4EBC0E0D" w14:textId="77777777" w:rsidR="00360E94" w:rsidRPr="00360E94" w:rsidRDefault="00360E94" w:rsidP="00360E94">
            <w:pPr>
              <w:spacing w:after="160" w:line="259" w:lineRule="auto"/>
              <w:jc w:val="center"/>
              <w:rPr>
                <w:color w:val="000000"/>
                <w:lang w:eastAsia="en-US"/>
              </w:rPr>
            </w:pPr>
            <w:r w:rsidRPr="00360E94">
              <w:rPr>
                <w:color w:val="000000"/>
                <w:lang w:eastAsia="en-US"/>
              </w:rPr>
              <w:t>26</w:t>
            </w:r>
          </w:p>
        </w:tc>
        <w:tc>
          <w:tcPr>
            <w:tcW w:w="2145" w:type="dxa"/>
            <w:noWrap/>
            <w:hideMark/>
          </w:tcPr>
          <w:p w14:paraId="1F73D6E0" w14:textId="77777777" w:rsidR="00360E94" w:rsidRPr="00360E94" w:rsidRDefault="00360E94" w:rsidP="00360E94">
            <w:pPr>
              <w:spacing w:after="160" w:line="259" w:lineRule="auto"/>
              <w:jc w:val="center"/>
              <w:rPr>
                <w:color w:val="000000"/>
                <w:lang w:eastAsia="en-US"/>
              </w:rPr>
            </w:pPr>
            <w:r w:rsidRPr="00360E94">
              <w:rPr>
                <w:color w:val="000000"/>
                <w:lang w:eastAsia="en-US"/>
              </w:rPr>
              <w:t>0</w:t>
            </w:r>
          </w:p>
        </w:tc>
        <w:tc>
          <w:tcPr>
            <w:tcW w:w="2317" w:type="dxa"/>
            <w:noWrap/>
            <w:hideMark/>
          </w:tcPr>
          <w:p w14:paraId="3A071429" w14:textId="77777777" w:rsidR="00360E94" w:rsidRPr="00360E94" w:rsidRDefault="00360E94" w:rsidP="00360E94">
            <w:pPr>
              <w:spacing w:after="160" w:line="259" w:lineRule="auto"/>
              <w:jc w:val="center"/>
              <w:rPr>
                <w:color w:val="000000"/>
                <w:lang w:eastAsia="en-US"/>
              </w:rPr>
            </w:pPr>
            <w:r w:rsidRPr="00360E94">
              <w:rPr>
                <w:color w:val="000000"/>
                <w:lang w:eastAsia="en-US"/>
              </w:rPr>
              <w:t>1</w:t>
            </w:r>
          </w:p>
        </w:tc>
      </w:tr>
      <w:tr w:rsidR="00360E94" w:rsidRPr="00360E94" w14:paraId="5A66F028" w14:textId="77777777" w:rsidTr="00EA4200">
        <w:trPr>
          <w:trHeight w:val="307"/>
        </w:trPr>
        <w:tc>
          <w:tcPr>
            <w:tcW w:w="2317" w:type="dxa"/>
            <w:noWrap/>
            <w:hideMark/>
          </w:tcPr>
          <w:p w14:paraId="76A048C7" w14:textId="77777777" w:rsidR="00360E94" w:rsidRPr="00360E94" w:rsidRDefault="00360E94" w:rsidP="00360E94">
            <w:pPr>
              <w:spacing w:after="160" w:line="259" w:lineRule="auto"/>
              <w:jc w:val="center"/>
              <w:rPr>
                <w:color w:val="000000"/>
                <w:lang w:eastAsia="en-US"/>
              </w:rPr>
            </w:pPr>
            <w:r w:rsidRPr="00360E94">
              <w:rPr>
                <w:color w:val="000000"/>
                <w:lang w:eastAsia="en-US"/>
              </w:rPr>
              <w:t>27</w:t>
            </w:r>
          </w:p>
        </w:tc>
        <w:tc>
          <w:tcPr>
            <w:tcW w:w="2145" w:type="dxa"/>
            <w:noWrap/>
            <w:hideMark/>
          </w:tcPr>
          <w:p w14:paraId="7E14F8B2" w14:textId="77777777" w:rsidR="00360E94" w:rsidRPr="00360E94" w:rsidRDefault="00360E94" w:rsidP="00360E94">
            <w:pPr>
              <w:spacing w:after="160" w:line="259" w:lineRule="auto"/>
              <w:jc w:val="center"/>
              <w:rPr>
                <w:color w:val="000000"/>
                <w:lang w:eastAsia="en-US"/>
              </w:rPr>
            </w:pPr>
            <w:r w:rsidRPr="00360E94">
              <w:rPr>
                <w:color w:val="000000"/>
                <w:lang w:eastAsia="en-US"/>
              </w:rPr>
              <w:t>1</w:t>
            </w:r>
          </w:p>
        </w:tc>
        <w:tc>
          <w:tcPr>
            <w:tcW w:w="2317" w:type="dxa"/>
            <w:noWrap/>
            <w:hideMark/>
          </w:tcPr>
          <w:p w14:paraId="0595AEFE" w14:textId="77777777" w:rsidR="00360E94" w:rsidRPr="00360E94" w:rsidRDefault="00360E94" w:rsidP="00360E94">
            <w:pPr>
              <w:spacing w:after="160" w:line="259" w:lineRule="auto"/>
              <w:jc w:val="center"/>
              <w:rPr>
                <w:color w:val="000000"/>
                <w:lang w:eastAsia="en-US"/>
              </w:rPr>
            </w:pPr>
            <w:r w:rsidRPr="00360E94">
              <w:rPr>
                <w:color w:val="000000"/>
                <w:lang w:eastAsia="en-US"/>
              </w:rPr>
              <w:t>2</w:t>
            </w:r>
          </w:p>
        </w:tc>
      </w:tr>
      <w:tr w:rsidR="00360E94" w:rsidRPr="00360E94" w14:paraId="2476C538" w14:textId="77777777" w:rsidTr="00EA4200">
        <w:trPr>
          <w:trHeight w:val="307"/>
        </w:trPr>
        <w:tc>
          <w:tcPr>
            <w:tcW w:w="2317" w:type="dxa"/>
            <w:noWrap/>
            <w:hideMark/>
          </w:tcPr>
          <w:p w14:paraId="3A181CFA" w14:textId="77777777" w:rsidR="00360E94" w:rsidRPr="00360E94" w:rsidRDefault="00360E94" w:rsidP="00360E94">
            <w:pPr>
              <w:spacing w:after="160" w:line="259" w:lineRule="auto"/>
              <w:jc w:val="center"/>
              <w:rPr>
                <w:color w:val="000000"/>
                <w:lang w:eastAsia="en-US"/>
              </w:rPr>
            </w:pPr>
            <w:r w:rsidRPr="00360E94">
              <w:rPr>
                <w:color w:val="000000"/>
                <w:lang w:eastAsia="en-US"/>
              </w:rPr>
              <w:t>28</w:t>
            </w:r>
          </w:p>
        </w:tc>
        <w:tc>
          <w:tcPr>
            <w:tcW w:w="2145" w:type="dxa"/>
            <w:noWrap/>
            <w:hideMark/>
          </w:tcPr>
          <w:p w14:paraId="4A1C729E" w14:textId="77777777" w:rsidR="00360E94" w:rsidRPr="00360E94" w:rsidRDefault="00360E94" w:rsidP="00360E94">
            <w:pPr>
              <w:spacing w:after="160" w:line="259" w:lineRule="auto"/>
              <w:jc w:val="center"/>
              <w:rPr>
                <w:color w:val="000000"/>
                <w:lang w:eastAsia="en-US"/>
              </w:rPr>
            </w:pPr>
            <w:r w:rsidRPr="00360E94">
              <w:rPr>
                <w:color w:val="000000"/>
                <w:lang w:eastAsia="en-US"/>
              </w:rPr>
              <w:t>1</w:t>
            </w:r>
          </w:p>
        </w:tc>
        <w:tc>
          <w:tcPr>
            <w:tcW w:w="2317" w:type="dxa"/>
            <w:noWrap/>
            <w:hideMark/>
          </w:tcPr>
          <w:p w14:paraId="40660265" w14:textId="77777777" w:rsidR="00360E94" w:rsidRPr="00360E94" w:rsidRDefault="00360E94" w:rsidP="00360E94">
            <w:pPr>
              <w:spacing w:after="160" w:line="259" w:lineRule="auto"/>
              <w:jc w:val="center"/>
              <w:rPr>
                <w:color w:val="000000"/>
                <w:lang w:eastAsia="en-US"/>
              </w:rPr>
            </w:pPr>
            <w:r w:rsidRPr="00360E94">
              <w:rPr>
                <w:color w:val="000000"/>
                <w:lang w:eastAsia="en-US"/>
              </w:rPr>
              <w:t>1</w:t>
            </w:r>
          </w:p>
        </w:tc>
      </w:tr>
      <w:tr w:rsidR="00360E94" w:rsidRPr="00360E94" w14:paraId="10D7CFED" w14:textId="77777777" w:rsidTr="00EA4200">
        <w:trPr>
          <w:trHeight w:val="307"/>
        </w:trPr>
        <w:tc>
          <w:tcPr>
            <w:tcW w:w="2317" w:type="dxa"/>
            <w:noWrap/>
            <w:hideMark/>
          </w:tcPr>
          <w:p w14:paraId="7B78B7BA" w14:textId="77777777" w:rsidR="00360E94" w:rsidRPr="00360E94" w:rsidRDefault="00360E94" w:rsidP="00360E94">
            <w:pPr>
              <w:spacing w:after="160" w:line="259" w:lineRule="auto"/>
              <w:jc w:val="center"/>
              <w:rPr>
                <w:color w:val="000000"/>
                <w:lang w:eastAsia="en-US"/>
              </w:rPr>
            </w:pPr>
            <w:r w:rsidRPr="00360E94">
              <w:rPr>
                <w:color w:val="000000"/>
                <w:lang w:eastAsia="en-US"/>
              </w:rPr>
              <w:t>29</w:t>
            </w:r>
          </w:p>
        </w:tc>
        <w:tc>
          <w:tcPr>
            <w:tcW w:w="2145" w:type="dxa"/>
            <w:noWrap/>
            <w:hideMark/>
          </w:tcPr>
          <w:p w14:paraId="612D5839" w14:textId="77777777" w:rsidR="00360E94" w:rsidRPr="00360E94" w:rsidRDefault="00360E94" w:rsidP="00360E94">
            <w:pPr>
              <w:spacing w:after="160" w:line="259" w:lineRule="auto"/>
              <w:jc w:val="center"/>
              <w:rPr>
                <w:color w:val="000000"/>
                <w:lang w:eastAsia="en-US"/>
              </w:rPr>
            </w:pPr>
            <w:r w:rsidRPr="00360E94">
              <w:rPr>
                <w:color w:val="000000"/>
                <w:lang w:eastAsia="en-US"/>
              </w:rPr>
              <w:t>1</w:t>
            </w:r>
          </w:p>
        </w:tc>
        <w:tc>
          <w:tcPr>
            <w:tcW w:w="2317" w:type="dxa"/>
            <w:noWrap/>
            <w:hideMark/>
          </w:tcPr>
          <w:p w14:paraId="239E7413" w14:textId="77777777" w:rsidR="00360E94" w:rsidRPr="00360E94" w:rsidRDefault="00360E94" w:rsidP="00360E94">
            <w:pPr>
              <w:spacing w:after="160" w:line="259" w:lineRule="auto"/>
              <w:jc w:val="center"/>
              <w:rPr>
                <w:color w:val="000000"/>
                <w:lang w:eastAsia="en-US"/>
              </w:rPr>
            </w:pPr>
            <w:r w:rsidRPr="00360E94">
              <w:rPr>
                <w:color w:val="000000"/>
                <w:lang w:eastAsia="en-US"/>
              </w:rPr>
              <w:t>2</w:t>
            </w:r>
          </w:p>
        </w:tc>
      </w:tr>
      <w:tr w:rsidR="00360E94" w:rsidRPr="00360E94" w14:paraId="6384833C" w14:textId="77777777" w:rsidTr="00EA4200">
        <w:trPr>
          <w:trHeight w:val="307"/>
        </w:trPr>
        <w:tc>
          <w:tcPr>
            <w:tcW w:w="2317" w:type="dxa"/>
            <w:noWrap/>
            <w:hideMark/>
          </w:tcPr>
          <w:p w14:paraId="42507477" w14:textId="77777777" w:rsidR="00360E94" w:rsidRPr="00360E94" w:rsidRDefault="00360E94" w:rsidP="00360E94">
            <w:pPr>
              <w:spacing w:after="160" w:line="259" w:lineRule="auto"/>
              <w:rPr>
                <w:color w:val="000000"/>
                <w:lang w:eastAsia="en-US"/>
              </w:rPr>
            </w:pPr>
            <w:r w:rsidRPr="00360E94">
              <w:rPr>
                <w:color w:val="000000"/>
                <w:lang w:eastAsia="en-US"/>
              </w:rPr>
              <w:t>Total</w:t>
            </w:r>
          </w:p>
        </w:tc>
        <w:tc>
          <w:tcPr>
            <w:tcW w:w="2145" w:type="dxa"/>
            <w:noWrap/>
            <w:hideMark/>
          </w:tcPr>
          <w:p w14:paraId="2390CA01" w14:textId="77777777" w:rsidR="00360E94" w:rsidRPr="00360E94" w:rsidRDefault="00360E94" w:rsidP="00360E94">
            <w:pPr>
              <w:spacing w:after="160" w:line="259" w:lineRule="auto"/>
              <w:rPr>
                <w:b/>
                <w:bCs/>
                <w:color w:val="000000"/>
                <w:lang w:eastAsia="en-US"/>
              </w:rPr>
            </w:pPr>
            <w:r w:rsidRPr="00360E94">
              <w:rPr>
                <w:b/>
                <w:bCs/>
                <w:color w:val="000000"/>
                <w:lang w:eastAsia="en-US"/>
              </w:rPr>
              <w:t>17</w:t>
            </w:r>
          </w:p>
        </w:tc>
        <w:tc>
          <w:tcPr>
            <w:tcW w:w="2317" w:type="dxa"/>
            <w:noWrap/>
            <w:hideMark/>
          </w:tcPr>
          <w:p w14:paraId="04A25ADD" w14:textId="77777777" w:rsidR="00360E94" w:rsidRPr="00360E94" w:rsidRDefault="00360E94" w:rsidP="00360E94">
            <w:pPr>
              <w:spacing w:after="160" w:line="259" w:lineRule="auto"/>
              <w:rPr>
                <w:b/>
                <w:bCs/>
                <w:color w:val="000000"/>
                <w:lang w:eastAsia="en-US"/>
              </w:rPr>
            </w:pPr>
            <w:r w:rsidRPr="00360E94">
              <w:rPr>
                <w:b/>
                <w:bCs/>
                <w:color w:val="000000"/>
                <w:lang w:eastAsia="en-US"/>
              </w:rPr>
              <w:t>50</w:t>
            </w:r>
          </w:p>
        </w:tc>
      </w:tr>
      <w:tr w:rsidR="00360E94" w:rsidRPr="00360E94" w14:paraId="2407320F" w14:textId="77777777" w:rsidTr="00EA4200">
        <w:trPr>
          <w:trHeight w:val="307"/>
        </w:trPr>
        <w:tc>
          <w:tcPr>
            <w:tcW w:w="2317" w:type="dxa"/>
            <w:noWrap/>
            <w:hideMark/>
          </w:tcPr>
          <w:p w14:paraId="6DAB826A" w14:textId="77777777" w:rsidR="00360E94" w:rsidRPr="00360E94" w:rsidRDefault="00360E94" w:rsidP="00360E94">
            <w:pPr>
              <w:spacing w:after="160" w:line="259" w:lineRule="auto"/>
              <w:rPr>
                <w:color w:val="000000"/>
                <w:lang w:eastAsia="en-US"/>
              </w:rPr>
            </w:pPr>
            <w:r w:rsidRPr="00360E94">
              <w:rPr>
                <w:color w:val="000000"/>
                <w:lang w:eastAsia="en-US"/>
              </w:rPr>
              <w:t>Mean</w:t>
            </w:r>
          </w:p>
        </w:tc>
        <w:tc>
          <w:tcPr>
            <w:tcW w:w="2145" w:type="dxa"/>
            <w:noWrap/>
            <w:hideMark/>
          </w:tcPr>
          <w:p w14:paraId="67B712BE" w14:textId="77777777" w:rsidR="00360E94" w:rsidRPr="00360E94" w:rsidRDefault="00360E94" w:rsidP="00360E94">
            <w:pPr>
              <w:spacing w:after="160" w:line="259" w:lineRule="auto"/>
              <w:rPr>
                <w:color w:val="000000"/>
                <w:lang w:eastAsia="en-US"/>
              </w:rPr>
            </w:pPr>
            <w:r w:rsidRPr="00360E94">
              <w:rPr>
                <w:color w:val="000000"/>
                <w:lang w:eastAsia="en-US"/>
              </w:rPr>
              <w:t>0.586206897</w:t>
            </w:r>
          </w:p>
        </w:tc>
        <w:tc>
          <w:tcPr>
            <w:tcW w:w="2317" w:type="dxa"/>
            <w:noWrap/>
            <w:hideMark/>
          </w:tcPr>
          <w:p w14:paraId="7556F523" w14:textId="77777777" w:rsidR="00360E94" w:rsidRPr="00360E94" w:rsidRDefault="00360E94" w:rsidP="00360E94">
            <w:pPr>
              <w:spacing w:after="160" w:line="259" w:lineRule="auto"/>
              <w:rPr>
                <w:color w:val="000000"/>
                <w:lang w:eastAsia="en-US"/>
              </w:rPr>
            </w:pPr>
            <w:r w:rsidRPr="00360E94">
              <w:rPr>
                <w:color w:val="000000"/>
                <w:lang w:eastAsia="en-US"/>
              </w:rPr>
              <w:t>1.724137931</w:t>
            </w:r>
          </w:p>
        </w:tc>
      </w:tr>
      <w:tr w:rsidR="00360E94" w:rsidRPr="00360E94" w14:paraId="2C3407B2" w14:textId="77777777" w:rsidTr="00EA4200">
        <w:trPr>
          <w:trHeight w:val="307"/>
        </w:trPr>
        <w:tc>
          <w:tcPr>
            <w:tcW w:w="2317" w:type="dxa"/>
            <w:noWrap/>
            <w:hideMark/>
          </w:tcPr>
          <w:p w14:paraId="4318241E" w14:textId="77777777" w:rsidR="00360E94" w:rsidRPr="00360E94" w:rsidRDefault="00360E94" w:rsidP="00360E94">
            <w:pPr>
              <w:spacing w:after="160" w:line="259" w:lineRule="auto"/>
              <w:rPr>
                <w:color w:val="000000"/>
                <w:lang w:eastAsia="en-US"/>
              </w:rPr>
            </w:pPr>
            <w:r w:rsidRPr="00360E94">
              <w:rPr>
                <w:color w:val="000000"/>
                <w:lang w:eastAsia="en-US"/>
              </w:rPr>
              <w:t>Median</w:t>
            </w:r>
          </w:p>
        </w:tc>
        <w:tc>
          <w:tcPr>
            <w:tcW w:w="2145" w:type="dxa"/>
            <w:noWrap/>
            <w:hideMark/>
          </w:tcPr>
          <w:p w14:paraId="102E755C" w14:textId="77777777" w:rsidR="00360E94" w:rsidRPr="00360E94" w:rsidRDefault="00360E94" w:rsidP="00360E94">
            <w:pPr>
              <w:spacing w:after="160" w:line="259" w:lineRule="auto"/>
              <w:rPr>
                <w:color w:val="000000"/>
                <w:lang w:eastAsia="en-US"/>
              </w:rPr>
            </w:pPr>
            <w:r w:rsidRPr="00360E94">
              <w:rPr>
                <w:color w:val="000000"/>
                <w:lang w:eastAsia="en-US"/>
              </w:rPr>
              <w:t>0</w:t>
            </w:r>
          </w:p>
        </w:tc>
        <w:tc>
          <w:tcPr>
            <w:tcW w:w="2317" w:type="dxa"/>
            <w:noWrap/>
            <w:hideMark/>
          </w:tcPr>
          <w:p w14:paraId="6158F175" w14:textId="77777777" w:rsidR="00360E94" w:rsidRPr="00360E94" w:rsidRDefault="00360E94" w:rsidP="00360E94">
            <w:pPr>
              <w:spacing w:after="160" w:line="259" w:lineRule="auto"/>
              <w:rPr>
                <w:color w:val="000000"/>
                <w:lang w:eastAsia="en-US"/>
              </w:rPr>
            </w:pPr>
            <w:r w:rsidRPr="00360E94">
              <w:rPr>
                <w:color w:val="000000"/>
                <w:lang w:eastAsia="en-US"/>
              </w:rPr>
              <w:t>2</w:t>
            </w:r>
          </w:p>
        </w:tc>
      </w:tr>
      <w:tr w:rsidR="00360E94" w:rsidRPr="00360E94" w14:paraId="5D388877" w14:textId="77777777" w:rsidTr="00EA4200">
        <w:trPr>
          <w:trHeight w:val="307"/>
        </w:trPr>
        <w:tc>
          <w:tcPr>
            <w:tcW w:w="2317" w:type="dxa"/>
            <w:noWrap/>
            <w:hideMark/>
          </w:tcPr>
          <w:p w14:paraId="63180A9C" w14:textId="77777777" w:rsidR="00360E94" w:rsidRPr="00360E94" w:rsidRDefault="00360E94" w:rsidP="00360E94">
            <w:pPr>
              <w:spacing w:after="160" w:line="259" w:lineRule="auto"/>
              <w:rPr>
                <w:color w:val="000000"/>
                <w:lang w:eastAsia="en-US"/>
              </w:rPr>
            </w:pPr>
            <w:r w:rsidRPr="00360E94">
              <w:rPr>
                <w:color w:val="000000"/>
                <w:lang w:eastAsia="en-US"/>
              </w:rPr>
              <w:t>Mode</w:t>
            </w:r>
          </w:p>
        </w:tc>
        <w:tc>
          <w:tcPr>
            <w:tcW w:w="2145" w:type="dxa"/>
            <w:noWrap/>
            <w:hideMark/>
          </w:tcPr>
          <w:p w14:paraId="2C5BDF6F" w14:textId="77777777" w:rsidR="00360E94" w:rsidRPr="00360E94" w:rsidRDefault="00360E94" w:rsidP="00360E94">
            <w:pPr>
              <w:spacing w:after="160" w:line="259" w:lineRule="auto"/>
              <w:rPr>
                <w:color w:val="000000"/>
                <w:lang w:eastAsia="en-US"/>
              </w:rPr>
            </w:pPr>
            <w:r w:rsidRPr="00360E94">
              <w:rPr>
                <w:color w:val="000000"/>
                <w:lang w:eastAsia="en-US"/>
              </w:rPr>
              <w:t>0</w:t>
            </w:r>
          </w:p>
        </w:tc>
        <w:tc>
          <w:tcPr>
            <w:tcW w:w="2317" w:type="dxa"/>
            <w:noWrap/>
            <w:hideMark/>
          </w:tcPr>
          <w:p w14:paraId="5B977A37" w14:textId="77777777" w:rsidR="00360E94" w:rsidRPr="00360E94" w:rsidRDefault="00360E94" w:rsidP="00360E94">
            <w:pPr>
              <w:spacing w:after="160" w:line="259" w:lineRule="auto"/>
              <w:rPr>
                <w:color w:val="000000"/>
                <w:lang w:eastAsia="en-US"/>
              </w:rPr>
            </w:pPr>
            <w:r w:rsidRPr="00360E94">
              <w:rPr>
                <w:color w:val="000000"/>
                <w:lang w:eastAsia="en-US"/>
              </w:rPr>
              <w:t>2</w:t>
            </w:r>
          </w:p>
        </w:tc>
      </w:tr>
    </w:tbl>
    <w:p w14:paraId="5CD81A11" w14:textId="77777777" w:rsidR="00360E94" w:rsidRPr="00360E94" w:rsidRDefault="00360E94" w:rsidP="00360E94">
      <w:pPr>
        <w:spacing w:after="160" w:line="259" w:lineRule="auto"/>
        <w:jc w:val="center"/>
        <w:rPr>
          <w:rFonts w:ascii="Calibri" w:eastAsia="Calibri" w:hAnsi="Calibri"/>
          <w:color w:val="000000"/>
          <w:sz w:val="22"/>
          <w:szCs w:val="22"/>
          <w:lang w:eastAsia="en-US"/>
        </w:rPr>
      </w:pPr>
      <w:r w:rsidRPr="00360E94">
        <w:rPr>
          <w:rFonts w:ascii="Calibri" w:eastAsia="Calibri" w:hAnsi="Calibri"/>
          <w:color w:val="000000"/>
          <w:sz w:val="22"/>
          <w:szCs w:val="22"/>
          <w:lang w:eastAsia="en-US"/>
        </w:rPr>
        <w:br w:type="textWrapping" w:clear="all"/>
      </w:r>
    </w:p>
    <w:p w14:paraId="696CDA09" w14:textId="77777777" w:rsidR="00360E94" w:rsidRPr="00360E94" w:rsidRDefault="00360E94" w:rsidP="00360E94">
      <w:pPr>
        <w:spacing w:after="160" w:line="259" w:lineRule="auto"/>
        <w:rPr>
          <w:rFonts w:ascii="Calibri" w:eastAsia="Calibri" w:hAnsi="Calibri"/>
          <w:color w:val="000000"/>
          <w:sz w:val="22"/>
          <w:szCs w:val="22"/>
          <w:lang w:eastAsia="en-US"/>
        </w:rPr>
      </w:pPr>
      <w:r w:rsidRPr="00360E94">
        <w:rPr>
          <w:rFonts w:ascii="Calibri" w:eastAsia="Calibri" w:hAnsi="Calibri"/>
          <w:color w:val="000000"/>
          <w:sz w:val="22"/>
          <w:szCs w:val="22"/>
          <w:lang w:eastAsia="en-US"/>
        </w:rPr>
        <w:t>Table 1: Showing participant’s test scores for pre and post testing, including averages.</w:t>
      </w:r>
    </w:p>
    <w:tbl>
      <w:tblPr>
        <w:tblStyle w:val="TableGrid1"/>
        <w:tblW w:w="0" w:type="auto"/>
        <w:tblLook w:val="04A0" w:firstRow="1" w:lastRow="0" w:firstColumn="1" w:lastColumn="0" w:noHBand="0" w:noVBand="1"/>
      </w:tblPr>
      <w:tblGrid>
        <w:gridCol w:w="1327"/>
        <w:gridCol w:w="2723"/>
        <w:gridCol w:w="2678"/>
      </w:tblGrid>
      <w:tr w:rsidR="00360E94" w:rsidRPr="00360E94" w14:paraId="1290FCEE" w14:textId="77777777" w:rsidTr="00EA4200">
        <w:trPr>
          <w:trHeight w:val="298"/>
        </w:trPr>
        <w:tc>
          <w:tcPr>
            <w:tcW w:w="1327" w:type="dxa"/>
            <w:noWrap/>
            <w:hideMark/>
          </w:tcPr>
          <w:p w14:paraId="0FF57FA3" w14:textId="77777777" w:rsidR="00360E94" w:rsidRPr="00360E94" w:rsidRDefault="00360E94" w:rsidP="00360E94">
            <w:pPr>
              <w:rPr>
                <w:color w:val="000000"/>
                <w:lang w:eastAsia="en-US"/>
              </w:rPr>
            </w:pPr>
            <w:r w:rsidRPr="00360E94">
              <w:rPr>
                <w:color w:val="000000"/>
                <w:lang w:eastAsia="en-US"/>
              </w:rPr>
              <w:t>Pupil</w:t>
            </w:r>
          </w:p>
        </w:tc>
        <w:tc>
          <w:tcPr>
            <w:tcW w:w="2723" w:type="dxa"/>
            <w:noWrap/>
            <w:hideMark/>
          </w:tcPr>
          <w:p w14:paraId="582E4710" w14:textId="77777777" w:rsidR="00360E94" w:rsidRPr="00360E94" w:rsidRDefault="00360E94" w:rsidP="00360E94">
            <w:pPr>
              <w:rPr>
                <w:color w:val="000000"/>
                <w:lang w:eastAsia="en-US"/>
              </w:rPr>
            </w:pPr>
            <w:r w:rsidRPr="00360E94">
              <w:rPr>
                <w:color w:val="000000"/>
                <w:lang w:eastAsia="en-US"/>
              </w:rPr>
              <w:t>Pre-Test percentage (%)</w:t>
            </w:r>
          </w:p>
        </w:tc>
        <w:tc>
          <w:tcPr>
            <w:tcW w:w="2678" w:type="dxa"/>
            <w:noWrap/>
            <w:hideMark/>
          </w:tcPr>
          <w:p w14:paraId="02690928" w14:textId="77777777" w:rsidR="00360E94" w:rsidRPr="00360E94" w:rsidRDefault="00360E94" w:rsidP="00360E94">
            <w:pPr>
              <w:rPr>
                <w:color w:val="000000"/>
                <w:lang w:eastAsia="en-US"/>
              </w:rPr>
            </w:pPr>
            <w:proofErr w:type="spellStart"/>
            <w:r w:rsidRPr="00360E94">
              <w:rPr>
                <w:color w:val="000000"/>
                <w:lang w:eastAsia="en-US"/>
              </w:rPr>
              <w:t>Post test</w:t>
            </w:r>
            <w:proofErr w:type="spellEnd"/>
            <w:r w:rsidRPr="00360E94">
              <w:rPr>
                <w:color w:val="000000"/>
                <w:lang w:eastAsia="en-US"/>
              </w:rPr>
              <w:t xml:space="preserve"> percentage (%)</w:t>
            </w:r>
          </w:p>
        </w:tc>
      </w:tr>
      <w:tr w:rsidR="00360E94" w:rsidRPr="00360E94" w14:paraId="776337E9" w14:textId="77777777" w:rsidTr="00EA4200">
        <w:trPr>
          <w:trHeight w:val="298"/>
        </w:trPr>
        <w:tc>
          <w:tcPr>
            <w:tcW w:w="1327" w:type="dxa"/>
            <w:noWrap/>
            <w:hideMark/>
          </w:tcPr>
          <w:p w14:paraId="5F43EF2F" w14:textId="77777777" w:rsidR="00360E94" w:rsidRPr="00360E94" w:rsidRDefault="00360E94" w:rsidP="00360E94">
            <w:pPr>
              <w:rPr>
                <w:color w:val="000000"/>
                <w:lang w:eastAsia="en-US"/>
              </w:rPr>
            </w:pPr>
            <w:r w:rsidRPr="00360E94">
              <w:rPr>
                <w:color w:val="000000"/>
                <w:lang w:eastAsia="en-US"/>
              </w:rPr>
              <w:t>1</w:t>
            </w:r>
          </w:p>
        </w:tc>
        <w:tc>
          <w:tcPr>
            <w:tcW w:w="2723" w:type="dxa"/>
            <w:noWrap/>
            <w:hideMark/>
          </w:tcPr>
          <w:p w14:paraId="4C3BBBCF" w14:textId="77777777" w:rsidR="00360E94" w:rsidRPr="00360E94" w:rsidRDefault="00360E94" w:rsidP="00360E94">
            <w:pPr>
              <w:rPr>
                <w:color w:val="000000"/>
                <w:lang w:eastAsia="en-US"/>
              </w:rPr>
            </w:pPr>
            <w:r w:rsidRPr="00360E94">
              <w:rPr>
                <w:color w:val="000000"/>
                <w:lang w:eastAsia="en-US"/>
              </w:rPr>
              <w:t>0</w:t>
            </w:r>
          </w:p>
        </w:tc>
        <w:tc>
          <w:tcPr>
            <w:tcW w:w="2678" w:type="dxa"/>
            <w:noWrap/>
            <w:hideMark/>
          </w:tcPr>
          <w:p w14:paraId="2AA0D6F5" w14:textId="77777777" w:rsidR="00360E94" w:rsidRPr="00360E94" w:rsidRDefault="00360E94" w:rsidP="00360E94">
            <w:pPr>
              <w:rPr>
                <w:color w:val="000000"/>
                <w:lang w:eastAsia="en-US"/>
              </w:rPr>
            </w:pPr>
            <w:r w:rsidRPr="00360E94">
              <w:rPr>
                <w:color w:val="000000"/>
                <w:lang w:eastAsia="en-US"/>
              </w:rPr>
              <w:t>12.5</w:t>
            </w:r>
          </w:p>
        </w:tc>
      </w:tr>
      <w:tr w:rsidR="00360E94" w:rsidRPr="00360E94" w14:paraId="27DF2621" w14:textId="77777777" w:rsidTr="00EA4200">
        <w:trPr>
          <w:trHeight w:val="298"/>
        </w:trPr>
        <w:tc>
          <w:tcPr>
            <w:tcW w:w="1327" w:type="dxa"/>
            <w:noWrap/>
            <w:hideMark/>
          </w:tcPr>
          <w:p w14:paraId="3464EDB7" w14:textId="77777777" w:rsidR="00360E94" w:rsidRPr="00360E94" w:rsidRDefault="00360E94" w:rsidP="00360E94">
            <w:pPr>
              <w:rPr>
                <w:color w:val="000000"/>
                <w:lang w:eastAsia="en-US"/>
              </w:rPr>
            </w:pPr>
            <w:r w:rsidRPr="00360E94">
              <w:rPr>
                <w:color w:val="000000"/>
                <w:lang w:eastAsia="en-US"/>
              </w:rPr>
              <w:t>2</w:t>
            </w:r>
          </w:p>
        </w:tc>
        <w:tc>
          <w:tcPr>
            <w:tcW w:w="2723" w:type="dxa"/>
            <w:noWrap/>
            <w:hideMark/>
          </w:tcPr>
          <w:p w14:paraId="1F0059ED" w14:textId="77777777" w:rsidR="00360E94" w:rsidRPr="00360E94" w:rsidRDefault="00360E94" w:rsidP="00360E94">
            <w:pPr>
              <w:rPr>
                <w:color w:val="000000"/>
                <w:lang w:eastAsia="en-US"/>
              </w:rPr>
            </w:pPr>
            <w:r w:rsidRPr="00360E94">
              <w:rPr>
                <w:color w:val="000000"/>
                <w:lang w:eastAsia="en-US"/>
              </w:rPr>
              <w:t>12.5</w:t>
            </w:r>
          </w:p>
        </w:tc>
        <w:tc>
          <w:tcPr>
            <w:tcW w:w="2678" w:type="dxa"/>
            <w:noWrap/>
            <w:hideMark/>
          </w:tcPr>
          <w:p w14:paraId="6B86A7C5" w14:textId="77777777" w:rsidR="00360E94" w:rsidRPr="00360E94" w:rsidRDefault="00360E94" w:rsidP="00360E94">
            <w:pPr>
              <w:rPr>
                <w:color w:val="000000"/>
                <w:lang w:eastAsia="en-US"/>
              </w:rPr>
            </w:pPr>
            <w:r w:rsidRPr="00360E94">
              <w:rPr>
                <w:color w:val="000000"/>
                <w:lang w:eastAsia="en-US"/>
              </w:rPr>
              <w:t>37.5</w:t>
            </w:r>
          </w:p>
        </w:tc>
      </w:tr>
      <w:tr w:rsidR="00360E94" w:rsidRPr="00360E94" w14:paraId="435F3C69" w14:textId="77777777" w:rsidTr="00EA4200">
        <w:trPr>
          <w:trHeight w:val="298"/>
        </w:trPr>
        <w:tc>
          <w:tcPr>
            <w:tcW w:w="1327" w:type="dxa"/>
            <w:noWrap/>
            <w:hideMark/>
          </w:tcPr>
          <w:p w14:paraId="36C699AE" w14:textId="77777777" w:rsidR="00360E94" w:rsidRPr="00360E94" w:rsidRDefault="00360E94" w:rsidP="00360E94">
            <w:pPr>
              <w:rPr>
                <w:color w:val="000000"/>
                <w:lang w:eastAsia="en-US"/>
              </w:rPr>
            </w:pPr>
            <w:r w:rsidRPr="00360E94">
              <w:rPr>
                <w:color w:val="000000"/>
                <w:lang w:eastAsia="en-US"/>
              </w:rPr>
              <w:t>3</w:t>
            </w:r>
          </w:p>
        </w:tc>
        <w:tc>
          <w:tcPr>
            <w:tcW w:w="2723" w:type="dxa"/>
            <w:noWrap/>
            <w:hideMark/>
          </w:tcPr>
          <w:p w14:paraId="7C026BF1" w14:textId="77777777" w:rsidR="00360E94" w:rsidRPr="00360E94" w:rsidRDefault="00360E94" w:rsidP="00360E94">
            <w:pPr>
              <w:rPr>
                <w:color w:val="000000"/>
                <w:lang w:eastAsia="en-US"/>
              </w:rPr>
            </w:pPr>
            <w:r w:rsidRPr="00360E94">
              <w:rPr>
                <w:color w:val="000000"/>
                <w:lang w:eastAsia="en-US"/>
              </w:rPr>
              <w:t>0</w:t>
            </w:r>
          </w:p>
        </w:tc>
        <w:tc>
          <w:tcPr>
            <w:tcW w:w="2678" w:type="dxa"/>
            <w:noWrap/>
            <w:hideMark/>
          </w:tcPr>
          <w:p w14:paraId="03F4048D" w14:textId="77777777" w:rsidR="00360E94" w:rsidRPr="00360E94" w:rsidRDefault="00360E94" w:rsidP="00360E94">
            <w:pPr>
              <w:rPr>
                <w:color w:val="000000"/>
                <w:lang w:eastAsia="en-US"/>
              </w:rPr>
            </w:pPr>
            <w:r w:rsidRPr="00360E94">
              <w:rPr>
                <w:color w:val="000000"/>
                <w:lang w:eastAsia="en-US"/>
              </w:rPr>
              <w:t>37.5</w:t>
            </w:r>
          </w:p>
        </w:tc>
      </w:tr>
      <w:tr w:rsidR="00360E94" w:rsidRPr="00360E94" w14:paraId="7034B551" w14:textId="77777777" w:rsidTr="00EA4200">
        <w:trPr>
          <w:trHeight w:val="298"/>
        </w:trPr>
        <w:tc>
          <w:tcPr>
            <w:tcW w:w="1327" w:type="dxa"/>
            <w:noWrap/>
            <w:hideMark/>
          </w:tcPr>
          <w:p w14:paraId="379D61E9" w14:textId="77777777" w:rsidR="00360E94" w:rsidRPr="00360E94" w:rsidRDefault="00360E94" w:rsidP="00360E94">
            <w:pPr>
              <w:rPr>
                <w:color w:val="000000"/>
                <w:lang w:eastAsia="en-US"/>
              </w:rPr>
            </w:pPr>
            <w:r w:rsidRPr="00360E94">
              <w:rPr>
                <w:color w:val="000000"/>
                <w:lang w:eastAsia="en-US"/>
              </w:rPr>
              <w:t>4</w:t>
            </w:r>
          </w:p>
        </w:tc>
        <w:tc>
          <w:tcPr>
            <w:tcW w:w="2723" w:type="dxa"/>
            <w:noWrap/>
            <w:hideMark/>
          </w:tcPr>
          <w:p w14:paraId="2BC1F259" w14:textId="77777777" w:rsidR="00360E94" w:rsidRPr="00360E94" w:rsidRDefault="00360E94" w:rsidP="00360E94">
            <w:pPr>
              <w:rPr>
                <w:color w:val="000000"/>
                <w:lang w:eastAsia="en-US"/>
              </w:rPr>
            </w:pPr>
            <w:r w:rsidRPr="00360E94">
              <w:rPr>
                <w:color w:val="000000"/>
                <w:lang w:eastAsia="en-US"/>
              </w:rPr>
              <w:t>0</w:t>
            </w:r>
          </w:p>
        </w:tc>
        <w:tc>
          <w:tcPr>
            <w:tcW w:w="2678" w:type="dxa"/>
            <w:noWrap/>
            <w:hideMark/>
          </w:tcPr>
          <w:p w14:paraId="4A7B1DD8" w14:textId="77777777" w:rsidR="00360E94" w:rsidRPr="00360E94" w:rsidRDefault="00360E94" w:rsidP="00360E94">
            <w:pPr>
              <w:rPr>
                <w:color w:val="000000"/>
                <w:lang w:eastAsia="en-US"/>
              </w:rPr>
            </w:pPr>
            <w:r w:rsidRPr="00360E94">
              <w:rPr>
                <w:color w:val="000000"/>
                <w:lang w:eastAsia="en-US"/>
              </w:rPr>
              <w:t>0</w:t>
            </w:r>
          </w:p>
        </w:tc>
      </w:tr>
      <w:tr w:rsidR="00360E94" w:rsidRPr="00360E94" w14:paraId="669321EF" w14:textId="77777777" w:rsidTr="00EA4200">
        <w:trPr>
          <w:trHeight w:val="298"/>
        </w:trPr>
        <w:tc>
          <w:tcPr>
            <w:tcW w:w="1327" w:type="dxa"/>
            <w:noWrap/>
            <w:hideMark/>
          </w:tcPr>
          <w:p w14:paraId="311CDA10" w14:textId="77777777" w:rsidR="00360E94" w:rsidRPr="00360E94" w:rsidRDefault="00360E94" w:rsidP="00360E94">
            <w:pPr>
              <w:rPr>
                <w:color w:val="000000"/>
                <w:lang w:eastAsia="en-US"/>
              </w:rPr>
            </w:pPr>
            <w:r w:rsidRPr="00360E94">
              <w:rPr>
                <w:color w:val="000000"/>
                <w:lang w:eastAsia="en-US"/>
              </w:rPr>
              <w:t>5</w:t>
            </w:r>
          </w:p>
        </w:tc>
        <w:tc>
          <w:tcPr>
            <w:tcW w:w="2723" w:type="dxa"/>
            <w:noWrap/>
            <w:hideMark/>
          </w:tcPr>
          <w:p w14:paraId="3AE6788C" w14:textId="77777777" w:rsidR="00360E94" w:rsidRPr="00360E94" w:rsidRDefault="00360E94" w:rsidP="00360E94">
            <w:pPr>
              <w:rPr>
                <w:color w:val="000000"/>
                <w:lang w:eastAsia="en-US"/>
              </w:rPr>
            </w:pPr>
            <w:r w:rsidRPr="00360E94">
              <w:rPr>
                <w:color w:val="000000"/>
                <w:lang w:eastAsia="en-US"/>
              </w:rPr>
              <w:t>12.5</w:t>
            </w:r>
          </w:p>
        </w:tc>
        <w:tc>
          <w:tcPr>
            <w:tcW w:w="2678" w:type="dxa"/>
            <w:noWrap/>
            <w:hideMark/>
          </w:tcPr>
          <w:p w14:paraId="36AB5971" w14:textId="77777777" w:rsidR="00360E94" w:rsidRPr="00360E94" w:rsidRDefault="00360E94" w:rsidP="00360E94">
            <w:pPr>
              <w:rPr>
                <w:color w:val="000000"/>
                <w:lang w:eastAsia="en-US"/>
              </w:rPr>
            </w:pPr>
            <w:r w:rsidRPr="00360E94">
              <w:rPr>
                <w:color w:val="000000"/>
                <w:lang w:eastAsia="en-US"/>
              </w:rPr>
              <w:t>0</w:t>
            </w:r>
          </w:p>
        </w:tc>
      </w:tr>
      <w:tr w:rsidR="00360E94" w:rsidRPr="00360E94" w14:paraId="03E3DFC5" w14:textId="77777777" w:rsidTr="00EA4200">
        <w:trPr>
          <w:trHeight w:val="298"/>
        </w:trPr>
        <w:tc>
          <w:tcPr>
            <w:tcW w:w="1327" w:type="dxa"/>
            <w:noWrap/>
            <w:hideMark/>
          </w:tcPr>
          <w:p w14:paraId="3589BE84" w14:textId="77777777" w:rsidR="00360E94" w:rsidRPr="00360E94" w:rsidRDefault="00360E94" w:rsidP="00360E94">
            <w:pPr>
              <w:rPr>
                <w:color w:val="000000"/>
                <w:lang w:eastAsia="en-US"/>
              </w:rPr>
            </w:pPr>
            <w:r w:rsidRPr="00360E94">
              <w:rPr>
                <w:color w:val="000000"/>
                <w:lang w:eastAsia="en-US"/>
              </w:rPr>
              <w:t>6</w:t>
            </w:r>
          </w:p>
        </w:tc>
        <w:tc>
          <w:tcPr>
            <w:tcW w:w="2723" w:type="dxa"/>
            <w:noWrap/>
            <w:hideMark/>
          </w:tcPr>
          <w:p w14:paraId="005EAEFD" w14:textId="77777777" w:rsidR="00360E94" w:rsidRPr="00360E94" w:rsidRDefault="00360E94" w:rsidP="00360E94">
            <w:pPr>
              <w:rPr>
                <w:color w:val="000000"/>
                <w:lang w:eastAsia="en-US"/>
              </w:rPr>
            </w:pPr>
            <w:r w:rsidRPr="00360E94">
              <w:rPr>
                <w:color w:val="000000"/>
                <w:lang w:eastAsia="en-US"/>
              </w:rPr>
              <w:t>0</w:t>
            </w:r>
          </w:p>
        </w:tc>
        <w:tc>
          <w:tcPr>
            <w:tcW w:w="2678" w:type="dxa"/>
            <w:noWrap/>
            <w:hideMark/>
          </w:tcPr>
          <w:p w14:paraId="4B6BDC01" w14:textId="77777777" w:rsidR="00360E94" w:rsidRPr="00360E94" w:rsidRDefault="00360E94" w:rsidP="00360E94">
            <w:pPr>
              <w:rPr>
                <w:color w:val="000000"/>
                <w:lang w:eastAsia="en-US"/>
              </w:rPr>
            </w:pPr>
            <w:r w:rsidRPr="00360E94">
              <w:rPr>
                <w:color w:val="000000"/>
                <w:lang w:eastAsia="en-US"/>
              </w:rPr>
              <w:t>25</w:t>
            </w:r>
          </w:p>
        </w:tc>
      </w:tr>
      <w:tr w:rsidR="00360E94" w:rsidRPr="00360E94" w14:paraId="2EE190D5" w14:textId="77777777" w:rsidTr="00EA4200">
        <w:trPr>
          <w:trHeight w:val="298"/>
        </w:trPr>
        <w:tc>
          <w:tcPr>
            <w:tcW w:w="1327" w:type="dxa"/>
            <w:noWrap/>
            <w:hideMark/>
          </w:tcPr>
          <w:p w14:paraId="580C3C6A" w14:textId="77777777" w:rsidR="00360E94" w:rsidRPr="00360E94" w:rsidRDefault="00360E94" w:rsidP="00360E94">
            <w:pPr>
              <w:rPr>
                <w:color w:val="000000"/>
                <w:lang w:eastAsia="en-US"/>
              </w:rPr>
            </w:pPr>
            <w:r w:rsidRPr="00360E94">
              <w:rPr>
                <w:color w:val="000000"/>
                <w:lang w:eastAsia="en-US"/>
              </w:rPr>
              <w:t>7</w:t>
            </w:r>
          </w:p>
        </w:tc>
        <w:tc>
          <w:tcPr>
            <w:tcW w:w="2723" w:type="dxa"/>
            <w:noWrap/>
            <w:hideMark/>
          </w:tcPr>
          <w:p w14:paraId="6876A305" w14:textId="77777777" w:rsidR="00360E94" w:rsidRPr="00360E94" w:rsidRDefault="00360E94" w:rsidP="00360E94">
            <w:pPr>
              <w:rPr>
                <w:color w:val="000000"/>
                <w:lang w:eastAsia="en-US"/>
              </w:rPr>
            </w:pPr>
            <w:r w:rsidRPr="00360E94">
              <w:rPr>
                <w:color w:val="000000"/>
                <w:lang w:eastAsia="en-US"/>
              </w:rPr>
              <w:t>0</w:t>
            </w:r>
          </w:p>
        </w:tc>
        <w:tc>
          <w:tcPr>
            <w:tcW w:w="2678" w:type="dxa"/>
            <w:noWrap/>
            <w:hideMark/>
          </w:tcPr>
          <w:p w14:paraId="2A58E1F7" w14:textId="77777777" w:rsidR="00360E94" w:rsidRPr="00360E94" w:rsidRDefault="00360E94" w:rsidP="00360E94">
            <w:pPr>
              <w:rPr>
                <w:color w:val="000000"/>
                <w:lang w:eastAsia="en-US"/>
              </w:rPr>
            </w:pPr>
            <w:r w:rsidRPr="00360E94">
              <w:rPr>
                <w:color w:val="000000"/>
                <w:lang w:eastAsia="en-US"/>
              </w:rPr>
              <w:t>25</w:t>
            </w:r>
          </w:p>
        </w:tc>
      </w:tr>
      <w:tr w:rsidR="00360E94" w:rsidRPr="00360E94" w14:paraId="1946DFED" w14:textId="77777777" w:rsidTr="00EA4200">
        <w:trPr>
          <w:trHeight w:val="298"/>
        </w:trPr>
        <w:tc>
          <w:tcPr>
            <w:tcW w:w="1327" w:type="dxa"/>
            <w:noWrap/>
            <w:hideMark/>
          </w:tcPr>
          <w:p w14:paraId="1E7DF587" w14:textId="77777777" w:rsidR="00360E94" w:rsidRPr="00360E94" w:rsidRDefault="00360E94" w:rsidP="00360E94">
            <w:pPr>
              <w:rPr>
                <w:color w:val="000000"/>
                <w:lang w:eastAsia="en-US"/>
              </w:rPr>
            </w:pPr>
            <w:r w:rsidRPr="00360E94">
              <w:rPr>
                <w:color w:val="000000"/>
                <w:lang w:eastAsia="en-US"/>
              </w:rPr>
              <w:t>8</w:t>
            </w:r>
          </w:p>
        </w:tc>
        <w:tc>
          <w:tcPr>
            <w:tcW w:w="2723" w:type="dxa"/>
            <w:noWrap/>
            <w:hideMark/>
          </w:tcPr>
          <w:p w14:paraId="6140EDB8" w14:textId="77777777" w:rsidR="00360E94" w:rsidRPr="00360E94" w:rsidRDefault="00360E94" w:rsidP="00360E94">
            <w:pPr>
              <w:rPr>
                <w:color w:val="000000"/>
                <w:lang w:eastAsia="en-US"/>
              </w:rPr>
            </w:pPr>
            <w:r w:rsidRPr="00360E94">
              <w:rPr>
                <w:color w:val="000000"/>
                <w:lang w:eastAsia="en-US"/>
              </w:rPr>
              <w:t>0</w:t>
            </w:r>
          </w:p>
        </w:tc>
        <w:tc>
          <w:tcPr>
            <w:tcW w:w="2678" w:type="dxa"/>
            <w:noWrap/>
            <w:hideMark/>
          </w:tcPr>
          <w:p w14:paraId="12EC9618" w14:textId="77777777" w:rsidR="00360E94" w:rsidRPr="00360E94" w:rsidRDefault="00360E94" w:rsidP="00360E94">
            <w:pPr>
              <w:rPr>
                <w:color w:val="000000"/>
                <w:lang w:eastAsia="en-US"/>
              </w:rPr>
            </w:pPr>
            <w:r w:rsidRPr="00360E94">
              <w:rPr>
                <w:color w:val="000000"/>
                <w:lang w:eastAsia="en-US"/>
              </w:rPr>
              <w:t>12.5</w:t>
            </w:r>
          </w:p>
        </w:tc>
      </w:tr>
      <w:tr w:rsidR="00360E94" w:rsidRPr="00360E94" w14:paraId="4FED7887" w14:textId="77777777" w:rsidTr="00EA4200">
        <w:trPr>
          <w:trHeight w:val="298"/>
        </w:trPr>
        <w:tc>
          <w:tcPr>
            <w:tcW w:w="1327" w:type="dxa"/>
            <w:noWrap/>
            <w:hideMark/>
          </w:tcPr>
          <w:p w14:paraId="4F094C55" w14:textId="77777777" w:rsidR="00360E94" w:rsidRPr="00360E94" w:rsidRDefault="00360E94" w:rsidP="00360E94">
            <w:pPr>
              <w:rPr>
                <w:color w:val="000000"/>
                <w:lang w:eastAsia="en-US"/>
              </w:rPr>
            </w:pPr>
            <w:r w:rsidRPr="00360E94">
              <w:rPr>
                <w:color w:val="000000"/>
                <w:lang w:eastAsia="en-US"/>
              </w:rPr>
              <w:t>9</w:t>
            </w:r>
          </w:p>
        </w:tc>
        <w:tc>
          <w:tcPr>
            <w:tcW w:w="2723" w:type="dxa"/>
            <w:noWrap/>
            <w:hideMark/>
          </w:tcPr>
          <w:p w14:paraId="32C22C6D" w14:textId="77777777" w:rsidR="00360E94" w:rsidRPr="00360E94" w:rsidRDefault="00360E94" w:rsidP="00360E94">
            <w:pPr>
              <w:rPr>
                <w:color w:val="000000"/>
                <w:lang w:eastAsia="en-US"/>
              </w:rPr>
            </w:pPr>
            <w:r w:rsidRPr="00360E94">
              <w:rPr>
                <w:color w:val="000000"/>
                <w:lang w:eastAsia="en-US"/>
              </w:rPr>
              <w:t>12.5</w:t>
            </w:r>
          </w:p>
        </w:tc>
        <w:tc>
          <w:tcPr>
            <w:tcW w:w="2678" w:type="dxa"/>
            <w:noWrap/>
            <w:hideMark/>
          </w:tcPr>
          <w:p w14:paraId="5E2F1961" w14:textId="77777777" w:rsidR="00360E94" w:rsidRPr="00360E94" w:rsidRDefault="00360E94" w:rsidP="00360E94">
            <w:pPr>
              <w:rPr>
                <w:color w:val="000000"/>
                <w:lang w:eastAsia="en-US"/>
              </w:rPr>
            </w:pPr>
            <w:r w:rsidRPr="00360E94">
              <w:rPr>
                <w:color w:val="000000"/>
                <w:lang w:eastAsia="en-US"/>
              </w:rPr>
              <w:t>25</w:t>
            </w:r>
          </w:p>
        </w:tc>
      </w:tr>
      <w:tr w:rsidR="00360E94" w:rsidRPr="00360E94" w14:paraId="00C86F65" w14:textId="77777777" w:rsidTr="00EA4200">
        <w:trPr>
          <w:trHeight w:val="298"/>
        </w:trPr>
        <w:tc>
          <w:tcPr>
            <w:tcW w:w="1327" w:type="dxa"/>
            <w:noWrap/>
            <w:hideMark/>
          </w:tcPr>
          <w:p w14:paraId="6435A829" w14:textId="77777777" w:rsidR="00360E94" w:rsidRPr="00360E94" w:rsidRDefault="00360E94" w:rsidP="00360E94">
            <w:pPr>
              <w:rPr>
                <w:color w:val="000000"/>
                <w:lang w:eastAsia="en-US"/>
              </w:rPr>
            </w:pPr>
            <w:r w:rsidRPr="00360E94">
              <w:rPr>
                <w:color w:val="000000"/>
                <w:lang w:eastAsia="en-US"/>
              </w:rPr>
              <w:t>10</w:t>
            </w:r>
          </w:p>
        </w:tc>
        <w:tc>
          <w:tcPr>
            <w:tcW w:w="2723" w:type="dxa"/>
            <w:noWrap/>
            <w:hideMark/>
          </w:tcPr>
          <w:p w14:paraId="798113EB" w14:textId="77777777" w:rsidR="00360E94" w:rsidRPr="00360E94" w:rsidRDefault="00360E94" w:rsidP="00360E94">
            <w:pPr>
              <w:rPr>
                <w:color w:val="000000"/>
                <w:lang w:eastAsia="en-US"/>
              </w:rPr>
            </w:pPr>
            <w:r w:rsidRPr="00360E94">
              <w:rPr>
                <w:color w:val="000000"/>
                <w:lang w:eastAsia="en-US"/>
              </w:rPr>
              <w:t>12.5</w:t>
            </w:r>
          </w:p>
        </w:tc>
        <w:tc>
          <w:tcPr>
            <w:tcW w:w="2678" w:type="dxa"/>
            <w:noWrap/>
            <w:hideMark/>
          </w:tcPr>
          <w:p w14:paraId="67E61535" w14:textId="77777777" w:rsidR="00360E94" w:rsidRPr="00360E94" w:rsidRDefault="00360E94" w:rsidP="00360E94">
            <w:pPr>
              <w:rPr>
                <w:color w:val="000000"/>
                <w:lang w:eastAsia="en-US"/>
              </w:rPr>
            </w:pPr>
            <w:r w:rsidRPr="00360E94">
              <w:rPr>
                <w:color w:val="000000"/>
                <w:lang w:eastAsia="en-US"/>
              </w:rPr>
              <w:t>12.5</w:t>
            </w:r>
          </w:p>
        </w:tc>
      </w:tr>
      <w:tr w:rsidR="00360E94" w:rsidRPr="00360E94" w14:paraId="5BD076B6" w14:textId="77777777" w:rsidTr="00EA4200">
        <w:trPr>
          <w:trHeight w:val="298"/>
        </w:trPr>
        <w:tc>
          <w:tcPr>
            <w:tcW w:w="1327" w:type="dxa"/>
            <w:noWrap/>
            <w:hideMark/>
          </w:tcPr>
          <w:p w14:paraId="246620B4" w14:textId="77777777" w:rsidR="00360E94" w:rsidRPr="00360E94" w:rsidRDefault="00360E94" w:rsidP="00360E94">
            <w:pPr>
              <w:rPr>
                <w:color w:val="000000"/>
                <w:lang w:eastAsia="en-US"/>
              </w:rPr>
            </w:pPr>
            <w:r w:rsidRPr="00360E94">
              <w:rPr>
                <w:color w:val="000000"/>
                <w:lang w:eastAsia="en-US"/>
              </w:rPr>
              <w:t>11</w:t>
            </w:r>
          </w:p>
        </w:tc>
        <w:tc>
          <w:tcPr>
            <w:tcW w:w="2723" w:type="dxa"/>
            <w:noWrap/>
            <w:hideMark/>
          </w:tcPr>
          <w:p w14:paraId="7D0156E8" w14:textId="77777777" w:rsidR="00360E94" w:rsidRPr="00360E94" w:rsidRDefault="00360E94" w:rsidP="00360E94">
            <w:pPr>
              <w:rPr>
                <w:color w:val="000000"/>
                <w:lang w:eastAsia="en-US"/>
              </w:rPr>
            </w:pPr>
            <w:r w:rsidRPr="00360E94">
              <w:rPr>
                <w:color w:val="000000"/>
                <w:lang w:eastAsia="en-US"/>
              </w:rPr>
              <w:t>0</w:t>
            </w:r>
          </w:p>
        </w:tc>
        <w:tc>
          <w:tcPr>
            <w:tcW w:w="2678" w:type="dxa"/>
            <w:noWrap/>
            <w:hideMark/>
          </w:tcPr>
          <w:p w14:paraId="376FEC7E" w14:textId="77777777" w:rsidR="00360E94" w:rsidRPr="00360E94" w:rsidRDefault="00360E94" w:rsidP="00360E94">
            <w:pPr>
              <w:rPr>
                <w:color w:val="000000"/>
                <w:lang w:eastAsia="en-US"/>
              </w:rPr>
            </w:pPr>
            <w:r w:rsidRPr="00360E94">
              <w:rPr>
                <w:color w:val="000000"/>
                <w:lang w:eastAsia="en-US"/>
              </w:rPr>
              <w:t>0</w:t>
            </w:r>
          </w:p>
        </w:tc>
      </w:tr>
      <w:tr w:rsidR="00360E94" w:rsidRPr="00360E94" w14:paraId="203C0873" w14:textId="77777777" w:rsidTr="00EA4200">
        <w:trPr>
          <w:trHeight w:val="298"/>
        </w:trPr>
        <w:tc>
          <w:tcPr>
            <w:tcW w:w="1327" w:type="dxa"/>
            <w:noWrap/>
            <w:hideMark/>
          </w:tcPr>
          <w:p w14:paraId="67671542" w14:textId="77777777" w:rsidR="00360E94" w:rsidRPr="00360E94" w:rsidRDefault="00360E94" w:rsidP="00360E94">
            <w:pPr>
              <w:rPr>
                <w:color w:val="000000"/>
                <w:lang w:eastAsia="en-US"/>
              </w:rPr>
            </w:pPr>
            <w:r w:rsidRPr="00360E94">
              <w:rPr>
                <w:color w:val="000000"/>
                <w:lang w:eastAsia="en-US"/>
              </w:rPr>
              <w:t>12</w:t>
            </w:r>
          </w:p>
        </w:tc>
        <w:tc>
          <w:tcPr>
            <w:tcW w:w="2723" w:type="dxa"/>
            <w:noWrap/>
            <w:hideMark/>
          </w:tcPr>
          <w:p w14:paraId="78A76974" w14:textId="77777777" w:rsidR="00360E94" w:rsidRPr="00360E94" w:rsidRDefault="00360E94" w:rsidP="00360E94">
            <w:pPr>
              <w:rPr>
                <w:color w:val="000000"/>
                <w:lang w:eastAsia="en-US"/>
              </w:rPr>
            </w:pPr>
            <w:r w:rsidRPr="00360E94">
              <w:rPr>
                <w:color w:val="000000"/>
                <w:lang w:eastAsia="en-US"/>
              </w:rPr>
              <w:t>25</w:t>
            </w:r>
          </w:p>
        </w:tc>
        <w:tc>
          <w:tcPr>
            <w:tcW w:w="2678" w:type="dxa"/>
            <w:noWrap/>
            <w:hideMark/>
          </w:tcPr>
          <w:p w14:paraId="4985773C" w14:textId="77777777" w:rsidR="00360E94" w:rsidRPr="00360E94" w:rsidRDefault="00360E94" w:rsidP="00360E94">
            <w:pPr>
              <w:rPr>
                <w:color w:val="000000"/>
                <w:lang w:eastAsia="en-US"/>
              </w:rPr>
            </w:pPr>
            <w:r w:rsidRPr="00360E94">
              <w:rPr>
                <w:color w:val="000000"/>
                <w:lang w:eastAsia="en-US"/>
              </w:rPr>
              <w:t>62.5</w:t>
            </w:r>
          </w:p>
        </w:tc>
      </w:tr>
      <w:tr w:rsidR="00360E94" w:rsidRPr="00360E94" w14:paraId="054CB098" w14:textId="77777777" w:rsidTr="00EA4200">
        <w:trPr>
          <w:trHeight w:val="298"/>
        </w:trPr>
        <w:tc>
          <w:tcPr>
            <w:tcW w:w="1327" w:type="dxa"/>
            <w:noWrap/>
            <w:hideMark/>
          </w:tcPr>
          <w:p w14:paraId="3A1CDA7A" w14:textId="77777777" w:rsidR="00360E94" w:rsidRPr="00360E94" w:rsidRDefault="00360E94" w:rsidP="00360E94">
            <w:pPr>
              <w:rPr>
                <w:color w:val="000000"/>
                <w:lang w:eastAsia="en-US"/>
              </w:rPr>
            </w:pPr>
            <w:r w:rsidRPr="00360E94">
              <w:rPr>
                <w:color w:val="000000"/>
                <w:lang w:eastAsia="en-US"/>
              </w:rPr>
              <w:t>13</w:t>
            </w:r>
          </w:p>
        </w:tc>
        <w:tc>
          <w:tcPr>
            <w:tcW w:w="2723" w:type="dxa"/>
            <w:noWrap/>
            <w:hideMark/>
          </w:tcPr>
          <w:p w14:paraId="7FF644B8" w14:textId="77777777" w:rsidR="00360E94" w:rsidRPr="00360E94" w:rsidRDefault="00360E94" w:rsidP="00360E94">
            <w:pPr>
              <w:rPr>
                <w:color w:val="000000"/>
                <w:lang w:eastAsia="en-US"/>
              </w:rPr>
            </w:pPr>
            <w:r w:rsidRPr="00360E94">
              <w:rPr>
                <w:color w:val="000000"/>
                <w:lang w:eastAsia="en-US"/>
              </w:rPr>
              <w:t>12.5</w:t>
            </w:r>
          </w:p>
        </w:tc>
        <w:tc>
          <w:tcPr>
            <w:tcW w:w="2678" w:type="dxa"/>
            <w:noWrap/>
            <w:hideMark/>
          </w:tcPr>
          <w:p w14:paraId="25B75536" w14:textId="77777777" w:rsidR="00360E94" w:rsidRPr="00360E94" w:rsidRDefault="00360E94" w:rsidP="00360E94">
            <w:pPr>
              <w:rPr>
                <w:color w:val="000000"/>
                <w:lang w:eastAsia="en-US"/>
              </w:rPr>
            </w:pPr>
            <w:r w:rsidRPr="00360E94">
              <w:rPr>
                <w:color w:val="000000"/>
                <w:lang w:eastAsia="en-US"/>
              </w:rPr>
              <w:t>0</w:t>
            </w:r>
          </w:p>
        </w:tc>
      </w:tr>
      <w:tr w:rsidR="00360E94" w:rsidRPr="00360E94" w14:paraId="29DCF06F" w14:textId="77777777" w:rsidTr="00EA4200">
        <w:trPr>
          <w:trHeight w:val="298"/>
        </w:trPr>
        <w:tc>
          <w:tcPr>
            <w:tcW w:w="1327" w:type="dxa"/>
            <w:noWrap/>
            <w:hideMark/>
          </w:tcPr>
          <w:p w14:paraId="6A1F5EA1" w14:textId="77777777" w:rsidR="00360E94" w:rsidRPr="00360E94" w:rsidRDefault="00360E94" w:rsidP="00360E94">
            <w:pPr>
              <w:rPr>
                <w:color w:val="000000"/>
                <w:lang w:eastAsia="en-US"/>
              </w:rPr>
            </w:pPr>
            <w:r w:rsidRPr="00360E94">
              <w:rPr>
                <w:color w:val="000000"/>
                <w:lang w:eastAsia="en-US"/>
              </w:rPr>
              <w:t>14</w:t>
            </w:r>
          </w:p>
        </w:tc>
        <w:tc>
          <w:tcPr>
            <w:tcW w:w="2723" w:type="dxa"/>
            <w:noWrap/>
            <w:hideMark/>
          </w:tcPr>
          <w:p w14:paraId="507E3528" w14:textId="77777777" w:rsidR="00360E94" w:rsidRPr="00360E94" w:rsidRDefault="00360E94" w:rsidP="00360E94">
            <w:pPr>
              <w:rPr>
                <w:color w:val="000000"/>
                <w:lang w:eastAsia="en-US"/>
              </w:rPr>
            </w:pPr>
            <w:r w:rsidRPr="00360E94">
              <w:rPr>
                <w:color w:val="000000"/>
                <w:lang w:eastAsia="en-US"/>
              </w:rPr>
              <w:t>12.5</w:t>
            </w:r>
          </w:p>
        </w:tc>
        <w:tc>
          <w:tcPr>
            <w:tcW w:w="2678" w:type="dxa"/>
            <w:noWrap/>
            <w:hideMark/>
          </w:tcPr>
          <w:p w14:paraId="14CA243D" w14:textId="77777777" w:rsidR="00360E94" w:rsidRPr="00360E94" w:rsidRDefault="00360E94" w:rsidP="00360E94">
            <w:pPr>
              <w:rPr>
                <w:color w:val="000000"/>
                <w:lang w:eastAsia="en-US"/>
              </w:rPr>
            </w:pPr>
            <w:r w:rsidRPr="00360E94">
              <w:rPr>
                <w:color w:val="000000"/>
                <w:lang w:eastAsia="en-US"/>
              </w:rPr>
              <w:t>12.5</w:t>
            </w:r>
          </w:p>
        </w:tc>
      </w:tr>
      <w:tr w:rsidR="00360E94" w:rsidRPr="00360E94" w14:paraId="66951B63" w14:textId="77777777" w:rsidTr="00EA4200">
        <w:trPr>
          <w:trHeight w:val="298"/>
        </w:trPr>
        <w:tc>
          <w:tcPr>
            <w:tcW w:w="1327" w:type="dxa"/>
            <w:noWrap/>
            <w:hideMark/>
          </w:tcPr>
          <w:p w14:paraId="1C00959D" w14:textId="77777777" w:rsidR="00360E94" w:rsidRPr="00360E94" w:rsidRDefault="00360E94" w:rsidP="00360E94">
            <w:pPr>
              <w:rPr>
                <w:color w:val="000000"/>
                <w:lang w:eastAsia="en-US"/>
              </w:rPr>
            </w:pPr>
            <w:r w:rsidRPr="00360E94">
              <w:rPr>
                <w:color w:val="000000"/>
                <w:lang w:eastAsia="en-US"/>
              </w:rPr>
              <w:t>15</w:t>
            </w:r>
          </w:p>
        </w:tc>
        <w:tc>
          <w:tcPr>
            <w:tcW w:w="2723" w:type="dxa"/>
            <w:noWrap/>
            <w:hideMark/>
          </w:tcPr>
          <w:p w14:paraId="5D785FDB" w14:textId="77777777" w:rsidR="00360E94" w:rsidRPr="00360E94" w:rsidRDefault="00360E94" w:rsidP="00360E94">
            <w:pPr>
              <w:rPr>
                <w:color w:val="000000"/>
                <w:lang w:eastAsia="en-US"/>
              </w:rPr>
            </w:pPr>
            <w:r w:rsidRPr="00360E94">
              <w:rPr>
                <w:color w:val="000000"/>
                <w:lang w:eastAsia="en-US"/>
              </w:rPr>
              <w:t>25</w:t>
            </w:r>
          </w:p>
        </w:tc>
        <w:tc>
          <w:tcPr>
            <w:tcW w:w="2678" w:type="dxa"/>
            <w:noWrap/>
            <w:hideMark/>
          </w:tcPr>
          <w:p w14:paraId="6E023AC2" w14:textId="77777777" w:rsidR="00360E94" w:rsidRPr="00360E94" w:rsidRDefault="00360E94" w:rsidP="00360E94">
            <w:pPr>
              <w:rPr>
                <w:color w:val="000000"/>
                <w:lang w:eastAsia="en-US"/>
              </w:rPr>
            </w:pPr>
            <w:r w:rsidRPr="00360E94">
              <w:rPr>
                <w:color w:val="000000"/>
                <w:lang w:eastAsia="en-US"/>
              </w:rPr>
              <w:t>37.5</w:t>
            </w:r>
          </w:p>
        </w:tc>
      </w:tr>
      <w:tr w:rsidR="00360E94" w:rsidRPr="00360E94" w14:paraId="6BFD4CA9" w14:textId="77777777" w:rsidTr="00EA4200">
        <w:trPr>
          <w:trHeight w:val="298"/>
        </w:trPr>
        <w:tc>
          <w:tcPr>
            <w:tcW w:w="1327" w:type="dxa"/>
            <w:noWrap/>
            <w:hideMark/>
          </w:tcPr>
          <w:p w14:paraId="01488900" w14:textId="77777777" w:rsidR="00360E94" w:rsidRPr="00360E94" w:rsidRDefault="00360E94" w:rsidP="00360E94">
            <w:pPr>
              <w:rPr>
                <w:color w:val="000000"/>
                <w:lang w:eastAsia="en-US"/>
              </w:rPr>
            </w:pPr>
            <w:r w:rsidRPr="00360E94">
              <w:rPr>
                <w:color w:val="000000"/>
                <w:lang w:eastAsia="en-US"/>
              </w:rPr>
              <w:t>16</w:t>
            </w:r>
          </w:p>
        </w:tc>
        <w:tc>
          <w:tcPr>
            <w:tcW w:w="2723" w:type="dxa"/>
            <w:noWrap/>
            <w:hideMark/>
          </w:tcPr>
          <w:p w14:paraId="56BC64EB" w14:textId="77777777" w:rsidR="00360E94" w:rsidRPr="00360E94" w:rsidRDefault="00360E94" w:rsidP="00360E94">
            <w:pPr>
              <w:rPr>
                <w:color w:val="000000"/>
                <w:lang w:eastAsia="en-US"/>
              </w:rPr>
            </w:pPr>
            <w:r w:rsidRPr="00360E94">
              <w:rPr>
                <w:color w:val="000000"/>
                <w:lang w:eastAsia="en-US"/>
              </w:rPr>
              <w:t>0</w:t>
            </w:r>
          </w:p>
        </w:tc>
        <w:tc>
          <w:tcPr>
            <w:tcW w:w="2678" w:type="dxa"/>
            <w:noWrap/>
            <w:hideMark/>
          </w:tcPr>
          <w:p w14:paraId="147873C0" w14:textId="77777777" w:rsidR="00360E94" w:rsidRPr="00360E94" w:rsidRDefault="00360E94" w:rsidP="00360E94">
            <w:pPr>
              <w:rPr>
                <w:color w:val="000000"/>
                <w:lang w:eastAsia="en-US"/>
              </w:rPr>
            </w:pPr>
            <w:r w:rsidRPr="00360E94">
              <w:rPr>
                <w:color w:val="000000"/>
                <w:lang w:eastAsia="en-US"/>
              </w:rPr>
              <w:t>12.5</w:t>
            </w:r>
          </w:p>
        </w:tc>
      </w:tr>
      <w:tr w:rsidR="00360E94" w:rsidRPr="00360E94" w14:paraId="0F7B9B2D" w14:textId="77777777" w:rsidTr="00EA4200">
        <w:trPr>
          <w:trHeight w:val="298"/>
        </w:trPr>
        <w:tc>
          <w:tcPr>
            <w:tcW w:w="1327" w:type="dxa"/>
            <w:noWrap/>
            <w:hideMark/>
          </w:tcPr>
          <w:p w14:paraId="6F72ED46" w14:textId="77777777" w:rsidR="00360E94" w:rsidRPr="00360E94" w:rsidRDefault="00360E94" w:rsidP="00360E94">
            <w:pPr>
              <w:rPr>
                <w:color w:val="000000"/>
                <w:lang w:eastAsia="en-US"/>
              </w:rPr>
            </w:pPr>
            <w:r w:rsidRPr="00360E94">
              <w:rPr>
                <w:color w:val="000000"/>
                <w:lang w:eastAsia="en-US"/>
              </w:rPr>
              <w:t>17</w:t>
            </w:r>
          </w:p>
        </w:tc>
        <w:tc>
          <w:tcPr>
            <w:tcW w:w="2723" w:type="dxa"/>
            <w:noWrap/>
            <w:hideMark/>
          </w:tcPr>
          <w:p w14:paraId="27057644" w14:textId="77777777" w:rsidR="00360E94" w:rsidRPr="00360E94" w:rsidRDefault="00360E94" w:rsidP="00360E94">
            <w:pPr>
              <w:rPr>
                <w:color w:val="000000"/>
                <w:lang w:eastAsia="en-US"/>
              </w:rPr>
            </w:pPr>
            <w:r w:rsidRPr="00360E94">
              <w:rPr>
                <w:color w:val="000000"/>
                <w:lang w:eastAsia="en-US"/>
              </w:rPr>
              <w:t>0</w:t>
            </w:r>
          </w:p>
        </w:tc>
        <w:tc>
          <w:tcPr>
            <w:tcW w:w="2678" w:type="dxa"/>
            <w:noWrap/>
            <w:hideMark/>
          </w:tcPr>
          <w:p w14:paraId="1796CE78" w14:textId="77777777" w:rsidR="00360E94" w:rsidRPr="00360E94" w:rsidRDefault="00360E94" w:rsidP="00360E94">
            <w:pPr>
              <w:rPr>
                <w:color w:val="000000"/>
                <w:lang w:eastAsia="en-US"/>
              </w:rPr>
            </w:pPr>
            <w:r w:rsidRPr="00360E94">
              <w:rPr>
                <w:color w:val="000000"/>
                <w:lang w:eastAsia="en-US"/>
              </w:rPr>
              <w:t>25</w:t>
            </w:r>
          </w:p>
        </w:tc>
      </w:tr>
      <w:tr w:rsidR="00360E94" w:rsidRPr="00360E94" w14:paraId="754E5E3E" w14:textId="77777777" w:rsidTr="00EA4200">
        <w:trPr>
          <w:trHeight w:val="298"/>
        </w:trPr>
        <w:tc>
          <w:tcPr>
            <w:tcW w:w="1327" w:type="dxa"/>
            <w:noWrap/>
            <w:hideMark/>
          </w:tcPr>
          <w:p w14:paraId="13FCCF10" w14:textId="77777777" w:rsidR="00360E94" w:rsidRPr="00360E94" w:rsidRDefault="00360E94" w:rsidP="00360E94">
            <w:pPr>
              <w:rPr>
                <w:color w:val="000000"/>
                <w:lang w:eastAsia="en-US"/>
              </w:rPr>
            </w:pPr>
            <w:r w:rsidRPr="00360E94">
              <w:rPr>
                <w:color w:val="000000"/>
                <w:lang w:eastAsia="en-US"/>
              </w:rPr>
              <w:t>18</w:t>
            </w:r>
          </w:p>
        </w:tc>
        <w:tc>
          <w:tcPr>
            <w:tcW w:w="2723" w:type="dxa"/>
            <w:noWrap/>
            <w:hideMark/>
          </w:tcPr>
          <w:p w14:paraId="64A057C0" w14:textId="77777777" w:rsidR="00360E94" w:rsidRPr="00360E94" w:rsidRDefault="00360E94" w:rsidP="00360E94">
            <w:pPr>
              <w:rPr>
                <w:color w:val="000000"/>
                <w:lang w:eastAsia="en-US"/>
              </w:rPr>
            </w:pPr>
            <w:r w:rsidRPr="00360E94">
              <w:rPr>
                <w:color w:val="000000"/>
                <w:lang w:eastAsia="en-US"/>
              </w:rPr>
              <w:t>0</w:t>
            </w:r>
          </w:p>
        </w:tc>
        <w:tc>
          <w:tcPr>
            <w:tcW w:w="2678" w:type="dxa"/>
            <w:noWrap/>
            <w:hideMark/>
          </w:tcPr>
          <w:p w14:paraId="765350C4" w14:textId="77777777" w:rsidR="00360E94" w:rsidRPr="00360E94" w:rsidRDefault="00360E94" w:rsidP="00360E94">
            <w:pPr>
              <w:rPr>
                <w:color w:val="000000"/>
                <w:lang w:eastAsia="en-US"/>
              </w:rPr>
            </w:pPr>
            <w:r w:rsidRPr="00360E94">
              <w:rPr>
                <w:color w:val="000000"/>
                <w:lang w:eastAsia="en-US"/>
              </w:rPr>
              <w:t>25</w:t>
            </w:r>
          </w:p>
        </w:tc>
      </w:tr>
      <w:tr w:rsidR="00360E94" w:rsidRPr="00360E94" w14:paraId="5C2E7D66" w14:textId="77777777" w:rsidTr="00EA4200">
        <w:trPr>
          <w:trHeight w:val="298"/>
        </w:trPr>
        <w:tc>
          <w:tcPr>
            <w:tcW w:w="1327" w:type="dxa"/>
            <w:noWrap/>
            <w:hideMark/>
          </w:tcPr>
          <w:p w14:paraId="5A827838" w14:textId="77777777" w:rsidR="00360E94" w:rsidRPr="00360E94" w:rsidRDefault="00360E94" w:rsidP="00360E94">
            <w:pPr>
              <w:rPr>
                <w:color w:val="000000"/>
                <w:lang w:eastAsia="en-US"/>
              </w:rPr>
            </w:pPr>
            <w:r w:rsidRPr="00360E94">
              <w:rPr>
                <w:color w:val="000000"/>
                <w:lang w:eastAsia="en-US"/>
              </w:rPr>
              <w:lastRenderedPageBreak/>
              <w:t>19</w:t>
            </w:r>
          </w:p>
        </w:tc>
        <w:tc>
          <w:tcPr>
            <w:tcW w:w="2723" w:type="dxa"/>
            <w:noWrap/>
            <w:hideMark/>
          </w:tcPr>
          <w:p w14:paraId="5A4AD462" w14:textId="77777777" w:rsidR="00360E94" w:rsidRPr="00360E94" w:rsidRDefault="00360E94" w:rsidP="00360E94">
            <w:pPr>
              <w:rPr>
                <w:color w:val="000000"/>
                <w:lang w:eastAsia="en-US"/>
              </w:rPr>
            </w:pPr>
            <w:r w:rsidRPr="00360E94">
              <w:rPr>
                <w:color w:val="000000"/>
                <w:lang w:eastAsia="en-US"/>
              </w:rPr>
              <w:t>0</w:t>
            </w:r>
          </w:p>
        </w:tc>
        <w:tc>
          <w:tcPr>
            <w:tcW w:w="2678" w:type="dxa"/>
            <w:noWrap/>
            <w:hideMark/>
          </w:tcPr>
          <w:p w14:paraId="03C29DDB" w14:textId="77777777" w:rsidR="00360E94" w:rsidRPr="00360E94" w:rsidRDefault="00360E94" w:rsidP="00360E94">
            <w:pPr>
              <w:rPr>
                <w:color w:val="000000"/>
                <w:lang w:eastAsia="en-US"/>
              </w:rPr>
            </w:pPr>
            <w:r w:rsidRPr="00360E94">
              <w:rPr>
                <w:color w:val="000000"/>
                <w:lang w:eastAsia="en-US"/>
              </w:rPr>
              <w:t>25</w:t>
            </w:r>
          </w:p>
        </w:tc>
      </w:tr>
      <w:tr w:rsidR="00360E94" w:rsidRPr="00360E94" w14:paraId="7BA3FEFF" w14:textId="77777777" w:rsidTr="00EA4200">
        <w:trPr>
          <w:trHeight w:val="298"/>
        </w:trPr>
        <w:tc>
          <w:tcPr>
            <w:tcW w:w="1327" w:type="dxa"/>
            <w:noWrap/>
            <w:hideMark/>
          </w:tcPr>
          <w:p w14:paraId="7E8D9DA6" w14:textId="77777777" w:rsidR="00360E94" w:rsidRPr="00360E94" w:rsidRDefault="00360E94" w:rsidP="00360E94">
            <w:pPr>
              <w:rPr>
                <w:color w:val="000000"/>
                <w:lang w:eastAsia="en-US"/>
              </w:rPr>
            </w:pPr>
            <w:r w:rsidRPr="00360E94">
              <w:rPr>
                <w:color w:val="000000"/>
                <w:lang w:eastAsia="en-US"/>
              </w:rPr>
              <w:t>20</w:t>
            </w:r>
          </w:p>
        </w:tc>
        <w:tc>
          <w:tcPr>
            <w:tcW w:w="2723" w:type="dxa"/>
            <w:noWrap/>
            <w:hideMark/>
          </w:tcPr>
          <w:p w14:paraId="19E5E337" w14:textId="77777777" w:rsidR="00360E94" w:rsidRPr="00360E94" w:rsidRDefault="00360E94" w:rsidP="00360E94">
            <w:pPr>
              <w:rPr>
                <w:color w:val="000000"/>
                <w:lang w:eastAsia="en-US"/>
              </w:rPr>
            </w:pPr>
            <w:r w:rsidRPr="00360E94">
              <w:rPr>
                <w:color w:val="000000"/>
                <w:lang w:eastAsia="en-US"/>
              </w:rPr>
              <w:t>0</w:t>
            </w:r>
          </w:p>
        </w:tc>
        <w:tc>
          <w:tcPr>
            <w:tcW w:w="2678" w:type="dxa"/>
            <w:noWrap/>
            <w:hideMark/>
          </w:tcPr>
          <w:p w14:paraId="234A7CD7" w14:textId="77777777" w:rsidR="00360E94" w:rsidRPr="00360E94" w:rsidRDefault="00360E94" w:rsidP="00360E94">
            <w:pPr>
              <w:rPr>
                <w:color w:val="000000"/>
                <w:lang w:eastAsia="en-US"/>
              </w:rPr>
            </w:pPr>
            <w:r w:rsidRPr="00360E94">
              <w:rPr>
                <w:color w:val="000000"/>
                <w:lang w:eastAsia="en-US"/>
              </w:rPr>
              <w:t>12.5</w:t>
            </w:r>
          </w:p>
        </w:tc>
      </w:tr>
      <w:tr w:rsidR="00360E94" w:rsidRPr="00360E94" w14:paraId="3D6815C4" w14:textId="77777777" w:rsidTr="00EA4200">
        <w:trPr>
          <w:trHeight w:val="298"/>
        </w:trPr>
        <w:tc>
          <w:tcPr>
            <w:tcW w:w="1327" w:type="dxa"/>
            <w:noWrap/>
            <w:hideMark/>
          </w:tcPr>
          <w:p w14:paraId="5D7A73FF" w14:textId="77777777" w:rsidR="00360E94" w:rsidRPr="00360E94" w:rsidRDefault="00360E94" w:rsidP="00360E94">
            <w:pPr>
              <w:rPr>
                <w:color w:val="000000"/>
                <w:lang w:eastAsia="en-US"/>
              </w:rPr>
            </w:pPr>
            <w:r w:rsidRPr="00360E94">
              <w:rPr>
                <w:color w:val="000000"/>
                <w:lang w:eastAsia="en-US"/>
              </w:rPr>
              <w:t>21</w:t>
            </w:r>
          </w:p>
        </w:tc>
        <w:tc>
          <w:tcPr>
            <w:tcW w:w="2723" w:type="dxa"/>
            <w:noWrap/>
            <w:hideMark/>
          </w:tcPr>
          <w:p w14:paraId="3DC0E51D" w14:textId="77777777" w:rsidR="00360E94" w:rsidRPr="00360E94" w:rsidRDefault="00360E94" w:rsidP="00360E94">
            <w:pPr>
              <w:rPr>
                <w:color w:val="000000"/>
                <w:lang w:eastAsia="en-US"/>
              </w:rPr>
            </w:pPr>
            <w:r w:rsidRPr="00360E94">
              <w:rPr>
                <w:color w:val="000000"/>
                <w:lang w:eastAsia="en-US"/>
              </w:rPr>
              <w:t>12.5</w:t>
            </w:r>
          </w:p>
        </w:tc>
        <w:tc>
          <w:tcPr>
            <w:tcW w:w="2678" w:type="dxa"/>
            <w:noWrap/>
            <w:hideMark/>
          </w:tcPr>
          <w:p w14:paraId="2C225D75" w14:textId="77777777" w:rsidR="00360E94" w:rsidRPr="00360E94" w:rsidRDefault="00360E94" w:rsidP="00360E94">
            <w:pPr>
              <w:rPr>
                <w:color w:val="000000"/>
                <w:lang w:eastAsia="en-US"/>
              </w:rPr>
            </w:pPr>
            <w:r w:rsidRPr="00360E94">
              <w:rPr>
                <w:color w:val="000000"/>
                <w:lang w:eastAsia="en-US"/>
              </w:rPr>
              <w:t>25</w:t>
            </w:r>
          </w:p>
        </w:tc>
      </w:tr>
      <w:tr w:rsidR="00360E94" w:rsidRPr="00360E94" w14:paraId="0DDDCF46" w14:textId="77777777" w:rsidTr="00EA4200">
        <w:trPr>
          <w:trHeight w:val="298"/>
        </w:trPr>
        <w:tc>
          <w:tcPr>
            <w:tcW w:w="1327" w:type="dxa"/>
            <w:noWrap/>
            <w:hideMark/>
          </w:tcPr>
          <w:p w14:paraId="5D17C5E3" w14:textId="77777777" w:rsidR="00360E94" w:rsidRPr="00360E94" w:rsidRDefault="00360E94" w:rsidP="00360E94">
            <w:pPr>
              <w:rPr>
                <w:color w:val="000000"/>
                <w:lang w:eastAsia="en-US"/>
              </w:rPr>
            </w:pPr>
            <w:r w:rsidRPr="00360E94">
              <w:rPr>
                <w:color w:val="000000"/>
                <w:lang w:eastAsia="en-US"/>
              </w:rPr>
              <w:t>22</w:t>
            </w:r>
          </w:p>
        </w:tc>
        <w:tc>
          <w:tcPr>
            <w:tcW w:w="2723" w:type="dxa"/>
            <w:noWrap/>
            <w:hideMark/>
          </w:tcPr>
          <w:p w14:paraId="740F6C74" w14:textId="77777777" w:rsidR="00360E94" w:rsidRPr="00360E94" w:rsidRDefault="00360E94" w:rsidP="00360E94">
            <w:pPr>
              <w:rPr>
                <w:color w:val="000000"/>
                <w:lang w:eastAsia="en-US"/>
              </w:rPr>
            </w:pPr>
            <w:r w:rsidRPr="00360E94">
              <w:rPr>
                <w:color w:val="000000"/>
                <w:lang w:eastAsia="en-US"/>
              </w:rPr>
              <w:t>12.5</w:t>
            </w:r>
          </w:p>
        </w:tc>
        <w:tc>
          <w:tcPr>
            <w:tcW w:w="2678" w:type="dxa"/>
            <w:noWrap/>
            <w:hideMark/>
          </w:tcPr>
          <w:p w14:paraId="0EC099ED" w14:textId="77777777" w:rsidR="00360E94" w:rsidRPr="00360E94" w:rsidRDefault="00360E94" w:rsidP="00360E94">
            <w:pPr>
              <w:rPr>
                <w:color w:val="000000"/>
                <w:lang w:eastAsia="en-US"/>
              </w:rPr>
            </w:pPr>
            <w:r w:rsidRPr="00360E94">
              <w:rPr>
                <w:color w:val="000000"/>
                <w:lang w:eastAsia="en-US"/>
              </w:rPr>
              <w:t>37.5</w:t>
            </w:r>
          </w:p>
        </w:tc>
      </w:tr>
      <w:tr w:rsidR="00360E94" w:rsidRPr="00360E94" w14:paraId="4235C0FE" w14:textId="77777777" w:rsidTr="00EA4200">
        <w:trPr>
          <w:trHeight w:val="298"/>
        </w:trPr>
        <w:tc>
          <w:tcPr>
            <w:tcW w:w="1327" w:type="dxa"/>
            <w:noWrap/>
            <w:hideMark/>
          </w:tcPr>
          <w:p w14:paraId="1165706C" w14:textId="77777777" w:rsidR="00360E94" w:rsidRPr="00360E94" w:rsidRDefault="00360E94" w:rsidP="00360E94">
            <w:pPr>
              <w:rPr>
                <w:color w:val="000000"/>
                <w:lang w:eastAsia="en-US"/>
              </w:rPr>
            </w:pPr>
            <w:r w:rsidRPr="00360E94">
              <w:rPr>
                <w:color w:val="000000"/>
                <w:lang w:eastAsia="en-US"/>
              </w:rPr>
              <w:t>23</w:t>
            </w:r>
          </w:p>
        </w:tc>
        <w:tc>
          <w:tcPr>
            <w:tcW w:w="2723" w:type="dxa"/>
            <w:noWrap/>
            <w:hideMark/>
          </w:tcPr>
          <w:p w14:paraId="7B96975A" w14:textId="77777777" w:rsidR="00360E94" w:rsidRPr="00360E94" w:rsidRDefault="00360E94" w:rsidP="00360E94">
            <w:pPr>
              <w:rPr>
                <w:color w:val="000000"/>
                <w:lang w:eastAsia="en-US"/>
              </w:rPr>
            </w:pPr>
            <w:r w:rsidRPr="00360E94">
              <w:rPr>
                <w:color w:val="000000"/>
                <w:lang w:eastAsia="en-US"/>
              </w:rPr>
              <w:t>25</w:t>
            </w:r>
          </w:p>
        </w:tc>
        <w:tc>
          <w:tcPr>
            <w:tcW w:w="2678" w:type="dxa"/>
            <w:noWrap/>
            <w:hideMark/>
          </w:tcPr>
          <w:p w14:paraId="5B3959C5" w14:textId="77777777" w:rsidR="00360E94" w:rsidRPr="00360E94" w:rsidRDefault="00360E94" w:rsidP="00360E94">
            <w:pPr>
              <w:rPr>
                <w:color w:val="000000"/>
                <w:lang w:eastAsia="en-US"/>
              </w:rPr>
            </w:pPr>
            <w:r w:rsidRPr="00360E94">
              <w:rPr>
                <w:color w:val="000000"/>
                <w:lang w:eastAsia="en-US"/>
              </w:rPr>
              <w:t>25</w:t>
            </w:r>
          </w:p>
        </w:tc>
      </w:tr>
      <w:tr w:rsidR="00360E94" w:rsidRPr="00360E94" w14:paraId="244FC599" w14:textId="77777777" w:rsidTr="00EA4200">
        <w:trPr>
          <w:trHeight w:val="298"/>
        </w:trPr>
        <w:tc>
          <w:tcPr>
            <w:tcW w:w="1327" w:type="dxa"/>
            <w:noWrap/>
            <w:hideMark/>
          </w:tcPr>
          <w:p w14:paraId="2339B5BA" w14:textId="77777777" w:rsidR="00360E94" w:rsidRPr="00360E94" w:rsidRDefault="00360E94" w:rsidP="00360E94">
            <w:pPr>
              <w:rPr>
                <w:color w:val="000000"/>
                <w:lang w:eastAsia="en-US"/>
              </w:rPr>
            </w:pPr>
            <w:r w:rsidRPr="00360E94">
              <w:rPr>
                <w:color w:val="000000"/>
                <w:lang w:eastAsia="en-US"/>
              </w:rPr>
              <w:t>24</w:t>
            </w:r>
          </w:p>
        </w:tc>
        <w:tc>
          <w:tcPr>
            <w:tcW w:w="2723" w:type="dxa"/>
            <w:noWrap/>
            <w:hideMark/>
          </w:tcPr>
          <w:p w14:paraId="77FD7829" w14:textId="77777777" w:rsidR="00360E94" w:rsidRPr="00360E94" w:rsidRDefault="00360E94" w:rsidP="00360E94">
            <w:pPr>
              <w:rPr>
                <w:color w:val="000000"/>
                <w:lang w:eastAsia="en-US"/>
              </w:rPr>
            </w:pPr>
            <w:r w:rsidRPr="00360E94">
              <w:rPr>
                <w:color w:val="000000"/>
                <w:lang w:eastAsia="en-US"/>
              </w:rPr>
              <w:t>0</w:t>
            </w:r>
          </w:p>
        </w:tc>
        <w:tc>
          <w:tcPr>
            <w:tcW w:w="2678" w:type="dxa"/>
            <w:noWrap/>
            <w:hideMark/>
          </w:tcPr>
          <w:p w14:paraId="51F7A3B2" w14:textId="77777777" w:rsidR="00360E94" w:rsidRPr="00360E94" w:rsidRDefault="00360E94" w:rsidP="00360E94">
            <w:pPr>
              <w:rPr>
                <w:color w:val="000000"/>
                <w:lang w:eastAsia="en-US"/>
              </w:rPr>
            </w:pPr>
            <w:r w:rsidRPr="00360E94">
              <w:rPr>
                <w:color w:val="000000"/>
                <w:lang w:eastAsia="en-US"/>
              </w:rPr>
              <w:t>12.5</w:t>
            </w:r>
          </w:p>
        </w:tc>
      </w:tr>
      <w:tr w:rsidR="00360E94" w:rsidRPr="00360E94" w14:paraId="2F27C7DE" w14:textId="77777777" w:rsidTr="00EA4200">
        <w:trPr>
          <w:trHeight w:val="298"/>
        </w:trPr>
        <w:tc>
          <w:tcPr>
            <w:tcW w:w="1327" w:type="dxa"/>
            <w:noWrap/>
            <w:hideMark/>
          </w:tcPr>
          <w:p w14:paraId="235C4192" w14:textId="77777777" w:rsidR="00360E94" w:rsidRPr="00360E94" w:rsidRDefault="00360E94" w:rsidP="00360E94">
            <w:pPr>
              <w:rPr>
                <w:color w:val="000000"/>
                <w:lang w:eastAsia="en-US"/>
              </w:rPr>
            </w:pPr>
            <w:r w:rsidRPr="00360E94">
              <w:rPr>
                <w:color w:val="000000"/>
                <w:lang w:eastAsia="en-US"/>
              </w:rPr>
              <w:t>25</w:t>
            </w:r>
          </w:p>
        </w:tc>
        <w:tc>
          <w:tcPr>
            <w:tcW w:w="2723" w:type="dxa"/>
            <w:noWrap/>
            <w:hideMark/>
          </w:tcPr>
          <w:p w14:paraId="254C405A" w14:textId="77777777" w:rsidR="00360E94" w:rsidRPr="00360E94" w:rsidRDefault="00360E94" w:rsidP="00360E94">
            <w:pPr>
              <w:rPr>
                <w:color w:val="000000"/>
                <w:lang w:eastAsia="en-US"/>
              </w:rPr>
            </w:pPr>
            <w:r w:rsidRPr="00360E94">
              <w:rPr>
                <w:color w:val="000000"/>
                <w:lang w:eastAsia="en-US"/>
              </w:rPr>
              <w:t>0</w:t>
            </w:r>
          </w:p>
        </w:tc>
        <w:tc>
          <w:tcPr>
            <w:tcW w:w="2678" w:type="dxa"/>
            <w:noWrap/>
            <w:hideMark/>
          </w:tcPr>
          <w:p w14:paraId="794D8D04" w14:textId="77777777" w:rsidR="00360E94" w:rsidRPr="00360E94" w:rsidRDefault="00360E94" w:rsidP="00360E94">
            <w:pPr>
              <w:rPr>
                <w:color w:val="000000"/>
                <w:lang w:eastAsia="en-US"/>
              </w:rPr>
            </w:pPr>
            <w:r w:rsidRPr="00360E94">
              <w:rPr>
                <w:color w:val="000000"/>
                <w:lang w:eastAsia="en-US"/>
              </w:rPr>
              <w:t>50</w:t>
            </w:r>
          </w:p>
        </w:tc>
      </w:tr>
      <w:tr w:rsidR="00360E94" w:rsidRPr="00360E94" w14:paraId="576C0CEC" w14:textId="77777777" w:rsidTr="00EA4200">
        <w:trPr>
          <w:trHeight w:val="298"/>
        </w:trPr>
        <w:tc>
          <w:tcPr>
            <w:tcW w:w="1327" w:type="dxa"/>
            <w:noWrap/>
            <w:hideMark/>
          </w:tcPr>
          <w:p w14:paraId="242B5B67" w14:textId="77777777" w:rsidR="00360E94" w:rsidRPr="00360E94" w:rsidRDefault="00360E94" w:rsidP="00360E94">
            <w:pPr>
              <w:rPr>
                <w:color w:val="000000"/>
                <w:lang w:eastAsia="en-US"/>
              </w:rPr>
            </w:pPr>
            <w:r w:rsidRPr="00360E94">
              <w:rPr>
                <w:color w:val="000000"/>
                <w:lang w:eastAsia="en-US"/>
              </w:rPr>
              <w:t>26</w:t>
            </w:r>
          </w:p>
        </w:tc>
        <w:tc>
          <w:tcPr>
            <w:tcW w:w="2723" w:type="dxa"/>
            <w:noWrap/>
            <w:hideMark/>
          </w:tcPr>
          <w:p w14:paraId="2E5E4A66" w14:textId="77777777" w:rsidR="00360E94" w:rsidRPr="00360E94" w:rsidRDefault="00360E94" w:rsidP="00360E94">
            <w:pPr>
              <w:rPr>
                <w:color w:val="000000"/>
                <w:lang w:eastAsia="en-US"/>
              </w:rPr>
            </w:pPr>
            <w:r w:rsidRPr="00360E94">
              <w:rPr>
                <w:color w:val="000000"/>
                <w:lang w:eastAsia="en-US"/>
              </w:rPr>
              <w:t>0</w:t>
            </w:r>
          </w:p>
        </w:tc>
        <w:tc>
          <w:tcPr>
            <w:tcW w:w="2678" w:type="dxa"/>
            <w:noWrap/>
            <w:hideMark/>
          </w:tcPr>
          <w:p w14:paraId="7258E592" w14:textId="77777777" w:rsidR="00360E94" w:rsidRPr="00360E94" w:rsidRDefault="00360E94" w:rsidP="00360E94">
            <w:pPr>
              <w:rPr>
                <w:color w:val="000000"/>
                <w:lang w:eastAsia="en-US"/>
              </w:rPr>
            </w:pPr>
            <w:r w:rsidRPr="00360E94">
              <w:rPr>
                <w:color w:val="000000"/>
                <w:lang w:eastAsia="en-US"/>
              </w:rPr>
              <w:t>12.5</w:t>
            </w:r>
          </w:p>
        </w:tc>
      </w:tr>
      <w:tr w:rsidR="00360E94" w:rsidRPr="00360E94" w14:paraId="5B0A6A31" w14:textId="77777777" w:rsidTr="00EA4200">
        <w:trPr>
          <w:trHeight w:val="298"/>
        </w:trPr>
        <w:tc>
          <w:tcPr>
            <w:tcW w:w="1327" w:type="dxa"/>
            <w:noWrap/>
            <w:hideMark/>
          </w:tcPr>
          <w:p w14:paraId="67388F60" w14:textId="77777777" w:rsidR="00360E94" w:rsidRPr="00360E94" w:rsidRDefault="00360E94" w:rsidP="00360E94">
            <w:pPr>
              <w:rPr>
                <w:color w:val="000000"/>
                <w:lang w:eastAsia="en-US"/>
              </w:rPr>
            </w:pPr>
            <w:r w:rsidRPr="00360E94">
              <w:rPr>
                <w:color w:val="000000"/>
                <w:lang w:eastAsia="en-US"/>
              </w:rPr>
              <w:t>27</w:t>
            </w:r>
          </w:p>
        </w:tc>
        <w:tc>
          <w:tcPr>
            <w:tcW w:w="2723" w:type="dxa"/>
            <w:noWrap/>
            <w:hideMark/>
          </w:tcPr>
          <w:p w14:paraId="7FE14750" w14:textId="77777777" w:rsidR="00360E94" w:rsidRPr="00360E94" w:rsidRDefault="00360E94" w:rsidP="00360E94">
            <w:pPr>
              <w:rPr>
                <w:color w:val="000000"/>
                <w:lang w:eastAsia="en-US"/>
              </w:rPr>
            </w:pPr>
            <w:r w:rsidRPr="00360E94">
              <w:rPr>
                <w:color w:val="000000"/>
                <w:lang w:eastAsia="en-US"/>
              </w:rPr>
              <w:t>12.5</w:t>
            </w:r>
          </w:p>
        </w:tc>
        <w:tc>
          <w:tcPr>
            <w:tcW w:w="2678" w:type="dxa"/>
            <w:noWrap/>
            <w:hideMark/>
          </w:tcPr>
          <w:p w14:paraId="0079C86B" w14:textId="77777777" w:rsidR="00360E94" w:rsidRPr="00360E94" w:rsidRDefault="00360E94" w:rsidP="00360E94">
            <w:pPr>
              <w:rPr>
                <w:color w:val="000000"/>
                <w:lang w:eastAsia="en-US"/>
              </w:rPr>
            </w:pPr>
            <w:r w:rsidRPr="00360E94">
              <w:rPr>
                <w:color w:val="000000"/>
                <w:lang w:eastAsia="en-US"/>
              </w:rPr>
              <w:t>25</w:t>
            </w:r>
          </w:p>
        </w:tc>
      </w:tr>
      <w:tr w:rsidR="00360E94" w:rsidRPr="00360E94" w14:paraId="1EE6F26A" w14:textId="77777777" w:rsidTr="00EA4200">
        <w:trPr>
          <w:trHeight w:val="298"/>
        </w:trPr>
        <w:tc>
          <w:tcPr>
            <w:tcW w:w="1327" w:type="dxa"/>
            <w:noWrap/>
            <w:hideMark/>
          </w:tcPr>
          <w:p w14:paraId="3998B1EB" w14:textId="77777777" w:rsidR="00360E94" w:rsidRPr="00360E94" w:rsidRDefault="00360E94" w:rsidP="00360E94">
            <w:pPr>
              <w:rPr>
                <w:color w:val="000000"/>
                <w:lang w:eastAsia="en-US"/>
              </w:rPr>
            </w:pPr>
            <w:r w:rsidRPr="00360E94">
              <w:rPr>
                <w:color w:val="000000"/>
                <w:lang w:eastAsia="en-US"/>
              </w:rPr>
              <w:t>28</w:t>
            </w:r>
          </w:p>
        </w:tc>
        <w:tc>
          <w:tcPr>
            <w:tcW w:w="2723" w:type="dxa"/>
            <w:noWrap/>
            <w:hideMark/>
          </w:tcPr>
          <w:p w14:paraId="31EE5AB1" w14:textId="77777777" w:rsidR="00360E94" w:rsidRPr="00360E94" w:rsidRDefault="00360E94" w:rsidP="00360E94">
            <w:pPr>
              <w:rPr>
                <w:color w:val="000000"/>
                <w:lang w:eastAsia="en-US"/>
              </w:rPr>
            </w:pPr>
            <w:r w:rsidRPr="00360E94">
              <w:rPr>
                <w:color w:val="000000"/>
                <w:lang w:eastAsia="en-US"/>
              </w:rPr>
              <w:t>12.5</w:t>
            </w:r>
          </w:p>
        </w:tc>
        <w:tc>
          <w:tcPr>
            <w:tcW w:w="2678" w:type="dxa"/>
            <w:noWrap/>
            <w:hideMark/>
          </w:tcPr>
          <w:p w14:paraId="2019F55F" w14:textId="77777777" w:rsidR="00360E94" w:rsidRPr="00360E94" w:rsidRDefault="00360E94" w:rsidP="00360E94">
            <w:pPr>
              <w:rPr>
                <w:color w:val="000000"/>
                <w:lang w:eastAsia="en-US"/>
              </w:rPr>
            </w:pPr>
            <w:r w:rsidRPr="00360E94">
              <w:rPr>
                <w:color w:val="000000"/>
                <w:lang w:eastAsia="en-US"/>
              </w:rPr>
              <w:t>12.5</w:t>
            </w:r>
          </w:p>
        </w:tc>
      </w:tr>
      <w:tr w:rsidR="00360E94" w:rsidRPr="00360E94" w14:paraId="19E4D443" w14:textId="77777777" w:rsidTr="00EA4200">
        <w:trPr>
          <w:trHeight w:val="298"/>
        </w:trPr>
        <w:tc>
          <w:tcPr>
            <w:tcW w:w="1327" w:type="dxa"/>
            <w:noWrap/>
            <w:hideMark/>
          </w:tcPr>
          <w:p w14:paraId="1CEE8921" w14:textId="77777777" w:rsidR="00360E94" w:rsidRPr="00360E94" w:rsidRDefault="00360E94" w:rsidP="00360E94">
            <w:pPr>
              <w:rPr>
                <w:color w:val="000000"/>
                <w:lang w:eastAsia="en-US"/>
              </w:rPr>
            </w:pPr>
            <w:r w:rsidRPr="00360E94">
              <w:rPr>
                <w:color w:val="000000"/>
                <w:lang w:eastAsia="en-US"/>
              </w:rPr>
              <w:t>29</w:t>
            </w:r>
          </w:p>
        </w:tc>
        <w:tc>
          <w:tcPr>
            <w:tcW w:w="2723" w:type="dxa"/>
            <w:noWrap/>
            <w:hideMark/>
          </w:tcPr>
          <w:p w14:paraId="060F6872" w14:textId="77777777" w:rsidR="00360E94" w:rsidRPr="00360E94" w:rsidRDefault="00360E94" w:rsidP="00360E94">
            <w:pPr>
              <w:rPr>
                <w:color w:val="000000"/>
                <w:lang w:eastAsia="en-US"/>
              </w:rPr>
            </w:pPr>
            <w:r w:rsidRPr="00360E94">
              <w:rPr>
                <w:color w:val="000000"/>
                <w:lang w:eastAsia="en-US"/>
              </w:rPr>
              <w:t>12.5</w:t>
            </w:r>
          </w:p>
        </w:tc>
        <w:tc>
          <w:tcPr>
            <w:tcW w:w="2678" w:type="dxa"/>
            <w:noWrap/>
            <w:hideMark/>
          </w:tcPr>
          <w:p w14:paraId="18268C66" w14:textId="77777777" w:rsidR="00360E94" w:rsidRPr="00360E94" w:rsidRDefault="00360E94" w:rsidP="00360E94">
            <w:pPr>
              <w:rPr>
                <w:color w:val="000000"/>
                <w:lang w:eastAsia="en-US"/>
              </w:rPr>
            </w:pPr>
            <w:r w:rsidRPr="00360E94">
              <w:rPr>
                <w:color w:val="000000"/>
                <w:lang w:eastAsia="en-US"/>
              </w:rPr>
              <w:t>25</w:t>
            </w:r>
          </w:p>
        </w:tc>
      </w:tr>
      <w:tr w:rsidR="00360E94" w:rsidRPr="00360E94" w14:paraId="7277D9B2" w14:textId="77777777" w:rsidTr="00EA4200">
        <w:trPr>
          <w:trHeight w:val="298"/>
        </w:trPr>
        <w:tc>
          <w:tcPr>
            <w:tcW w:w="1327" w:type="dxa"/>
            <w:noWrap/>
            <w:hideMark/>
          </w:tcPr>
          <w:p w14:paraId="7AAFD272" w14:textId="77777777" w:rsidR="00360E94" w:rsidRPr="00360E94" w:rsidRDefault="00360E94" w:rsidP="00360E94">
            <w:pPr>
              <w:rPr>
                <w:color w:val="000000"/>
                <w:lang w:eastAsia="en-US"/>
              </w:rPr>
            </w:pPr>
            <w:r w:rsidRPr="00360E94">
              <w:rPr>
                <w:color w:val="000000"/>
                <w:lang w:eastAsia="en-US"/>
              </w:rPr>
              <w:t>Mean (%)</w:t>
            </w:r>
          </w:p>
        </w:tc>
        <w:tc>
          <w:tcPr>
            <w:tcW w:w="2723" w:type="dxa"/>
            <w:noWrap/>
            <w:hideMark/>
          </w:tcPr>
          <w:p w14:paraId="462963E3" w14:textId="77777777" w:rsidR="00360E94" w:rsidRPr="00360E94" w:rsidRDefault="00360E94" w:rsidP="00360E94">
            <w:pPr>
              <w:rPr>
                <w:b/>
                <w:bCs/>
                <w:color w:val="000000"/>
                <w:lang w:eastAsia="en-US"/>
              </w:rPr>
            </w:pPr>
            <w:r w:rsidRPr="00360E94">
              <w:rPr>
                <w:b/>
                <w:bCs/>
                <w:color w:val="000000"/>
                <w:lang w:eastAsia="en-US"/>
              </w:rPr>
              <w:t>7.327586207</w:t>
            </w:r>
          </w:p>
        </w:tc>
        <w:tc>
          <w:tcPr>
            <w:tcW w:w="2678" w:type="dxa"/>
            <w:noWrap/>
            <w:hideMark/>
          </w:tcPr>
          <w:p w14:paraId="3CE9DAB3" w14:textId="77777777" w:rsidR="00360E94" w:rsidRPr="00360E94" w:rsidRDefault="00360E94" w:rsidP="00360E94">
            <w:pPr>
              <w:rPr>
                <w:b/>
                <w:bCs/>
                <w:color w:val="000000"/>
                <w:lang w:eastAsia="en-US"/>
              </w:rPr>
            </w:pPr>
            <w:r w:rsidRPr="00360E94">
              <w:rPr>
                <w:b/>
                <w:bCs/>
                <w:color w:val="000000"/>
                <w:lang w:eastAsia="en-US"/>
              </w:rPr>
              <w:t>21.55172414</w:t>
            </w:r>
          </w:p>
        </w:tc>
      </w:tr>
    </w:tbl>
    <w:p w14:paraId="7AE7653E" w14:textId="77777777" w:rsidR="00360E94" w:rsidRPr="00360E94" w:rsidRDefault="00360E94" w:rsidP="00360E94">
      <w:pPr>
        <w:spacing w:after="160" w:line="259" w:lineRule="auto"/>
        <w:rPr>
          <w:rFonts w:ascii="Calibri" w:eastAsia="Calibri" w:hAnsi="Calibri"/>
          <w:color w:val="000000"/>
          <w:sz w:val="22"/>
          <w:szCs w:val="22"/>
          <w:lang w:eastAsia="en-US"/>
        </w:rPr>
      </w:pPr>
    </w:p>
    <w:p w14:paraId="1A23E4CD" w14:textId="77777777" w:rsidR="00360E94" w:rsidRPr="00360E94" w:rsidRDefault="00360E94" w:rsidP="00360E94">
      <w:pPr>
        <w:spacing w:after="160" w:line="259" w:lineRule="auto"/>
        <w:rPr>
          <w:rFonts w:ascii="Calibri" w:eastAsia="Calibri" w:hAnsi="Calibri"/>
          <w:color w:val="000000"/>
          <w:sz w:val="22"/>
          <w:szCs w:val="22"/>
          <w:lang w:eastAsia="en-US"/>
        </w:rPr>
      </w:pPr>
      <w:r w:rsidRPr="00360E94">
        <w:rPr>
          <w:rFonts w:ascii="Calibri" w:eastAsia="Calibri" w:hAnsi="Calibri"/>
          <w:color w:val="000000"/>
          <w:sz w:val="22"/>
          <w:szCs w:val="22"/>
          <w:lang w:eastAsia="en-US"/>
        </w:rPr>
        <w:t>Table 2: Shows percentage scores of pre and post-test including averages.</w:t>
      </w:r>
    </w:p>
    <w:p w14:paraId="6E0D47E3" w14:textId="77777777" w:rsidR="00360E94" w:rsidRPr="00360E94" w:rsidRDefault="00360E94" w:rsidP="00360E94">
      <w:pPr>
        <w:spacing w:after="160" w:line="259" w:lineRule="auto"/>
        <w:rPr>
          <w:rFonts w:ascii="Helvetica" w:eastAsia="Calibri" w:hAnsi="Helvetica" w:cs="Helvetica"/>
          <w:color w:val="000000"/>
          <w:sz w:val="21"/>
          <w:szCs w:val="21"/>
          <w:shd w:val="clear" w:color="auto" w:fill="FFFFFF"/>
          <w:lang w:eastAsia="en-US"/>
        </w:rPr>
      </w:pPr>
    </w:p>
    <w:p w14:paraId="0E8BD13E" w14:textId="77777777" w:rsidR="00360E94" w:rsidRPr="00360E94" w:rsidRDefault="00360E94" w:rsidP="00360E94">
      <w:pPr>
        <w:spacing w:before="240" w:after="160" w:line="259" w:lineRule="auto"/>
        <w:rPr>
          <w:rFonts w:ascii="Calibri" w:eastAsia="Calibri" w:hAnsi="Calibri"/>
          <w:sz w:val="22"/>
          <w:szCs w:val="22"/>
          <w:lang w:eastAsia="en-US"/>
        </w:rPr>
      </w:pPr>
      <w:r w:rsidRPr="00360E94">
        <w:rPr>
          <w:rFonts w:ascii="Calibri" w:eastAsia="Calibri" w:hAnsi="Calibri"/>
          <w:noProof/>
          <w:sz w:val="22"/>
          <w:szCs w:val="22"/>
        </w:rPr>
        <w:drawing>
          <wp:anchor distT="0" distB="0" distL="114300" distR="114300" simplePos="0" relativeHeight="251660288" behindDoc="0" locked="0" layoutInCell="1" allowOverlap="1" wp14:anchorId="01CEA002" wp14:editId="6EDD22E6">
            <wp:simplePos x="0" y="0"/>
            <wp:positionH relativeFrom="margin">
              <wp:posOffset>-48895</wp:posOffset>
            </wp:positionH>
            <wp:positionV relativeFrom="paragraph">
              <wp:posOffset>0</wp:posOffset>
            </wp:positionV>
            <wp:extent cx="5695950" cy="3819525"/>
            <wp:effectExtent l="0" t="0" r="0" b="9525"/>
            <wp:wrapTopAndBottom/>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Pr="00360E94">
        <w:rPr>
          <w:rFonts w:ascii="Calibri" w:eastAsia="Calibri" w:hAnsi="Calibri"/>
          <w:sz w:val="22"/>
          <w:szCs w:val="22"/>
          <w:lang w:eastAsia="en-US"/>
        </w:rPr>
        <w:t>Figure 1: Shows percentage scores of participant’s pre and post test results.</w:t>
      </w:r>
    </w:p>
    <w:p w14:paraId="24E70214" w14:textId="77777777" w:rsidR="00360E94" w:rsidRPr="00360E94" w:rsidRDefault="00360E94" w:rsidP="00360E94">
      <w:pPr>
        <w:spacing w:before="240" w:after="160" w:line="259" w:lineRule="auto"/>
        <w:rPr>
          <w:rFonts w:ascii="Calibri" w:eastAsia="Calibri" w:hAnsi="Calibri"/>
          <w:sz w:val="22"/>
          <w:szCs w:val="22"/>
          <w:lang w:eastAsia="en-US"/>
        </w:rPr>
      </w:pPr>
      <w:r w:rsidRPr="00360E94">
        <w:rPr>
          <w:rFonts w:ascii="Calibri" w:eastAsia="Calibri" w:hAnsi="Calibri"/>
          <w:noProof/>
          <w:sz w:val="22"/>
          <w:szCs w:val="22"/>
        </w:rPr>
        <w:lastRenderedPageBreak/>
        <w:drawing>
          <wp:inline distT="0" distB="0" distL="0" distR="0" wp14:anchorId="3490B7E9" wp14:editId="2EEC34D8">
            <wp:extent cx="5610225" cy="3752850"/>
            <wp:effectExtent l="0" t="0" r="9525"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D4788D7" w14:textId="77777777" w:rsidR="00360E94" w:rsidRPr="00360E94" w:rsidRDefault="00360E94" w:rsidP="00360E94">
      <w:pPr>
        <w:spacing w:before="240" w:after="160" w:line="259" w:lineRule="auto"/>
        <w:rPr>
          <w:rFonts w:ascii="Calibri" w:eastAsia="Calibri" w:hAnsi="Calibri" w:cs="Calibri"/>
          <w:color w:val="0A0A0A"/>
          <w:sz w:val="22"/>
          <w:szCs w:val="22"/>
          <w:shd w:val="clear" w:color="auto" w:fill="FFFFFF"/>
          <w:lang w:eastAsia="en-US"/>
        </w:rPr>
      </w:pPr>
      <w:r w:rsidRPr="00360E94">
        <w:rPr>
          <w:rFonts w:ascii="Calibri" w:eastAsia="Calibri" w:hAnsi="Calibri"/>
          <w:sz w:val="22"/>
          <w:szCs w:val="22"/>
          <w:lang w:eastAsia="en-US"/>
        </w:rPr>
        <w:t xml:space="preserve">   </w:t>
      </w:r>
      <w:r w:rsidRPr="00360E94">
        <w:rPr>
          <w:rFonts w:ascii="Helvetica" w:eastAsia="Calibri" w:hAnsi="Helvetica" w:cs="Helvetica"/>
          <w:color w:val="555555"/>
          <w:sz w:val="21"/>
          <w:szCs w:val="21"/>
          <w:shd w:val="clear" w:color="auto" w:fill="FFFFFF"/>
          <w:lang w:eastAsia="en-US"/>
        </w:rPr>
        <w:t xml:space="preserve"> </w:t>
      </w:r>
      <w:r w:rsidRPr="00360E94">
        <w:rPr>
          <w:rFonts w:ascii="Arial" w:eastAsia="Calibri" w:hAnsi="Arial" w:cs="Arial"/>
          <w:color w:val="0A0A0A"/>
          <w:sz w:val="22"/>
          <w:szCs w:val="22"/>
          <w:shd w:val="clear" w:color="auto" w:fill="FFFFFF"/>
          <w:lang w:eastAsia="en-US"/>
        </w:rPr>
        <w:t xml:space="preserve"> </w:t>
      </w:r>
      <w:r w:rsidRPr="00360E94">
        <w:rPr>
          <w:rFonts w:ascii="Calibri" w:eastAsia="Calibri" w:hAnsi="Calibri" w:cs="Calibri"/>
          <w:color w:val="0A0A0A"/>
          <w:sz w:val="22"/>
          <w:szCs w:val="22"/>
          <w:shd w:val="clear" w:color="auto" w:fill="FFFFFF"/>
          <w:lang w:eastAsia="en-US"/>
        </w:rPr>
        <w:t>Figure 2: Shows percentage difference between pre-test and post-test</w:t>
      </w:r>
    </w:p>
    <w:p w14:paraId="4C597633" w14:textId="77777777" w:rsidR="00360E94" w:rsidRPr="00360E94" w:rsidRDefault="00360E94" w:rsidP="00360E94">
      <w:pPr>
        <w:spacing w:before="240" w:after="160" w:line="259" w:lineRule="auto"/>
        <w:rPr>
          <w:rFonts w:ascii="Calibri" w:eastAsia="Calibri" w:hAnsi="Calibri" w:cs="Calibri"/>
          <w:color w:val="0A0A0A"/>
          <w:sz w:val="22"/>
          <w:szCs w:val="22"/>
          <w:shd w:val="clear" w:color="auto" w:fill="FFFFFF"/>
          <w:lang w:eastAsia="en-US"/>
        </w:rPr>
      </w:pPr>
    </w:p>
    <w:p w14:paraId="1F18510E" w14:textId="77777777" w:rsidR="00360E94" w:rsidRPr="00360E94" w:rsidRDefault="00360E94" w:rsidP="00360E94">
      <w:pPr>
        <w:spacing w:before="240" w:after="160" w:line="259" w:lineRule="auto"/>
        <w:rPr>
          <w:rFonts w:ascii="Calibri" w:eastAsia="Calibri" w:hAnsi="Calibri" w:cs="Calibri"/>
          <w:b/>
          <w:color w:val="0A0A0A"/>
          <w:sz w:val="22"/>
          <w:szCs w:val="22"/>
          <w:shd w:val="clear" w:color="auto" w:fill="FFFFFF"/>
          <w:lang w:eastAsia="en-US"/>
        </w:rPr>
      </w:pPr>
      <w:r w:rsidRPr="00360E94">
        <w:rPr>
          <w:rFonts w:ascii="Calibri" w:eastAsia="Calibri" w:hAnsi="Calibri" w:cs="Calibri"/>
          <w:b/>
          <w:color w:val="0A0A0A"/>
          <w:sz w:val="22"/>
          <w:szCs w:val="22"/>
          <w:shd w:val="clear" w:color="auto" w:fill="FFFFFF"/>
          <w:lang w:eastAsia="en-US"/>
        </w:rPr>
        <w:t xml:space="preserve">Evaluation and Discussion   </w:t>
      </w:r>
    </w:p>
    <w:p w14:paraId="02EA475A" w14:textId="77777777" w:rsidR="00360E94" w:rsidRPr="00360E94" w:rsidRDefault="00360E94" w:rsidP="00360E94">
      <w:pPr>
        <w:spacing w:before="240" w:after="160" w:line="259" w:lineRule="auto"/>
        <w:rPr>
          <w:rFonts w:ascii="Calibri" w:eastAsia="Calibri" w:hAnsi="Calibri" w:cs="Calibri"/>
          <w:color w:val="0A0A0A"/>
          <w:sz w:val="22"/>
          <w:szCs w:val="22"/>
          <w:shd w:val="clear" w:color="auto" w:fill="FFFFFF"/>
          <w:lang w:eastAsia="en-US"/>
        </w:rPr>
      </w:pPr>
      <w:r w:rsidRPr="00360E94">
        <w:rPr>
          <w:rFonts w:ascii="Calibri" w:eastAsia="Calibri" w:hAnsi="Calibri" w:cs="Calibri"/>
          <w:color w:val="0A0A0A"/>
          <w:sz w:val="22"/>
          <w:szCs w:val="22"/>
          <w:shd w:val="clear" w:color="auto" w:fill="FFFFFF"/>
          <w:lang w:eastAsia="en-US"/>
        </w:rPr>
        <w:t xml:space="preserve">The results of the study aim to outline whether the implication of strategic intervention had any effect of the outcome of the pre and post-tests. Analysing the results will determine whether the strategies used in this study have any use within the classroom to aid the instruction of comprehension. </w:t>
      </w:r>
    </w:p>
    <w:p w14:paraId="70C00330" w14:textId="7B2D8D86" w:rsidR="00360E94" w:rsidRPr="00360E94" w:rsidRDefault="00360E94" w:rsidP="00360E94">
      <w:pPr>
        <w:spacing w:before="240" w:after="160" w:line="259" w:lineRule="auto"/>
        <w:rPr>
          <w:rFonts w:ascii="Calibri" w:eastAsia="Calibri" w:hAnsi="Calibri" w:cs="Calibri"/>
          <w:color w:val="0A0A0A"/>
          <w:sz w:val="22"/>
          <w:szCs w:val="22"/>
          <w:shd w:val="clear" w:color="auto" w:fill="FFFFFF"/>
          <w:lang w:eastAsia="en-US"/>
        </w:rPr>
      </w:pPr>
      <w:r w:rsidRPr="00360E94">
        <w:rPr>
          <w:rFonts w:ascii="Calibri" w:eastAsia="Calibri" w:hAnsi="Calibri" w:cs="Calibri"/>
          <w:color w:val="0A0A0A"/>
          <w:sz w:val="22"/>
          <w:szCs w:val="22"/>
          <w:shd w:val="clear" w:color="auto" w:fill="FFFFFF"/>
          <w:lang w:eastAsia="en-US"/>
        </w:rPr>
        <w:t xml:space="preserve">As can be seen in Table one, the pre-test scores of pupils were relatively low, showing a variation of scores between 0 and 2 out of a maximum of 8 marks with the total score of all participants combined being 17 out of a possible 232. The original low scores of the pre-test could be attributed to a number of factors. The first of which is that the pre-test was taken from a GCSE Science TAMS test and the participants used for the research were a sample of year 8 pupils, meaning that they may not have been able to access the information. They would therefore be at a disadvantage immediately as they may be unable to decipher or decode the meanings of scientific vocabulary that they may not have seen before. Keenan et al (2008) concluded that in younger readers, the decoding and deciphering of word meanings has a greater influence on comprehension skills than in older readers. Considering this, this could have hindered the validity of the results. However, Cutting &amp; Scarborough (2006) express that age does not contribute to the relative contribution of decoding to reading comprehension. </w:t>
      </w:r>
      <w:r w:rsidR="00186B43">
        <w:rPr>
          <w:rFonts w:ascii="Calibri" w:eastAsia="Calibri" w:hAnsi="Calibri" w:cs="Calibri"/>
          <w:color w:val="0A0A0A"/>
          <w:sz w:val="22"/>
          <w:szCs w:val="22"/>
          <w:shd w:val="clear" w:color="auto" w:fill="FFFFFF"/>
          <w:lang w:eastAsia="en-US"/>
        </w:rPr>
        <w:t xml:space="preserve">Donaldson (2015) agrees with this, he uses the phrase “stages not ages” suggesting students should not be defined by their aged but should be suitably challenged and judged by their abilities. </w:t>
      </w:r>
      <w:r w:rsidRPr="00360E94">
        <w:rPr>
          <w:rFonts w:ascii="Calibri" w:eastAsia="Calibri" w:hAnsi="Calibri" w:cs="Calibri"/>
          <w:color w:val="0A0A0A"/>
          <w:sz w:val="22"/>
          <w:szCs w:val="22"/>
          <w:shd w:val="clear" w:color="auto" w:fill="FFFFFF"/>
          <w:lang w:eastAsia="en-US"/>
        </w:rPr>
        <w:t>Therefore, it could be argued that giving the pupils a test that is designed for older pupils would have no effect on the results relative to one another.</w:t>
      </w:r>
    </w:p>
    <w:p w14:paraId="11472AD3" w14:textId="77777777" w:rsidR="00360E94" w:rsidRPr="00360E94" w:rsidRDefault="00360E94" w:rsidP="00360E94">
      <w:pPr>
        <w:spacing w:before="240" w:after="160" w:line="259" w:lineRule="auto"/>
        <w:rPr>
          <w:rFonts w:ascii="Calibri" w:eastAsia="Calibri" w:hAnsi="Calibri" w:cs="Calibri"/>
          <w:color w:val="0A0A0A"/>
          <w:sz w:val="22"/>
          <w:szCs w:val="22"/>
          <w:shd w:val="clear" w:color="auto" w:fill="FFFFFF"/>
          <w:lang w:eastAsia="en-US"/>
        </w:rPr>
      </w:pPr>
      <w:r w:rsidRPr="00360E94">
        <w:rPr>
          <w:rFonts w:ascii="Calibri" w:eastAsia="Calibri" w:hAnsi="Calibri" w:cs="Calibri"/>
          <w:color w:val="0A0A0A"/>
          <w:sz w:val="22"/>
          <w:szCs w:val="22"/>
          <w:shd w:val="clear" w:color="auto" w:fill="FFFFFF"/>
          <w:lang w:eastAsia="en-US"/>
        </w:rPr>
        <w:lastRenderedPageBreak/>
        <w:t xml:space="preserve">The second factor that may have influenced the relatively low scores was that the pre-test was that the topic of the test was “The National Grid”. This is a topic that the participants would not have come across in education at the time of the study. This therefore limits the amount of prior knowledge available to the participant which could consequently effect their ability to draw upon knowledge to aid the understanding of the text and the questions asked. There is a lot of research implicating that having a degree of prior knowledge about the topic of the text has both a positive impact on recall of the text and comprehension (Rawson &amp; Van </w:t>
      </w:r>
      <w:proofErr w:type="spellStart"/>
      <w:r w:rsidRPr="00360E94">
        <w:rPr>
          <w:rFonts w:ascii="Calibri" w:eastAsia="Calibri" w:hAnsi="Calibri" w:cs="Calibri"/>
          <w:color w:val="0A0A0A"/>
          <w:sz w:val="22"/>
          <w:szCs w:val="22"/>
          <w:shd w:val="clear" w:color="auto" w:fill="FFFFFF"/>
          <w:lang w:eastAsia="en-US"/>
        </w:rPr>
        <w:t>Overschelde</w:t>
      </w:r>
      <w:proofErr w:type="spellEnd"/>
      <w:r w:rsidRPr="00360E94">
        <w:rPr>
          <w:rFonts w:ascii="Calibri" w:eastAsia="Calibri" w:hAnsi="Calibri" w:cs="Calibri"/>
          <w:color w:val="0A0A0A"/>
          <w:sz w:val="22"/>
          <w:szCs w:val="22"/>
          <w:shd w:val="clear" w:color="auto" w:fill="FFFFFF"/>
          <w:lang w:eastAsia="en-US"/>
        </w:rPr>
        <w:t>, 2008). Conversely, as reviewed earlier, certain researchers such as Cain et al (2001) state that prior knowledge has a limited effect on the comprehension of text. However, since that activating prior knowledge is a significant aspect of the intervention stage of this study, it could be debated that the inability for the participants to draw upon previous experiences and prior knowledge for this exercise, it may have had a detrimental effect to the outcome of the results.</w:t>
      </w:r>
    </w:p>
    <w:p w14:paraId="724297B9" w14:textId="77777777" w:rsidR="00360E94" w:rsidRPr="00360E94" w:rsidRDefault="00360E94" w:rsidP="00360E94">
      <w:pPr>
        <w:spacing w:before="240" w:after="160" w:line="259" w:lineRule="auto"/>
        <w:rPr>
          <w:rFonts w:ascii="Calibri" w:eastAsia="Calibri" w:hAnsi="Calibri" w:cs="Calibri"/>
          <w:color w:val="0A0A0A"/>
          <w:sz w:val="22"/>
          <w:szCs w:val="22"/>
          <w:shd w:val="clear" w:color="auto" w:fill="FFFFFF"/>
          <w:lang w:eastAsia="en-US"/>
        </w:rPr>
      </w:pPr>
      <w:r w:rsidRPr="00360E94">
        <w:rPr>
          <w:rFonts w:ascii="Calibri" w:eastAsia="Calibri" w:hAnsi="Calibri" w:cs="Calibri"/>
          <w:color w:val="0A0A0A"/>
          <w:sz w:val="22"/>
          <w:szCs w:val="22"/>
          <w:shd w:val="clear" w:color="auto" w:fill="FFFFFF"/>
          <w:lang w:eastAsia="en-US"/>
        </w:rPr>
        <w:t xml:space="preserve">Despite the potential shortcomings of the pre-test, data from Table 1, Figure 1 and Figure 2, show that as an overall sample group, the participants made a clear improvement in their test scores. Rising from a total of 17 in the pre-test to a total of 50 in the post test (Table 2). Therefore, it could be maintained that the intervention strategy had a clear positive effect on the comprehension skills of the participants. This is backed up by the data in Table 2, showing that the average percentage score increased from 7.2% to 21.6% (Table 2), where 23 of 29 (79.3%) participants showed an increase in score. </w:t>
      </w:r>
    </w:p>
    <w:p w14:paraId="7FC38173" w14:textId="19FCBB8F" w:rsidR="00360E94" w:rsidRPr="00360E94" w:rsidRDefault="00360E94" w:rsidP="00360E94">
      <w:pPr>
        <w:spacing w:before="240" w:after="160" w:line="259" w:lineRule="auto"/>
        <w:rPr>
          <w:rFonts w:ascii="Calibri" w:eastAsia="Calibri" w:hAnsi="Calibri" w:cs="Calibri"/>
          <w:color w:val="0A0A0A"/>
          <w:sz w:val="22"/>
          <w:szCs w:val="22"/>
          <w:shd w:val="clear" w:color="auto" w:fill="FFFFFF"/>
          <w:lang w:eastAsia="en-US"/>
        </w:rPr>
      </w:pPr>
      <w:r w:rsidRPr="00360E94">
        <w:rPr>
          <w:rFonts w:ascii="Calibri" w:eastAsia="Calibri" w:hAnsi="Calibri" w:cs="Calibri"/>
          <w:color w:val="0A0A0A"/>
          <w:sz w:val="22"/>
          <w:szCs w:val="22"/>
          <w:shd w:val="clear" w:color="auto" w:fill="FFFFFF"/>
          <w:lang w:eastAsia="en-US"/>
        </w:rPr>
        <w:t>In respect to this, it should also be highlighted that although an average percentage increase of approximately 14% was observed that both the pre and the post-test had a maximum score of 8, meaning that each mark gained in the post test represented 12.5%. So although the most common increase was an increase of 25%, this only equated to 2 marks (Table 1) in the pre and post-tests. The average increase in marks was actually only just over 1 mark. This raises issues regarding the significance of the size of increase. This is due to the fact that we cannot completely</w:t>
      </w:r>
      <w:r w:rsidR="005B3790">
        <w:rPr>
          <w:rFonts w:ascii="Calibri" w:eastAsia="Calibri" w:hAnsi="Calibri" w:cs="Calibri"/>
          <w:color w:val="0A0A0A"/>
          <w:sz w:val="22"/>
          <w:szCs w:val="22"/>
          <w:shd w:val="clear" w:color="auto" w:fill="FFFFFF"/>
          <w:lang w:eastAsia="en-US"/>
        </w:rPr>
        <w:t xml:space="preserve"> assume that the only variable a</w:t>
      </w:r>
      <w:r w:rsidRPr="00360E94">
        <w:rPr>
          <w:rFonts w:ascii="Calibri" w:eastAsia="Calibri" w:hAnsi="Calibri" w:cs="Calibri"/>
          <w:color w:val="0A0A0A"/>
          <w:sz w:val="22"/>
          <w:szCs w:val="22"/>
          <w:shd w:val="clear" w:color="auto" w:fill="FFFFFF"/>
          <w:lang w:eastAsia="en-US"/>
        </w:rPr>
        <w:t>ffecting the test results was the intervention process. As raised in the methodology section of this study, the use of a pre and post-test is the same cannot eliminate the fact that the tests themselves may have actually a</w:t>
      </w:r>
      <w:r w:rsidR="00C36D6F">
        <w:rPr>
          <w:rFonts w:ascii="Calibri" w:eastAsia="Calibri" w:hAnsi="Calibri" w:cs="Calibri"/>
          <w:color w:val="0A0A0A"/>
          <w:sz w:val="22"/>
          <w:szCs w:val="22"/>
          <w:shd w:val="clear" w:color="auto" w:fill="FFFFFF"/>
          <w:lang w:eastAsia="en-US"/>
        </w:rPr>
        <w:t>cted as a learning tool (Draper</w:t>
      </w:r>
      <w:r w:rsidRPr="00360E94">
        <w:rPr>
          <w:rFonts w:ascii="Calibri" w:eastAsia="Calibri" w:hAnsi="Calibri" w:cs="Calibri"/>
          <w:color w:val="0A0A0A"/>
          <w:sz w:val="22"/>
          <w:szCs w:val="22"/>
          <w:shd w:val="clear" w:color="auto" w:fill="FFFFFF"/>
          <w:lang w:eastAsia="en-US"/>
        </w:rPr>
        <w:t xml:space="preserve"> </w:t>
      </w:r>
      <w:r w:rsidR="00AF783D">
        <w:rPr>
          <w:rFonts w:ascii="Calibri" w:eastAsia="Calibri" w:hAnsi="Calibri" w:cs="Calibri"/>
          <w:color w:val="0A0A0A"/>
          <w:sz w:val="22"/>
          <w:szCs w:val="22"/>
          <w:shd w:val="clear" w:color="auto" w:fill="FFFFFF"/>
          <w:lang w:eastAsia="en-US"/>
        </w:rPr>
        <w:t xml:space="preserve">et </w:t>
      </w:r>
      <w:r w:rsidRPr="00360E94">
        <w:rPr>
          <w:rFonts w:ascii="Calibri" w:eastAsia="Calibri" w:hAnsi="Calibri" w:cs="Calibri"/>
          <w:color w:val="0A0A0A"/>
          <w:sz w:val="22"/>
          <w:szCs w:val="22"/>
          <w:shd w:val="clear" w:color="auto" w:fill="FFFFFF"/>
          <w:lang w:eastAsia="en-US"/>
        </w:rPr>
        <w:t xml:space="preserve">al, 1994). Regardless of this, there is a clear improvement shown by the sample group in the post test results. This is shown clearly in Figure 2, where the bars indicate the percentage difference shown between the pre and post-test and also in Figure 1 where the trend line of the post test is clearly higher than the trend line of the pre-test, demonstrating that there is a general improvement across the sample after the intervention strategy was implemented.  </w:t>
      </w:r>
    </w:p>
    <w:p w14:paraId="0A4A12B0" w14:textId="77777777" w:rsidR="00360E94" w:rsidRPr="00360E94" w:rsidRDefault="00360E94" w:rsidP="00360E94">
      <w:pPr>
        <w:spacing w:before="240" w:after="160" w:line="259" w:lineRule="auto"/>
        <w:rPr>
          <w:rFonts w:ascii="Calibri" w:eastAsia="Calibri" w:hAnsi="Calibri" w:cs="Calibri"/>
          <w:color w:val="0A0A0A"/>
          <w:sz w:val="22"/>
          <w:szCs w:val="22"/>
          <w:shd w:val="clear" w:color="auto" w:fill="FFFFFF"/>
          <w:lang w:eastAsia="en-US"/>
        </w:rPr>
      </w:pPr>
      <w:r w:rsidRPr="00360E94">
        <w:rPr>
          <w:rFonts w:ascii="Calibri" w:eastAsia="Calibri" w:hAnsi="Calibri" w:cs="Calibri"/>
          <w:color w:val="0A0A0A"/>
          <w:sz w:val="22"/>
          <w:szCs w:val="22"/>
          <w:shd w:val="clear" w:color="auto" w:fill="FFFFFF"/>
          <w:lang w:eastAsia="en-US"/>
        </w:rPr>
        <w:t>There are also certain pupils that show a significant increase in scores between pre and post-test after the intervention strategy was implemented. Pupils such as Pupil 1 and Pupil 3 who showed a 37.5% increase and Pupil 25 who showed an increase of 50% (Table 1 &amp;2). This is possible evidence showing that the strategy had more of a greater effect on some participants than others, although the increases in score are relatively similar amongst all participants. An interesting observation seen in the data is that two pupils actually decreased in score in the post tests, Pupil 5 and Pupil 13. This decrease in score could be down to uncontrollable environmental factors or could also be used as evidence to suggest that these two pupils did not respond very positively to the intervention strategy</w:t>
      </w:r>
      <w:r w:rsidRPr="00360E94">
        <w:rPr>
          <w:rFonts w:ascii="Calibri" w:eastAsia="Calibri" w:hAnsi="Calibri" w:cs="Calibri"/>
          <w:sz w:val="22"/>
          <w:szCs w:val="22"/>
          <w:lang w:eastAsia="en-US"/>
        </w:rPr>
        <w:t xml:space="preserve"> </w:t>
      </w:r>
      <w:r w:rsidRPr="00360E94">
        <w:rPr>
          <w:rFonts w:ascii="Calibri" w:eastAsia="Calibri" w:hAnsi="Calibri" w:cs="Calibri"/>
          <w:color w:val="0A0A0A"/>
          <w:sz w:val="22"/>
          <w:szCs w:val="22"/>
          <w:shd w:val="clear" w:color="auto" w:fill="FFFFFF"/>
          <w:lang w:eastAsia="en-US"/>
        </w:rPr>
        <w:t xml:space="preserve">Donaldson (2015) states that a there is not a “one size fits all” strategy and in instances where there is only one style used, educators may fail to meet the learning needs of all individuals in the classroom. Consequently, this could suggest that there should be an element of differentiation even in the intervention strategy to ensure that the strategy encompasses the individual </w:t>
      </w:r>
      <w:r w:rsidRPr="00360E94">
        <w:rPr>
          <w:rFonts w:ascii="Calibri" w:eastAsia="Calibri" w:hAnsi="Calibri" w:cs="Calibri"/>
          <w:color w:val="0A0A0A"/>
          <w:sz w:val="22"/>
          <w:szCs w:val="22"/>
          <w:shd w:val="clear" w:color="auto" w:fill="FFFFFF"/>
          <w:lang w:eastAsia="en-US"/>
        </w:rPr>
        <w:lastRenderedPageBreak/>
        <w:t>participants’ needs. However, the class used in the sample was a top set class and the strategy was designed as to enable all individuals to be able to effectively use it.</w:t>
      </w:r>
    </w:p>
    <w:p w14:paraId="56BBB1CB" w14:textId="3EA7D478" w:rsidR="00360E94" w:rsidRPr="00360E94" w:rsidRDefault="00360E94" w:rsidP="00360E94">
      <w:pPr>
        <w:spacing w:before="240" w:after="160" w:line="259" w:lineRule="auto"/>
        <w:rPr>
          <w:rFonts w:ascii="Calibri" w:eastAsia="Calibri" w:hAnsi="Calibri" w:cs="Calibri"/>
          <w:color w:val="0A0A0A"/>
          <w:sz w:val="22"/>
          <w:szCs w:val="22"/>
          <w:shd w:val="clear" w:color="auto" w:fill="FFFFFF"/>
          <w:lang w:eastAsia="en-US"/>
        </w:rPr>
      </w:pPr>
      <w:r w:rsidRPr="00360E94">
        <w:rPr>
          <w:rFonts w:ascii="Calibri" w:eastAsia="Calibri" w:hAnsi="Calibri" w:cs="Calibri"/>
          <w:color w:val="0A0A0A"/>
          <w:sz w:val="22"/>
          <w:szCs w:val="22"/>
          <w:shd w:val="clear" w:color="auto" w:fill="FFFFFF"/>
          <w:lang w:eastAsia="en-US"/>
        </w:rPr>
        <w:t xml:space="preserve">Another factor to take into consideration is that during the intervention process there was no scientific content actually taught. This was an attempt to limit any external variables relating to the outcomes of the post-test, so that the only variable being tested was the comprehension instruction strategy used in the intervention rather than any other factor such as newly acquired knowledge from the teacher or from any peers during the intervention. Because of this, the pre-test, post-test and intervention were all done under test conditions. This also limited the strategies that could be implemented in to the inference grid. Berne &amp; Clarke (2008) advocate the use of pupil led discussion to support and </w:t>
      </w:r>
      <w:r w:rsidR="00AF783D" w:rsidRPr="00360E94">
        <w:rPr>
          <w:rFonts w:ascii="Calibri" w:eastAsia="Calibri" w:hAnsi="Calibri" w:cs="Calibri"/>
          <w:color w:val="0A0A0A"/>
          <w:sz w:val="22"/>
          <w:szCs w:val="22"/>
          <w:shd w:val="clear" w:color="auto" w:fill="FFFFFF"/>
          <w:lang w:eastAsia="en-US"/>
        </w:rPr>
        <w:t>build</w:t>
      </w:r>
      <w:r w:rsidRPr="00360E94">
        <w:rPr>
          <w:rFonts w:ascii="Calibri" w:eastAsia="Calibri" w:hAnsi="Calibri" w:cs="Calibri"/>
          <w:color w:val="0A0A0A"/>
          <w:sz w:val="22"/>
          <w:szCs w:val="22"/>
          <w:shd w:val="clear" w:color="auto" w:fill="FFFFFF"/>
          <w:lang w:eastAsia="en-US"/>
        </w:rPr>
        <w:t xml:space="preserve"> upon their comprehension proficiency. They add that especially when involving scientific comprehension, these peer group discussions can allow pupils to describe and explain abstract concepts, which improves understanding and encourages the use of higher order cognitive skills. </w:t>
      </w:r>
      <w:proofErr w:type="spellStart"/>
      <w:r w:rsidRPr="00360E94">
        <w:rPr>
          <w:rFonts w:ascii="Calibri" w:eastAsia="Calibri" w:hAnsi="Calibri" w:cs="Calibri"/>
          <w:color w:val="0A0A0A"/>
          <w:sz w:val="22"/>
          <w:szCs w:val="22"/>
          <w:shd w:val="clear" w:color="auto" w:fill="FFFFFF"/>
          <w:lang w:eastAsia="en-US"/>
        </w:rPr>
        <w:t>Samway</w:t>
      </w:r>
      <w:proofErr w:type="spellEnd"/>
      <w:r w:rsidRPr="00360E94">
        <w:rPr>
          <w:rFonts w:ascii="Calibri" w:eastAsia="Calibri" w:hAnsi="Calibri" w:cs="Calibri"/>
          <w:color w:val="0A0A0A"/>
          <w:sz w:val="22"/>
          <w:szCs w:val="22"/>
          <w:shd w:val="clear" w:color="auto" w:fill="FFFFFF"/>
          <w:lang w:eastAsia="en-US"/>
        </w:rPr>
        <w:t xml:space="preserve"> et al (1991) add that using discussion groups also develops learners’ confidence in a certain topic and consequently supports the ability to comprehend the text.  This could provide an argument for the use of discussion in the intervention process and to make slight adjustments to the inference arrows to allow for pupil discussion. </w:t>
      </w:r>
    </w:p>
    <w:p w14:paraId="79A09A00" w14:textId="77777777" w:rsidR="00360E94" w:rsidRPr="00360E94" w:rsidRDefault="00360E94" w:rsidP="00360E94">
      <w:pPr>
        <w:spacing w:before="240" w:after="160" w:line="259" w:lineRule="auto"/>
        <w:rPr>
          <w:rFonts w:ascii="Calibri" w:eastAsia="Calibri" w:hAnsi="Calibri" w:cs="Calibri"/>
          <w:b/>
          <w:color w:val="0A0A0A"/>
          <w:sz w:val="22"/>
          <w:szCs w:val="22"/>
          <w:shd w:val="clear" w:color="auto" w:fill="FFFFFF"/>
          <w:lang w:eastAsia="en-US"/>
        </w:rPr>
      </w:pPr>
      <w:r w:rsidRPr="00360E94">
        <w:rPr>
          <w:rFonts w:ascii="Calibri" w:eastAsia="Calibri" w:hAnsi="Calibri" w:cs="Calibri"/>
          <w:b/>
          <w:color w:val="0A0A0A"/>
          <w:sz w:val="22"/>
          <w:szCs w:val="22"/>
          <w:shd w:val="clear" w:color="auto" w:fill="FFFFFF"/>
          <w:lang w:eastAsia="en-US"/>
        </w:rPr>
        <w:t xml:space="preserve">Conclusions and Future development </w:t>
      </w:r>
    </w:p>
    <w:p w14:paraId="2140E95D" w14:textId="77777777" w:rsidR="00360E94" w:rsidRPr="00360E94" w:rsidRDefault="00360E94" w:rsidP="00360E94">
      <w:pPr>
        <w:spacing w:before="240" w:after="160" w:line="259" w:lineRule="auto"/>
        <w:rPr>
          <w:rFonts w:ascii="Calibri" w:eastAsia="Calibri" w:hAnsi="Calibri" w:cs="Calibri"/>
          <w:color w:val="0A0A0A"/>
          <w:sz w:val="22"/>
          <w:szCs w:val="22"/>
          <w:shd w:val="clear" w:color="auto" w:fill="FFFFFF"/>
          <w:lang w:eastAsia="en-US"/>
        </w:rPr>
      </w:pPr>
      <w:r w:rsidRPr="00360E94">
        <w:rPr>
          <w:rFonts w:ascii="Calibri" w:eastAsia="Calibri" w:hAnsi="Calibri" w:cs="Calibri"/>
          <w:color w:val="0A0A0A"/>
          <w:sz w:val="22"/>
          <w:szCs w:val="22"/>
          <w:shd w:val="clear" w:color="auto" w:fill="FFFFFF"/>
          <w:lang w:eastAsia="en-US"/>
        </w:rPr>
        <w:t>The aim of this study was to attempt to find a support strategy to assist pupils to develop their scientific comprehension and literacy skills. To provide scaffolding and a schema to support learners when faced with comprehension questions whilst still challenging pupils to develop inferences and conceptual understanding of information texts.</w:t>
      </w:r>
    </w:p>
    <w:p w14:paraId="524555E6" w14:textId="1776C0CF" w:rsidR="00360E94" w:rsidRPr="00360E94" w:rsidRDefault="00360E94" w:rsidP="00360E94">
      <w:pPr>
        <w:spacing w:before="240" w:after="160" w:line="259" w:lineRule="auto"/>
        <w:rPr>
          <w:rFonts w:ascii="Calibri" w:eastAsia="Calibri" w:hAnsi="Calibri" w:cs="Calibri"/>
          <w:color w:val="0A0A0A"/>
          <w:sz w:val="22"/>
          <w:szCs w:val="22"/>
          <w:shd w:val="clear" w:color="auto" w:fill="FFFFFF"/>
          <w:lang w:eastAsia="en-US"/>
        </w:rPr>
      </w:pPr>
      <w:r w:rsidRPr="00360E94">
        <w:rPr>
          <w:rFonts w:ascii="Calibri" w:eastAsia="Calibri" w:hAnsi="Calibri" w:cs="Calibri"/>
          <w:color w:val="0A0A0A"/>
          <w:sz w:val="22"/>
          <w:szCs w:val="22"/>
          <w:shd w:val="clear" w:color="auto" w:fill="FFFFFF"/>
          <w:lang w:eastAsia="en-US"/>
        </w:rPr>
        <w:t xml:space="preserve">Overall findings during the study show that the intervention process succeeded improving results of a group of 29 participants from School X. However, there are a number of outstanding factors that inhibit our ability to be able to deem the introduction of the instruction strategy a </w:t>
      </w:r>
      <w:r w:rsidR="00186B43">
        <w:rPr>
          <w:rFonts w:ascii="Calibri" w:eastAsia="Calibri" w:hAnsi="Calibri" w:cs="Calibri"/>
          <w:color w:val="0A0A0A"/>
          <w:sz w:val="22"/>
          <w:szCs w:val="22"/>
          <w:shd w:val="clear" w:color="auto" w:fill="FFFFFF"/>
          <w:lang w:eastAsia="en-US"/>
        </w:rPr>
        <w:t xml:space="preserve">complete </w:t>
      </w:r>
      <w:r w:rsidRPr="00360E94">
        <w:rPr>
          <w:rFonts w:ascii="Calibri" w:eastAsia="Calibri" w:hAnsi="Calibri" w:cs="Calibri"/>
          <w:color w:val="0A0A0A"/>
          <w:sz w:val="22"/>
          <w:szCs w:val="22"/>
          <w:shd w:val="clear" w:color="auto" w:fill="FFFFFF"/>
          <w:lang w:eastAsia="en-US"/>
        </w:rPr>
        <w:t>success.</w:t>
      </w:r>
    </w:p>
    <w:p w14:paraId="48FD2C79" w14:textId="77777777" w:rsidR="00360E94" w:rsidRPr="00360E94" w:rsidRDefault="00360E94" w:rsidP="00360E94">
      <w:pPr>
        <w:spacing w:before="240" w:after="160" w:line="259" w:lineRule="auto"/>
        <w:rPr>
          <w:rFonts w:ascii="Calibri" w:eastAsia="Calibri" w:hAnsi="Calibri" w:cs="Calibri"/>
          <w:color w:val="0A0A0A"/>
          <w:sz w:val="22"/>
          <w:szCs w:val="22"/>
          <w:shd w:val="clear" w:color="auto" w:fill="FFFFFF"/>
          <w:lang w:eastAsia="en-US"/>
        </w:rPr>
      </w:pPr>
      <w:r w:rsidRPr="00360E94">
        <w:rPr>
          <w:rFonts w:ascii="Calibri" w:eastAsia="Calibri" w:hAnsi="Calibri" w:cs="Calibri"/>
          <w:color w:val="0A0A0A"/>
          <w:sz w:val="22"/>
          <w:szCs w:val="22"/>
          <w:shd w:val="clear" w:color="auto" w:fill="FFFFFF"/>
          <w:lang w:eastAsia="en-US"/>
        </w:rPr>
        <w:t xml:space="preserve">Perhaps the most important feature hindering the validity of the results of this study is that there is no evidence to suggest that this strategy would have any effect on comprehension and literacy skills in the long term. </w:t>
      </w:r>
      <w:proofErr w:type="spellStart"/>
      <w:r w:rsidRPr="00360E94">
        <w:rPr>
          <w:rFonts w:ascii="Calibri" w:eastAsia="Calibri" w:hAnsi="Calibri" w:cs="Calibri"/>
          <w:color w:val="0A0A0A"/>
          <w:sz w:val="22"/>
          <w:szCs w:val="22"/>
          <w:shd w:val="clear" w:color="auto" w:fill="FFFFFF"/>
          <w:lang w:eastAsia="en-US"/>
        </w:rPr>
        <w:t>Kosanovich</w:t>
      </w:r>
      <w:proofErr w:type="spellEnd"/>
      <w:r w:rsidRPr="00360E94">
        <w:rPr>
          <w:rFonts w:ascii="Calibri" w:eastAsia="Calibri" w:hAnsi="Calibri" w:cs="Calibri"/>
          <w:color w:val="0A0A0A"/>
          <w:sz w:val="22"/>
          <w:szCs w:val="22"/>
          <w:shd w:val="clear" w:color="auto" w:fill="FFFFFF"/>
          <w:lang w:eastAsia="en-US"/>
        </w:rPr>
        <w:t xml:space="preserve"> et al (2010) claim that if individual comprehension strategies are not regularly, pupils are unable to continuously replicate them and therefor provide little benefit to log term literacy skills. In light of this, research done by Block et al (2008) promotes the idea of “fast mapping”. Fast mapping is defined to be, six or more complex mental experiences where the reader is able to develop an individual strategy before developing another. Considering this, if this was to applied to this research, increasing the intervention time and therefore time between pre and post testing would allow pupils to continue to replicate the strategy using a variety of text types. This may encourage “fast mapping” of the strategy and may consequently provide evidence for long term improvement in literacy and comprehension. However, in this instance the study was limited to a very short period of time as to obtain the results.    </w:t>
      </w:r>
    </w:p>
    <w:p w14:paraId="33A00895" w14:textId="41CF8E68" w:rsidR="00360E94" w:rsidRDefault="00360E94" w:rsidP="00360E94">
      <w:pPr>
        <w:spacing w:before="240" w:after="160" w:line="259" w:lineRule="auto"/>
        <w:rPr>
          <w:rFonts w:ascii="Calibri" w:eastAsia="Calibri" w:hAnsi="Calibri" w:cs="Calibri"/>
          <w:color w:val="0A0A0A"/>
          <w:sz w:val="22"/>
          <w:szCs w:val="22"/>
          <w:shd w:val="clear" w:color="auto" w:fill="FFFFFF"/>
          <w:lang w:eastAsia="en-US"/>
        </w:rPr>
      </w:pPr>
      <w:r w:rsidRPr="00360E94">
        <w:rPr>
          <w:rFonts w:ascii="Calibri" w:eastAsia="Calibri" w:hAnsi="Calibri" w:cs="Calibri"/>
          <w:color w:val="0A0A0A"/>
          <w:sz w:val="22"/>
          <w:szCs w:val="22"/>
          <w:shd w:val="clear" w:color="auto" w:fill="FFFFFF"/>
          <w:lang w:eastAsia="en-US"/>
        </w:rPr>
        <w:t xml:space="preserve">Another factor that could have adverse effects on the study is the limited access to prior knowledge the participants had. Due to the fact that the comprehension text and the questions chosen were extracted from a GCSE level topic, the participants in the samples may not have come across the topic before and would therefore have a very little if any background knowledge about the topic of choice and could have therefore have inhibited their abilities to gain marks within the tests.  It could be debated that this is the reason why the pupils’ marks in both the pre and post-test were relatively low with the majority of pupils scoring around 2 marks. As stated previously, despite research done </w:t>
      </w:r>
      <w:r w:rsidRPr="00360E94">
        <w:rPr>
          <w:rFonts w:ascii="Calibri" w:eastAsia="Calibri" w:hAnsi="Calibri" w:cs="Calibri"/>
          <w:color w:val="0A0A0A"/>
          <w:sz w:val="22"/>
          <w:szCs w:val="22"/>
          <w:shd w:val="clear" w:color="auto" w:fill="FFFFFF"/>
          <w:lang w:eastAsia="en-US"/>
        </w:rPr>
        <w:lastRenderedPageBreak/>
        <w:t xml:space="preserve">by Cain et al (2001) suggesting that learners having the ability to access prior knowledge is not a limiting factor to successful </w:t>
      </w:r>
      <w:proofErr w:type="spellStart"/>
      <w:r w:rsidRPr="00360E94">
        <w:rPr>
          <w:rFonts w:ascii="Calibri" w:eastAsia="Calibri" w:hAnsi="Calibri" w:cs="Calibri"/>
          <w:color w:val="0A0A0A"/>
          <w:sz w:val="22"/>
          <w:szCs w:val="22"/>
          <w:shd w:val="clear" w:color="auto" w:fill="FFFFFF"/>
          <w:lang w:eastAsia="en-US"/>
        </w:rPr>
        <w:t>comprehenders</w:t>
      </w:r>
      <w:proofErr w:type="spellEnd"/>
      <w:r w:rsidRPr="00360E94">
        <w:rPr>
          <w:rFonts w:ascii="Calibri" w:eastAsia="Calibri" w:hAnsi="Calibri" w:cs="Calibri"/>
          <w:color w:val="0A0A0A"/>
          <w:sz w:val="22"/>
          <w:szCs w:val="22"/>
          <w:shd w:val="clear" w:color="auto" w:fill="FFFFFF"/>
          <w:lang w:eastAsia="en-US"/>
        </w:rPr>
        <w:t xml:space="preserve">, it was one of the underpinning features of this study. It is widely acknowledged that being able to draw on prior knowledge has vast benefits on learning and on comprehension (Rawson &amp; Van </w:t>
      </w:r>
      <w:proofErr w:type="spellStart"/>
      <w:r w:rsidRPr="00360E94">
        <w:rPr>
          <w:rFonts w:ascii="Calibri" w:eastAsia="Calibri" w:hAnsi="Calibri" w:cs="Calibri"/>
          <w:color w:val="0A0A0A"/>
          <w:sz w:val="22"/>
          <w:szCs w:val="22"/>
          <w:shd w:val="clear" w:color="auto" w:fill="FFFFFF"/>
          <w:lang w:eastAsia="en-US"/>
        </w:rPr>
        <w:t>Overschelde</w:t>
      </w:r>
      <w:proofErr w:type="spellEnd"/>
      <w:r w:rsidRPr="00360E94">
        <w:rPr>
          <w:rFonts w:ascii="Calibri" w:eastAsia="Calibri" w:hAnsi="Calibri" w:cs="Calibri"/>
          <w:color w:val="0A0A0A"/>
          <w:sz w:val="22"/>
          <w:szCs w:val="22"/>
          <w:shd w:val="clear" w:color="auto" w:fill="FFFFFF"/>
          <w:lang w:eastAsia="en-US"/>
        </w:rPr>
        <w:t xml:space="preserve">, 2008). Piaget (1953) put forward the idea that new knowledge is forged by the moulding together of new ideas and concepts already learned. This is also built upon in various research such as Day (2012) and Andre (1997). The abundance of research based upon the benefits of activating prior knowledge to support comprehension skills provided clear justification for the inclusion in the intervention strategy. It should therefore be considered that a selecting a comprehension text and questions that better reflect the abilities of the participants may have produced more concrete results. </w:t>
      </w:r>
    </w:p>
    <w:p w14:paraId="4DB85A3E" w14:textId="6B47DFA3" w:rsidR="00831A71" w:rsidRPr="00360E94" w:rsidRDefault="00186B43" w:rsidP="00360E94">
      <w:pPr>
        <w:spacing w:before="240" w:after="160" w:line="259" w:lineRule="auto"/>
        <w:rPr>
          <w:rFonts w:ascii="Calibri" w:eastAsia="Calibri" w:hAnsi="Calibri" w:cs="Calibri"/>
          <w:color w:val="0A0A0A"/>
          <w:sz w:val="22"/>
          <w:szCs w:val="22"/>
          <w:shd w:val="clear" w:color="auto" w:fill="FFFFFF"/>
          <w:lang w:eastAsia="en-US"/>
        </w:rPr>
      </w:pPr>
      <w:r>
        <w:rPr>
          <w:rFonts w:ascii="Calibri" w:eastAsia="Calibri" w:hAnsi="Calibri" w:cs="Calibri"/>
          <w:color w:val="0A0A0A"/>
          <w:sz w:val="22"/>
          <w:szCs w:val="22"/>
          <w:shd w:val="clear" w:color="auto" w:fill="FFFFFF"/>
          <w:lang w:eastAsia="en-US"/>
        </w:rPr>
        <w:t>The final aspect of the study that may require fu</w:t>
      </w:r>
      <w:r w:rsidR="00831A71">
        <w:rPr>
          <w:rFonts w:ascii="Calibri" w:eastAsia="Calibri" w:hAnsi="Calibri" w:cs="Calibri"/>
          <w:color w:val="0A0A0A"/>
          <w:sz w:val="22"/>
          <w:szCs w:val="22"/>
          <w:shd w:val="clear" w:color="auto" w:fill="FFFFFF"/>
          <w:lang w:eastAsia="en-US"/>
        </w:rPr>
        <w:t>ture development concerns research done by Draper</w:t>
      </w:r>
      <w:r w:rsidR="00C36D6F">
        <w:rPr>
          <w:rFonts w:ascii="Calibri" w:eastAsia="Calibri" w:hAnsi="Calibri" w:cs="Calibri"/>
          <w:color w:val="0A0A0A"/>
          <w:sz w:val="22"/>
          <w:szCs w:val="22"/>
          <w:shd w:val="clear" w:color="auto" w:fill="FFFFFF"/>
          <w:lang w:eastAsia="en-US"/>
        </w:rPr>
        <w:t xml:space="preserve"> </w:t>
      </w:r>
      <w:r w:rsidR="00831A71">
        <w:rPr>
          <w:rFonts w:ascii="Calibri" w:eastAsia="Calibri" w:hAnsi="Calibri" w:cs="Calibri"/>
          <w:color w:val="0A0A0A"/>
          <w:sz w:val="22"/>
          <w:szCs w:val="22"/>
          <w:shd w:val="clear" w:color="auto" w:fill="FFFFFF"/>
          <w:lang w:eastAsia="en-US"/>
        </w:rPr>
        <w:t>et al (1994). The fact that the post-test being the same as the pre-test meaning the tests themselves may have acted as a basis for learning. This would mean that the interventio</w:t>
      </w:r>
      <w:r w:rsidR="005B3790">
        <w:rPr>
          <w:rFonts w:ascii="Calibri" w:eastAsia="Calibri" w:hAnsi="Calibri" w:cs="Calibri"/>
          <w:color w:val="0A0A0A"/>
          <w:sz w:val="22"/>
          <w:szCs w:val="22"/>
          <w:shd w:val="clear" w:color="auto" w:fill="FFFFFF"/>
          <w:lang w:eastAsia="en-US"/>
        </w:rPr>
        <w:t>n may not be the only variable a</w:t>
      </w:r>
      <w:r w:rsidR="00831A71">
        <w:rPr>
          <w:rFonts w:ascii="Calibri" w:eastAsia="Calibri" w:hAnsi="Calibri" w:cs="Calibri"/>
          <w:color w:val="0A0A0A"/>
          <w:sz w:val="22"/>
          <w:szCs w:val="22"/>
          <w:shd w:val="clear" w:color="auto" w:fill="FFFFFF"/>
          <w:lang w:eastAsia="en-US"/>
        </w:rPr>
        <w:t xml:space="preserve">ffecting the results. This variable could potentially be eliminated by using another group of participants. The second sample of participants in this instance could have acted as a control group and they would not have received the intervention, therefore if there was </w:t>
      </w:r>
      <w:r w:rsidR="00447025">
        <w:rPr>
          <w:rFonts w:ascii="Calibri" w:eastAsia="Calibri" w:hAnsi="Calibri" w:cs="Calibri"/>
          <w:color w:val="0A0A0A"/>
          <w:sz w:val="22"/>
          <w:szCs w:val="22"/>
          <w:shd w:val="clear" w:color="auto" w:fill="FFFFFF"/>
          <w:lang w:eastAsia="en-US"/>
        </w:rPr>
        <w:t xml:space="preserve">a </w:t>
      </w:r>
      <w:r w:rsidR="00831A71">
        <w:rPr>
          <w:rFonts w:ascii="Calibri" w:eastAsia="Calibri" w:hAnsi="Calibri" w:cs="Calibri"/>
          <w:color w:val="0A0A0A"/>
          <w:sz w:val="22"/>
          <w:szCs w:val="22"/>
          <w:shd w:val="clear" w:color="auto" w:fill="FFFFFF"/>
          <w:lang w:eastAsia="en-US"/>
        </w:rPr>
        <w:t xml:space="preserve">significant improvement in the control group results </w:t>
      </w:r>
      <w:r w:rsidR="00AF783D">
        <w:rPr>
          <w:rFonts w:ascii="Calibri" w:eastAsia="Calibri" w:hAnsi="Calibri" w:cs="Calibri"/>
          <w:color w:val="0A0A0A"/>
          <w:sz w:val="22"/>
          <w:szCs w:val="22"/>
          <w:shd w:val="clear" w:color="auto" w:fill="FFFFFF"/>
          <w:lang w:eastAsia="en-US"/>
        </w:rPr>
        <w:t>it would</w:t>
      </w:r>
      <w:r w:rsidR="00831A71">
        <w:rPr>
          <w:rFonts w:ascii="Calibri" w:eastAsia="Calibri" w:hAnsi="Calibri" w:cs="Calibri"/>
          <w:color w:val="0A0A0A"/>
          <w:sz w:val="22"/>
          <w:szCs w:val="22"/>
          <w:shd w:val="clear" w:color="auto" w:fill="FFFFFF"/>
          <w:lang w:eastAsia="en-US"/>
        </w:rPr>
        <w:t xml:space="preserve"> have to </w:t>
      </w:r>
      <w:r w:rsidR="00C30B49">
        <w:rPr>
          <w:rFonts w:ascii="Calibri" w:eastAsia="Calibri" w:hAnsi="Calibri" w:cs="Calibri"/>
          <w:color w:val="0A0A0A"/>
          <w:sz w:val="22"/>
          <w:szCs w:val="22"/>
          <w:shd w:val="clear" w:color="auto" w:fill="FFFFFF"/>
          <w:lang w:eastAsia="en-US"/>
        </w:rPr>
        <w:t xml:space="preserve">be </w:t>
      </w:r>
      <w:r w:rsidR="00831A71">
        <w:rPr>
          <w:rFonts w:ascii="Calibri" w:eastAsia="Calibri" w:hAnsi="Calibri" w:cs="Calibri"/>
          <w:color w:val="0A0A0A"/>
          <w:sz w:val="22"/>
          <w:szCs w:val="22"/>
          <w:shd w:val="clear" w:color="auto" w:fill="FFFFFF"/>
          <w:lang w:eastAsia="en-US"/>
        </w:rPr>
        <w:t>assume</w:t>
      </w:r>
      <w:r w:rsidR="00AF783D">
        <w:rPr>
          <w:rFonts w:ascii="Calibri" w:eastAsia="Calibri" w:hAnsi="Calibri" w:cs="Calibri"/>
          <w:color w:val="0A0A0A"/>
          <w:sz w:val="22"/>
          <w:szCs w:val="22"/>
          <w:shd w:val="clear" w:color="auto" w:fill="FFFFFF"/>
          <w:lang w:eastAsia="en-US"/>
        </w:rPr>
        <w:t>d</w:t>
      </w:r>
      <w:r w:rsidR="00831A71">
        <w:rPr>
          <w:rFonts w:ascii="Calibri" w:eastAsia="Calibri" w:hAnsi="Calibri" w:cs="Calibri"/>
          <w:color w:val="0A0A0A"/>
          <w:sz w:val="22"/>
          <w:szCs w:val="22"/>
          <w:shd w:val="clear" w:color="auto" w:fill="FFFFFF"/>
          <w:lang w:eastAsia="en-US"/>
        </w:rPr>
        <w:t xml:space="preserve"> that </w:t>
      </w:r>
      <w:r w:rsidR="00AF783D">
        <w:rPr>
          <w:rFonts w:ascii="Calibri" w:eastAsia="Calibri" w:hAnsi="Calibri" w:cs="Calibri"/>
          <w:color w:val="0A0A0A"/>
          <w:sz w:val="22"/>
          <w:szCs w:val="22"/>
          <w:shd w:val="clear" w:color="auto" w:fill="FFFFFF"/>
          <w:lang w:eastAsia="en-US"/>
        </w:rPr>
        <w:t>repeating the test is in fact acting as a learning tool and the use of a completely different post-test would need to be considered.</w:t>
      </w:r>
    </w:p>
    <w:p w14:paraId="1D7601D1" w14:textId="591C8F33" w:rsidR="00360E94" w:rsidRPr="00360E94" w:rsidRDefault="00360E94" w:rsidP="00360E94">
      <w:pPr>
        <w:spacing w:before="240" w:after="160" w:line="259" w:lineRule="auto"/>
        <w:rPr>
          <w:rFonts w:ascii="Calibri" w:eastAsia="Calibri" w:hAnsi="Calibri" w:cs="Calibri"/>
          <w:color w:val="0A0A0A"/>
          <w:sz w:val="22"/>
          <w:szCs w:val="22"/>
          <w:shd w:val="clear" w:color="auto" w:fill="FFFFFF"/>
          <w:lang w:eastAsia="en-US"/>
        </w:rPr>
      </w:pPr>
      <w:r w:rsidRPr="00360E94">
        <w:rPr>
          <w:rFonts w:ascii="Calibri" w:eastAsia="Calibri" w:hAnsi="Calibri" w:cs="Calibri"/>
          <w:color w:val="0A0A0A"/>
          <w:sz w:val="22"/>
          <w:szCs w:val="22"/>
          <w:shd w:val="clear" w:color="auto" w:fill="FFFFFF"/>
          <w:lang w:eastAsia="en-US"/>
        </w:rPr>
        <w:t>In conclusion, it could be debated that the strategy implemented during the intervention process has clear benefits to reader’s comprehension abilities. This can be seen by seen in Table 1, Table 2, Figure 1 and Figure 2. The results show that a relatively high percentage of pupils improved their scores in the post-test after the intervention was had taken place. However, to definitively answer the question, does this strategy improve scientific comprehension and literacy skills in secondary school pupils? Further research needs to be taken out. The limitations of the present study need to be considered, specifically; more time needs to be dedicated to the intervention stage of the research so pupils can have the chance to transfer the new skills learned from the strategy into the long term memory so it can have more effect on their literacy indefinitely, not just when presented with scaffolding. Secondly, more attention needs to be given to the abilities and ages of the participants in the group and the choice of pre and post-test material presented to them. This may enable pupils to use their prior knowledge to further integrate new ideas and subsequently further develop their literacy skills.</w:t>
      </w:r>
      <w:r w:rsidR="00447025">
        <w:rPr>
          <w:rFonts w:ascii="Calibri" w:eastAsia="Calibri" w:hAnsi="Calibri" w:cs="Calibri"/>
          <w:color w:val="0A0A0A"/>
          <w:sz w:val="22"/>
          <w:szCs w:val="22"/>
          <w:shd w:val="clear" w:color="auto" w:fill="FFFFFF"/>
          <w:lang w:eastAsia="en-US"/>
        </w:rPr>
        <w:t xml:space="preserve"> And finally, the inclusion of a control group could improve the reliability of the results, </w:t>
      </w:r>
      <w:r w:rsidR="00844F4C">
        <w:rPr>
          <w:rFonts w:ascii="Calibri" w:eastAsia="Calibri" w:hAnsi="Calibri" w:cs="Calibri"/>
          <w:color w:val="0A0A0A"/>
          <w:sz w:val="22"/>
          <w:szCs w:val="22"/>
          <w:shd w:val="clear" w:color="auto" w:fill="FFFFFF"/>
          <w:lang w:eastAsia="en-US"/>
        </w:rPr>
        <w:t>ensuring the intervention process is the only variable being tested.</w:t>
      </w:r>
      <w:bookmarkStart w:id="1" w:name="_GoBack"/>
      <w:bookmarkEnd w:id="1"/>
      <w:r w:rsidRPr="00360E94">
        <w:rPr>
          <w:rFonts w:ascii="Calibri" w:eastAsia="Calibri" w:hAnsi="Calibri" w:cs="Calibri"/>
          <w:color w:val="0A0A0A"/>
          <w:sz w:val="22"/>
          <w:szCs w:val="22"/>
          <w:shd w:val="clear" w:color="auto" w:fill="FFFFFF"/>
          <w:lang w:eastAsia="en-US"/>
        </w:rPr>
        <w:t xml:space="preserve">  </w:t>
      </w:r>
    </w:p>
    <w:p w14:paraId="7B7BB77D" w14:textId="77777777" w:rsidR="00360E94" w:rsidRDefault="00360E94" w:rsidP="00360E94">
      <w:pPr>
        <w:spacing w:after="160" w:line="259" w:lineRule="auto"/>
        <w:rPr>
          <w:rFonts w:ascii="Calibri" w:eastAsia="Calibri" w:hAnsi="Calibri"/>
          <w:b/>
          <w:sz w:val="22"/>
          <w:szCs w:val="22"/>
          <w:lang w:eastAsia="en-US"/>
        </w:rPr>
      </w:pPr>
    </w:p>
    <w:p w14:paraId="45AABDCA" w14:textId="11B22D2C" w:rsidR="00360E94" w:rsidRPr="00360E94" w:rsidRDefault="00360E94" w:rsidP="00360E94">
      <w:pPr>
        <w:spacing w:after="160" w:line="259" w:lineRule="auto"/>
        <w:rPr>
          <w:rFonts w:ascii="Calibri" w:eastAsia="Calibri" w:hAnsi="Calibri"/>
          <w:b/>
          <w:sz w:val="22"/>
          <w:szCs w:val="22"/>
          <w:lang w:eastAsia="en-US"/>
        </w:rPr>
      </w:pPr>
      <w:r w:rsidRPr="00360E94">
        <w:rPr>
          <w:rFonts w:ascii="Calibri" w:eastAsia="Calibri" w:hAnsi="Calibri"/>
          <w:b/>
          <w:sz w:val="22"/>
          <w:szCs w:val="22"/>
          <w:lang w:eastAsia="en-US"/>
        </w:rPr>
        <w:t>References</w:t>
      </w:r>
    </w:p>
    <w:p w14:paraId="423FB57D"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Alderson, P. and Morrow, V. (2011) </w:t>
      </w:r>
      <w:r w:rsidRPr="00360E94">
        <w:rPr>
          <w:rFonts w:ascii="Calibri" w:eastAsia="Calibri" w:hAnsi="Calibri"/>
          <w:i/>
          <w:iCs/>
          <w:sz w:val="22"/>
          <w:szCs w:val="22"/>
          <w:lang w:eastAsia="en-US"/>
        </w:rPr>
        <w:t>The ethics of research with children and young people: A practical handbook</w:t>
      </w:r>
      <w:r w:rsidRPr="00360E94">
        <w:rPr>
          <w:rFonts w:ascii="Calibri" w:eastAsia="Calibri" w:hAnsi="Calibri"/>
          <w:sz w:val="22"/>
          <w:szCs w:val="22"/>
          <w:lang w:eastAsia="en-US"/>
        </w:rPr>
        <w:t>. SAGE publications Ltd.</w:t>
      </w:r>
    </w:p>
    <w:p w14:paraId="212264B6"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Andre, T. (1997) Construction: Implications for Instructional Design. </w:t>
      </w:r>
      <w:r w:rsidRPr="00360E94">
        <w:rPr>
          <w:rFonts w:ascii="Calibri" w:eastAsia="Calibri" w:hAnsi="Calibri"/>
          <w:i/>
          <w:iCs/>
          <w:sz w:val="22"/>
          <w:szCs w:val="22"/>
          <w:lang w:eastAsia="en-US"/>
        </w:rPr>
        <w:t>Instructional Design: International Perspectives. Theory, research, and models. Vol. 1</w:t>
      </w:r>
      <w:r w:rsidRPr="00360E94">
        <w:rPr>
          <w:rFonts w:ascii="Calibri" w:eastAsia="Calibri" w:hAnsi="Calibri"/>
          <w:sz w:val="22"/>
          <w:szCs w:val="22"/>
          <w:lang w:eastAsia="en-US"/>
        </w:rPr>
        <w:t>, </w:t>
      </w:r>
      <w:r w:rsidRPr="00360E94">
        <w:rPr>
          <w:rFonts w:ascii="Calibri" w:eastAsia="Calibri" w:hAnsi="Calibri"/>
          <w:i/>
          <w:iCs/>
          <w:sz w:val="22"/>
          <w:szCs w:val="22"/>
          <w:lang w:eastAsia="en-US"/>
        </w:rPr>
        <w:t>1</w:t>
      </w:r>
      <w:r w:rsidRPr="00360E94">
        <w:rPr>
          <w:rFonts w:ascii="Calibri" w:eastAsia="Calibri" w:hAnsi="Calibri"/>
          <w:sz w:val="22"/>
          <w:szCs w:val="22"/>
          <w:lang w:eastAsia="en-US"/>
        </w:rPr>
        <w:t>, p.243.</w:t>
      </w:r>
    </w:p>
    <w:p w14:paraId="3F7E6DF6" w14:textId="77777777" w:rsidR="00360E94" w:rsidRPr="00360E94" w:rsidRDefault="00360E94" w:rsidP="00360E94">
      <w:pPr>
        <w:spacing w:after="160" w:line="259" w:lineRule="auto"/>
        <w:rPr>
          <w:rFonts w:ascii="Calibri" w:eastAsia="Calibri" w:hAnsi="Calibri"/>
          <w:sz w:val="22"/>
          <w:szCs w:val="22"/>
          <w:lang w:eastAsia="en-US"/>
        </w:rPr>
      </w:pPr>
      <w:proofErr w:type="spellStart"/>
      <w:r w:rsidRPr="00360E94">
        <w:rPr>
          <w:rFonts w:ascii="Calibri" w:eastAsia="Calibri" w:hAnsi="Calibri"/>
          <w:sz w:val="22"/>
          <w:szCs w:val="22"/>
          <w:lang w:eastAsia="en-US"/>
        </w:rPr>
        <w:t>Armbruster</w:t>
      </w:r>
      <w:proofErr w:type="spellEnd"/>
      <w:r w:rsidRPr="00360E94">
        <w:rPr>
          <w:rFonts w:ascii="Calibri" w:eastAsia="Calibri" w:hAnsi="Calibri"/>
          <w:sz w:val="22"/>
          <w:szCs w:val="22"/>
          <w:lang w:eastAsia="en-US"/>
        </w:rPr>
        <w:t xml:space="preserve">, B. B., Lehr, F., &amp; Osborn, J. (2003) Put reading first: The research building blocks of reading instruction (Kindergarten through Grade 3) (2nd ed.). Washington, DC: Partnership for Reading, </w:t>
      </w:r>
      <w:proofErr w:type="spellStart"/>
      <w:r w:rsidRPr="00360E94">
        <w:rPr>
          <w:rFonts w:ascii="Calibri" w:eastAsia="Calibri" w:hAnsi="Calibri"/>
          <w:sz w:val="22"/>
          <w:szCs w:val="22"/>
          <w:lang w:eastAsia="en-US"/>
        </w:rPr>
        <w:t>Center</w:t>
      </w:r>
      <w:proofErr w:type="spellEnd"/>
      <w:r w:rsidRPr="00360E94">
        <w:rPr>
          <w:rFonts w:ascii="Calibri" w:eastAsia="Calibri" w:hAnsi="Calibri"/>
          <w:sz w:val="22"/>
          <w:szCs w:val="22"/>
          <w:lang w:eastAsia="en-US"/>
        </w:rPr>
        <w:t xml:space="preserve"> for the Improvement of Early Reading Achievement.</w:t>
      </w:r>
    </w:p>
    <w:p w14:paraId="704D5A05" w14:textId="77777777" w:rsidR="00360E94" w:rsidRPr="00360E94" w:rsidRDefault="00360E94" w:rsidP="00360E94">
      <w:pPr>
        <w:spacing w:after="160" w:line="259" w:lineRule="auto"/>
        <w:rPr>
          <w:rFonts w:ascii="Calibri" w:eastAsia="Calibri" w:hAnsi="Calibri"/>
          <w:sz w:val="22"/>
          <w:szCs w:val="22"/>
          <w:lang w:eastAsia="en-US"/>
        </w:rPr>
      </w:pPr>
      <w:proofErr w:type="spellStart"/>
      <w:r w:rsidRPr="00360E94">
        <w:rPr>
          <w:rFonts w:ascii="Calibri" w:eastAsia="Calibri" w:hAnsi="Calibri"/>
          <w:sz w:val="22"/>
          <w:szCs w:val="22"/>
          <w:lang w:eastAsia="en-US"/>
        </w:rPr>
        <w:t>Ausubel</w:t>
      </w:r>
      <w:proofErr w:type="spellEnd"/>
      <w:r w:rsidRPr="00360E94">
        <w:rPr>
          <w:rFonts w:ascii="Calibri" w:eastAsia="Calibri" w:hAnsi="Calibri"/>
          <w:sz w:val="22"/>
          <w:szCs w:val="22"/>
          <w:lang w:eastAsia="en-US"/>
        </w:rPr>
        <w:t xml:space="preserve">, D.P., Novak, J.D. and </w:t>
      </w:r>
      <w:proofErr w:type="spellStart"/>
      <w:r w:rsidRPr="00360E94">
        <w:rPr>
          <w:rFonts w:ascii="Calibri" w:eastAsia="Calibri" w:hAnsi="Calibri"/>
          <w:sz w:val="22"/>
          <w:szCs w:val="22"/>
          <w:lang w:eastAsia="en-US"/>
        </w:rPr>
        <w:t>Hanesian</w:t>
      </w:r>
      <w:proofErr w:type="spellEnd"/>
      <w:r w:rsidRPr="00360E94">
        <w:rPr>
          <w:rFonts w:ascii="Calibri" w:eastAsia="Calibri" w:hAnsi="Calibri"/>
          <w:sz w:val="22"/>
          <w:szCs w:val="22"/>
          <w:lang w:eastAsia="en-US"/>
        </w:rPr>
        <w:t>, H. (1968) Educational psychology: A cognitive view.</w:t>
      </w:r>
    </w:p>
    <w:p w14:paraId="628361FB"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lastRenderedPageBreak/>
        <w:t>BERA. (2011) Ethical guidelines for ethical research. London: BERA</w:t>
      </w:r>
    </w:p>
    <w:p w14:paraId="6552D73D"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Berne, J.I. and Clark, K.F. (2008) Focusing literature discussion groups on comprehension strategies. </w:t>
      </w:r>
      <w:r w:rsidRPr="00360E94">
        <w:rPr>
          <w:rFonts w:ascii="Calibri" w:eastAsia="Calibri" w:hAnsi="Calibri"/>
          <w:i/>
          <w:iCs/>
          <w:sz w:val="22"/>
          <w:szCs w:val="22"/>
          <w:lang w:eastAsia="en-US"/>
        </w:rPr>
        <w:t>The Reading Teacher</w:t>
      </w:r>
      <w:r w:rsidRPr="00360E94">
        <w:rPr>
          <w:rFonts w:ascii="Calibri" w:eastAsia="Calibri" w:hAnsi="Calibri"/>
          <w:sz w:val="22"/>
          <w:szCs w:val="22"/>
          <w:lang w:eastAsia="en-US"/>
        </w:rPr>
        <w:t>, </w:t>
      </w:r>
      <w:r w:rsidRPr="00360E94">
        <w:rPr>
          <w:rFonts w:ascii="Calibri" w:eastAsia="Calibri" w:hAnsi="Calibri"/>
          <w:i/>
          <w:iCs/>
          <w:sz w:val="22"/>
          <w:szCs w:val="22"/>
          <w:lang w:eastAsia="en-US"/>
        </w:rPr>
        <w:t>62</w:t>
      </w:r>
      <w:r w:rsidRPr="00360E94">
        <w:rPr>
          <w:rFonts w:ascii="Calibri" w:eastAsia="Calibri" w:hAnsi="Calibri"/>
          <w:sz w:val="22"/>
          <w:szCs w:val="22"/>
          <w:lang w:eastAsia="en-US"/>
        </w:rPr>
        <w:t>(1), pp.74-79.</w:t>
      </w:r>
    </w:p>
    <w:p w14:paraId="36181F12"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 xml:space="preserve">Block, C.C., &amp; Pressley, M. (2003) Best practices in comprehension instruction. In L.M. Morrow, L.B. </w:t>
      </w:r>
      <w:proofErr w:type="spellStart"/>
      <w:r w:rsidRPr="00360E94">
        <w:rPr>
          <w:rFonts w:ascii="Calibri" w:eastAsia="Calibri" w:hAnsi="Calibri"/>
          <w:sz w:val="22"/>
          <w:szCs w:val="22"/>
          <w:lang w:eastAsia="en-US"/>
        </w:rPr>
        <w:t>Gambrell</w:t>
      </w:r>
      <w:proofErr w:type="spellEnd"/>
      <w:r w:rsidRPr="00360E94">
        <w:rPr>
          <w:rFonts w:ascii="Calibri" w:eastAsia="Calibri" w:hAnsi="Calibri"/>
          <w:sz w:val="22"/>
          <w:szCs w:val="22"/>
          <w:lang w:eastAsia="en-US"/>
        </w:rPr>
        <w:t>, &amp; M. Pressley (Eds.), Best practices in literacy instruction (2nd ed., pp. 111-126). New York: Guilford.</w:t>
      </w:r>
    </w:p>
    <w:p w14:paraId="566CBC32"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Calfee, R.C. and Patrick, C.L. (1995) </w:t>
      </w:r>
      <w:r w:rsidRPr="00360E94">
        <w:rPr>
          <w:rFonts w:ascii="Calibri" w:eastAsia="Calibri" w:hAnsi="Calibri"/>
          <w:i/>
          <w:iCs/>
          <w:sz w:val="22"/>
          <w:szCs w:val="22"/>
          <w:lang w:eastAsia="en-US"/>
        </w:rPr>
        <w:t>Teach your children well: bringing K-12 education into the 21st century</w:t>
      </w:r>
      <w:r w:rsidRPr="00360E94">
        <w:rPr>
          <w:rFonts w:ascii="Calibri" w:eastAsia="Calibri" w:hAnsi="Calibri"/>
          <w:sz w:val="22"/>
          <w:szCs w:val="22"/>
          <w:lang w:eastAsia="en-US"/>
        </w:rPr>
        <w:t>. Stanford Alumni Assn.</w:t>
      </w:r>
    </w:p>
    <w:p w14:paraId="247CAF05" w14:textId="77777777" w:rsidR="00360E94" w:rsidRPr="00360E94" w:rsidRDefault="00360E94" w:rsidP="00360E94">
      <w:pPr>
        <w:spacing w:after="160" w:line="259" w:lineRule="auto"/>
        <w:rPr>
          <w:rFonts w:ascii="Calibri" w:eastAsia="Calibri" w:hAnsi="Calibri"/>
          <w:sz w:val="22"/>
          <w:szCs w:val="22"/>
          <w:lang w:eastAsia="en-US"/>
        </w:rPr>
      </w:pPr>
      <w:proofErr w:type="spellStart"/>
      <w:r w:rsidRPr="00360E94">
        <w:rPr>
          <w:rFonts w:ascii="Calibri" w:eastAsia="Calibri" w:hAnsi="Calibri"/>
          <w:sz w:val="22"/>
          <w:szCs w:val="22"/>
          <w:lang w:eastAsia="en-US"/>
        </w:rPr>
        <w:t>Condidorio</w:t>
      </w:r>
      <w:proofErr w:type="spellEnd"/>
      <w:r w:rsidRPr="00360E94">
        <w:rPr>
          <w:rFonts w:ascii="Calibri" w:eastAsia="Calibri" w:hAnsi="Calibri"/>
          <w:sz w:val="22"/>
          <w:szCs w:val="22"/>
          <w:lang w:eastAsia="en-US"/>
        </w:rPr>
        <w:t>, K. (2010) The usefulness of graphic organizers in enhancing science learning.</w:t>
      </w:r>
    </w:p>
    <w:p w14:paraId="5E531906"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Currie, N.K. and Cain, K. (2015) Children’s inference generation: The role of vocabulary and working memory. </w:t>
      </w:r>
      <w:r w:rsidRPr="00360E94">
        <w:rPr>
          <w:rFonts w:ascii="Calibri" w:eastAsia="Calibri" w:hAnsi="Calibri"/>
          <w:i/>
          <w:iCs/>
          <w:sz w:val="22"/>
          <w:szCs w:val="22"/>
          <w:lang w:eastAsia="en-US"/>
        </w:rPr>
        <w:t>Journal of Experimental Child Psychology</w:t>
      </w:r>
      <w:r w:rsidRPr="00360E94">
        <w:rPr>
          <w:rFonts w:ascii="Calibri" w:eastAsia="Calibri" w:hAnsi="Calibri"/>
          <w:sz w:val="22"/>
          <w:szCs w:val="22"/>
          <w:lang w:eastAsia="en-US"/>
        </w:rPr>
        <w:t>, </w:t>
      </w:r>
      <w:r w:rsidRPr="00360E94">
        <w:rPr>
          <w:rFonts w:ascii="Calibri" w:eastAsia="Calibri" w:hAnsi="Calibri"/>
          <w:i/>
          <w:iCs/>
          <w:sz w:val="22"/>
          <w:szCs w:val="22"/>
          <w:lang w:eastAsia="en-US"/>
        </w:rPr>
        <w:t>137</w:t>
      </w:r>
      <w:r w:rsidRPr="00360E94">
        <w:rPr>
          <w:rFonts w:ascii="Calibri" w:eastAsia="Calibri" w:hAnsi="Calibri"/>
          <w:sz w:val="22"/>
          <w:szCs w:val="22"/>
          <w:lang w:eastAsia="en-US"/>
        </w:rPr>
        <w:t>, pp.57-75.</w:t>
      </w:r>
    </w:p>
    <w:p w14:paraId="34F3DC96"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Cutting, L.E. and Scarborough, H.S. (2006) Prediction of reading comprehension: Relative contributions of word recognition, language proficiency, and other cognitive skills can depend on how comprehension is measured. </w:t>
      </w:r>
      <w:r w:rsidRPr="00360E94">
        <w:rPr>
          <w:rFonts w:ascii="Calibri" w:eastAsia="Calibri" w:hAnsi="Calibri"/>
          <w:i/>
          <w:iCs/>
          <w:sz w:val="22"/>
          <w:szCs w:val="22"/>
          <w:lang w:eastAsia="en-US"/>
        </w:rPr>
        <w:t>Scientific studies of reading</w:t>
      </w:r>
      <w:r w:rsidRPr="00360E94">
        <w:rPr>
          <w:rFonts w:ascii="Calibri" w:eastAsia="Calibri" w:hAnsi="Calibri"/>
          <w:sz w:val="22"/>
          <w:szCs w:val="22"/>
          <w:lang w:eastAsia="en-US"/>
        </w:rPr>
        <w:t>, </w:t>
      </w:r>
      <w:r w:rsidRPr="00360E94">
        <w:rPr>
          <w:rFonts w:ascii="Calibri" w:eastAsia="Calibri" w:hAnsi="Calibri"/>
          <w:i/>
          <w:iCs/>
          <w:sz w:val="22"/>
          <w:szCs w:val="22"/>
          <w:lang w:eastAsia="en-US"/>
        </w:rPr>
        <w:t>10</w:t>
      </w:r>
      <w:r w:rsidRPr="00360E94">
        <w:rPr>
          <w:rFonts w:ascii="Calibri" w:eastAsia="Calibri" w:hAnsi="Calibri"/>
          <w:sz w:val="22"/>
          <w:szCs w:val="22"/>
          <w:lang w:eastAsia="en-US"/>
        </w:rPr>
        <w:t>(3), pp.277-299.</w:t>
      </w:r>
    </w:p>
    <w:p w14:paraId="0A62456E"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Day, C. ed. (2012) </w:t>
      </w:r>
      <w:r w:rsidRPr="00360E94">
        <w:rPr>
          <w:rFonts w:ascii="Calibri" w:eastAsia="Calibri" w:hAnsi="Calibri"/>
          <w:i/>
          <w:iCs/>
          <w:sz w:val="22"/>
          <w:szCs w:val="22"/>
          <w:lang w:eastAsia="en-US"/>
        </w:rPr>
        <w:t>The Routledge international handbook of teacher and school development</w:t>
      </w:r>
      <w:r w:rsidRPr="00360E94">
        <w:rPr>
          <w:rFonts w:ascii="Calibri" w:eastAsia="Calibri" w:hAnsi="Calibri"/>
          <w:sz w:val="22"/>
          <w:szCs w:val="22"/>
          <w:lang w:eastAsia="en-US"/>
        </w:rPr>
        <w:t>. Routledge.</w:t>
      </w:r>
    </w:p>
    <w:p w14:paraId="7996F12D"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 xml:space="preserve">Dawson, V. and </w:t>
      </w:r>
      <w:proofErr w:type="spellStart"/>
      <w:r w:rsidRPr="00360E94">
        <w:rPr>
          <w:rFonts w:ascii="Calibri" w:eastAsia="Calibri" w:hAnsi="Calibri"/>
          <w:sz w:val="22"/>
          <w:szCs w:val="22"/>
          <w:lang w:eastAsia="en-US"/>
        </w:rPr>
        <w:t>Venville</w:t>
      </w:r>
      <w:proofErr w:type="spellEnd"/>
      <w:r w:rsidRPr="00360E94">
        <w:rPr>
          <w:rFonts w:ascii="Calibri" w:eastAsia="Calibri" w:hAnsi="Calibri"/>
          <w:sz w:val="22"/>
          <w:szCs w:val="22"/>
          <w:lang w:eastAsia="en-US"/>
        </w:rPr>
        <w:t xml:space="preserve">, G.J. (2009) High‐school Students’ Informal Reasoning and Argumentation about Biotechnology: An indicator of scientific </w:t>
      </w:r>
      <w:proofErr w:type="gramStart"/>
      <w:r w:rsidRPr="00360E94">
        <w:rPr>
          <w:rFonts w:ascii="Calibri" w:eastAsia="Calibri" w:hAnsi="Calibri"/>
          <w:sz w:val="22"/>
          <w:szCs w:val="22"/>
          <w:lang w:eastAsia="en-US"/>
        </w:rPr>
        <w:t>literacy?.</w:t>
      </w:r>
      <w:proofErr w:type="gramEnd"/>
      <w:r w:rsidRPr="00360E94">
        <w:rPr>
          <w:rFonts w:ascii="Calibri" w:eastAsia="Calibri" w:hAnsi="Calibri"/>
          <w:sz w:val="22"/>
          <w:szCs w:val="22"/>
          <w:lang w:eastAsia="en-US"/>
        </w:rPr>
        <w:t> </w:t>
      </w:r>
      <w:r w:rsidRPr="00360E94">
        <w:rPr>
          <w:rFonts w:ascii="Calibri" w:eastAsia="Calibri" w:hAnsi="Calibri"/>
          <w:i/>
          <w:iCs/>
          <w:sz w:val="22"/>
          <w:szCs w:val="22"/>
          <w:lang w:eastAsia="en-US"/>
        </w:rPr>
        <w:t>International Journal of Science Education</w:t>
      </w:r>
      <w:r w:rsidRPr="00360E94">
        <w:rPr>
          <w:rFonts w:ascii="Calibri" w:eastAsia="Calibri" w:hAnsi="Calibri"/>
          <w:sz w:val="22"/>
          <w:szCs w:val="22"/>
          <w:lang w:eastAsia="en-US"/>
        </w:rPr>
        <w:t>, </w:t>
      </w:r>
      <w:r w:rsidRPr="00360E94">
        <w:rPr>
          <w:rFonts w:ascii="Calibri" w:eastAsia="Calibri" w:hAnsi="Calibri"/>
          <w:i/>
          <w:iCs/>
          <w:sz w:val="22"/>
          <w:szCs w:val="22"/>
          <w:lang w:eastAsia="en-US"/>
        </w:rPr>
        <w:t>31</w:t>
      </w:r>
      <w:r w:rsidRPr="00360E94">
        <w:rPr>
          <w:rFonts w:ascii="Calibri" w:eastAsia="Calibri" w:hAnsi="Calibri"/>
          <w:sz w:val="22"/>
          <w:szCs w:val="22"/>
          <w:lang w:eastAsia="en-US"/>
        </w:rPr>
        <w:t>(11), pp.1421-1445.</w:t>
      </w:r>
    </w:p>
    <w:p w14:paraId="2EAF3320" w14:textId="62AF065D" w:rsid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Donaldson, G. (2015) Successful futures. </w:t>
      </w:r>
      <w:r w:rsidRPr="00360E94">
        <w:rPr>
          <w:rFonts w:ascii="Calibri" w:eastAsia="Calibri" w:hAnsi="Calibri"/>
          <w:i/>
          <w:iCs/>
          <w:sz w:val="22"/>
          <w:szCs w:val="22"/>
          <w:lang w:eastAsia="en-US"/>
        </w:rPr>
        <w:t xml:space="preserve">Independent review of curriculum and assessment arrangements in Wales. Retrieved from: https://hwbplus. wales. gov. </w:t>
      </w:r>
      <w:proofErr w:type="spellStart"/>
      <w:r w:rsidRPr="00360E94">
        <w:rPr>
          <w:rFonts w:ascii="Calibri" w:eastAsia="Calibri" w:hAnsi="Calibri"/>
          <w:i/>
          <w:iCs/>
          <w:sz w:val="22"/>
          <w:szCs w:val="22"/>
          <w:lang w:eastAsia="en-US"/>
        </w:rPr>
        <w:t>uk</w:t>
      </w:r>
      <w:proofErr w:type="spellEnd"/>
      <w:r w:rsidRPr="00360E94">
        <w:rPr>
          <w:rFonts w:ascii="Calibri" w:eastAsia="Calibri" w:hAnsi="Calibri"/>
          <w:i/>
          <w:iCs/>
          <w:sz w:val="22"/>
          <w:szCs w:val="22"/>
          <w:lang w:eastAsia="en-US"/>
        </w:rPr>
        <w:t>/schools/6714052/Documents/Donaldson% 20Report. pdf</w:t>
      </w:r>
      <w:r w:rsidRPr="00360E94">
        <w:rPr>
          <w:rFonts w:ascii="Calibri" w:eastAsia="Calibri" w:hAnsi="Calibri"/>
          <w:sz w:val="22"/>
          <w:szCs w:val="22"/>
          <w:lang w:eastAsia="en-US"/>
        </w:rPr>
        <w:t>.</w:t>
      </w:r>
    </w:p>
    <w:p w14:paraId="6F93F6A6" w14:textId="236FFFDB" w:rsidR="002D5223" w:rsidRPr="00360E94" w:rsidRDefault="002D5223" w:rsidP="00360E94">
      <w:pPr>
        <w:spacing w:after="160" w:line="259" w:lineRule="auto"/>
        <w:rPr>
          <w:rFonts w:ascii="Calibri" w:eastAsia="Calibri" w:hAnsi="Calibri"/>
          <w:sz w:val="22"/>
          <w:szCs w:val="22"/>
          <w:lang w:eastAsia="en-US"/>
        </w:rPr>
      </w:pPr>
      <w:r w:rsidRPr="002D5223">
        <w:rPr>
          <w:rFonts w:ascii="Calibri" w:eastAsia="Calibri" w:hAnsi="Calibri"/>
          <w:sz w:val="22"/>
          <w:szCs w:val="22"/>
          <w:lang w:eastAsia="en-US"/>
        </w:rPr>
        <w:t xml:space="preserve">Draper, S.W., Brown, M.I., Edgerton, E., Henderson, F.P., </w:t>
      </w:r>
      <w:proofErr w:type="spellStart"/>
      <w:r w:rsidRPr="002D5223">
        <w:rPr>
          <w:rFonts w:ascii="Calibri" w:eastAsia="Calibri" w:hAnsi="Calibri"/>
          <w:sz w:val="22"/>
          <w:szCs w:val="22"/>
          <w:lang w:eastAsia="en-US"/>
        </w:rPr>
        <w:t>McAteer</w:t>
      </w:r>
      <w:proofErr w:type="spellEnd"/>
      <w:r w:rsidRPr="002D5223">
        <w:rPr>
          <w:rFonts w:ascii="Calibri" w:eastAsia="Calibri" w:hAnsi="Calibri"/>
          <w:sz w:val="22"/>
          <w:szCs w:val="22"/>
          <w:lang w:eastAsia="en-US"/>
        </w:rPr>
        <w:t xml:space="preserve">, </w:t>
      </w:r>
      <w:r>
        <w:rPr>
          <w:rFonts w:ascii="Calibri" w:eastAsia="Calibri" w:hAnsi="Calibri"/>
          <w:sz w:val="22"/>
          <w:szCs w:val="22"/>
          <w:lang w:eastAsia="en-US"/>
        </w:rPr>
        <w:t>E., Smith, E.D. and Watt, H.D. (1994)</w:t>
      </w:r>
      <w:r w:rsidRPr="002D5223">
        <w:rPr>
          <w:rFonts w:ascii="Calibri" w:eastAsia="Calibri" w:hAnsi="Calibri"/>
          <w:sz w:val="22"/>
          <w:szCs w:val="22"/>
          <w:lang w:eastAsia="en-US"/>
        </w:rPr>
        <w:t xml:space="preserve"> Observing and Measuring the Performance of Educational Technology, a report by the University of Glasgow's institutional project in the TLTP Programme Teaching with Independent Learning Technologies'. </w:t>
      </w:r>
      <w:r w:rsidRPr="002D5223">
        <w:rPr>
          <w:rFonts w:ascii="Calibri" w:eastAsia="Calibri" w:hAnsi="Calibri"/>
          <w:i/>
          <w:iCs/>
          <w:sz w:val="22"/>
          <w:szCs w:val="22"/>
          <w:lang w:eastAsia="en-US"/>
        </w:rPr>
        <w:t>Robert Clark Centre for Technological Education, University of Glasgow</w:t>
      </w:r>
      <w:r w:rsidRPr="002D5223">
        <w:rPr>
          <w:rFonts w:ascii="Calibri" w:eastAsia="Calibri" w:hAnsi="Calibri"/>
          <w:sz w:val="22"/>
          <w:szCs w:val="22"/>
          <w:lang w:eastAsia="en-US"/>
        </w:rPr>
        <w:t>.</w:t>
      </w:r>
    </w:p>
    <w:p w14:paraId="12491C22"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Durkin, D. (1978) What classroom observations reveal about reading comprehension instruction. </w:t>
      </w:r>
      <w:r w:rsidRPr="00360E94">
        <w:rPr>
          <w:rFonts w:ascii="Calibri" w:eastAsia="Calibri" w:hAnsi="Calibri"/>
          <w:i/>
          <w:iCs/>
          <w:sz w:val="22"/>
          <w:szCs w:val="22"/>
          <w:lang w:eastAsia="en-US"/>
        </w:rPr>
        <w:t>Reading research quarterly</w:t>
      </w:r>
      <w:r w:rsidRPr="00360E94">
        <w:rPr>
          <w:rFonts w:ascii="Calibri" w:eastAsia="Calibri" w:hAnsi="Calibri"/>
          <w:sz w:val="22"/>
          <w:szCs w:val="22"/>
          <w:lang w:eastAsia="en-US"/>
        </w:rPr>
        <w:t>, pp.481-533.</w:t>
      </w:r>
    </w:p>
    <w:p w14:paraId="19C8FF19" w14:textId="50539C34" w:rsid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 xml:space="preserve">Durkin, D. (1993). Teaching them to read (6th ed.). Boston, MA: </w:t>
      </w:r>
      <w:proofErr w:type="spellStart"/>
      <w:r w:rsidRPr="00360E94">
        <w:rPr>
          <w:rFonts w:ascii="Calibri" w:eastAsia="Calibri" w:hAnsi="Calibri"/>
          <w:sz w:val="22"/>
          <w:szCs w:val="22"/>
          <w:lang w:eastAsia="en-US"/>
        </w:rPr>
        <w:t>Allyn</w:t>
      </w:r>
      <w:proofErr w:type="spellEnd"/>
      <w:r w:rsidRPr="00360E94">
        <w:rPr>
          <w:rFonts w:ascii="Calibri" w:eastAsia="Calibri" w:hAnsi="Calibri"/>
          <w:sz w:val="22"/>
          <w:szCs w:val="22"/>
          <w:lang w:eastAsia="en-US"/>
        </w:rPr>
        <w:t xml:space="preserve"> and Bacon</w:t>
      </w:r>
    </w:p>
    <w:p w14:paraId="329C4FE9" w14:textId="6E6842C0" w:rsidR="002D5223" w:rsidRPr="00360E94" w:rsidRDefault="002D5223" w:rsidP="00360E94">
      <w:pPr>
        <w:spacing w:after="160" w:line="259" w:lineRule="auto"/>
        <w:rPr>
          <w:rFonts w:ascii="Calibri" w:eastAsia="Calibri" w:hAnsi="Calibri"/>
          <w:sz w:val="22"/>
          <w:szCs w:val="22"/>
          <w:lang w:eastAsia="en-US"/>
        </w:rPr>
      </w:pPr>
      <w:proofErr w:type="spellStart"/>
      <w:r w:rsidRPr="002D5223">
        <w:rPr>
          <w:rFonts w:ascii="Calibri" w:eastAsia="Calibri" w:hAnsi="Calibri"/>
          <w:sz w:val="22"/>
          <w:szCs w:val="22"/>
          <w:lang w:eastAsia="en-US"/>
        </w:rPr>
        <w:t>Estyn</w:t>
      </w:r>
      <w:proofErr w:type="spellEnd"/>
      <w:r w:rsidRPr="002D5223">
        <w:rPr>
          <w:rFonts w:ascii="Calibri" w:eastAsia="Calibri" w:hAnsi="Calibri"/>
          <w:sz w:val="22"/>
          <w:szCs w:val="22"/>
          <w:lang w:eastAsia="en-US"/>
        </w:rPr>
        <w:t xml:space="preserve">. (2017) </w:t>
      </w:r>
      <w:proofErr w:type="spellStart"/>
      <w:r w:rsidRPr="002D5223">
        <w:rPr>
          <w:rFonts w:ascii="Calibri" w:eastAsia="Calibri" w:hAnsi="Calibri"/>
          <w:i/>
          <w:sz w:val="22"/>
          <w:szCs w:val="22"/>
          <w:lang w:eastAsia="en-US"/>
        </w:rPr>
        <w:t>Estyn</w:t>
      </w:r>
      <w:proofErr w:type="spellEnd"/>
      <w:r w:rsidRPr="002D5223">
        <w:rPr>
          <w:rFonts w:ascii="Calibri" w:eastAsia="Calibri" w:hAnsi="Calibri"/>
          <w:i/>
          <w:sz w:val="22"/>
          <w:szCs w:val="22"/>
          <w:lang w:eastAsia="en-US"/>
        </w:rPr>
        <w:t xml:space="preserve"> report for School X</w:t>
      </w:r>
      <w:r w:rsidRPr="002D5223">
        <w:rPr>
          <w:rFonts w:ascii="Calibri" w:eastAsia="Calibri" w:hAnsi="Calibri"/>
          <w:sz w:val="22"/>
          <w:szCs w:val="22"/>
          <w:lang w:eastAsia="en-US"/>
        </w:rPr>
        <w:t xml:space="preserve">. Cardiff: </w:t>
      </w:r>
      <w:proofErr w:type="spellStart"/>
      <w:r w:rsidRPr="002D5223">
        <w:rPr>
          <w:rFonts w:ascii="Calibri" w:eastAsia="Calibri" w:hAnsi="Calibri"/>
          <w:sz w:val="22"/>
          <w:szCs w:val="22"/>
          <w:lang w:eastAsia="en-US"/>
        </w:rPr>
        <w:t>Estyn</w:t>
      </w:r>
      <w:proofErr w:type="spellEnd"/>
      <w:r w:rsidRPr="002D5223">
        <w:rPr>
          <w:rFonts w:ascii="Calibri" w:eastAsia="Calibri" w:hAnsi="Calibri"/>
          <w:sz w:val="22"/>
          <w:szCs w:val="22"/>
          <w:lang w:eastAsia="en-US"/>
        </w:rPr>
        <w:t>.</w:t>
      </w:r>
    </w:p>
    <w:p w14:paraId="4EEF2524"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Gaskins, I.W. (2003) Taking charge of reader, text, activity, and context variables. </w:t>
      </w:r>
      <w:r w:rsidRPr="00360E94">
        <w:rPr>
          <w:rFonts w:ascii="Calibri" w:eastAsia="Calibri" w:hAnsi="Calibri"/>
          <w:i/>
          <w:iCs/>
          <w:sz w:val="22"/>
          <w:szCs w:val="22"/>
          <w:lang w:eastAsia="en-US"/>
        </w:rPr>
        <w:t>Rethinking reading comprehension</w:t>
      </w:r>
      <w:r w:rsidRPr="00360E94">
        <w:rPr>
          <w:rFonts w:ascii="Calibri" w:eastAsia="Calibri" w:hAnsi="Calibri"/>
          <w:sz w:val="22"/>
          <w:szCs w:val="22"/>
          <w:lang w:eastAsia="en-US"/>
        </w:rPr>
        <w:t xml:space="preserve">, pp.141-165. </w:t>
      </w:r>
    </w:p>
    <w:p w14:paraId="4770C5B9" w14:textId="77777777" w:rsidR="00360E94" w:rsidRPr="00360E94" w:rsidRDefault="00360E94" w:rsidP="00360E94">
      <w:pPr>
        <w:spacing w:after="160" w:line="259" w:lineRule="auto"/>
        <w:rPr>
          <w:rFonts w:ascii="Calibri" w:eastAsia="Calibri" w:hAnsi="Calibri"/>
          <w:sz w:val="22"/>
          <w:szCs w:val="22"/>
          <w:lang w:eastAsia="en-US"/>
        </w:rPr>
      </w:pPr>
      <w:proofErr w:type="spellStart"/>
      <w:r w:rsidRPr="00360E94">
        <w:rPr>
          <w:rFonts w:ascii="Calibri" w:eastAsia="Calibri" w:hAnsi="Calibri"/>
          <w:sz w:val="22"/>
          <w:szCs w:val="22"/>
          <w:lang w:eastAsia="en-US"/>
        </w:rPr>
        <w:t>Gentner</w:t>
      </w:r>
      <w:proofErr w:type="spellEnd"/>
      <w:r w:rsidRPr="00360E94">
        <w:rPr>
          <w:rFonts w:ascii="Calibri" w:eastAsia="Calibri" w:hAnsi="Calibri"/>
          <w:sz w:val="22"/>
          <w:szCs w:val="22"/>
          <w:lang w:eastAsia="en-US"/>
        </w:rPr>
        <w:t>, D. and Stevens, A.L., Mental Models, Hillside, NJ. (1983)</w:t>
      </w:r>
    </w:p>
    <w:p w14:paraId="4C5E1669"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 xml:space="preserve">Greenleaf, C., Brown, W. and </w:t>
      </w:r>
      <w:proofErr w:type="spellStart"/>
      <w:r w:rsidRPr="00360E94">
        <w:rPr>
          <w:rFonts w:ascii="Calibri" w:eastAsia="Calibri" w:hAnsi="Calibri"/>
          <w:sz w:val="22"/>
          <w:szCs w:val="22"/>
          <w:lang w:eastAsia="en-US"/>
        </w:rPr>
        <w:t>Litman</w:t>
      </w:r>
      <w:proofErr w:type="spellEnd"/>
      <w:r w:rsidRPr="00360E94">
        <w:rPr>
          <w:rFonts w:ascii="Calibri" w:eastAsia="Calibri" w:hAnsi="Calibri"/>
          <w:sz w:val="22"/>
          <w:szCs w:val="22"/>
          <w:lang w:eastAsia="en-US"/>
        </w:rPr>
        <w:t>, C. (2004) Apprenticing urban youth to science literacy. </w:t>
      </w:r>
      <w:r w:rsidRPr="00360E94">
        <w:rPr>
          <w:rFonts w:ascii="Calibri" w:eastAsia="Calibri" w:hAnsi="Calibri"/>
          <w:i/>
          <w:iCs/>
          <w:sz w:val="22"/>
          <w:szCs w:val="22"/>
          <w:lang w:eastAsia="en-US"/>
        </w:rPr>
        <w:t>Bridging the gap; Improving literacy learning for preadolescent and adolescent learners in grades 4</w:t>
      </w:r>
      <w:r w:rsidRPr="00360E94">
        <w:rPr>
          <w:rFonts w:ascii="Calibri" w:eastAsia="Calibri" w:hAnsi="Calibri"/>
          <w:sz w:val="22"/>
          <w:szCs w:val="22"/>
          <w:lang w:eastAsia="en-US"/>
        </w:rPr>
        <w:t>, </w:t>
      </w:r>
      <w:r w:rsidRPr="00360E94">
        <w:rPr>
          <w:rFonts w:ascii="Calibri" w:eastAsia="Calibri" w:hAnsi="Calibri"/>
          <w:i/>
          <w:iCs/>
          <w:sz w:val="22"/>
          <w:szCs w:val="22"/>
          <w:lang w:eastAsia="en-US"/>
        </w:rPr>
        <w:t>12</w:t>
      </w:r>
      <w:r w:rsidRPr="00360E94">
        <w:rPr>
          <w:rFonts w:ascii="Calibri" w:eastAsia="Calibri" w:hAnsi="Calibri"/>
          <w:sz w:val="22"/>
          <w:szCs w:val="22"/>
          <w:lang w:eastAsia="en-US"/>
        </w:rPr>
        <w:t>, pp.200-226.</w:t>
      </w:r>
    </w:p>
    <w:p w14:paraId="508E8991"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 xml:space="preserve">Guthrie, J.T. and </w:t>
      </w:r>
      <w:proofErr w:type="spellStart"/>
      <w:r w:rsidRPr="00360E94">
        <w:rPr>
          <w:rFonts w:ascii="Calibri" w:eastAsia="Calibri" w:hAnsi="Calibri"/>
          <w:sz w:val="22"/>
          <w:szCs w:val="22"/>
          <w:lang w:eastAsia="en-US"/>
        </w:rPr>
        <w:t>Ozgungor</w:t>
      </w:r>
      <w:proofErr w:type="spellEnd"/>
      <w:r w:rsidRPr="00360E94">
        <w:rPr>
          <w:rFonts w:ascii="Calibri" w:eastAsia="Calibri" w:hAnsi="Calibri"/>
          <w:sz w:val="22"/>
          <w:szCs w:val="22"/>
          <w:lang w:eastAsia="en-US"/>
        </w:rPr>
        <w:t>, S. (2002) Instructional contexts for reading engagement. </w:t>
      </w:r>
      <w:r w:rsidRPr="00360E94">
        <w:rPr>
          <w:rFonts w:ascii="Calibri" w:eastAsia="Calibri" w:hAnsi="Calibri"/>
          <w:i/>
          <w:iCs/>
          <w:sz w:val="22"/>
          <w:szCs w:val="22"/>
          <w:lang w:eastAsia="en-US"/>
        </w:rPr>
        <w:t>Comprehension instruction: Research-based best practices</w:t>
      </w:r>
      <w:r w:rsidRPr="00360E94">
        <w:rPr>
          <w:rFonts w:ascii="Calibri" w:eastAsia="Calibri" w:hAnsi="Calibri"/>
          <w:sz w:val="22"/>
          <w:szCs w:val="22"/>
          <w:lang w:eastAsia="en-US"/>
        </w:rPr>
        <w:t>, pp.275-288.</w:t>
      </w:r>
    </w:p>
    <w:p w14:paraId="07406E33"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lastRenderedPageBreak/>
        <w:t>Johnson-Laird, P.N. (1983) </w:t>
      </w:r>
      <w:r w:rsidRPr="00360E94">
        <w:rPr>
          <w:rFonts w:ascii="Calibri" w:eastAsia="Calibri" w:hAnsi="Calibri"/>
          <w:i/>
          <w:iCs/>
          <w:sz w:val="22"/>
          <w:szCs w:val="22"/>
          <w:lang w:eastAsia="en-US"/>
        </w:rPr>
        <w:t xml:space="preserve">Mental models: Towards a cognitive science of language, inference, and </w:t>
      </w:r>
      <w:proofErr w:type="gramStart"/>
      <w:r w:rsidRPr="00360E94">
        <w:rPr>
          <w:rFonts w:ascii="Calibri" w:eastAsia="Calibri" w:hAnsi="Calibri"/>
          <w:i/>
          <w:iCs/>
          <w:sz w:val="22"/>
          <w:szCs w:val="22"/>
          <w:lang w:eastAsia="en-US"/>
        </w:rPr>
        <w:t>consciousness</w:t>
      </w:r>
      <w:r w:rsidRPr="00360E94">
        <w:rPr>
          <w:rFonts w:ascii="Calibri" w:eastAsia="Calibri" w:hAnsi="Calibri"/>
          <w:sz w:val="22"/>
          <w:szCs w:val="22"/>
          <w:lang w:eastAsia="en-US"/>
        </w:rPr>
        <w:t>(</w:t>
      </w:r>
      <w:proofErr w:type="gramEnd"/>
      <w:r w:rsidRPr="00360E94">
        <w:rPr>
          <w:rFonts w:ascii="Calibri" w:eastAsia="Calibri" w:hAnsi="Calibri"/>
          <w:sz w:val="22"/>
          <w:szCs w:val="22"/>
          <w:lang w:eastAsia="en-US"/>
        </w:rPr>
        <w:t>No. 6). Harvard University Press.</w:t>
      </w:r>
    </w:p>
    <w:p w14:paraId="4DD04AEE" w14:textId="77777777" w:rsidR="00360E94" w:rsidRPr="00360E94" w:rsidRDefault="00360E94" w:rsidP="00360E94">
      <w:pPr>
        <w:spacing w:after="160" w:line="259" w:lineRule="auto"/>
        <w:rPr>
          <w:rFonts w:ascii="Calibri" w:eastAsia="Calibri" w:hAnsi="Calibri"/>
          <w:sz w:val="22"/>
          <w:szCs w:val="22"/>
          <w:lang w:eastAsia="en-US"/>
        </w:rPr>
      </w:pPr>
      <w:proofErr w:type="spellStart"/>
      <w:r w:rsidRPr="00360E94">
        <w:rPr>
          <w:rFonts w:ascii="Calibri" w:eastAsia="Calibri" w:hAnsi="Calibri"/>
          <w:sz w:val="22"/>
          <w:szCs w:val="22"/>
          <w:lang w:eastAsia="en-US"/>
        </w:rPr>
        <w:t>Kamil</w:t>
      </w:r>
      <w:proofErr w:type="spellEnd"/>
      <w:r w:rsidRPr="00360E94">
        <w:rPr>
          <w:rFonts w:ascii="Calibri" w:eastAsia="Calibri" w:hAnsi="Calibri"/>
          <w:sz w:val="22"/>
          <w:szCs w:val="22"/>
          <w:lang w:eastAsia="en-US"/>
        </w:rPr>
        <w:t xml:space="preserve">, M.L., </w:t>
      </w:r>
      <w:proofErr w:type="spellStart"/>
      <w:r w:rsidRPr="00360E94">
        <w:rPr>
          <w:rFonts w:ascii="Calibri" w:eastAsia="Calibri" w:hAnsi="Calibri"/>
          <w:sz w:val="22"/>
          <w:szCs w:val="22"/>
          <w:lang w:eastAsia="en-US"/>
        </w:rPr>
        <w:t>Borman</w:t>
      </w:r>
      <w:proofErr w:type="spellEnd"/>
      <w:r w:rsidRPr="00360E94">
        <w:rPr>
          <w:rFonts w:ascii="Calibri" w:eastAsia="Calibri" w:hAnsi="Calibri"/>
          <w:sz w:val="22"/>
          <w:szCs w:val="22"/>
          <w:lang w:eastAsia="en-US"/>
        </w:rPr>
        <w:t xml:space="preserve">, G.D., Dole, J., </w:t>
      </w:r>
      <w:proofErr w:type="spellStart"/>
      <w:r w:rsidRPr="00360E94">
        <w:rPr>
          <w:rFonts w:ascii="Calibri" w:eastAsia="Calibri" w:hAnsi="Calibri"/>
          <w:sz w:val="22"/>
          <w:szCs w:val="22"/>
          <w:lang w:eastAsia="en-US"/>
        </w:rPr>
        <w:t>Kral</w:t>
      </w:r>
      <w:proofErr w:type="spellEnd"/>
      <w:r w:rsidRPr="00360E94">
        <w:rPr>
          <w:rFonts w:ascii="Calibri" w:eastAsia="Calibri" w:hAnsi="Calibri"/>
          <w:sz w:val="22"/>
          <w:szCs w:val="22"/>
          <w:lang w:eastAsia="en-US"/>
        </w:rPr>
        <w:t xml:space="preserve">, C.C., Salinger, T. and </w:t>
      </w:r>
      <w:proofErr w:type="spellStart"/>
      <w:r w:rsidRPr="00360E94">
        <w:rPr>
          <w:rFonts w:ascii="Calibri" w:eastAsia="Calibri" w:hAnsi="Calibri"/>
          <w:sz w:val="22"/>
          <w:szCs w:val="22"/>
          <w:lang w:eastAsia="en-US"/>
        </w:rPr>
        <w:t>Torgesen</w:t>
      </w:r>
      <w:proofErr w:type="spellEnd"/>
      <w:r w:rsidRPr="00360E94">
        <w:rPr>
          <w:rFonts w:ascii="Calibri" w:eastAsia="Calibri" w:hAnsi="Calibri"/>
          <w:sz w:val="22"/>
          <w:szCs w:val="22"/>
          <w:lang w:eastAsia="en-US"/>
        </w:rPr>
        <w:t>, J. (2008) Improving Adolescent Literacy: Effective Classroom and Intervention Practices. IES Practice Guide. NCEE 2008-4027. </w:t>
      </w:r>
      <w:r w:rsidRPr="00360E94">
        <w:rPr>
          <w:rFonts w:ascii="Calibri" w:eastAsia="Calibri" w:hAnsi="Calibri"/>
          <w:i/>
          <w:iCs/>
          <w:sz w:val="22"/>
          <w:szCs w:val="22"/>
          <w:lang w:eastAsia="en-US"/>
        </w:rPr>
        <w:t xml:space="preserve">National </w:t>
      </w:r>
      <w:proofErr w:type="spellStart"/>
      <w:r w:rsidRPr="00360E94">
        <w:rPr>
          <w:rFonts w:ascii="Calibri" w:eastAsia="Calibri" w:hAnsi="Calibri"/>
          <w:i/>
          <w:iCs/>
          <w:sz w:val="22"/>
          <w:szCs w:val="22"/>
          <w:lang w:eastAsia="en-US"/>
        </w:rPr>
        <w:t>Center</w:t>
      </w:r>
      <w:proofErr w:type="spellEnd"/>
      <w:r w:rsidRPr="00360E94">
        <w:rPr>
          <w:rFonts w:ascii="Calibri" w:eastAsia="Calibri" w:hAnsi="Calibri"/>
          <w:i/>
          <w:iCs/>
          <w:sz w:val="22"/>
          <w:szCs w:val="22"/>
          <w:lang w:eastAsia="en-US"/>
        </w:rPr>
        <w:t xml:space="preserve"> for Education Evaluation and Regional Assistance</w:t>
      </w:r>
      <w:r w:rsidRPr="00360E94">
        <w:rPr>
          <w:rFonts w:ascii="Calibri" w:eastAsia="Calibri" w:hAnsi="Calibri"/>
          <w:sz w:val="22"/>
          <w:szCs w:val="22"/>
          <w:lang w:eastAsia="en-US"/>
        </w:rPr>
        <w:t>.</w:t>
      </w:r>
    </w:p>
    <w:p w14:paraId="4AD77356"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 xml:space="preserve">Keenan, J.M., </w:t>
      </w:r>
      <w:proofErr w:type="spellStart"/>
      <w:r w:rsidRPr="00360E94">
        <w:rPr>
          <w:rFonts w:ascii="Calibri" w:eastAsia="Calibri" w:hAnsi="Calibri"/>
          <w:sz w:val="22"/>
          <w:szCs w:val="22"/>
          <w:lang w:eastAsia="en-US"/>
        </w:rPr>
        <w:t>Betjemann</w:t>
      </w:r>
      <w:proofErr w:type="spellEnd"/>
      <w:r w:rsidRPr="00360E94">
        <w:rPr>
          <w:rFonts w:ascii="Calibri" w:eastAsia="Calibri" w:hAnsi="Calibri"/>
          <w:sz w:val="22"/>
          <w:szCs w:val="22"/>
          <w:lang w:eastAsia="en-US"/>
        </w:rPr>
        <w:t xml:space="preserve">, R.S., Wadsworth, S.J., </w:t>
      </w:r>
      <w:proofErr w:type="spellStart"/>
      <w:r w:rsidRPr="00360E94">
        <w:rPr>
          <w:rFonts w:ascii="Calibri" w:eastAsia="Calibri" w:hAnsi="Calibri"/>
          <w:sz w:val="22"/>
          <w:szCs w:val="22"/>
          <w:lang w:eastAsia="en-US"/>
        </w:rPr>
        <w:t>DeFries</w:t>
      </w:r>
      <w:proofErr w:type="spellEnd"/>
      <w:r w:rsidRPr="00360E94">
        <w:rPr>
          <w:rFonts w:ascii="Calibri" w:eastAsia="Calibri" w:hAnsi="Calibri"/>
          <w:sz w:val="22"/>
          <w:szCs w:val="22"/>
          <w:lang w:eastAsia="en-US"/>
        </w:rPr>
        <w:t>, J.C. and Olson, R.K. (2006) Genetic and environmental influences on reading and listening comprehension. </w:t>
      </w:r>
      <w:r w:rsidRPr="00360E94">
        <w:rPr>
          <w:rFonts w:ascii="Calibri" w:eastAsia="Calibri" w:hAnsi="Calibri"/>
          <w:i/>
          <w:iCs/>
          <w:sz w:val="22"/>
          <w:szCs w:val="22"/>
          <w:lang w:eastAsia="en-US"/>
        </w:rPr>
        <w:t>Journal of Research in Reading</w:t>
      </w:r>
      <w:r w:rsidRPr="00360E94">
        <w:rPr>
          <w:rFonts w:ascii="Calibri" w:eastAsia="Calibri" w:hAnsi="Calibri"/>
          <w:sz w:val="22"/>
          <w:szCs w:val="22"/>
          <w:lang w:eastAsia="en-US"/>
        </w:rPr>
        <w:t>, </w:t>
      </w:r>
      <w:r w:rsidRPr="00360E94">
        <w:rPr>
          <w:rFonts w:ascii="Calibri" w:eastAsia="Calibri" w:hAnsi="Calibri"/>
          <w:i/>
          <w:iCs/>
          <w:sz w:val="22"/>
          <w:szCs w:val="22"/>
          <w:lang w:eastAsia="en-US"/>
        </w:rPr>
        <w:t>29</w:t>
      </w:r>
      <w:r w:rsidRPr="00360E94">
        <w:rPr>
          <w:rFonts w:ascii="Calibri" w:eastAsia="Calibri" w:hAnsi="Calibri"/>
          <w:sz w:val="22"/>
          <w:szCs w:val="22"/>
          <w:lang w:eastAsia="en-US"/>
        </w:rPr>
        <w:t>(1), pp.75-91.</w:t>
      </w:r>
    </w:p>
    <w:p w14:paraId="46709324" w14:textId="77777777" w:rsidR="00360E94" w:rsidRPr="00360E94" w:rsidRDefault="00360E94" w:rsidP="00360E94">
      <w:pPr>
        <w:spacing w:after="160" w:line="259" w:lineRule="auto"/>
        <w:rPr>
          <w:rFonts w:ascii="Calibri" w:eastAsia="Calibri" w:hAnsi="Calibri"/>
          <w:sz w:val="22"/>
          <w:szCs w:val="22"/>
          <w:lang w:eastAsia="en-US"/>
        </w:rPr>
      </w:pPr>
      <w:proofErr w:type="spellStart"/>
      <w:r w:rsidRPr="00360E94">
        <w:rPr>
          <w:rFonts w:ascii="Calibri" w:eastAsia="Calibri" w:hAnsi="Calibri"/>
          <w:sz w:val="22"/>
          <w:szCs w:val="22"/>
          <w:lang w:eastAsia="en-US"/>
        </w:rPr>
        <w:t>Kispal</w:t>
      </w:r>
      <w:proofErr w:type="spellEnd"/>
      <w:r w:rsidRPr="00360E94">
        <w:rPr>
          <w:rFonts w:ascii="Calibri" w:eastAsia="Calibri" w:hAnsi="Calibri"/>
          <w:sz w:val="22"/>
          <w:szCs w:val="22"/>
          <w:lang w:eastAsia="en-US"/>
        </w:rPr>
        <w:t>, A. (2008) </w:t>
      </w:r>
      <w:r w:rsidRPr="00360E94">
        <w:rPr>
          <w:rFonts w:ascii="Calibri" w:eastAsia="Calibri" w:hAnsi="Calibri"/>
          <w:i/>
          <w:iCs/>
          <w:sz w:val="22"/>
          <w:szCs w:val="22"/>
          <w:lang w:eastAsia="en-US"/>
        </w:rPr>
        <w:t>Effective Teaching of Inference Skills for Reading. Literature Review. Research Report DCSF-RR031</w:t>
      </w:r>
      <w:r w:rsidRPr="00360E94">
        <w:rPr>
          <w:rFonts w:ascii="Calibri" w:eastAsia="Calibri" w:hAnsi="Calibri"/>
          <w:sz w:val="22"/>
          <w:szCs w:val="22"/>
          <w:lang w:eastAsia="en-US"/>
        </w:rPr>
        <w:t>. National Foundation for Educational Research. The Mere, Upton Park, Slough, Berkshire, SL1 2DQ, UK.</w:t>
      </w:r>
    </w:p>
    <w:p w14:paraId="67C9B14E" w14:textId="77777777" w:rsidR="00360E94" w:rsidRPr="00360E94" w:rsidRDefault="00360E94" w:rsidP="00360E94">
      <w:pPr>
        <w:spacing w:after="160" w:line="259" w:lineRule="auto"/>
        <w:rPr>
          <w:rFonts w:ascii="Calibri" w:eastAsia="Calibri" w:hAnsi="Calibri"/>
          <w:sz w:val="22"/>
          <w:szCs w:val="22"/>
          <w:lang w:eastAsia="en-US"/>
        </w:rPr>
      </w:pPr>
      <w:proofErr w:type="spellStart"/>
      <w:r w:rsidRPr="00360E94">
        <w:rPr>
          <w:rFonts w:ascii="Calibri" w:eastAsia="Calibri" w:hAnsi="Calibri"/>
          <w:sz w:val="22"/>
          <w:szCs w:val="22"/>
          <w:lang w:eastAsia="en-US"/>
        </w:rPr>
        <w:t>Kosanovich</w:t>
      </w:r>
      <w:proofErr w:type="spellEnd"/>
      <w:r w:rsidRPr="00360E94">
        <w:rPr>
          <w:rFonts w:ascii="Calibri" w:eastAsia="Calibri" w:hAnsi="Calibri"/>
          <w:sz w:val="22"/>
          <w:szCs w:val="22"/>
          <w:lang w:eastAsia="en-US"/>
        </w:rPr>
        <w:t>, M.L., Reed, D.K. and Miller, D.H. (2010) Bringing Literacy Strategies into Content Instruction: Professional Learning for Secondary-Level Teachers. </w:t>
      </w:r>
      <w:proofErr w:type="spellStart"/>
      <w:r w:rsidRPr="00360E94">
        <w:rPr>
          <w:rFonts w:ascii="Calibri" w:eastAsia="Calibri" w:hAnsi="Calibri"/>
          <w:i/>
          <w:iCs/>
          <w:sz w:val="22"/>
          <w:szCs w:val="22"/>
          <w:lang w:eastAsia="en-US"/>
        </w:rPr>
        <w:t>Center</w:t>
      </w:r>
      <w:proofErr w:type="spellEnd"/>
      <w:r w:rsidRPr="00360E94">
        <w:rPr>
          <w:rFonts w:ascii="Calibri" w:eastAsia="Calibri" w:hAnsi="Calibri"/>
          <w:i/>
          <w:iCs/>
          <w:sz w:val="22"/>
          <w:szCs w:val="22"/>
          <w:lang w:eastAsia="en-US"/>
        </w:rPr>
        <w:t xml:space="preserve"> on Instruction</w:t>
      </w:r>
      <w:r w:rsidRPr="00360E94">
        <w:rPr>
          <w:rFonts w:ascii="Calibri" w:eastAsia="Calibri" w:hAnsi="Calibri"/>
          <w:sz w:val="22"/>
          <w:szCs w:val="22"/>
          <w:lang w:eastAsia="en-US"/>
        </w:rPr>
        <w:t>.</w:t>
      </w:r>
    </w:p>
    <w:p w14:paraId="3FA3E663" w14:textId="77777777" w:rsidR="00360E94" w:rsidRPr="00360E94" w:rsidRDefault="00360E94" w:rsidP="00360E94">
      <w:pPr>
        <w:spacing w:after="160" w:line="259" w:lineRule="auto"/>
        <w:rPr>
          <w:rFonts w:ascii="Calibri" w:eastAsia="Calibri" w:hAnsi="Calibri"/>
          <w:sz w:val="22"/>
          <w:szCs w:val="22"/>
          <w:lang w:eastAsia="en-US"/>
        </w:rPr>
      </w:pPr>
      <w:proofErr w:type="spellStart"/>
      <w:r w:rsidRPr="00360E94">
        <w:rPr>
          <w:rFonts w:ascii="Calibri" w:eastAsia="Calibri" w:hAnsi="Calibri"/>
          <w:sz w:val="22"/>
          <w:szCs w:val="22"/>
          <w:lang w:eastAsia="en-US"/>
        </w:rPr>
        <w:t>Kostons</w:t>
      </w:r>
      <w:proofErr w:type="spellEnd"/>
      <w:r w:rsidRPr="00360E94">
        <w:rPr>
          <w:rFonts w:ascii="Calibri" w:eastAsia="Calibri" w:hAnsi="Calibri"/>
          <w:sz w:val="22"/>
          <w:szCs w:val="22"/>
          <w:lang w:eastAsia="en-US"/>
        </w:rPr>
        <w:t xml:space="preserve">, D. and van der </w:t>
      </w:r>
      <w:proofErr w:type="spellStart"/>
      <w:r w:rsidRPr="00360E94">
        <w:rPr>
          <w:rFonts w:ascii="Calibri" w:eastAsia="Calibri" w:hAnsi="Calibri"/>
          <w:sz w:val="22"/>
          <w:szCs w:val="22"/>
          <w:lang w:eastAsia="en-US"/>
        </w:rPr>
        <w:t>Werf</w:t>
      </w:r>
      <w:proofErr w:type="spellEnd"/>
      <w:r w:rsidRPr="00360E94">
        <w:rPr>
          <w:rFonts w:ascii="Calibri" w:eastAsia="Calibri" w:hAnsi="Calibri"/>
          <w:sz w:val="22"/>
          <w:szCs w:val="22"/>
          <w:lang w:eastAsia="en-US"/>
        </w:rPr>
        <w:t>, G., 2015. The effects of activating prior topic and metacognitive knowledge on text comprehension scores. </w:t>
      </w:r>
      <w:r w:rsidRPr="00360E94">
        <w:rPr>
          <w:rFonts w:ascii="Calibri" w:eastAsia="Calibri" w:hAnsi="Calibri"/>
          <w:i/>
          <w:iCs/>
          <w:sz w:val="22"/>
          <w:szCs w:val="22"/>
          <w:lang w:eastAsia="en-US"/>
        </w:rPr>
        <w:t>British Journal of Educational Psychology</w:t>
      </w:r>
      <w:r w:rsidRPr="00360E94">
        <w:rPr>
          <w:rFonts w:ascii="Calibri" w:eastAsia="Calibri" w:hAnsi="Calibri"/>
          <w:sz w:val="22"/>
          <w:szCs w:val="22"/>
          <w:lang w:eastAsia="en-US"/>
        </w:rPr>
        <w:t>, </w:t>
      </w:r>
      <w:r w:rsidRPr="00360E94">
        <w:rPr>
          <w:rFonts w:ascii="Calibri" w:eastAsia="Calibri" w:hAnsi="Calibri"/>
          <w:i/>
          <w:iCs/>
          <w:sz w:val="22"/>
          <w:szCs w:val="22"/>
          <w:lang w:eastAsia="en-US"/>
        </w:rPr>
        <w:t>85</w:t>
      </w:r>
      <w:r w:rsidRPr="00360E94">
        <w:rPr>
          <w:rFonts w:ascii="Calibri" w:eastAsia="Calibri" w:hAnsi="Calibri"/>
          <w:sz w:val="22"/>
          <w:szCs w:val="22"/>
          <w:lang w:eastAsia="en-US"/>
        </w:rPr>
        <w:t>(3), pp.264-275.</w:t>
      </w:r>
    </w:p>
    <w:p w14:paraId="0DCA30C5"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La Barge, G. (2007) Pre-and post-testing with more impact. </w:t>
      </w:r>
      <w:r w:rsidRPr="00360E94">
        <w:rPr>
          <w:rFonts w:ascii="Calibri" w:eastAsia="Calibri" w:hAnsi="Calibri"/>
          <w:i/>
          <w:iCs/>
          <w:sz w:val="22"/>
          <w:szCs w:val="22"/>
          <w:lang w:eastAsia="en-US"/>
        </w:rPr>
        <w:t>Journal of Extension</w:t>
      </w:r>
      <w:r w:rsidRPr="00360E94">
        <w:rPr>
          <w:rFonts w:ascii="Calibri" w:eastAsia="Calibri" w:hAnsi="Calibri"/>
          <w:sz w:val="22"/>
          <w:szCs w:val="22"/>
          <w:lang w:eastAsia="en-US"/>
        </w:rPr>
        <w:t>, </w:t>
      </w:r>
      <w:r w:rsidRPr="00360E94">
        <w:rPr>
          <w:rFonts w:ascii="Calibri" w:eastAsia="Calibri" w:hAnsi="Calibri"/>
          <w:i/>
          <w:iCs/>
          <w:sz w:val="22"/>
          <w:szCs w:val="22"/>
          <w:lang w:eastAsia="en-US"/>
        </w:rPr>
        <w:t>45</w:t>
      </w:r>
      <w:r w:rsidRPr="00360E94">
        <w:rPr>
          <w:rFonts w:ascii="Calibri" w:eastAsia="Calibri" w:hAnsi="Calibri"/>
          <w:sz w:val="22"/>
          <w:szCs w:val="22"/>
          <w:lang w:eastAsia="en-US"/>
        </w:rPr>
        <w:t>(6).</w:t>
      </w:r>
    </w:p>
    <w:p w14:paraId="20BDB003"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 xml:space="preserve">Leopold, C. and </w:t>
      </w:r>
      <w:proofErr w:type="spellStart"/>
      <w:r w:rsidRPr="00360E94">
        <w:rPr>
          <w:rFonts w:ascii="Calibri" w:eastAsia="Calibri" w:hAnsi="Calibri"/>
          <w:sz w:val="22"/>
          <w:szCs w:val="22"/>
          <w:lang w:eastAsia="en-US"/>
        </w:rPr>
        <w:t>Leutner</w:t>
      </w:r>
      <w:proofErr w:type="spellEnd"/>
      <w:r w:rsidRPr="00360E94">
        <w:rPr>
          <w:rFonts w:ascii="Calibri" w:eastAsia="Calibri" w:hAnsi="Calibri"/>
          <w:sz w:val="22"/>
          <w:szCs w:val="22"/>
          <w:lang w:eastAsia="en-US"/>
        </w:rPr>
        <w:t>, D. (2012) Science text comprehension: Drawing, main idea selection, and summarizing as learning strategies. </w:t>
      </w:r>
      <w:r w:rsidRPr="00360E94">
        <w:rPr>
          <w:rFonts w:ascii="Calibri" w:eastAsia="Calibri" w:hAnsi="Calibri"/>
          <w:i/>
          <w:iCs/>
          <w:sz w:val="22"/>
          <w:szCs w:val="22"/>
          <w:lang w:eastAsia="en-US"/>
        </w:rPr>
        <w:t>Learning and Instruction</w:t>
      </w:r>
      <w:r w:rsidRPr="00360E94">
        <w:rPr>
          <w:rFonts w:ascii="Calibri" w:eastAsia="Calibri" w:hAnsi="Calibri"/>
          <w:sz w:val="22"/>
          <w:szCs w:val="22"/>
          <w:lang w:eastAsia="en-US"/>
        </w:rPr>
        <w:t>, </w:t>
      </w:r>
      <w:r w:rsidRPr="00360E94">
        <w:rPr>
          <w:rFonts w:ascii="Calibri" w:eastAsia="Calibri" w:hAnsi="Calibri"/>
          <w:i/>
          <w:iCs/>
          <w:sz w:val="22"/>
          <w:szCs w:val="22"/>
          <w:lang w:eastAsia="en-US"/>
        </w:rPr>
        <w:t>22</w:t>
      </w:r>
      <w:r w:rsidRPr="00360E94">
        <w:rPr>
          <w:rFonts w:ascii="Calibri" w:eastAsia="Calibri" w:hAnsi="Calibri"/>
          <w:sz w:val="22"/>
          <w:szCs w:val="22"/>
          <w:lang w:eastAsia="en-US"/>
        </w:rPr>
        <w:t>(1), pp.16-26.</w:t>
      </w:r>
    </w:p>
    <w:p w14:paraId="281630A4"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Lyon, G.R. (1998) Why reading is not a natural process. </w:t>
      </w:r>
      <w:r w:rsidRPr="00360E94">
        <w:rPr>
          <w:rFonts w:ascii="Calibri" w:eastAsia="Calibri" w:hAnsi="Calibri"/>
          <w:i/>
          <w:iCs/>
          <w:sz w:val="22"/>
          <w:szCs w:val="22"/>
          <w:lang w:eastAsia="en-US"/>
        </w:rPr>
        <w:t>Educational leadership</w:t>
      </w:r>
      <w:r w:rsidRPr="00360E94">
        <w:rPr>
          <w:rFonts w:ascii="Calibri" w:eastAsia="Calibri" w:hAnsi="Calibri"/>
          <w:sz w:val="22"/>
          <w:szCs w:val="22"/>
          <w:lang w:eastAsia="en-US"/>
        </w:rPr>
        <w:t>, </w:t>
      </w:r>
      <w:r w:rsidRPr="00360E94">
        <w:rPr>
          <w:rFonts w:ascii="Calibri" w:eastAsia="Calibri" w:hAnsi="Calibri"/>
          <w:i/>
          <w:iCs/>
          <w:sz w:val="22"/>
          <w:szCs w:val="22"/>
          <w:lang w:eastAsia="en-US"/>
        </w:rPr>
        <w:t>55</w:t>
      </w:r>
      <w:r w:rsidRPr="00360E94">
        <w:rPr>
          <w:rFonts w:ascii="Calibri" w:eastAsia="Calibri" w:hAnsi="Calibri"/>
          <w:sz w:val="22"/>
          <w:szCs w:val="22"/>
          <w:lang w:eastAsia="en-US"/>
        </w:rPr>
        <w:t>(6), pp.14-18.</w:t>
      </w:r>
    </w:p>
    <w:p w14:paraId="7654DD57" w14:textId="77777777" w:rsidR="00360E94" w:rsidRPr="00360E94" w:rsidRDefault="00360E94" w:rsidP="00360E94">
      <w:pPr>
        <w:spacing w:after="160" w:line="259" w:lineRule="auto"/>
        <w:rPr>
          <w:rFonts w:ascii="Calibri" w:eastAsia="Calibri" w:hAnsi="Calibri"/>
          <w:sz w:val="22"/>
          <w:szCs w:val="22"/>
          <w:lang w:eastAsia="en-US"/>
        </w:rPr>
      </w:pPr>
      <w:proofErr w:type="spellStart"/>
      <w:r w:rsidRPr="00360E94">
        <w:rPr>
          <w:rFonts w:ascii="Calibri" w:eastAsia="Calibri" w:hAnsi="Calibri"/>
          <w:sz w:val="22"/>
          <w:szCs w:val="22"/>
          <w:lang w:eastAsia="en-US"/>
        </w:rPr>
        <w:t>Markman</w:t>
      </w:r>
      <w:proofErr w:type="spellEnd"/>
      <w:r w:rsidRPr="00360E94">
        <w:rPr>
          <w:rFonts w:ascii="Calibri" w:eastAsia="Calibri" w:hAnsi="Calibri"/>
          <w:sz w:val="22"/>
          <w:szCs w:val="22"/>
          <w:lang w:eastAsia="en-US"/>
        </w:rPr>
        <w:t>, E. M. (1981) Comprehension monitoring. In W. P. Dickson (Ed.), Children's oral communication skills (pp. 61-84). New York: Academic Press.</w:t>
      </w:r>
    </w:p>
    <w:p w14:paraId="30BC43AC" w14:textId="77777777" w:rsidR="00360E94" w:rsidRPr="00360E94" w:rsidRDefault="00360E94" w:rsidP="00360E94">
      <w:pPr>
        <w:spacing w:after="160" w:line="259" w:lineRule="auto"/>
        <w:rPr>
          <w:rFonts w:ascii="Calibri" w:eastAsia="Calibri" w:hAnsi="Calibri"/>
          <w:sz w:val="22"/>
          <w:szCs w:val="22"/>
          <w:lang w:eastAsia="en-US"/>
        </w:rPr>
      </w:pPr>
      <w:proofErr w:type="spellStart"/>
      <w:r w:rsidRPr="00360E94">
        <w:rPr>
          <w:rFonts w:ascii="Calibri" w:eastAsia="Calibri" w:hAnsi="Calibri"/>
          <w:sz w:val="22"/>
          <w:szCs w:val="22"/>
          <w:lang w:eastAsia="en-US"/>
        </w:rPr>
        <w:t>Marzano</w:t>
      </w:r>
      <w:proofErr w:type="spellEnd"/>
      <w:r w:rsidRPr="00360E94">
        <w:rPr>
          <w:rFonts w:ascii="Calibri" w:eastAsia="Calibri" w:hAnsi="Calibri"/>
          <w:sz w:val="22"/>
          <w:szCs w:val="22"/>
          <w:lang w:eastAsia="en-US"/>
        </w:rPr>
        <w:t>, Robert J. (2010) Summarizing to Comprehend. </w:t>
      </w:r>
      <w:r w:rsidRPr="00360E94">
        <w:rPr>
          <w:rFonts w:ascii="Calibri" w:eastAsia="Calibri" w:hAnsi="Calibri"/>
          <w:i/>
          <w:iCs/>
          <w:sz w:val="22"/>
          <w:szCs w:val="22"/>
          <w:lang w:eastAsia="en-US"/>
        </w:rPr>
        <w:t>Educational Leadership</w:t>
      </w:r>
      <w:r w:rsidRPr="00360E94">
        <w:rPr>
          <w:rFonts w:ascii="Calibri" w:eastAsia="Calibri" w:hAnsi="Calibri"/>
          <w:sz w:val="22"/>
          <w:szCs w:val="22"/>
          <w:lang w:eastAsia="en-US"/>
        </w:rPr>
        <w:t>, 67(6), pp.83–85</w:t>
      </w:r>
    </w:p>
    <w:p w14:paraId="417CFB12"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 xml:space="preserve">McGee, A. and Johnson, H. (2003) The effect of inference training on skilled and less skilled </w:t>
      </w:r>
      <w:proofErr w:type="spellStart"/>
      <w:r w:rsidRPr="00360E94">
        <w:rPr>
          <w:rFonts w:ascii="Calibri" w:eastAsia="Calibri" w:hAnsi="Calibri"/>
          <w:sz w:val="22"/>
          <w:szCs w:val="22"/>
          <w:lang w:eastAsia="en-US"/>
        </w:rPr>
        <w:t>comprehenders</w:t>
      </w:r>
      <w:proofErr w:type="spellEnd"/>
      <w:r w:rsidRPr="00360E94">
        <w:rPr>
          <w:rFonts w:ascii="Calibri" w:eastAsia="Calibri" w:hAnsi="Calibri"/>
          <w:sz w:val="22"/>
          <w:szCs w:val="22"/>
          <w:lang w:eastAsia="en-US"/>
        </w:rPr>
        <w:t>. </w:t>
      </w:r>
      <w:r w:rsidRPr="00360E94">
        <w:rPr>
          <w:rFonts w:ascii="Calibri" w:eastAsia="Calibri" w:hAnsi="Calibri"/>
          <w:i/>
          <w:iCs/>
          <w:sz w:val="22"/>
          <w:szCs w:val="22"/>
          <w:lang w:eastAsia="en-US"/>
        </w:rPr>
        <w:t>Educational Psychology</w:t>
      </w:r>
      <w:r w:rsidRPr="00360E94">
        <w:rPr>
          <w:rFonts w:ascii="Calibri" w:eastAsia="Calibri" w:hAnsi="Calibri"/>
          <w:sz w:val="22"/>
          <w:szCs w:val="22"/>
          <w:lang w:eastAsia="en-US"/>
        </w:rPr>
        <w:t>, </w:t>
      </w:r>
      <w:r w:rsidRPr="00360E94">
        <w:rPr>
          <w:rFonts w:ascii="Calibri" w:eastAsia="Calibri" w:hAnsi="Calibri"/>
          <w:i/>
          <w:iCs/>
          <w:sz w:val="22"/>
          <w:szCs w:val="22"/>
          <w:lang w:eastAsia="en-US"/>
        </w:rPr>
        <w:t>23</w:t>
      </w:r>
      <w:r w:rsidRPr="00360E94">
        <w:rPr>
          <w:rFonts w:ascii="Calibri" w:eastAsia="Calibri" w:hAnsi="Calibri"/>
          <w:sz w:val="22"/>
          <w:szCs w:val="22"/>
          <w:lang w:eastAsia="en-US"/>
        </w:rPr>
        <w:t>(1), pp.49-59.</w:t>
      </w:r>
    </w:p>
    <w:p w14:paraId="72B8B65B"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Meese, R.L., Whitfield, P. and Overton, T. (2001) </w:t>
      </w:r>
      <w:r w:rsidRPr="00360E94">
        <w:rPr>
          <w:rFonts w:ascii="Calibri" w:eastAsia="Calibri" w:hAnsi="Calibri"/>
          <w:i/>
          <w:iCs/>
          <w:sz w:val="22"/>
          <w:szCs w:val="22"/>
          <w:lang w:eastAsia="en-US"/>
        </w:rPr>
        <w:t>Teaching learners with mild disabilities: Integrating research and practice</w:t>
      </w:r>
      <w:r w:rsidRPr="00360E94">
        <w:rPr>
          <w:rFonts w:ascii="Calibri" w:eastAsia="Calibri" w:hAnsi="Calibri"/>
          <w:sz w:val="22"/>
          <w:szCs w:val="22"/>
          <w:lang w:eastAsia="en-US"/>
        </w:rPr>
        <w:t>. Belmont, CA: Wadsworth/Thomson Learning.</w:t>
      </w:r>
    </w:p>
    <w:p w14:paraId="3338B293"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National Reading Panel (US), National Institute of Child Health and Human Development (US), (2000) </w:t>
      </w:r>
      <w:r w:rsidRPr="00360E94">
        <w:rPr>
          <w:rFonts w:ascii="Calibri" w:eastAsia="Calibri" w:hAnsi="Calibri"/>
          <w:i/>
          <w:iCs/>
          <w:sz w:val="22"/>
          <w:szCs w:val="22"/>
          <w:lang w:eastAsia="en-US"/>
        </w:rPr>
        <w:t>Teaching children to read: An evidence-based assessment of the scientific research literature on reading and its implications for reading instruction</w:t>
      </w:r>
      <w:r w:rsidRPr="00360E94">
        <w:rPr>
          <w:rFonts w:ascii="Calibri" w:eastAsia="Calibri" w:hAnsi="Calibri"/>
          <w:sz w:val="22"/>
          <w:szCs w:val="22"/>
          <w:lang w:eastAsia="en-US"/>
        </w:rPr>
        <w:t>. National Institute of Child Health and Human Development, National Institutes of Health.</w:t>
      </w:r>
    </w:p>
    <w:p w14:paraId="21279270"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Ness, M. (2016) When Readers Ask Questions: Inquiry‐Based Reading Instruction. </w:t>
      </w:r>
      <w:r w:rsidRPr="00360E94">
        <w:rPr>
          <w:rFonts w:ascii="Calibri" w:eastAsia="Calibri" w:hAnsi="Calibri"/>
          <w:i/>
          <w:iCs/>
          <w:sz w:val="22"/>
          <w:szCs w:val="22"/>
          <w:lang w:eastAsia="en-US"/>
        </w:rPr>
        <w:t>The Reading Teacher</w:t>
      </w:r>
      <w:r w:rsidRPr="00360E94">
        <w:rPr>
          <w:rFonts w:ascii="Calibri" w:eastAsia="Calibri" w:hAnsi="Calibri"/>
          <w:sz w:val="22"/>
          <w:szCs w:val="22"/>
          <w:lang w:eastAsia="en-US"/>
        </w:rPr>
        <w:t>, </w:t>
      </w:r>
      <w:r w:rsidRPr="00360E94">
        <w:rPr>
          <w:rFonts w:ascii="Calibri" w:eastAsia="Calibri" w:hAnsi="Calibri"/>
          <w:i/>
          <w:iCs/>
          <w:sz w:val="22"/>
          <w:szCs w:val="22"/>
          <w:lang w:eastAsia="en-US"/>
        </w:rPr>
        <w:t>70</w:t>
      </w:r>
      <w:r w:rsidRPr="00360E94">
        <w:rPr>
          <w:rFonts w:ascii="Calibri" w:eastAsia="Calibri" w:hAnsi="Calibri"/>
          <w:sz w:val="22"/>
          <w:szCs w:val="22"/>
          <w:lang w:eastAsia="en-US"/>
        </w:rPr>
        <w:t>(2), pp.189-196.</w:t>
      </w:r>
    </w:p>
    <w:p w14:paraId="06298EC9"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Newton, R. (1999) Pre and post testing. </w:t>
      </w:r>
      <w:r w:rsidRPr="00360E94">
        <w:rPr>
          <w:rFonts w:ascii="Calibri" w:eastAsia="Calibri" w:hAnsi="Calibri"/>
          <w:i/>
          <w:iCs/>
          <w:sz w:val="22"/>
          <w:szCs w:val="22"/>
          <w:lang w:eastAsia="en-US"/>
        </w:rPr>
        <w:t>Evaluation Cookbook, Edinburgh, UK, accessed Nov</w:t>
      </w:r>
      <w:r w:rsidRPr="00360E94">
        <w:rPr>
          <w:rFonts w:ascii="Calibri" w:eastAsia="Calibri" w:hAnsi="Calibri"/>
          <w:sz w:val="22"/>
          <w:szCs w:val="22"/>
          <w:lang w:eastAsia="en-US"/>
        </w:rPr>
        <w:t>, </w:t>
      </w:r>
      <w:r w:rsidRPr="00360E94">
        <w:rPr>
          <w:rFonts w:ascii="Calibri" w:eastAsia="Calibri" w:hAnsi="Calibri"/>
          <w:i/>
          <w:iCs/>
          <w:sz w:val="22"/>
          <w:szCs w:val="22"/>
          <w:lang w:eastAsia="en-US"/>
        </w:rPr>
        <w:t>24</w:t>
      </w:r>
      <w:r w:rsidRPr="00360E94">
        <w:rPr>
          <w:rFonts w:ascii="Calibri" w:eastAsia="Calibri" w:hAnsi="Calibri"/>
          <w:sz w:val="22"/>
          <w:szCs w:val="22"/>
          <w:lang w:eastAsia="en-US"/>
        </w:rPr>
        <w:t>, p.2016.</w:t>
      </w:r>
    </w:p>
    <w:p w14:paraId="03575C10"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 xml:space="preserve">Oakhill, J., Cain, K. &amp; </w:t>
      </w:r>
      <w:proofErr w:type="spellStart"/>
      <w:r w:rsidRPr="00360E94">
        <w:rPr>
          <w:rFonts w:ascii="Calibri" w:eastAsia="Calibri" w:hAnsi="Calibri"/>
          <w:sz w:val="22"/>
          <w:szCs w:val="22"/>
          <w:lang w:eastAsia="en-US"/>
        </w:rPr>
        <w:t>Elbro</w:t>
      </w:r>
      <w:proofErr w:type="spellEnd"/>
      <w:r w:rsidRPr="00360E94">
        <w:rPr>
          <w:rFonts w:ascii="Calibri" w:eastAsia="Calibri" w:hAnsi="Calibri"/>
          <w:sz w:val="22"/>
          <w:szCs w:val="22"/>
          <w:lang w:eastAsia="en-US"/>
        </w:rPr>
        <w:t>, C. (2015) </w:t>
      </w:r>
      <w:r w:rsidRPr="00360E94">
        <w:rPr>
          <w:rFonts w:ascii="Calibri" w:eastAsia="Calibri" w:hAnsi="Calibri"/>
          <w:i/>
          <w:iCs/>
          <w:sz w:val="22"/>
          <w:szCs w:val="22"/>
          <w:lang w:eastAsia="en-US"/>
        </w:rPr>
        <w:t>Understanding and teaching reading comprehension : a handbook</w:t>
      </w:r>
      <w:r w:rsidRPr="00360E94">
        <w:rPr>
          <w:rFonts w:ascii="Calibri" w:eastAsia="Calibri" w:hAnsi="Calibri"/>
          <w:sz w:val="22"/>
          <w:szCs w:val="22"/>
          <w:lang w:eastAsia="en-US"/>
        </w:rPr>
        <w:t>, London: Routledge.</w:t>
      </w:r>
    </w:p>
    <w:p w14:paraId="49737747" w14:textId="77777777" w:rsidR="00360E94" w:rsidRPr="00360E94" w:rsidRDefault="00360E94" w:rsidP="00360E94">
      <w:pPr>
        <w:spacing w:after="160" w:line="259" w:lineRule="auto"/>
        <w:rPr>
          <w:rFonts w:ascii="Calibri" w:eastAsia="Calibri" w:hAnsi="Calibri"/>
          <w:sz w:val="22"/>
          <w:szCs w:val="22"/>
          <w:lang w:eastAsia="en-US"/>
        </w:rPr>
      </w:pPr>
      <w:proofErr w:type="spellStart"/>
      <w:r w:rsidRPr="00360E94">
        <w:rPr>
          <w:rFonts w:ascii="Calibri" w:eastAsia="Calibri" w:hAnsi="Calibri"/>
          <w:sz w:val="22"/>
          <w:szCs w:val="22"/>
          <w:lang w:eastAsia="en-US"/>
        </w:rPr>
        <w:lastRenderedPageBreak/>
        <w:t>Olszak</w:t>
      </w:r>
      <w:proofErr w:type="spellEnd"/>
      <w:r w:rsidRPr="00360E94">
        <w:rPr>
          <w:rFonts w:ascii="Calibri" w:eastAsia="Calibri" w:hAnsi="Calibri"/>
          <w:sz w:val="22"/>
          <w:szCs w:val="22"/>
          <w:lang w:eastAsia="en-US"/>
        </w:rPr>
        <w:t>, I. (2014) Graphic and semantic organizers as cognitive strategies in reading instruction. </w:t>
      </w:r>
      <w:r w:rsidRPr="00360E94">
        <w:rPr>
          <w:rFonts w:ascii="Calibri" w:eastAsia="Calibri" w:hAnsi="Calibri"/>
          <w:i/>
          <w:iCs/>
          <w:sz w:val="22"/>
          <w:szCs w:val="22"/>
          <w:lang w:eastAsia="en-US"/>
        </w:rPr>
        <w:t>Crossroads. A Journal of English Studies</w:t>
      </w:r>
      <w:r w:rsidRPr="00360E94">
        <w:rPr>
          <w:rFonts w:ascii="Calibri" w:eastAsia="Calibri" w:hAnsi="Calibri"/>
          <w:sz w:val="22"/>
          <w:szCs w:val="22"/>
          <w:lang w:eastAsia="en-US"/>
        </w:rPr>
        <w:t>, </w:t>
      </w:r>
      <w:r w:rsidRPr="00360E94">
        <w:rPr>
          <w:rFonts w:ascii="Calibri" w:eastAsia="Calibri" w:hAnsi="Calibri"/>
          <w:i/>
          <w:iCs/>
          <w:sz w:val="22"/>
          <w:szCs w:val="22"/>
          <w:lang w:eastAsia="en-US"/>
        </w:rPr>
        <w:t>6</w:t>
      </w:r>
      <w:r w:rsidRPr="00360E94">
        <w:rPr>
          <w:rFonts w:ascii="Calibri" w:eastAsia="Calibri" w:hAnsi="Calibri"/>
          <w:sz w:val="22"/>
          <w:szCs w:val="22"/>
          <w:lang w:eastAsia="en-US"/>
        </w:rPr>
        <w:t>(3), pp.28-41.</w:t>
      </w:r>
    </w:p>
    <w:p w14:paraId="6DB3B1BC"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 xml:space="preserve">Pressley, M. (2000) What should comprehension instruction be the instruction </w:t>
      </w:r>
      <w:proofErr w:type="gramStart"/>
      <w:r w:rsidRPr="00360E94">
        <w:rPr>
          <w:rFonts w:ascii="Calibri" w:eastAsia="Calibri" w:hAnsi="Calibri"/>
          <w:sz w:val="22"/>
          <w:szCs w:val="22"/>
          <w:lang w:eastAsia="en-US"/>
        </w:rPr>
        <w:t>of?.</w:t>
      </w:r>
      <w:proofErr w:type="gramEnd"/>
    </w:p>
    <w:p w14:paraId="21B67C6C"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 xml:space="preserve">Rapp, D.N. and </w:t>
      </w:r>
      <w:proofErr w:type="spellStart"/>
      <w:r w:rsidRPr="00360E94">
        <w:rPr>
          <w:rFonts w:ascii="Calibri" w:eastAsia="Calibri" w:hAnsi="Calibri"/>
          <w:sz w:val="22"/>
          <w:szCs w:val="22"/>
          <w:lang w:eastAsia="en-US"/>
        </w:rPr>
        <w:t>Kendeou</w:t>
      </w:r>
      <w:proofErr w:type="spellEnd"/>
      <w:r w:rsidRPr="00360E94">
        <w:rPr>
          <w:rFonts w:ascii="Calibri" w:eastAsia="Calibri" w:hAnsi="Calibri"/>
          <w:sz w:val="22"/>
          <w:szCs w:val="22"/>
          <w:lang w:eastAsia="en-US"/>
        </w:rPr>
        <w:t>, P. (2007) Revising what readers know: The effectiveness of refutations as a function of task and content. </w:t>
      </w:r>
      <w:r w:rsidRPr="00360E94">
        <w:rPr>
          <w:rFonts w:ascii="Calibri" w:eastAsia="Calibri" w:hAnsi="Calibri"/>
          <w:i/>
          <w:iCs/>
          <w:sz w:val="22"/>
          <w:szCs w:val="22"/>
          <w:lang w:eastAsia="en-US"/>
        </w:rPr>
        <w:t>Memory &amp; Cognition</w:t>
      </w:r>
      <w:r w:rsidRPr="00360E94">
        <w:rPr>
          <w:rFonts w:ascii="Calibri" w:eastAsia="Calibri" w:hAnsi="Calibri"/>
          <w:sz w:val="22"/>
          <w:szCs w:val="22"/>
          <w:lang w:eastAsia="en-US"/>
        </w:rPr>
        <w:t>, </w:t>
      </w:r>
      <w:r w:rsidRPr="00360E94">
        <w:rPr>
          <w:rFonts w:ascii="Calibri" w:eastAsia="Calibri" w:hAnsi="Calibri"/>
          <w:i/>
          <w:iCs/>
          <w:sz w:val="22"/>
          <w:szCs w:val="22"/>
          <w:lang w:eastAsia="en-US"/>
        </w:rPr>
        <w:t>35</w:t>
      </w:r>
      <w:r w:rsidRPr="00360E94">
        <w:rPr>
          <w:rFonts w:ascii="Calibri" w:eastAsia="Calibri" w:hAnsi="Calibri"/>
          <w:sz w:val="22"/>
          <w:szCs w:val="22"/>
          <w:lang w:eastAsia="en-US"/>
        </w:rPr>
        <w:t>(8), pp.2012-2038.</w:t>
      </w:r>
    </w:p>
    <w:p w14:paraId="70D01046"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 xml:space="preserve">Rawson, K.A. and Van </w:t>
      </w:r>
      <w:proofErr w:type="spellStart"/>
      <w:r w:rsidRPr="00360E94">
        <w:rPr>
          <w:rFonts w:ascii="Calibri" w:eastAsia="Calibri" w:hAnsi="Calibri"/>
          <w:sz w:val="22"/>
          <w:szCs w:val="22"/>
          <w:lang w:eastAsia="en-US"/>
        </w:rPr>
        <w:t>Overschelde</w:t>
      </w:r>
      <w:proofErr w:type="spellEnd"/>
      <w:r w:rsidRPr="00360E94">
        <w:rPr>
          <w:rFonts w:ascii="Calibri" w:eastAsia="Calibri" w:hAnsi="Calibri"/>
          <w:sz w:val="22"/>
          <w:szCs w:val="22"/>
          <w:lang w:eastAsia="en-US"/>
        </w:rPr>
        <w:t>, J.P. (2008) How does knowledge promote memory? The distinctiveness theory of skilled memory. </w:t>
      </w:r>
      <w:r w:rsidRPr="00360E94">
        <w:rPr>
          <w:rFonts w:ascii="Calibri" w:eastAsia="Calibri" w:hAnsi="Calibri"/>
          <w:i/>
          <w:iCs/>
          <w:sz w:val="22"/>
          <w:szCs w:val="22"/>
          <w:lang w:eastAsia="en-US"/>
        </w:rPr>
        <w:t>Journal of Memory and Language</w:t>
      </w:r>
      <w:r w:rsidRPr="00360E94">
        <w:rPr>
          <w:rFonts w:ascii="Calibri" w:eastAsia="Calibri" w:hAnsi="Calibri"/>
          <w:sz w:val="22"/>
          <w:szCs w:val="22"/>
          <w:lang w:eastAsia="en-US"/>
        </w:rPr>
        <w:t>, </w:t>
      </w:r>
      <w:r w:rsidRPr="00360E94">
        <w:rPr>
          <w:rFonts w:ascii="Calibri" w:eastAsia="Calibri" w:hAnsi="Calibri"/>
          <w:i/>
          <w:iCs/>
          <w:sz w:val="22"/>
          <w:szCs w:val="22"/>
          <w:lang w:eastAsia="en-US"/>
        </w:rPr>
        <w:t>58</w:t>
      </w:r>
      <w:r w:rsidRPr="00360E94">
        <w:rPr>
          <w:rFonts w:ascii="Calibri" w:eastAsia="Calibri" w:hAnsi="Calibri"/>
          <w:sz w:val="22"/>
          <w:szCs w:val="22"/>
          <w:lang w:eastAsia="en-US"/>
        </w:rPr>
        <w:t>(3), pp.646-668.</w:t>
      </w:r>
    </w:p>
    <w:p w14:paraId="790D53D9"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 xml:space="preserve">Reed, J.M., </w:t>
      </w:r>
      <w:proofErr w:type="spellStart"/>
      <w:r w:rsidRPr="00360E94">
        <w:rPr>
          <w:rFonts w:ascii="Calibri" w:eastAsia="Calibri" w:hAnsi="Calibri"/>
          <w:sz w:val="22"/>
          <w:szCs w:val="22"/>
          <w:lang w:eastAsia="en-US"/>
        </w:rPr>
        <w:t>Marchand-Martella</w:t>
      </w:r>
      <w:proofErr w:type="spellEnd"/>
      <w:r w:rsidRPr="00360E94">
        <w:rPr>
          <w:rFonts w:ascii="Calibri" w:eastAsia="Calibri" w:hAnsi="Calibri"/>
          <w:sz w:val="22"/>
          <w:szCs w:val="22"/>
          <w:lang w:eastAsia="en-US"/>
        </w:rPr>
        <w:t xml:space="preserve">, N.E., </w:t>
      </w:r>
      <w:proofErr w:type="spellStart"/>
      <w:r w:rsidRPr="00360E94">
        <w:rPr>
          <w:rFonts w:ascii="Calibri" w:eastAsia="Calibri" w:hAnsi="Calibri"/>
          <w:sz w:val="22"/>
          <w:szCs w:val="22"/>
          <w:lang w:eastAsia="en-US"/>
        </w:rPr>
        <w:t>Martella</w:t>
      </w:r>
      <w:proofErr w:type="spellEnd"/>
      <w:r w:rsidRPr="00360E94">
        <w:rPr>
          <w:rFonts w:ascii="Calibri" w:eastAsia="Calibri" w:hAnsi="Calibri"/>
          <w:sz w:val="22"/>
          <w:szCs w:val="22"/>
          <w:lang w:eastAsia="en-US"/>
        </w:rPr>
        <w:t xml:space="preserve">, R.C. and </w:t>
      </w:r>
      <w:proofErr w:type="spellStart"/>
      <w:r w:rsidRPr="00360E94">
        <w:rPr>
          <w:rFonts w:ascii="Calibri" w:eastAsia="Calibri" w:hAnsi="Calibri"/>
          <w:sz w:val="22"/>
          <w:szCs w:val="22"/>
          <w:lang w:eastAsia="en-US"/>
        </w:rPr>
        <w:t>Kolts</w:t>
      </w:r>
      <w:proofErr w:type="spellEnd"/>
      <w:r w:rsidRPr="00360E94">
        <w:rPr>
          <w:rFonts w:ascii="Calibri" w:eastAsia="Calibri" w:hAnsi="Calibri"/>
          <w:sz w:val="22"/>
          <w:szCs w:val="22"/>
          <w:lang w:eastAsia="en-US"/>
        </w:rPr>
        <w:t>, R.L. (2007) Assessing the effects of the Reading Success Level A program with fourth-grade students at a Title I elementary school. </w:t>
      </w:r>
      <w:r w:rsidRPr="00360E94">
        <w:rPr>
          <w:rFonts w:ascii="Calibri" w:eastAsia="Calibri" w:hAnsi="Calibri"/>
          <w:i/>
          <w:iCs/>
          <w:sz w:val="22"/>
          <w:szCs w:val="22"/>
          <w:lang w:eastAsia="en-US"/>
        </w:rPr>
        <w:t>Education and Treatment of Children</w:t>
      </w:r>
      <w:r w:rsidRPr="00360E94">
        <w:rPr>
          <w:rFonts w:ascii="Calibri" w:eastAsia="Calibri" w:hAnsi="Calibri"/>
          <w:sz w:val="22"/>
          <w:szCs w:val="22"/>
          <w:lang w:eastAsia="en-US"/>
        </w:rPr>
        <w:t>, </w:t>
      </w:r>
      <w:r w:rsidRPr="00360E94">
        <w:rPr>
          <w:rFonts w:ascii="Calibri" w:eastAsia="Calibri" w:hAnsi="Calibri"/>
          <w:i/>
          <w:iCs/>
          <w:sz w:val="22"/>
          <w:szCs w:val="22"/>
          <w:lang w:eastAsia="en-US"/>
        </w:rPr>
        <w:t>30</w:t>
      </w:r>
      <w:r w:rsidRPr="00360E94">
        <w:rPr>
          <w:rFonts w:ascii="Calibri" w:eastAsia="Calibri" w:hAnsi="Calibri"/>
          <w:sz w:val="22"/>
          <w:szCs w:val="22"/>
          <w:lang w:eastAsia="en-US"/>
        </w:rPr>
        <w:t>(1), pp.45-68.</w:t>
      </w:r>
    </w:p>
    <w:p w14:paraId="0F56A6F1"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Sadoski, M. (2001) Resolving the effects of concreteness on interest, comprehension, and learning important ideas from text. </w:t>
      </w:r>
      <w:r w:rsidRPr="00360E94">
        <w:rPr>
          <w:rFonts w:ascii="Calibri" w:eastAsia="Calibri" w:hAnsi="Calibri"/>
          <w:i/>
          <w:iCs/>
          <w:sz w:val="22"/>
          <w:szCs w:val="22"/>
          <w:lang w:eastAsia="en-US"/>
        </w:rPr>
        <w:t>Educational Psychology Review</w:t>
      </w:r>
      <w:r w:rsidRPr="00360E94">
        <w:rPr>
          <w:rFonts w:ascii="Calibri" w:eastAsia="Calibri" w:hAnsi="Calibri"/>
          <w:sz w:val="22"/>
          <w:szCs w:val="22"/>
          <w:lang w:eastAsia="en-US"/>
        </w:rPr>
        <w:t>, </w:t>
      </w:r>
      <w:r w:rsidRPr="00360E94">
        <w:rPr>
          <w:rFonts w:ascii="Calibri" w:eastAsia="Calibri" w:hAnsi="Calibri"/>
          <w:i/>
          <w:iCs/>
          <w:sz w:val="22"/>
          <w:szCs w:val="22"/>
          <w:lang w:eastAsia="en-US"/>
        </w:rPr>
        <w:t>13</w:t>
      </w:r>
      <w:r w:rsidRPr="00360E94">
        <w:rPr>
          <w:rFonts w:ascii="Calibri" w:eastAsia="Calibri" w:hAnsi="Calibri"/>
          <w:sz w:val="22"/>
          <w:szCs w:val="22"/>
          <w:lang w:eastAsia="en-US"/>
        </w:rPr>
        <w:t>(3), pp.263-281.</w:t>
      </w:r>
    </w:p>
    <w:p w14:paraId="0A4F2FD0" w14:textId="77777777" w:rsidR="00360E94" w:rsidRPr="00360E94" w:rsidRDefault="00360E94" w:rsidP="00360E94">
      <w:pPr>
        <w:spacing w:after="160" w:line="259" w:lineRule="auto"/>
        <w:rPr>
          <w:rFonts w:ascii="Calibri" w:eastAsia="Calibri" w:hAnsi="Calibri"/>
          <w:sz w:val="22"/>
          <w:szCs w:val="22"/>
          <w:lang w:eastAsia="en-US"/>
        </w:rPr>
      </w:pPr>
      <w:proofErr w:type="spellStart"/>
      <w:r w:rsidRPr="00360E94">
        <w:rPr>
          <w:rFonts w:ascii="Calibri" w:eastAsia="Calibri" w:hAnsi="Calibri"/>
          <w:sz w:val="22"/>
          <w:szCs w:val="22"/>
          <w:lang w:eastAsia="en-US"/>
        </w:rPr>
        <w:t>Samway</w:t>
      </w:r>
      <w:proofErr w:type="spellEnd"/>
      <w:r w:rsidRPr="00360E94">
        <w:rPr>
          <w:rFonts w:ascii="Calibri" w:eastAsia="Calibri" w:hAnsi="Calibri"/>
          <w:sz w:val="22"/>
          <w:szCs w:val="22"/>
          <w:lang w:eastAsia="en-US"/>
        </w:rPr>
        <w:t xml:space="preserve">, K.D., Whang, G., Cade, C., </w:t>
      </w:r>
      <w:proofErr w:type="spellStart"/>
      <w:r w:rsidRPr="00360E94">
        <w:rPr>
          <w:rFonts w:ascii="Calibri" w:eastAsia="Calibri" w:hAnsi="Calibri"/>
          <w:sz w:val="22"/>
          <w:szCs w:val="22"/>
          <w:lang w:eastAsia="en-US"/>
        </w:rPr>
        <w:t>Gamil</w:t>
      </w:r>
      <w:proofErr w:type="spellEnd"/>
      <w:r w:rsidRPr="00360E94">
        <w:rPr>
          <w:rFonts w:ascii="Calibri" w:eastAsia="Calibri" w:hAnsi="Calibri"/>
          <w:sz w:val="22"/>
          <w:szCs w:val="22"/>
          <w:lang w:eastAsia="en-US"/>
        </w:rPr>
        <w:t xml:space="preserve">, M., </w:t>
      </w:r>
      <w:proofErr w:type="spellStart"/>
      <w:r w:rsidRPr="00360E94">
        <w:rPr>
          <w:rFonts w:ascii="Calibri" w:eastAsia="Calibri" w:hAnsi="Calibri"/>
          <w:sz w:val="22"/>
          <w:szCs w:val="22"/>
          <w:lang w:eastAsia="en-US"/>
        </w:rPr>
        <w:t>Lubandina</w:t>
      </w:r>
      <w:proofErr w:type="spellEnd"/>
      <w:r w:rsidRPr="00360E94">
        <w:rPr>
          <w:rFonts w:ascii="Calibri" w:eastAsia="Calibri" w:hAnsi="Calibri"/>
          <w:sz w:val="22"/>
          <w:szCs w:val="22"/>
          <w:lang w:eastAsia="en-US"/>
        </w:rPr>
        <w:t xml:space="preserve">, M.A. and </w:t>
      </w:r>
      <w:proofErr w:type="spellStart"/>
      <w:r w:rsidRPr="00360E94">
        <w:rPr>
          <w:rFonts w:ascii="Calibri" w:eastAsia="Calibri" w:hAnsi="Calibri"/>
          <w:sz w:val="22"/>
          <w:szCs w:val="22"/>
          <w:lang w:eastAsia="en-US"/>
        </w:rPr>
        <w:t>Phommachanh</w:t>
      </w:r>
      <w:proofErr w:type="spellEnd"/>
      <w:r w:rsidRPr="00360E94">
        <w:rPr>
          <w:rFonts w:ascii="Calibri" w:eastAsia="Calibri" w:hAnsi="Calibri"/>
          <w:sz w:val="22"/>
          <w:szCs w:val="22"/>
          <w:lang w:eastAsia="en-US"/>
        </w:rPr>
        <w:t>, K. (1991) Reading the skeleton, the heart, and the brain of a book: Students' perspectives on literature study circles. </w:t>
      </w:r>
      <w:r w:rsidRPr="00360E94">
        <w:rPr>
          <w:rFonts w:ascii="Calibri" w:eastAsia="Calibri" w:hAnsi="Calibri"/>
          <w:i/>
          <w:iCs/>
          <w:sz w:val="22"/>
          <w:szCs w:val="22"/>
          <w:lang w:eastAsia="en-US"/>
        </w:rPr>
        <w:t>The Reading Teacher</w:t>
      </w:r>
      <w:r w:rsidRPr="00360E94">
        <w:rPr>
          <w:rFonts w:ascii="Calibri" w:eastAsia="Calibri" w:hAnsi="Calibri"/>
          <w:sz w:val="22"/>
          <w:szCs w:val="22"/>
          <w:lang w:eastAsia="en-US"/>
        </w:rPr>
        <w:t>, </w:t>
      </w:r>
      <w:r w:rsidRPr="00360E94">
        <w:rPr>
          <w:rFonts w:ascii="Calibri" w:eastAsia="Calibri" w:hAnsi="Calibri"/>
          <w:i/>
          <w:iCs/>
          <w:sz w:val="22"/>
          <w:szCs w:val="22"/>
          <w:lang w:eastAsia="en-US"/>
        </w:rPr>
        <w:t>45</w:t>
      </w:r>
      <w:r w:rsidRPr="00360E94">
        <w:rPr>
          <w:rFonts w:ascii="Calibri" w:eastAsia="Calibri" w:hAnsi="Calibri"/>
          <w:sz w:val="22"/>
          <w:szCs w:val="22"/>
          <w:lang w:eastAsia="en-US"/>
        </w:rPr>
        <w:t>(3), pp.196-205.</w:t>
      </w:r>
    </w:p>
    <w:p w14:paraId="1AEA0440" w14:textId="77777777" w:rsidR="00360E94" w:rsidRPr="00360E94" w:rsidRDefault="00360E94" w:rsidP="00360E94">
      <w:pPr>
        <w:spacing w:after="160" w:line="259" w:lineRule="auto"/>
        <w:rPr>
          <w:rFonts w:ascii="Calibri" w:eastAsia="Calibri" w:hAnsi="Calibri"/>
          <w:sz w:val="22"/>
          <w:szCs w:val="22"/>
          <w:lang w:eastAsia="en-US"/>
        </w:rPr>
      </w:pPr>
      <w:proofErr w:type="spellStart"/>
      <w:r w:rsidRPr="00360E94">
        <w:rPr>
          <w:rFonts w:ascii="Calibri" w:eastAsia="Calibri" w:hAnsi="Calibri"/>
          <w:sz w:val="22"/>
          <w:szCs w:val="22"/>
          <w:lang w:eastAsia="en-US"/>
        </w:rPr>
        <w:t>Smolkin</w:t>
      </w:r>
      <w:proofErr w:type="spellEnd"/>
      <w:r w:rsidRPr="00360E94">
        <w:rPr>
          <w:rFonts w:ascii="Calibri" w:eastAsia="Calibri" w:hAnsi="Calibri"/>
          <w:sz w:val="22"/>
          <w:szCs w:val="22"/>
          <w:lang w:eastAsia="en-US"/>
        </w:rPr>
        <w:t xml:space="preserve">, L.B. and Donovan, C.A. (2002) Oh, excellent, excellent </w:t>
      </w:r>
      <w:proofErr w:type="gramStart"/>
      <w:r w:rsidRPr="00360E94">
        <w:rPr>
          <w:rFonts w:ascii="Calibri" w:eastAsia="Calibri" w:hAnsi="Calibri"/>
          <w:sz w:val="22"/>
          <w:szCs w:val="22"/>
          <w:lang w:eastAsia="en-US"/>
        </w:rPr>
        <w:t>question!:</w:t>
      </w:r>
      <w:proofErr w:type="gramEnd"/>
      <w:r w:rsidRPr="00360E94">
        <w:rPr>
          <w:rFonts w:ascii="Calibri" w:eastAsia="Calibri" w:hAnsi="Calibri"/>
          <w:sz w:val="22"/>
          <w:szCs w:val="22"/>
          <w:lang w:eastAsia="en-US"/>
        </w:rPr>
        <w:t xml:space="preserve"> Developmental differences and comprehension acquisition. </w:t>
      </w:r>
      <w:r w:rsidRPr="00360E94">
        <w:rPr>
          <w:rFonts w:ascii="Calibri" w:eastAsia="Calibri" w:hAnsi="Calibri"/>
          <w:i/>
          <w:iCs/>
          <w:sz w:val="22"/>
          <w:szCs w:val="22"/>
          <w:lang w:eastAsia="en-US"/>
        </w:rPr>
        <w:t>Comprehension instruction: Research-based best practices</w:t>
      </w:r>
      <w:r w:rsidRPr="00360E94">
        <w:rPr>
          <w:rFonts w:ascii="Calibri" w:eastAsia="Calibri" w:hAnsi="Calibri"/>
          <w:sz w:val="22"/>
          <w:szCs w:val="22"/>
          <w:lang w:eastAsia="en-US"/>
        </w:rPr>
        <w:t>, pp.140-157.</w:t>
      </w:r>
    </w:p>
    <w:p w14:paraId="1EB1BBE1"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Snow, CE, Burns, MS, &amp; Griffin, P.(eds.). (1998) Preventing reading difficulties in young children. Washington, DC: National Academy Press, 432 pp., $35.95. </w:t>
      </w:r>
      <w:r w:rsidRPr="00360E94">
        <w:rPr>
          <w:rFonts w:ascii="Calibri" w:eastAsia="Calibri" w:hAnsi="Calibri"/>
          <w:i/>
          <w:iCs/>
          <w:sz w:val="22"/>
          <w:szCs w:val="22"/>
          <w:lang w:eastAsia="en-US"/>
        </w:rPr>
        <w:t>Psychology in the Schools</w:t>
      </w:r>
      <w:r w:rsidRPr="00360E94">
        <w:rPr>
          <w:rFonts w:ascii="Calibri" w:eastAsia="Calibri" w:hAnsi="Calibri"/>
          <w:sz w:val="22"/>
          <w:szCs w:val="22"/>
          <w:lang w:eastAsia="en-US"/>
        </w:rPr>
        <w:t>, </w:t>
      </w:r>
      <w:r w:rsidRPr="00360E94">
        <w:rPr>
          <w:rFonts w:ascii="Calibri" w:eastAsia="Calibri" w:hAnsi="Calibri"/>
          <w:i/>
          <w:iCs/>
          <w:sz w:val="22"/>
          <w:szCs w:val="22"/>
          <w:lang w:eastAsia="en-US"/>
        </w:rPr>
        <w:t>39</w:t>
      </w:r>
      <w:r w:rsidRPr="00360E94">
        <w:rPr>
          <w:rFonts w:ascii="Calibri" w:eastAsia="Calibri" w:hAnsi="Calibri"/>
          <w:sz w:val="22"/>
          <w:szCs w:val="22"/>
          <w:lang w:eastAsia="en-US"/>
        </w:rPr>
        <w:t>(3), pp.343-344.</w:t>
      </w:r>
    </w:p>
    <w:p w14:paraId="23817C29"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Sweet, A.P. and Snow, C.E. (2003) </w:t>
      </w:r>
      <w:r w:rsidRPr="00360E94">
        <w:rPr>
          <w:rFonts w:ascii="Calibri" w:eastAsia="Calibri" w:hAnsi="Calibri"/>
          <w:i/>
          <w:iCs/>
          <w:sz w:val="22"/>
          <w:szCs w:val="22"/>
          <w:lang w:eastAsia="en-US"/>
        </w:rPr>
        <w:t>Rethinking Reading Comprehension. Solving Problems in the Teaching of Literacy</w:t>
      </w:r>
      <w:r w:rsidRPr="00360E94">
        <w:rPr>
          <w:rFonts w:ascii="Calibri" w:eastAsia="Calibri" w:hAnsi="Calibri"/>
          <w:sz w:val="22"/>
          <w:szCs w:val="22"/>
          <w:lang w:eastAsia="en-US"/>
        </w:rPr>
        <w:t xml:space="preserve">. Guilford Publications, Inc., Dept. 3R, 72 Spring St., New York, NY 10012 </w:t>
      </w:r>
    </w:p>
    <w:p w14:paraId="3984E712" w14:textId="77777777" w:rsidR="00360E94" w:rsidRPr="00360E94" w:rsidRDefault="00360E94" w:rsidP="00360E94">
      <w:pPr>
        <w:spacing w:after="160" w:line="259" w:lineRule="auto"/>
        <w:rPr>
          <w:rFonts w:ascii="Calibri" w:eastAsia="Calibri" w:hAnsi="Calibri"/>
          <w:iCs/>
          <w:sz w:val="22"/>
          <w:szCs w:val="22"/>
          <w:lang w:eastAsia="en-US"/>
        </w:rPr>
      </w:pPr>
      <w:proofErr w:type="spellStart"/>
      <w:r w:rsidRPr="00360E94">
        <w:rPr>
          <w:rFonts w:ascii="Calibri" w:eastAsia="Calibri" w:hAnsi="Calibri"/>
          <w:iCs/>
          <w:sz w:val="22"/>
          <w:szCs w:val="22"/>
          <w:lang w:eastAsia="en-US"/>
        </w:rPr>
        <w:t>Taboada</w:t>
      </w:r>
      <w:proofErr w:type="spellEnd"/>
      <w:r w:rsidRPr="00360E94">
        <w:rPr>
          <w:rFonts w:ascii="Calibri" w:eastAsia="Calibri" w:hAnsi="Calibri"/>
          <w:iCs/>
          <w:sz w:val="22"/>
          <w:szCs w:val="22"/>
          <w:lang w:eastAsia="en-US"/>
        </w:rPr>
        <w:t>, A. and Guthrie, J.T. (2006) Contributions of student questioning and prior knowledge to construction of knowledge from reading information text. </w:t>
      </w:r>
      <w:r w:rsidRPr="00360E94">
        <w:rPr>
          <w:rFonts w:ascii="Calibri" w:eastAsia="Calibri" w:hAnsi="Calibri"/>
          <w:i/>
          <w:iCs/>
          <w:sz w:val="22"/>
          <w:szCs w:val="22"/>
          <w:lang w:eastAsia="en-US"/>
        </w:rPr>
        <w:t>Journal of literacy research</w:t>
      </w:r>
      <w:r w:rsidRPr="00360E94">
        <w:rPr>
          <w:rFonts w:ascii="Calibri" w:eastAsia="Calibri" w:hAnsi="Calibri"/>
          <w:iCs/>
          <w:sz w:val="22"/>
          <w:szCs w:val="22"/>
          <w:lang w:eastAsia="en-US"/>
        </w:rPr>
        <w:t>, </w:t>
      </w:r>
      <w:r w:rsidRPr="00360E94">
        <w:rPr>
          <w:rFonts w:ascii="Calibri" w:eastAsia="Calibri" w:hAnsi="Calibri"/>
          <w:i/>
          <w:iCs/>
          <w:sz w:val="22"/>
          <w:szCs w:val="22"/>
          <w:lang w:eastAsia="en-US"/>
        </w:rPr>
        <w:t>38</w:t>
      </w:r>
      <w:r w:rsidRPr="00360E94">
        <w:rPr>
          <w:rFonts w:ascii="Calibri" w:eastAsia="Calibri" w:hAnsi="Calibri"/>
          <w:iCs/>
          <w:sz w:val="22"/>
          <w:szCs w:val="22"/>
          <w:lang w:eastAsia="en-US"/>
        </w:rPr>
        <w:t>(1), pp.1-35.</w:t>
      </w:r>
    </w:p>
    <w:p w14:paraId="3AA15D87" w14:textId="77777777" w:rsidR="00360E94" w:rsidRPr="00360E94" w:rsidRDefault="00360E94" w:rsidP="00360E94">
      <w:pPr>
        <w:spacing w:after="160" w:line="259" w:lineRule="auto"/>
        <w:rPr>
          <w:rFonts w:ascii="Calibri" w:eastAsia="Calibri" w:hAnsi="Calibri"/>
          <w:iCs/>
          <w:sz w:val="22"/>
          <w:szCs w:val="22"/>
          <w:lang w:eastAsia="en-US"/>
        </w:rPr>
      </w:pPr>
      <w:proofErr w:type="spellStart"/>
      <w:r w:rsidRPr="00360E94">
        <w:rPr>
          <w:rFonts w:ascii="Calibri" w:eastAsia="Calibri" w:hAnsi="Calibri"/>
          <w:iCs/>
          <w:sz w:val="22"/>
          <w:szCs w:val="22"/>
          <w:lang w:eastAsia="en-US"/>
        </w:rPr>
        <w:t>Thoung</w:t>
      </w:r>
      <w:proofErr w:type="spellEnd"/>
      <w:r w:rsidRPr="00360E94">
        <w:rPr>
          <w:rFonts w:ascii="Calibri" w:eastAsia="Calibri" w:hAnsi="Calibri"/>
          <w:iCs/>
          <w:sz w:val="22"/>
          <w:szCs w:val="22"/>
          <w:lang w:eastAsia="en-US"/>
        </w:rPr>
        <w:t xml:space="preserve">, C., Kempton, J., and Davison, H. (2014) </w:t>
      </w:r>
      <w:r w:rsidRPr="00360E94">
        <w:rPr>
          <w:rFonts w:ascii="Calibri" w:eastAsia="Calibri" w:hAnsi="Calibri"/>
          <w:i/>
          <w:iCs/>
          <w:sz w:val="22"/>
          <w:szCs w:val="22"/>
          <w:lang w:eastAsia="en-US"/>
        </w:rPr>
        <w:t>Progress matters in primary too</w:t>
      </w:r>
      <w:r w:rsidRPr="00360E94">
        <w:rPr>
          <w:rFonts w:ascii="Calibri" w:eastAsia="Calibri" w:hAnsi="Calibri"/>
          <w:iCs/>
          <w:sz w:val="22"/>
          <w:szCs w:val="22"/>
          <w:lang w:eastAsia="en-US"/>
        </w:rPr>
        <w:t>.</w:t>
      </w:r>
    </w:p>
    <w:p w14:paraId="5B8DE287" w14:textId="77777777" w:rsidR="00360E94" w:rsidRPr="00360E94" w:rsidRDefault="00360E94" w:rsidP="00360E94">
      <w:pPr>
        <w:spacing w:after="160" w:line="259" w:lineRule="auto"/>
        <w:rPr>
          <w:rFonts w:ascii="Calibri" w:eastAsia="Calibri" w:hAnsi="Calibri"/>
          <w:iCs/>
          <w:sz w:val="22"/>
          <w:szCs w:val="22"/>
          <w:lang w:eastAsia="en-US"/>
        </w:rPr>
      </w:pPr>
      <w:proofErr w:type="spellStart"/>
      <w:r w:rsidRPr="00360E94">
        <w:rPr>
          <w:rFonts w:ascii="Calibri" w:eastAsia="Calibri" w:hAnsi="Calibri"/>
          <w:iCs/>
          <w:sz w:val="22"/>
          <w:szCs w:val="22"/>
          <w:lang w:eastAsia="en-US"/>
        </w:rPr>
        <w:t>Therrien</w:t>
      </w:r>
      <w:proofErr w:type="spellEnd"/>
      <w:r w:rsidRPr="00360E94">
        <w:rPr>
          <w:rFonts w:ascii="Calibri" w:eastAsia="Calibri" w:hAnsi="Calibri"/>
          <w:iCs/>
          <w:sz w:val="22"/>
          <w:szCs w:val="22"/>
          <w:lang w:eastAsia="en-US"/>
        </w:rPr>
        <w:t>, W.J. and Hughes, C., 2008. Comparison of Repeated Reading and Question Generation on Students' Reading Fluency and Comprehension. </w:t>
      </w:r>
      <w:r w:rsidRPr="00360E94">
        <w:rPr>
          <w:rFonts w:ascii="Calibri" w:eastAsia="Calibri" w:hAnsi="Calibri"/>
          <w:i/>
          <w:iCs/>
          <w:sz w:val="22"/>
          <w:szCs w:val="22"/>
          <w:lang w:eastAsia="en-US"/>
        </w:rPr>
        <w:t>Learning disabilities: A contemporary journal</w:t>
      </w:r>
      <w:r w:rsidRPr="00360E94">
        <w:rPr>
          <w:rFonts w:ascii="Calibri" w:eastAsia="Calibri" w:hAnsi="Calibri"/>
          <w:iCs/>
          <w:sz w:val="22"/>
          <w:szCs w:val="22"/>
          <w:lang w:eastAsia="en-US"/>
        </w:rPr>
        <w:t>, </w:t>
      </w:r>
      <w:r w:rsidRPr="00360E94">
        <w:rPr>
          <w:rFonts w:ascii="Calibri" w:eastAsia="Calibri" w:hAnsi="Calibri"/>
          <w:i/>
          <w:iCs/>
          <w:sz w:val="22"/>
          <w:szCs w:val="22"/>
          <w:lang w:eastAsia="en-US"/>
        </w:rPr>
        <w:t>6</w:t>
      </w:r>
      <w:r w:rsidRPr="00360E94">
        <w:rPr>
          <w:rFonts w:ascii="Calibri" w:eastAsia="Calibri" w:hAnsi="Calibri"/>
          <w:iCs/>
          <w:sz w:val="22"/>
          <w:szCs w:val="22"/>
          <w:lang w:eastAsia="en-US"/>
        </w:rPr>
        <w:t>(1), pp.1-16.</w:t>
      </w:r>
    </w:p>
    <w:p w14:paraId="6D3830C1" w14:textId="77777777" w:rsidR="00360E94" w:rsidRPr="00360E94" w:rsidRDefault="00360E94" w:rsidP="00360E94">
      <w:pPr>
        <w:spacing w:after="160" w:line="259" w:lineRule="auto"/>
        <w:rPr>
          <w:rFonts w:ascii="Calibri" w:eastAsia="Calibri" w:hAnsi="Calibri"/>
          <w:iCs/>
          <w:sz w:val="22"/>
          <w:szCs w:val="22"/>
          <w:lang w:eastAsia="en-US"/>
        </w:rPr>
      </w:pPr>
      <w:r w:rsidRPr="00360E94">
        <w:rPr>
          <w:rFonts w:ascii="Calibri" w:eastAsia="Calibri" w:hAnsi="Calibri"/>
          <w:iCs/>
          <w:sz w:val="22"/>
          <w:szCs w:val="22"/>
          <w:lang w:eastAsia="en-US"/>
        </w:rPr>
        <w:t>Van Meter, P. (2001) Drawing construction as a strategy for learning from text. </w:t>
      </w:r>
      <w:r w:rsidRPr="00360E94">
        <w:rPr>
          <w:rFonts w:ascii="Calibri" w:eastAsia="Calibri" w:hAnsi="Calibri"/>
          <w:i/>
          <w:iCs/>
          <w:sz w:val="22"/>
          <w:szCs w:val="22"/>
          <w:lang w:eastAsia="en-US"/>
        </w:rPr>
        <w:t>Journal of educational psychology</w:t>
      </w:r>
      <w:r w:rsidRPr="00360E94">
        <w:rPr>
          <w:rFonts w:ascii="Calibri" w:eastAsia="Calibri" w:hAnsi="Calibri"/>
          <w:iCs/>
          <w:sz w:val="22"/>
          <w:szCs w:val="22"/>
          <w:lang w:eastAsia="en-US"/>
        </w:rPr>
        <w:t>, </w:t>
      </w:r>
      <w:r w:rsidRPr="00360E94">
        <w:rPr>
          <w:rFonts w:ascii="Calibri" w:eastAsia="Calibri" w:hAnsi="Calibri"/>
          <w:i/>
          <w:iCs/>
          <w:sz w:val="22"/>
          <w:szCs w:val="22"/>
          <w:lang w:eastAsia="en-US"/>
        </w:rPr>
        <w:t>93</w:t>
      </w:r>
      <w:r w:rsidRPr="00360E94">
        <w:rPr>
          <w:rFonts w:ascii="Calibri" w:eastAsia="Calibri" w:hAnsi="Calibri"/>
          <w:iCs/>
          <w:sz w:val="22"/>
          <w:szCs w:val="22"/>
          <w:lang w:eastAsia="en-US"/>
        </w:rPr>
        <w:t>(1), p.129.</w:t>
      </w:r>
    </w:p>
    <w:p w14:paraId="1FB3428B" w14:textId="77777777" w:rsidR="00360E94" w:rsidRPr="00360E94" w:rsidRDefault="00360E94" w:rsidP="00360E94">
      <w:pPr>
        <w:spacing w:after="160" w:line="259" w:lineRule="auto"/>
        <w:rPr>
          <w:rFonts w:ascii="Calibri" w:eastAsia="Calibri" w:hAnsi="Calibri"/>
          <w:iCs/>
          <w:sz w:val="22"/>
          <w:szCs w:val="22"/>
          <w:lang w:eastAsia="en-US"/>
        </w:rPr>
      </w:pPr>
      <w:r w:rsidRPr="00360E94">
        <w:rPr>
          <w:rFonts w:ascii="Calibri" w:eastAsia="Calibri" w:hAnsi="Calibri"/>
          <w:iCs/>
          <w:sz w:val="22"/>
          <w:szCs w:val="22"/>
          <w:lang w:eastAsia="en-US"/>
        </w:rPr>
        <w:t xml:space="preserve">Weinstein, Y., McDermott, K.B. and </w:t>
      </w:r>
      <w:proofErr w:type="spellStart"/>
      <w:r w:rsidRPr="00360E94">
        <w:rPr>
          <w:rFonts w:ascii="Calibri" w:eastAsia="Calibri" w:hAnsi="Calibri"/>
          <w:iCs/>
          <w:sz w:val="22"/>
          <w:szCs w:val="22"/>
          <w:lang w:eastAsia="en-US"/>
        </w:rPr>
        <w:t>Roediger</w:t>
      </w:r>
      <w:proofErr w:type="spellEnd"/>
      <w:r w:rsidRPr="00360E94">
        <w:rPr>
          <w:rFonts w:ascii="Calibri" w:eastAsia="Calibri" w:hAnsi="Calibri"/>
          <w:iCs/>
          <w:sz w:val="22"/>
          <w:szCs w:val="22"/>
          <w:lang w:eastAsia="en-US"/>
        </w:rPr>
        <w:t xml:space="preserve"> III, H.L. (2010) A comparison of study strategies for passages: Rereading, answering questions, and generating questions. </w:t>
      </w:r>
      <w:r w:rsidRPr="00360E94">
        <w:rPr>
          <w:rFonts w:ascii="Calibri" w:eastAsia="Calibri" w:hAnsi="Calibri"/>
          <w:i/>
          <w:iCs/>
          <w:sz w:val="22"/>
          <w:szCs w:val="22"/>
          <w:lang w:eastAsia="en-US"/>
        </w:rPr>
        <w:t>Journal of Experimental Psychology: Applied</w:t>
      </w:r>
      <w:r w:rsidRPr="00360E94">
        <w:rPr>
          <w:rFonts w:ascii="Calibri" w:eastAsia="Calibri" w:hAnsi="Calibri"/>
          <w:iCs/>
          <w:sz w:val="22"/>
          <w:szCs w:val="22"/>
          <w:lang w:eastAsia="en-US"/>
        </w:rPr>
        <w:t>, </w:t>
      </w:r>
      <w:r w:rsidRPr="00360E94">
        <w:rPr>
          <w:rFonts w:ascii="Calibri" w:eastAsia="Calibri" w:hAnsi="Calibri"/>
          <w:i/>
          <w:iCs/>
          <w:sz w:val="22"/>
          <w:szCs w:val="22"/>
          <w:lang w:eastAsia="en-US"/>
        </w:rPr>
        <w:t>16</w:t>
      </w:r>
      <w:r w:rsidRPr="00360E94">
        <w:rPr>
          <w:rFonts w:ascii="Calibri" w:eastAsia="Calibri" w:hAnsi="Calibri"/>
          <w:iCs/>
          <w:sz w:val="22"/>
          <w:szCs w:val="22"/>
          <w:lang w:eastAsia="en-US"/>
        </w:rPr>
        <w:t>(3), p.308.</w:t>
      </w:r>
    </w:p>
    <w:p w14:paraId="3B0C8DA9"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Welsh Government (2013). </w:t>
      </w:r>
      <w:r w:rsidRPr="00360E94">
        <w:rPr>
          <w:rFonts w:ascii="Calibri" w:eastAsia="Calibri" w:hAnsi="Calibri"/>
          <w:i/>
          <w:iCs/>
          <w:sz w:val="22"/>
          <w:szCs w:val="22"/>
          <w:lang w:eastAsia="en-US"/>
        </w:rPr>
        <w:t>National Literacy and Numeracy Framework, information document No. 120/2013</w:t>
      </w:r>
      <w:r w:rsidRPr="00360E94">
        <w:rPr>
          <w:rFonts w:ascii="Calibri" w:eastAsia="Calibri" w:hAnsi="Calibri"/>
          <w:sz w:val="22"/>
          <w:szCs w:val="22"/>
          <w:lang w:eastAsia="en-US"/>
        </w:rPr>
        <w:t>. Cardiff: Welsh Government.</w:t>
      </w:r>
    </w:p>
    <w:p w14:paraId="6BA36AF4" w14:textId="77777777" w:rsidR="00360E94" w:rsidRPr="00360E94" w:rsidRDefault="00360E94" w:rsidP="00360E94">
      <w:pPr>
        <w:spacing w:after="160" w:line="259" w:lineRule="auto"/>
        <w:rPr>
          <w:rFonts w:ascii="Calibri" w:eastAsia="Calibri" w:hAnsi="Calibri"/>
          <w:sz w:val="22"/>
          <w:szCs w:val="22"/>
          <w:lang w:eastAsia="en-US"/>
        </w:rPr>
      </w:pPr>
      <w:r w:rsidRPr="00360E94">
        <w:rPr>
          <w:rFonts w:ascii="Calibri" w:eastAsia="Calibri" w:hAnsi="Calibri"/>
          <w:sz w:val="22"/>
          <w:szCs w:val="22"/>
          <w:lang w:eastAsia="en-US"/>
        </w:rPr>
        <w:t xml:space="preserve">Wilson, J.M., </w:t>
      </w:r>
      <w:proofErr w:type="spellStart"/>
      <w:r w:rsidRPr="00360E94">
        <w:rPr>
          <w:rFonts w:ascii="Calibri" w:eastAsia="Calibri" w:hAnsi="Calibri"/>
          <w:sz w:val="22"/>
          <w:szCs w:val="22"/>
          <w:lang w:eastAsia="en-US"/>
        </w:rPr>
        <w:t>Lerski</w:t>
      </w:r>
      <w:proofErr w:type="spellEnd"/>
      <w:r w:rsidRPr="00360E94">
        <w:rPr>
          <w:rFonts w:ascii="Calibri" w:eastAsia="Calibri" w:hAnsi="Calibri"/>
          <w:sz w:val="22"/>
          <w:szCs w:val="22"/>
          <w:lang w:eastAsia="en-US"/>
        </w:rPr>
        <w:t xml:space="preserve">, R.A. and </w:t>
      </w:r>
      <w:proofErr w:type="spellStart"/>
      <w:r w:rsidRPr="00360E94">
        <w:rPr>
          <w:rFonts w:ascii="Calibri" w:eastAsia="Calibri" w:hAnsi="Calibri"/>
          <w:sz w:val="22"/>
          <w:szCs w:val="22"/>
          <w:lang w:eastAsia="en-US"/>
        </w:rPr>
        <w:t>Hau</w:t>
      </w:r>
      <w:proofErr w:type="spellEnd"/>
      <w:r w:rsidRPr="00360E94">
        <w:rPr>
          <w:rFonts w:ascii="Calibri" w:eastAsia="Calibri" w:hAnsi="Calibri"/>
          <w:sz w:val="22"/>
          <w:szCs w:val="22"/>
          <w:lang w:eastAsia="en-US"/>
        </w:rPr>
        <w:t>, C. (1998) Pre-and post-testing in evaluating a CAL program: preliminary findings. </w:t>
      </w:r>
      <w:r w:rsidRPr="00360E94">
        <w:rPr>
          <w:rFonts w:ascii="Calibri" w:eastAsia="Calibri" w:hAnsi="Calibri"/>
          <w:i/>
          <w:iCs/>
          <w:sz w:val="22"/>
          <w:szCs w:val="22"/>
          <w:lang w:eastAsia="en-US"/>
        </w:rPr>
        <w:t>ALT-J</w:t>
      </w:r>
      <w:r w:rsidRPr="00360E94">
        <w:rPr>
          <w:rFonts w:ascii="Calibri" w:eastAsia="Calibri" w:hAnsi="Calibri"/>
          <w:sz w:val="22"/>
          <w:szCs w:val="22"/>
          <w:lang w:eastAsia="en-US"/>
        </w:rPr>
        <w:t>, </w:t>
      </w:r>
      <w:r w:rsidRPr="00360E94">
        <w:rPr>
          <w:rFonts w:ascii="Calibri" w:eastAsia="Calibri" w:hAnsi="Calibri"/>
          <w:i/>
          <w:iCs/>
          <w:sz w:val="22"/>
          <w:szCs w:val="22"/>
          <w:lang w:eastAsia="en-US"/>
        </w:rPr>
        <w:t>6</w:t>
      </w:r>
      <w:r w:rsidRPr="00360E94">
        <w:rPr>
          <w:rFonts w:ascii="Calibri" w:eastAsia="Calibri" w:hAnsi="Calibri"/>
          <w:sz w:val="22"/>
          <w:szCs w:val="22"/>
          <w:lang w:eastAsia="en-US"/>
        </w:rPr>
        <w:t>(1), pp.19-24.</w:t>
      </w:r>
    </w:p>
    <w:p w14:paraId="774AF551" w14:textId="77777777" w:rsidR="00360E94" w:rsidRPr="00360E94" w:rsidRDefault="00360E94" w:rsidP="00360E94">
      <w:pPr>
        <w:spacing w:after="160" w:line="259" w:lineRule="auto"/>
        <w:rPr>
          <w:rFonts w:ascii="Calibri" w:eastAsia="Calibri" w:hAnsi="Calibri"/>
          <w:sz w:val="22"/>
          <w:szCs w:val="22"/>
          <w:lang w:eastAsia="en-US"/>
        </w:rPr>
      </w:pPr>
      <w:proofErr w:type="spellStart"/>
      <w:r w:rsidRPr="00360E94">
        <w:rPr>
          <w:rFonts w:ascii="Calibri" w:eastAsia="Calibri" w:hAnsi="Calibri"/>
          <w:sz w:val="22"/>
          <w:szCs w:val="22"/>
          <w:lang w:eastAsia="en-US"/>
        </w:rPr>
        <w:lastRenderedPageBreak/>
        <w:t>Zoller</w:t>
      </w:r>
      <w:proofErr w:type="spellEnd"/>
      <w:r w:rsidRPr="00360E94">
        <w:rPr>
          <w:rFonts w:ascii="Calibri" w:eastAsia="Calibri" w:hAnsi="Calibri"/>
          <w:sz w:val="22"/>
          <w:szCs w:val="22"/>
          <w:lang w:eastAsia="en-US"/>
        </w:rPr>
        <w:t>, U. (1993) Are lecture and learning compatible? Maybe for LOCS: Unlikely for HOCS.</w:t>
      </w:r>
    </w:p>
    <w:p w14:paraId="53305F8E" w14:textId="77777777" w:rsidR="00360E94" w:rsidRPr="00360E94" w:rsidRDefault="00360E94" w:rsidP="00360E94">
      <w:pPr>
        <w:spacing w:before="240" w:after="160" w:line="259" w:lineRule="auto"/>
        <w:rPr>
          <w:rFonts w:ascii="Calibri" w:eastAsia="Calibri" w:hAnsi="Calibri" w:cs="Calibri"/>
          <w:color w:val="0A0A0A"/>
          <w:sz w:val="22"/>
          <w:szCs w:val="22"/>
          <w:shd w:val="clear" w:color="auto" w:fill="FFFFFF"/>
          <w:lang w:eastAsia="en-US"/>
        </w:rPr>
      </w:pPr>
    </w:p>
    <w:p w14:paraId="594BB62C" w14:textId="77777777" w:rsidR="00360E94" w:rsidRPr="00B97B03" w:rsidRDefault="00360E94" w:rsidP="00050AF9">
      <w:pPr>
        <w:rPr>
          <w:rFonts w:ascii="Arial" w:hAnsi="Arial" w:cs="Arial"/>
          <w:sz w:val="32"/>
        </w:rPr>
      </w:pPr>
    </w:p>
    <w:sectPr w:rsidR="00360E94" w:rsidRPr="00B97B03" w:rsidSect="00360E94">
      <w:footerReference w:type="default" r:id="rId11"/>
      <w:pgSz w:w="11894" w:h="16834"/>
      <w:pgMar w:top="1440" w:right="1440" w:bottom="1440" w:left="1440" w:header="709" w:footer="709"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EF8633" w14:textId="77777777" w:rsidR="00601942" w:rsidRDefault="00601942">
      <w:r>
        <w:separator/>
      </w:r>
    </w:p>
  </w:endnote>
  <w:endnote w:type="continuationSeparator" w:id="0">
    <w:p w14:paraId="5C0AA39E" w14:textId="77777777" w:rsidR="00601942" w:rsidRDefault="00601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5D478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A0EF53" w14:textId="77777777" w:rsidR="00601942" w:rsidRDefault="00601942">
      <w:r>
        <w:separator/>
      </w:r>
    </w:p>
  </w:footnote>
  <w:footnote w:type="continuationSeparator" w:id="0">
    <w:p w14:paraId="13219AD3" w14:textId="77777777" w:rsidR="00601942" w:rsidRDefault="0060194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762491"/>
    <w:multiLevelType w:val="multilevel"/>
    <w:tmpl w:val="01F8E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B13503"/>
    <w:multiLevelType w:val="multilevel"/>
    <w:tmpl w:val="D0A01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21F368E"/>
    <w:multiLevelType w:val="multilevel"/>
    <w:tmpl w:val="4A867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8"/>
  </w:num>
  <w:num w:numId="4">
    <w:abstractNumId w:val="12"/>
  </w:num>
  <w:num w:numId="5">
    <w:abstractNumId w:val="8"/>
  </w:num>
  <w:num w:numId="6">
    <w:abstractNumId w:val="17"/>
  </w:num>
  <w:num w:numId="7">
    <w:abstractNumId w:val="3"/>
  </w:num>
  <w:num w:numId="8">
    <w:abstractNumId w:val="16"/>
  </w:num>
  <w:num w:numId="9">
    <w:abstractNumId w:val="11"/>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4"/>
  </w:num>
  <w:num w:numId="18">
    <w:abstractNumId w:val="13"/>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50AF9"/>
    <w:rsid w:val="000822E5"/>
    <w:rsid w:val="000971FC"/>
    <w:rsid w:val="000A2A3A"/>
    <w:rsid w:val="000A492A"/>
    <w:rsid w:val="000B6520"/>
    <w:rsid w:val="000C1CC6"/>
    <w:rsid w:val="000C4F03"/>
    <w:rsid w:val="000D2F80"/>
    <w:rsid w:val="000E413A"/>
    <w:rsid w:val="000E4D2B"/>
    <w:rsid w:val="000F5AA3"/>
    <w:rsid w:val="00100396"/>
    <w:rsid w:val="00100B5C"/>
    <w:rsid w:val="00103507"/>
    <w:rsid w:val="001106E9"/>
    <w:rsid w:val="00124CA5"/>
    <w:rsid w:val="00134F77"/>
    <w:rsid w:val="00152E9D"/>
    <w:rsid w:val="00154487"/>
    <w:rsid w:val="0017512A"/>
    <w:rsid w:val="00186B43"/>
    <w:rsid w:val="00196958"/>
    <w:rsid w:val="001A1369"/>
    <w:rsid w:val="001A1E39"/>
    <w:rsid w:val="001A24F3"/>
    <w:rsid w:val="001B405C"/>
    <w:rsid w:val="001B5F45"/>
    <w:rsid w:val="001D61DA"/>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223"/>
    <w:rsid w:val="002D5B3F"/>
    <w:rsid w:val="002E272E"/>
    <w:rsid w:val="002F5778"/>
    <w:rsid w:val="003223E0"/>
    <w:rsid w:val="00352C4A"/>
    <w:rsid w:val="00360E94"/>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7025"/>
    <w:rsid w:val="00470A38"/>
    <w:rsid w:val="004874DE"/>
    <w:rsid w:val="00496A45"/>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3790"/>
    <w:rsid w:val="005B61CD"/>
    <w:rsid w:val="005D1D58"/>
    <w:rsid w:val="005D432C"/>
    <w:rsid w:val="005E285E"/>
    <w:rsid w:val="005E72F8"/>
    <w:rsid w:val="005F0579"/>
    <w:rsid w:val="005F3A53"/>
    <w:rsid w:val="00601942"/>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A6D0C"/>
    <w:rsid w:val="007C682C"/>
    <w:rsid w:val="007D2385"/>
    <w:rsid w:val="007E6F99"/>
    <w:rsid w:val="007F214F"/>
    <w:rsid w:val="00800069"/>
    <w:rsid w:val="008042F0"/>
    <w:rsid w:val="008310A0"/>
    <w:rsid w:val="00831A71"/>
    <w:rsid w:val="00835D29"/>
    <w:rsid w:val="00842E7F"/>
    <w:rsid w:val="008440FE"/>
    <w:rsid w:val="00844F4C"/>
    <w:rsid w:val="00852933"/>
    <w:rsid w:val="008566E5"/>
    <w:rsid w:val="008566FE"/>
    <w:rsid w:val="00865B46"/>
    <w:rsid w:val="00876776"/>
    <w:rsid w:val="00881CD3"/>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7233E"/>
    <w:rsid w:val="00A85BFE"/>
    <w:rsid w:val="00AB6FE7"/>
    <w:rsid w:val="00AB7AD7"/>
    <w:rsid w:val="00AC5F32"/>
    <w:rsid w:val="00AD2430"/>
    <w:rsid w:val="00AE41A6"/>
    <w:rsid w:val="00AF0E34"/>
    <w:rsid w:val="00AF271D"/>
    <w:rsid w:val="00AF56C2"/>
    <w:rsid w:val="00AF783D"/>
    <w:rsid w:val="00B004E6"/>
    <w:rsid w:val="00B0744D"/>
    <w:rsid w:val="00B10CF0"/>
    <w:rsid w:val="00B50EA8"/>
    <w:rsid w:val="00B64082"/>
    <w:rsid w:val="00B72325"/>
    <w:rsid w:val="00B72EC6"/>
    <w:rsid w:val="00B81AD3"/>
    <w:rsid w:val="00B829D8"/>
    <w:rsid w:val="00B84B5B"/>
    <w:rsid w:val="00B86446"/>
    <w:rsid w:val="00B97B03"/>
    <w:rsid w:val="00BA1176"/>
    <w:rsid w:val="00BE0B01"/>
    <w:rsid w:val="00BE79C7"/>
    <w:rsid w:val="00BF3CB5"/>
    <w:rsid w:val="00C01A3F"/>
    <w:rsid w:val="00C073F1"/>
    <w:rsid w:val="00C1285B"/>
    <w:rsid w:val="00C1361B"/>
    <w:rsid w:val="00C14E1F"/>
    <w:rsid w:val="00C30B49"/>
    <w:rsid w:val="00C315AF"/>
    <w:rsid w:val="00C36D6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C8B"/>
    <w:rsid w:val="00F63DD9"/>
    <w:rsid w:val="00F67644"/>
    <w:rsid w:val="00F8381F"/>
    <w:rsid w:val="00FA04CD"/>
    <w:rsid w:val="00FA25F5"/>
    <w:rsid w:val="00FA2810"/>
    <w:rsid w:val="00FA68F8"/>
    <w:rsid w:val="00FB1DC0"/>
    <w:rsid w:val="00FB3B4E"/>
    <w:rsid w:val="00FB4521"/>
    <w:rsid w:val="00FB4F84"/>
    <w:rsid w:val="00FB5CF8"/>
    <w:rsid w:val="00FD5EC6"/>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3B35C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customStyle="1" w:styleId="TableGrid1">
    <w:name w:val="Table Grid1"/>
    <w:basedOn w:val="TableNormal"/>
    <w:next w:val="TableGrid"/>
    <w:uiPriority w:val="39"/>
    <w:rsid w:val="00360E94"/>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08237">
      <w:bodyDiv w:val="1"/>
      <w:marLeft w:val="0"/>
      <w:marRight w:val="0"/>
      <w:marTop w:val="0"/>
      <w:marBottom w:val="0"/>
      <w:divBdr>
        <w:top w:val="none" w:sz="0" w:space="0" w:color="auto"/>
        <w:left w:val="none" w:sz="0" w:space="0" w:color="auto"/>
        <w:bottom w:val="none" w:sz="0" w:space="0" w:color="auto"/>
        <w:right w:val="none" w:sz="0" w:space="0" w:color="auto"/>
      </w:divBdr>
      <w:divsChild>
        <w:div w:id="1735591443">
          <w:marLeft w:val="0"/>
          <w:marRight w:val="0"/>
          <w:marTop w:val="0"/>
          <w:marBottom w:val="0"/>
          <w:divBdr>
            <w:top w:val="none" w:sz="0" w:space="0" w:color="auto"/>
            <w:left w:val="none" w:sz="0" w:space="0" w:color="auto"/>
            <w:bottom w:val="none" w:sz="0" w:space="0" w:color="auto"/>
            <w:right w:val="none" w:sz="0" w:space="0" w:color="auto"/>
          </w:divBdr>
          <w:divsChild>
            <w:div w:id="1275402911">
              <w:marLeft w:val="0"/>
              <w:marRight w:val="0"/>
              <w:marTop w:val="0"/>
              <w:marBottom w:val="0"/>
              <w:divBdr>
                <w:top w:val="none" w:sz="0" w:space="0" w:color="auto"/>
                <w:left w:val="none" w:sz="0" w:space="0" w:color="auto"/>
                <w:bottom w:val="none" w:sz="0" w:space="0" w:color="auto"/>
                <w:right w:val="none" w:sz="0" w:space="0" w:color="auto"/>
              </w:divBdr>
              <w:divsChild>
                <w:div w:id="718549327">
                  <w:marLeft w:val="0"/>
                  <w:marRight w:val="0"/>
                  <w:marTop w:val="0"/>
                  <w:marBottom w:val="0"/>
                  <w:divBdr>
                    <w:top w:val="none" w:sz="0" w:space="0" w:color="auto"/>
                    <w:left w:val="none" w:sz="0" w:space="0" w:color="auto"/>
                    <w:bottom w:val="none" w:sz="0" w:space="0" w:color="auto"/>
                    <w:right w:val="none" w:sz="0" w:space="0" w:color="auto"/>
                  </w:divBdr>
                  <w:divsChild>
                    <w:div w:id="48150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51360">
      <w:bodyDiv w:val="1"/>
      <w:marLeft w:val="0"/>
      <w:marRight w:val="0"/>
      <w:marTop w:val="0"/>
      <w:marBottom w:val="0"/>
      <w:divBdr>
        <w:top w:val="none" w:sz="0" w:space="0" w:color="auto"/>
        <w:left w:val="none" w:sz="0" w:space="0" w:color="auto"/>
        <w:bottom w:val="none" w:sz="0" w:space="0" w:color="auto"/>
        <w:right w:val="none" w:sz="0" w:space="0" w:color="auto"/>
      </w:divBdr>
      <w:divsChild>
        <w:div w:id="1159614262">
          <w:marLeft w:val="0"/>
          <w:marRight w:val="0"/>
          <w:marTop w:val="0"/>
          <w:marBottom w:val="0"/>
          <w:divBdr>
            <w:top w:val="none" w:sz="0" w:space="0" w:color="auto"/>
            <w:left w:val="none" w:sz="0" w:space="0" w:color="auto"/>
            <w:bottom w:val="none" w:sz="0" w:space="0" w:color="auto"/>
            <w:right w:val="none" w:sz="0" w:space="0" w:color="auto"/>
          </w:divBdr>
          <w:divsChild>
            <w:div w:id="1198738318">
              <w:marLeft w:val="0"/>
              <w:marRight w:val="0"/>
              <w:marTop w:val="0"/>
              <w:marBottom w:val="0"/>
              <w:divBdr>
                <w:top w:val="none" w:sz="0" w:space="0" w:color="auto"/>
                <w:left w:val="none" w:sz="0" w:space="0" w:color="auto"/>
                <w:bottom w:val="none" w:sz="0" w:space="0" w:color="auto"/>
                <w:right w:val="none" w:sz="0" w:space="0" w:color="auto"/>
              </w:divBdr>
              <w:divsChild>
                <w:div w:id="102267908">
                  <w:marLeft w:val="0"/>
                  <w:marRight w:val="0"/>
                  <w:marTop w:val="0"/>
                  <w:marBottom w:val="0"/>
                  <w:divBdr>
                    <w:top w:val="none" w:sz="0" w:space="0" w:color="auto"/>
                    <w:left w:val="none" w:sz="0" w:space="0" w:color="auto"/>
                    <w:bottom w:val="none" w:sz="0" w:space="0" w:color="auto"/>
                    <w:right w:val="none" w:sz="0" w:space="0" w:color="auto"/>
                  </w:divBdr>
                </w:div>
              </w:divsChild>
            </w:div>
            <w:div w:id="578637070">
              <w:marLeft w:val="0"/>
              <w:marRight w:val="0"/>
              <w:marTop w:val="0"/>
              <w:marBottom w:val="0"/>
              <w:divBdr>
                <w:top w:val="none" w:sz="0" w:space="0" w:color="auto"/>
                <w:left w:val="none" w:sz="0" w:space="0" w:color="auto"/>
                <w:bottom w:val="none" w:sz="0" w:space="0" w:color="auto"/>
                <w:right w:val="none" w:sz="0" w:space="0" w:color="auto"/>
              </w:divBdr>
              <w:divsChild>
                <w:div w:id="504825103">
                  <w:marLeft w:val="0"/>
                  <w:marRight w:val="0"/>
                  <w:marTop w:val="0"/>
                  <w:marBottom w:val="0"/>
                  <w:divBdr>
                    <w:top w:val="none" w:sz="0" w:space="0" w:color="auto"/>
                    <w:left w:val="none" w:sz="0" w:space="0" w:color="auto"/>
                    <w:bottom w:val="none" w:sz="0" w:space="0" w:color="auto"/>
                    <w:right w:val="none" w:sz="0" w:space="0" w:color="auto"/>
                  </w:divBdr>
                </w:div>
              </w:divsChild>
            </w:div>
            <w:div w:id="1088430359">
              <w:marLeft w:val="0"/>
              <w:marRight w:val="0"/>
              <w:marTop w:val="0"/>
              <w:marBottom w:val="0"/>
              <w:divBdr>
                <w:top w:val="none" w:sz="0" w:space="0" w:color="auto"/>
                <w:left w:val="none" w:sz="0" w:space="0" w:color="auto"/>
                <w:bottom w:val="none" w:sz="0" w:space="0" w:color="auto"/>
                <w:right w:val="none" w:sz="0" w:space="0" w:color="auto"/>
              </w:divBdr>
              <w:divsChild>
                <w:div w:id="1189028685">
                  <w:marLeft w:val="0"/>
                  <w:marRight w:val="0"/>
                  <w:marTop w:val="0"/>
                  <w:marBottom w:val="0"/>
                  <w:divBdr>
                    <w:top w:val="none" w:sz="0" w:space="0" w:color="auto"/>
                    <w:left w:val="none" w:sz="0" w:space="0" w:color="auto"/>
                    <w:bottom w:val="none" w:sz="0" w:space="0" w:color="auto"/>
                    <w:right w:val="none" w:sz="0" w:space="0" w:color="auto"/>
                  </w:divBdr>
                  <w:divsChild>
                    <w:div w:id="37330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740444">
              <w:marLeft w:val="0"/>
              <w:marRight w:val="0"/>
              <w:marTop w:val="0"/>
              <w:marBottom w:val="0"/>
              <w:divBdr>
                <w:top w:val="none" w:sz="0" w:space="0" w:color="auto"/>
                <w:left w:val="none" w:sz="0" w:space="0" w:color="auto"/>
                <w:bottom w:val="none" w:sz="0" w:space="0" w:color="auto"/>
                <w:right w:val="none" w:sz="0" w:space="0" w:color="auto"/>
              </w:divBdr>
              <w:divsChild>
                <w:div w:id="202338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827998">
          <w:marLeft w:val="0"/>
          <w:marRight w:val="0"/>
          <w:marTop w:val="0"/>
          <w:marBottom w:val="0"/>
          <w:divBdr>
            <w:top w:val="none" w:sz="0" w:space="0" w:color="auto"/>
            <w:left w:val="none" w:sz="0" w:space="0" w:color="auto"/>
            <w:bottom w:val="none" w:sz="0" w:space="0" w:color="auto"/>
            <w:right w:val="none" w:sz="0" w:space="0" w:color="auto"/>
          </w:divBdr>
          <w:divsChild>
            <w:div w:id="2128040716">
              <w:marLeft w:val="0"/>
              <w:marRight w:val="0"/>
              <w:marTop w:val="0"/>
              <w:marBottom w:val="0"/>
              <w:divBdr>
                <w:top w:val="none" w:sz="0" w:space="0" w:color="auto"/>
                <w:left w:val="none" w:sz="0" w:space="0" w:color="auto"/>
                <w:bottom w:val="none" w:sz="0" w:space="0" w:color="auto"/>
                <w:right w:val="none" w:sz="0" w:space="0" w:color="auto"/>
              </w:divBdr>
              <w:divsChild>
                <w:div w:id="1851946893">
                  <w:marLeft w:val="0"/>
                  <w:marRight w:val="0"/>
                  <w:marTop w:val="0"/>
                  <w:marBottom w:val="0"/>
                  <w:divBdr>
                    <w:top w:val="none" w:sz="0" w:space="0" w:color="auto"/>
                    <w:left w:val="none" w:sz="0" w:space="0" w:color="auto"/>
                    <w:bottom w:val="none" w:sz="0" w:space="0" w:color="auto"/>
                    <w:right w:val="none" w:sz="0" w:space="0" w:color="auto"/>
                  </w:divBdr>
                </w:div>
              </w:divsChild>
            </w:div>
            <w:div w:id="1819495112">
              <w:marLeft w:val="0"/>
              <w:marRight w:val="0"/>
              <w:marTop w:val="0"/>
              <w:marBottom w:val="0"/>
              <w:divBdr>
                <w:top w:val="none" w:sz="0" w:space="0" w:color="auto"/>
                <w:left w:val="none" w:sz="0" w:space="0" w:color="auto"/>
                <w:bottom w:val="none" w:sz="0" w:space="0" w:color="auto"/>
                <w:right w:val="none" w:sz="0" w:space="0" w:color="auto"/>
              </w:divBdr>
              <w:divsChild>
                <w:div w:id="406271072">
                  <w:marLeft w:val="0"/>
                  <w:marRight w:val="0"/>
                  <w:marTop w:val="0"/>
                  <w:marBottom w:val="0"/>
                  <w:divBdr>
                    <w:top w:val="none" w:sz="0" w:space="0" w:color="auto"/>
                    <w:left w:val="none" w:sz="0" w:space="0" w:color="auto"/>
                    <w:bottom w:val="none" w:sz="0" w:space="0" w:color="auto"/>
                    <w:right w:val="none" w:sz="0" w:space="0" w:color="auto"/>
                  </w:divBdr>
                </w:div>
              </w:divsChild>
            </w:div>
            <w:div w:id="1348871785">
              <w:marLeft w:val="0"/>
              <w:marRight w:val="0"/>
              <w:marTop w:val="0"/>
              <w:marBottom w:val="0"/>
              <w:divBdr>
                <w:top w:val="none" w:sz="0" w:space="0" w:color="auto"/>
                <w:left w:val="none" w:sz="0" w:space="0" w:color="auto"/>
                <w:bottom w:val="none" w:sz="0" w:space="0" w:color="auto"/>
                <w:right w:val="none" w:sz="0" w:space="0" w:color="auto"/>
              </w:divBdr>
              <w:divsChild>
                <w:div w:id="15815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20533">
          <w:marLeft w:val="0"/>
          <w:marRight w:val="0"/>
          <w:marTop w:val="0"/>
          <w:marBottom w:val="0"/>
          <w:divBdr>
            <w:top w:val="none" w:sz="0" w:space="0" w:color="auto"/>
            <w:left w:val="none" w:sz="0" w:space="0" w:color="auto"/>
            <w:bottom w:val="none" w:sz="0" w:space="0" w:color="auto"/>
            <w:right w:val="none" w:sz="0" w:space="0" w:color="auto"/>
          </w:divBdr>
          <w:divsChild>
            <w:div w:id="1743716359">
              <w:marLeft w:val="0"/>
              <w:marRight w:val="0"/>
              <w:marTop w:val="0"/>
              <w:marBottom w:val="0"/>
              <w:divBdr>
                <w:top w:val="none" w:sz="0" w:space="0" w:color="auto"/>
                <w:left w:val="none" w:sz="0" w:space="0" w:color="auto"/>
                <w:bottom w:val="none" w:sz="0" w:space="0" w:color="auto"/>
                <w:right w:val="none" w:sz="0" w:space="0" w:color="auto"/>
              </w:divBdr>
              <w:divsChild>
                <w:div w:id="65565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29166">
      <w:bodyDiv w:val="1"/>
      <w:marLeft w:val="0"/>
      <w:marRight w:val="0"/>
      <w:marTop w:val="0"/>
      <w:marBottom w:val="0"/>
      <w:divBdr>
        <w:top w:val="none" w:sz="0" w:space="0" w:color="auto"/>
        <w:left w:val="none" w:sz="0" w:space="0" w:color="auto"/>
        <w:bottom w:val="none" w:sz="0" w:space="0" w:color="auto"/>
        <w:right w:val="none" w:sz="0" w:space="0" w:color="auto"/>
      </w:divBdr>
      <w:divsChild>
        <w:div w:id="1098797636">
          <w:marLeft w:val="0"/>
          <w:marRight w:val="0"/>
          <w:marTop w:val="0"/>
          <w:marBottom w:val="0"/>
          <w:divBdr>
            <w:top w:val="none" w:sz="0" w:space="0" w:color="auto"/>
            <w:left w:val="none" w:sz="0" w:space="0" w:color="auto"/>
            <w:bottom w:val="none" w:sz="0" w:space="0" w:color="auto"/>
            <w:right w:val="none" w:sz="0" w:space="0" w:color="auto"/>
          </w:divBdr>
          <w:divsChild>
            <w:div w:id="2006590231">
              <w:marLeft w:val="0"/>
              <w:marRight w:val="0"/>
              <w:marTop w:val="0"/>
              <w:marBottom w:val="0"/>
              <w:divBdr>
                <w:top w:val="none" w:sz="0" w:space="0" w:color="auto"/>
                <w:left w:val="none" w:sz="0" w:space="0" w:color="auto"/>
                <w:bottom w:val="none" w:sz="0" w:space="0" w:color="auto"/>
                <w:right w:val="none" w:sz="0" w:space="0" w:color="auto"/>
              </w:divBdr>
              <w:divsChild>
                <w:div w:id="101202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85550">
      <w:bodyDiv w:val="1"/>
      <w:marLeft w:val="0"/>
      <w:marRight w:val="0"/>
      <w:marTop w:val="0"/>
      <w:marBottom w:val="0"/>
      <w:divBdr>
        <w:top w:val="none" w:sz="0" w:space="0" w:color="auto"/>
        <w:left w:val="none" w:sz="0" w:space="0" w:color="auto"/>
        <w:bottom w:val="none" w:sz="0" w:space="0" w:color="auto"/>
        <w:right w:val="none" w:sz="0" w:space="0" w:color="auto"/>
      </w:divBdr>
      <w:divsChild>
        <w:div w:id="690305986">
          <w:marLeft w:val="0"/>
          <w:marRight w:val="0"/>
          <w:marTop w:val="0"/>
          <w:marBottom w:val="0"/>
          <w:divBdr>
            <w:top w:val="none" w:sz="0" w:space="0" w:color="auto"/>
            <w:left w:val="none" w:sz="0" w:space="0" w:color="auto"/>
            <w:bottom w:val="none" w:sz="0" w:space="0" w:color="auto"/>
            <w:right w:val="none" w:sz="0" w:space="0" w:color="auto"/>
          </w:divBdr>
          <w:divsChild>
            <w:div w:id="1339575980">
              <w:marLeft w:val="0"/>
              <w:marRight w:val="0"/>
              <w:marTop w:val="0"/>
              <w:marBottom w:val="0"/>
              <w:divBdr>
                <w:top w:val="none" w:sz="0" w:space="0" w:color="auto"/>
                <w:left w:val="none" w:sz="0" w:space="0" w:color="auto"/>
                <w:bottom w:val="none" w:sz="0" w:space="0" w:color="auto"/>
                <w:right w:val="none" w:sz="0" w:space="0" w:color="auto"/>
              </w:divBdr>
              <w:divsChild>
                <w:div w:id="395202481">
                  <w:marLeft w:val="0"/>
                  <w:marRight w:val="0"/>
                  <w:marTop w:val="0"/>
                  <w:marBottom w:val="0"/>
                  <w:divBdr>
                    <w:top w:val="none" w:sz="0" w:space="0" w:color="auto"/>
                    <w:left w:val="none" w:sz="0" w:space="0" w:color="auto"/>
                    <w:bottom w:val="none" w:sz="0" w:space="0" w:color="auto"/>
                    <w:right w:val="none" w:sz="0" w:space="0" w:color="auto"/>
                  </w:divBdr>
                  <w:divsChild>
                    <w:div w:id="195416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516067">
      <w:bodyDiv w:val="1"/>
      <w:marLeft w:val="0"/>
      <w:marRight w:val="0"/>
      <w:marTop w:val="0"/>
      <w:marBottom w:val="0"/>
      <w:divBdr>
        <w:top w:val="none" w:sz="0" w:space="0" w:color="auto"/>
        <w:left w:val="none" w:sz="0" w:space="0" w:color="auto"/>
        <w:bottom w:val="none" w:sz="0" w:space="0" w:color="auto"/>
        <w:right w:val="none" w:sz="0" w:space="0" w:color="auto"/>
      </w:divBdr>
      <w:divsChild>
        <w:div w:id="399400727">
          <w:marLeft w:val="0"/>
          <w:marRight w:val="0"/>
          <w:marTop w:val="0"/>
          <w:marBottom w:val="0"/>
          <w:divBdr>
            <w:top w:val="none" w:sz="0" w:space="0" w:color="auto"/>
            <w:left w:val="none" w:sz="0" w:space="0" w:color="auto"/>
            <w:bottom w:val="none" w:sz="0" w:space="0" w:color="auto"/>
            <w:right w:val="none" w:sz="0" w:space="0" w:color="auto"/>
          </w:divBdr>
          <w:divsChild>
            <w:div w:id="1711489206">
              <w:marLeft w:val="0"/>
              <w:marRight w:val="0"/>
              <w:marTop w:val="0"/>
              <w:marBottom w:val="0"/>
              <w:divBdr>
                <w:top w:val="none" w:sz="0" w:space="0" w:color="auto"/>
                <w:left w:val="none" w:sz="0" w:space="0" w:color="auto"/>
                <w:bottom w:val="none" w:sz="0" w:space="0" w:color="auto"/>
                <w:right w:val="none" w:sz="0" w:space="0" w:color="auto"/>
              </w:divBdr>
              <w:divsChild>
                <w:div w:id="1445687140">
                  <w:marLeft w:val="0"/>
                  <w:marRight w:val="0"/>
                  <w:marTop w:val="0"/>
                  <w:marBottom w:val="0"/>
                  <w:divBdr>
                    <w:top w:val="none" w:sz="0" w:space="0" w:color="auto"/>
                    <w:left w:val="none" w:sz="0" w:space="0" w:color="auto"/>
                    <w:bottom w:val="none" w:sz="0" w:space="0" w:color="auto"/>
                    <w:right w:val="none" w:sz="0" w:space="0" w:color="auto"/>
                  </w:divBdr>
                  <w:divsChild>
                    <w:div w:id="194074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140606">
      <w:bodyDiv w:val="1"/>
      <w:marLeft w:val="0"/>
      <w:marRight w:val="0"/>
      <w:marTop w:val="0"/>
      <w:marBottom w:val="0"/>
      <w:divBdr>
        <w:top w:val="none" w:sz="0" w:space="0" w:color="auto"/>
        <w:left w:val="none" w:sz="0" w:space="0" w:color="auto"/>
        <w:bottom w:val="none" w:sz="0" w:space="0" w:color="auto"/>
        <w:right w:val="none" w:sz="0" w:space="0" w:color="auto"/>
      </w:divBdr>
      <w:divsChild>
        <w:div w:id="700325814">
          <w:marLeft w:val="0"/>
          <w:marRight w:val="0"/>
          <w:marTop w:val="0"/>
          <w:marBottom w:val="0"/>
          <w:divBdr>
            <w:top w:val="none" w:sz="0" w:space="0" w:color="auto"/>
            <w:left w:val="none" w:sz="0" w:space="0" w:color="auto"/>
            <w:bottom w:val="none" w:sz="0" w:space="0" w:color="auto"/>
            <w:right w:val="none" w:sz="0" w:space="0" w:color="auto"/>
          </w:divBdr>
          <w:divsChild>
            <w:div w:id="1409688266">
              <w:marLeft w:val="0"/>
              <w:marRight w:val="0"/>
              <w:marTop w:val="0"/>
              <w:marBottom w:val="0"/>
              <w:divBdr>
                <w:top w:val="none" w:sz="0" w:space="0" w:color="auto"/>
                <w:left w:val="none" w:sz="0" w:space="0" w:color="auto"/>
                <w:bottom w:val="none" w:sz="0" w:space="0" w:color="auto"/>
                <w:right w:val="none" w:sz="0" w:space="0" w:color="auto"/>
              </w:divBdr>
              <w:divsChild>
                <w:div w:id="139200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418054">
      <w:bodyDiv w:val="1"/>
      <w:marLeft w:val="0"/>
      <w:marRight w:val="0"/>
      <w:marTop w:val="0"/>
      <w:marBottom w:val="0"/>
      <w:divBdr>
        <w:top w:val="none" w:sz="0" w:space="0" w:color="auto"/>
        <w:left w:val="none" w:sz="0" w:space="0" w:color="auto"/>
        <w:bottom w:val="none" w:sz="0" w:space="0" w:color="auto"/>
        <w:right w:val="none" w:sz="0" w:space="0" w:color="auto"/>
      </w:divBdr>
      <w:divsChild>
        <w:div w:id="924533783">
          <w:marLeft w:val="0"/>
          <w:marRight w:val="0"/>
          <w:marTop w:val="0"/>
          <w:marBottom w:val="0"/>
          <w:divBdr>
            <w:top w:val="none" w:sz="0" w:space="0" w:color="auto"/>
            <w:left w:val="none" w:sz="0" w:space="0" w:color="auto"/>
            <w:bottom w:val="none" w:sz="0" w:space="0" w:color="auto"/>
            <w:right w:val="none" w:sz="0" w:space="0" w:color="auto"/>
          </w:divBdr>
          <w:divsChild>
            <w:div w:id="1069499258">
              <w:marLeft w:val="0"/>
              <w:marRight w:val="0"/>
              <w:marTop w:val="0"/>
              <w:marBottom w:val="0"/>
              <w:divBdr>
                <w:top w:val="none" w:sz="0" w:space="0" w:color="auto"/>
                <w:left w:val="none" w:sz="0" w:space="0" w:color="auto"/>
                <w:bottom w:val="none" w:sz="0" w:space="0" w:color="auto"/>
                <w:right w:val="none" w:sz="0" w:space="0" w:color="auto"/>
              </w:divBdr>
              <w:divsChild>
                <w:div w:id="2028290264">
                  <w:marLeft w:val="0"/>
                  <w:marRight w:val="0"/>
                  <w:marTop w:val="0"/>
                  <w:marBottom w:val="0"/>
                  <w:divBdr>
                    <w:top w:val="none" w:sz="0" w:space="0" w:color="auto"/>
                    <w:left w:val="none" w:sz="0" w:space="0" w:color="auto"/>
                    <w:bottom w:val="none" w:sz="0" w:space="0" w:color="auto"/>
                    <w:right w:val="none" w:sz="0" w:space="0" w:color="auto"/>
                  </w:divBdr>
                  <w:divsChild>
                    <w:div w:id="77917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2001137">
      <w:bodyDiv w:val="1"/>
      <w:marLeft w:val="0"/>
      <w:marRight w:val="0"/>
      <w:marTop w:val="0"/>
      <w:marBottom w:val="0"/>
      <w:divBdr>
        <w:top w:val="none" w:sz="0" w:space="0" w:color="auto"/>
        <w:left w:val="none" w:sz="0" w:space="0" w:color="auto"/>
        <w:bottom w:val="none" w:sz="0" w:space="0" w:color="auto"/>
        <w:right w:val="none" w:sz="0" w:space="0" w:color="auto"/>
      </w:divBdr>
      <w:divsChild>
        <w:div w:id="2024742137">
          <w:marLeft w:val="0"/>
          <w:marRight w:val="0"/>
          <w:marTop w:val="0"/>
          <w:marBottom w:val="0"/>
          <w:divBdr>
            <w:top w:val="none" w:sz="0" w:space="0" w:color="auto"/>
            <w:left w:val="none" w:sz="0" w:space="0" w:color="auto"/>
            <w:bottom w:val="none" w:sz="0" w:space="0" w:color="auto"/>
            <w:right w:val="none" w:sz="0" w:space="0" w:color="auto"/>
          </w:divBdr>
          <w:divsChild>
            <w:div w:id="1889104045">
              <w:marLeft w:val="0"/>
              <w:marRight w:val="0"/>
              <w:marTop w:val="0"/>
              <w:marBottom w:val="0"/>
              <w:divBdr>
                <w:top w:val="none" w:sz="0" w:space="0" w:color="auto"/>
                <w:left w:val="none" w:sz="0" w:space="0" w:color="auto"/>
                <w:bottom w:val="none" w:sz="0" w:space="0" w:color="auto"/>
                <w:right w:val="none" w:sz="0" w:space="0" w:color="auto"/>
              </w:divBdr>
              <w:divsChild>
                <w:div w:id="2017462766">
                  <w:marLeft w:val="0"/>
                  <w:marRight w:val="0"/>
                  <w:marTop w:val="0"/>
                  <w:marBottom w:val="0"/>
                  <w:divBdr>
                    <w:top w:val="none" w:sz="0" w:space="0" w:color="auto"/>
                    <w:left w:val="none" w:sz="0" w:space="0" w:color="auto"/>
                    <w:bottom w:val="none" w:sz="0" w:space="0" w:color="auto"/>
                    <w:right w:val="none" w:sz="0" w:space="0" w:color="auto"/>
                  </w:divBdr>
                </w:div>
              </w:divsChild>
            </w:div>
            <w:div w:id="1340738237">
              <w:marLeft w:val="0"/>
              <w:marRight w:val="0"/>
              <w:marTop w:val="0"/>
              <w:marBottom w:val="0"/>
              <w:divBdr>
                <w:top w:val="none" w:sz="0" w:space="0" w:color="auto"/>
                <w:left w:val="none" w:sz="0" w:space="0" w:color="auto"/>
                <w:bottom w:val="none" w:sz="0" w:space="0" w:color="auto"/>
                <w:right w:val="none" w:sz="0" w:space="0" w:color="auto"/>
              </w:divBdr>
              <w:divsChild>
                <w:div w:id="782651443">
                  <w:marLeft w:val="0"/>
                  <w:marRight w:val="0"/>
                  <w:marTop w:val="0"/>
                  <w:marBottom w:val="0"/>
                  <w:divBdr>
                    <w:top w:val="none" w:sz="0" w:space="0" w:color="auto"/>
                    <w:left w:val="none" w:sz="0" w:space="0" w:color="auto"/>
                    <w:bottom w:val="none" w:sz="0" w:space="0" w:color="auto"/>
                    <w:right w:val="none" w:sz="0" w:space="0" w:color="auto"/>
                  </w:divBdr>
                </w:div>
              </w:divsChild>
            </w:div>
            <w:div w:id="185561268">
              <w:marLeft w:val="0"/>
              <w:marRight w:val="0"/>
              <w:marTop w:val="0"/>
              <w:marBottom w:val="0"/>
              <w:divBdr>
                <w:top w:val="none" w:sz="0" w:space="0" w:color="auto"/>
                <w:left w:val="none" w:sz="0" w:space="0" w:color="auto"/>
                <w:bottom w:val="none" w:sz="0" w:space="0" w:color="auto"/>
                <w:right w:val="none" w:sz="0" w:space="0" w:color="auto"/>
              </w:divBdr>
              <w:divsChild>
                <w:div w:id="89666781">
                  <w:marLeft w:val="0"/>
                  <w:marRight w:val="0"/>
                  <w:marTop w:val="0"/>
                  <w:marBottom w:val="0"/>
                  <w:divBdr>
                    <w:top w:val="none" w:sz="0" w:space="0" w:color="auto"/>
                    <w:left w:val="none" w:sz="0" w:space="0" w:color="auto"/>
                    <w:bottom w:val="none" w:sz="0" w:space="0" w:color="auto"/>
                    <w:right w:val="none" w:sz="0" w:space="0" w:color="auto"/>
                  </w:divBdr>
                  <w:divsChild>
                    <w:div w:id="109644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886141">
              <w:marLeft w:val="0"/>
              <w:marRight w:val="0"/>
              <w:marTop w:val="0"/>
              <w:marBottom w:val="0"/>
              <w:divBdr>
                <w:top w:val="none" w:sz="0" w:space="0" w:color="auto"/>
                <w:left w:val="none" w:sz="0" w:space="0" w:color="auto"/>
                <w:bottom w:val="none" w:sz="0" w:space="0" w:color="auto"/>
                <w:right w:val="none" w:sz="0" w:space="0" w:color="auto"/>
              </w:divBdr>
              <w:divsChild>
                <w:div w:id="155107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419966">
          <w:marLeft w:val="0"/>
          <w:marRight w:val="0"/>
          <w:marTop w:val="0"/>
          <w:marBottom w:val="0"/>
          <w:divBdr>
            <w:top w:val="none" w:sz="0" w:space="0" w:color="auto"/>
            <w:left w:val="none" w:sz="0" w:space="0" w:color="auto"/>
            <w:bottom w:val="none" w:sz="0" w:space="0" w:color="auto"/>
            <w:right w:val="none" w:sz="0" w:space="0" w:color="auto"/>
          </w:divBdr>
          <w:divsChild>
            <w:div w:id="1264071109">
              <w:marLeft w:val="0"/>
              <w:marRight w:val="0"/>
              <w:marTop w:val="0"/>
              <w:marBottom w:val="0"/>
              <w:divBdr>
                <w:top w:val="none" w:sz="0" w:space="0" w:color="auto"/>
                <w:left w:val="none" w:sz="0" w:space="0" w:color="auto"/>
                <w:bottom w:val="none" w:sz="0" w:space="0" w:color="auto"/>
                <w:right w:val="none" w:sz="0" w:space="0" w:color="auto"/>
              </w:divBdr>
              <w:divsChild>
                <w:div w:id="155152884">
                  <w:marLeft w:val="0"/>
                  <w:marRight w:val="0"/>
                  <w:marTop w:val="0"/>
                  <w:marBottom w:val="0"/>
                  <w:divBdr>
                    <w:top w:val="none" w:sz="0" w:space="0" w:color="auto"/>
                    <w:left w:val="none" w:sz="0" w:space="0" w:color="auto"/>
                    <w:bottom w:val="none" w:sz="0" w:space="0" w:color="auto"/>
                    <w:right w:val="none" w:sz="0" w:space="0" w:color="auto"/>
                  </w:divBdr>
                </w:div>
              </w:divsChild>
            </w:div>
            <w:div w:id="132915048">
              <w:marLeft w:val="0"/>
              <w:marRight w:val="0"/>
              <w:marTop w:val="0"/>
              <w:marBottom w:val="0"/>
              <w:divBdr>
                <w:top w:val="none" w:sz="0" w:space="0" w:color="auto"/>
                <w:left w:val="none" w:sz="0" w:space="0" w:color="auto"/>
                <w:bottom w:val="none" w:sz="0" w:space="0" w:color="auto"/>
                <w:right w:val="none" w:sz="0" w:space="0" w:color="auto"/>
              </w:divBdr>
              <w:divsChild>
                <w:div w:id="1644119212">
                  <w:marLeft w:val="0"/>
                  <w:marRight w:val="0"/>
                  <w:marTop w:val="0"/>
                  <w:marBottom w:val="0"/>
                  <w:divBdr>
                    <w:top w:val="none" w:sz="0" w:space="0" w:color="auto"/>
                    <w:left w:val="none" w:sz="0" w:space="0" w:color="auto"/>
                    <w:bottom w:val="none" w:sz="0" w:space="0" w:color="auto"/>
                    <w:right w:val="none" w:sz="0" w:space="0" w:color="auto"/>
                  </w:divBdr>
                </w:div>
              </w:divsChild>
            </w:div>
            <w:div w:id="1255356924">
              <w:marLeft w:val="0"/>
              <w:marRight w:val="0"/>
              <w:marTop w:val="0"/>
              <w:marBottom w:val="0"/>
              <w:divBdr>
                <w:top w:val="none" w:sz="0" w:space="0" w:color="auto"/>
                <w:left w:val="none" w:sz="0" w:space="0" w:color="auto"/>
                <w:bottom w:val="none" w:sz="0" w:space="0" w:color="auto"/>
                <w:right w:val="none" w:sz="0" w:space="0" w:color="auto"/>
              </w:divBdr>
              <w:divsChild>
                <w:div w:id="183960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99586">
          <w:marLeft w:val="0"/>
          <w:marRight w:val="0"/>
          <w:marTop w:val="0"/>
          <w:marBottom w:val="0"/>
          <w:divBdr>
            <w:top w:val="none" w:sz="0" w:space="0" w:color="auto"/>
            <w:left w:val="none" w:sz="0" w:space="0" w:color="auto"/>
            <w:bottom w:val="none" w:sz="0" w:space="0" w:color="auto"/>
            <w:right w:val="none" w:sz="0" w:space="0" w:color="auto"/>
          </w:divBdr>
          <w:divsChild>
            <w:div w:id="271281076">
              <w:marLeft w:val="0"/>
              <w:marRight w:val="0"/>
              <w:marTop w:val="0"/>
              <w:marBottom w:val="0"/>
              <w:divBdr>
                <w:top w:val="none" w:sz="0" w:space="0" w:color="auto"/>
                <w:left w:val="none" w:sz="0" w:space="0" w:color="auto"/>
                <w:bottom w:val="none" w:sz="0" w:space="0" w:color="auto"/>
                <w:right w:val="none" w:sz="0" w:space="0" w:color="auto"/>
              </w:divBdr>
              <w:divsChild>
                <w:div w:id="164615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Sheet1!$H$2</c:f>
              <c:strCache>
                <c:ptCount val="1"/>
                <c:pt idx="0">
                  <c:v>Pre-Test percentage (%)</c:v>
                </c:pt>
              </c:strCache>
            </c:strRef>
          </c:tx>
          <c:spPr>
            <a:solidFill>
              <a:schemeClr val="accent1"/>
            </a:solidFill>
            <a:ln>
              <a:noFill/>
            </a:ln>
            <a:effectLst/>
          </c:spPr>
          <c:invertIfNegative val="0"/>
          <c:trendline>
            <c:spPr>
              <a:ln w="19050" cap="rnd">
                <a:solidFill>
                  <a:schemeClr val="accent1"/>
                </a:solidFill>
                <a:prstDash val="sysDot"/>
              </a:ln>
              <a:effectLst/>
            </c:spPr>
            <c:trendlineType val="linear"/>
            <c:dispRSqr val="0"/>
            <c:dispEq val="0"/>
          </c:trendline>
          <c:cat>
            <c:numRef>
              <c:f>Sheet1!$G$3:$G$31</c:f>
              <c:numCache>
                <c:formatCode>General</c:formatCode>
                <c:ptCount val="29"/>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numCache>
            </c:numRef>
          </c:cat>
          <c:val>
            <c:numRef>
              <c:f>Sheet1!$H$3:$H$31</c:f>
              <c:numCache>
                <c:formatCode>General</c:formatCode>
                <c:ptCount val="29"/>
                <c:pt idx="0">
                  <c:v>0</c:v>
                </c:pt>
                <c:pt idx="1">
                  <c:v>12.5</c:v>
                </c:pt>
                <c:pt idx="2">
                  <c:v>0</c:v>
                </c:pt>
                <c:pt idx="3">
                  <c:v>0</c:v>
                </c:pt>
                <c:pt idx="4">
                  <c:v>12.5</c:v>
                </c:pt>
                <c:pt idx="5">
                  <c:v>0</c:v>
                </c:pt>
                <c:pt idx="6">
                  <c:v>0</c:v>
                </c:pt>
                <c:pt idx="7">
                  <c:v>0</c:v>
                </c:pt>
                <c:pt idx="8">
                  <c:v>12.5</c:v>
                </c:pt>
                <c:pt idx="9">
                  <c:v>12.5</c:v>
                </c:pt>
                <c:pt idx="10">
                  <c:v>0</c:v>
                </c:pt>
                <c:pt idx="11">
                  <c:v>25</c:v>
                </c:pt>
                <c:pt idx="12">
                  <c:v>12.5</c:v>
                </c:pt>
                <c:pt idx="13">
                  <c:v>12.5</c:v>
                </c:pt>
                <c:pt idx="14">
                  <c:v>25</c:v>
                </c:pt>
                <c:pt idx="15">
                  <c:v>0</c:v>
                </c:pt>
                <c:pt idx="16">
                  <c:v>0</c:v>
                </c:pt>
                <c:pt idx="17">
                  <c:v>0</c:v>
                </c:pt>
                <c:pt idx="18">
                  <c:v>0</c:v>
                </c:pt>
                <c:pt idx="19">
                  <c:v>0</c:v>
                </c:pt>
                <c:pt idx="20">
                  <c:v>12.5</c:v>
                </c:pt>
                <c:pt idx="21">
                  <c:v>12.5</c:v>
                </c:pt>
                <c:pt idx="22">
                  <c:v>25</c:v>
                </c:pt>
                <c:pt idx="23">
                  <c:v>0</c:v>
                </c:pt>
                <c:pt idx="24">
                  <c:v>0</c:v>
                </c:pt>
                <c:pt idx="25">
                  <c:v>0</c:v>
                </c:pt>
                <c:pt idx="26">
                  <c:v>12.5</c:v>
                </c:pt>
                <c:pt idx="27">
                  <c:v>12.5</c:v>
                </c:pt>
                <c:pt idx="28">
                  <c:v>12.5</c:v>
                </c:pt>
              </c:numCache>
            </c:numRef>
          </c:val>
          <c:extLst>
            <c:ext xmlns:c16="http://schemas.microsoft.com/office/drawing/2014/chart" uri="{C3380CC4-5D6E-409C-BE32-E72D297353CC}">
              <c16:uniqueId val="{00000000-67A3-4FD0-A431-E1BE07937F0B}"/>
            </c:ext>
          </c:extLst>
        </c:ser>
        <c:ser>
          <c:idx val="1"/>
          <c:order val="1"/>
          <c:tx>
            <c:strRef>
              <c:f>Sheet1!$I$2</c:f>
              <c:strCache>
                <c:ptCount val="1"/>
                <c:pt idx="0">
                  <c:v>Post test percentage (%)</c:v>
                </c:pt>
              </c:strCache>
            </c:strRef>
          </c:tx>
          <c:spPr>
            <a:solidFill>
              <a:schemeClr val="accent2"/>
            </a:solidFill>
            <a:ln>
              <a:noFill/>
            </a:ln>
            <a:effectLst/>
          </c:spPr>
          <c:invertIfNegative val="0"/>
          <c:trendline>
            <c:spPr>
              <a:ln w="19050" cap="rnd">
                <a:solidFill>
                  <a:schemeClr val="accent2"/>
                </a:solidFill>
                <a:prstDash val="sysDot"/>
              </a:ln>
              <a:effectLst/>
            </c:spPr>
            <c:trendlineType val="linear"/>
            <c:dispRSqr val="0"/>
            <c:dispEq val="0"/>
          </c:trendline>
          <c:cat>
            <c:numRef>
              <c:f>Sheet1!$G$3:$G$31</c:f>
              <c:numCache>
                <c:formatCode>General</c:formatCode>
                <c:ptCount val="29"/>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numCache>
            </c:numRef>
          </c:cat>
          <c:val>
            <c:numRef>
              <c:f>Sheet1!$I$3:$I$31</c:f>
              <c:numCache>
                <c:formatCode>General</c:formatCode>
                <c:ptCount val="29"/>
                <c:pt idx="0">
                  <c:v>12.5</c:v>
                </c:pt>
                <c:pt idx="1">
                  <c:v>37.5</c:v>
                </c:pt>
                <c:pt idx="2">
                  <c:v>37.5</c:v>
                </c:pt>
                <c:pt idx="3">
                  <c:v>0</c:v>
                </c:pt>
                <c:pt idx="4">
                  <c:v>0</c:v>
                </c:pt>
                <c:pt idx="5">
                  <c:v>25</c:v>
                </c:pt>
                <c:pt idx="6">
                  <c:v>25</c:v>
                </c:pt>
                <c:pt idx="7">
                  <c:v>12.5</c:v>
                </c:pt>
                <c:pt idx="8">
                  <c:v>25</c:v>
                </c:pt>
                <c:pt idx="9">
                  <c:v>12.5</c:v>
                </c:pt>
                <c:pt idx="10">
                  <c:v>0</c:v>
                </c:pt>
                <c:pt idx="11">
                  <c:v>62.5</c:v>
                </c:pt>
                <c:pt idx="12">
                  <c:v>0</c:v>
                </c:pt>
                <c:pt idx="13">
                  <c:v>12.5</c:v>
                </c:pt>
                <c:pt idx="14">
                  <c:v>37.5</c:v>
                </c:pt>
                <c:pt idx="15">
                  <c:v>12.5</c:v>
                </c:pt>
                <c:pt idx="16">
                  <c:v>25</c:v>
                </c:pt>
                <c:pt idx="17">
                  <c:v>25</c:v>
                </c:pt>
                <c:pt idx="18">
                  <c:v>25</c:v>
                </c:pt>
                <c:pt idx="19">
                  <c:v>12.5</c:v>
                </c:pt>
                <c:pt idx="20">
                  <c:v>25</c:v>
                </c:pt>
                <c:pt idx="21">
                  <c:v>37.5</c:v>
                </c:pt>
                <c:pt idx="22">
                  <c:v>25</c:v>
                </c:pt>
                <c:pt idx="23">
                  <c:v>12.5</c:v>
                </c:pt>
                <c:pt idx="24">
                  <c:v>50</c:v>
                </c:pt>
                <c:pt idx="25">
                  <c:v>12.5</c:v>
                </c:pt>
                <c:pt idx="26">
                  <c:v>25</c:v>
                </c:pt>
                <c:pt idx="27">
                  <c:v>12.5</c:v>
                </c:pt>
                <c:pt idx="28">
                  <c:v>25</c:v>
                </c:pt>
              </c:numCache>
            </c:numRef>
          </c:val>
          <c:extLst>
            <c:ext xmlns:c16="http://schemas.microsoft.com/office/drawing/2014/chart" uri="{C3380CC4-5D6E-409C-BE32-E72D297353CC}">
              <c16:uniqueId val="{00000001-67A3-4FD0-A431-E1BE07937F0B}"/>
            </c:ext>
          </c:extLst>
        </c:ser>
        <c:dLbls>
          <c:showLegendKey val="0"/>
          <c:showVal val="0"/>
          <c:showCatName val="0"/>
          <c:showSerName val="0"/>
          <c:showPercent val="0"/>
          <c:showBubbleSize val="0"/>
        </c:dLbls>
        <c:gapWidth val="219"/>
        <c:overlap val="-27"/>
        <c:axId val="1788750031"/>
        <c:axId val="1788750447"/>
      </c:barChart>
      <c:catAx>
        <c:axId val="178875003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Pupil</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8750447"/>
        <c:crosses val="autoZero"/>
        <c:auto val="1"/>
        <c:lblAlgn val="ctr"/>
        <c:lblOffset val="100"/>
        <c:noMultiLvlLbl val="0"/>
      </c:catAx>
      <c:valAx>
        <c:axId val="17887504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 Score (%)</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8750031"/>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Sheet1!$E$2</c:f>
              <c:strCache>
                <c:ptCount val="1"/>
                <c:pt idx="0">
                  <c:v>Percentage increase(%)</c:v>
                </c:pt>
              </c:strCache>
            </c:strRef>
          </c:tx>
          <c:spPr>
            <a:solidFill>
              <a:schemeClr val="accent1"/>
            </a:solidFill>
            <a:ln>
              <a:noFill/>
            </a:ln>
            <a:effectLst/>
          </c:spPr>
          <c:invertIfNegative val="0"/>
          <c:val>
            <c:numRef>
              <c:f>Sheet1!$E$3:$E$31</c:f>
              <c:numCache>
                <c:formatCode>General</c:formatCode>
                <c:ptCount val="29"/>
                <c:pt idx="0">
                  <c:v>12.5</c:v>
                </c:pt>
                <c:pt idx="1">
                  <c:v>25</c:v>
                </c:pt>
                <c:pt idx="2">
                  <c:v>37.5</c:v>
                </c:pt>
                <c:pt idx="3">
                  <c:v>0</c:v>
                </c:pt>
                <c:pt idx="4">
                  <c:v>-12.5</c:v>
                </c:pt>
                <c:pt idx="5">
                  <c:v>25</c:v>
                </c:pt>
                <c:pt idx="6">
                  <c:v>25</c:v>
                </c:pt>
                <c:pt idx="7">
                  <c:v>12.5</c:v>
                </c:pt>
                <c:pt idx="8">
                  <c:v>12.5</c:v>
                </c:pt>
                <c:pt idx="9">
                  <c:v>0</c:v>
                </c:pt>
                <c:pt idx="10">
                  <c:v>0</c:v>
                </c:pt>
                <c:pt idx="11">
                  <c:v>37.5</c:v>
                </c:pt>
                <c:pt idx="12">
                  <c:v>-12.5</c:v>
                </c:pt>
                <c:pt idx="13">
                  <c:v>0</c:v>
                </c:pt>
                <c:pt idx="14">
                  <c:v>12.5</c:v>
                </c:pt>
                <c:pt idx="15">
                  <c:v>12.5</c:v>
                </c:pt>
                <c:pt idx="16">
                  <c:v>25</c:v>
                </c:pt>
                <c:pt idx="17">
                  <c:v>25</c:v>
                </c:pt>
                <c:pt idx="18">
                  <c:v>25</c:v>
                </c:pt>
                <c:pt idx="19">
                  <c:v>12.5</c:v>
                </c:pt>
                <c:pt idx="20">
                  <c:v>12.5</c:v>
                </c:pt>
                <c:pt idx="21">
                  <c:v>25</c:v>
                </c:pt>
                <c:pt idx="22">
                  <c:v>0</c:v>
                </c:pt>
                <c:pt idx="23">
                  <c:v>12.5</c:v>
                </c:pt>
                <c:pt idx="24">
                  <c:v>50</c:v>
                </c:pt>
                <c:pt idx="25">
                  <c:v>12.5</c:v>
                </c:pt>
                <c:pt idx="26">
                  <c:v>12.5</c:v>
                </c:pt>
                <c:pt idx="27">
                  <c:v>0</c:v>
                </c:pt>
                <c:pt idx="28">
                  <c:v>12.5</c:v>
                </c:pt>
              </c:numCache>
            </c:numRef>
          </c:val>
          <c:extLst>
            <c:ext xmlns:c16="http://schemas.microsoft.com/office/drawing/2014/chart" uri="{C3380CC4-5D6E-409C-BE32-E72D297353CC}">
              <c16:uniqueId val="{00000000-3163-46B7-B75E-531AD0FD85D8}"/>
            </c:ext>
          </c:extLst>
        </c:ser>
        <c:dLbls>
          <c:showLegendKey val="0"/>
          <c:showVal val="0"/>
          <c:showCatName val="0"/>
          <c:showSerName val="0"/>
          <c:showPercent val="0"/>
          <c:showBubbleSize val="0"/>
        </c:dLbls>
        <c:gapWidth val="219"/>
        <c:overlap val="-27"/>
        <c:axId val="1788072143"/>
        <c:axId val="1788074223"/>
      </c:barChart>
      <c:catAx>
        <c:axId val="178807214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Pupil</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8074223"/>
        <c:crosses val="autoZero"/>
        <c:auto val="1"/>
        <c:lblAlgn val="ctr"/>
        <c:lblOffset val="100"/>
        <c:noMultiLvlLbl val="0"/>
      </c:catAx>
      <c:valAx>
        <c:axId val="178807422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a:t>
                </a:r>
                <a:r>
                  <a:rPr lang="en-GB" baseline="0"/>
                  <a:t> Score (%)</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807214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AssignFrm</Template>
  <TotalTime>226</TotalTime>
  <Pages>20</Pages>
  <Words>9239</Words>
  <Characters>50627</Characters>
  <Application>Microsoft Office Word</Application>
  <DocSecurity>0</DocSecurity>
  <Lines>421</Lines>
  <Paragraphs>119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59747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Carley Evans</cp:lastModifiedBy>
  <cp:revision>10</cp:revision>
  <cp:lastPrinted>2019-05-13T13:53:00Z</cp:lastPrinted>
  <dcterms:created xsi:type="dcterms:W3CDTF">2019-05-12T08:28:00Z</dcterms:created>
  <dcterms:modified xsi:type="dcterms:W3CDTF">2019-05-13T19:39:00Z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