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C19EF" w14:textId="77777777" w:rsidR="00AE719A" w:rsidRDefault="00AE719A" w:rsidP="006F116E">
      <w:pPr>
        <w:spacing w:line="360" w:lineRule="auto"/>
        <w:jc w:val="center"/>
        <w:rPr>
          <w:rFonts w:ascii="Times New Roman" w:eastAsiaTheme="minorEastAsia" w:hAnsi="Times New Roman" w:cs="Times New Roman"/>
          <w:b/>
          <w:bCs/>
          <w:sz w:val="36"/>
          <w:szCs w:val="36"/>
        </w:rPr>
      </w:pPr>
    </w:p>
    <w:p w14:paraId="52535880" w14:textId="77777777" w:rsidR="00AE719A" w:rsidRDefault="00AE719A" w:rsidP="006F116E">
      <w:pPr>
        <w:spacing w:line="360" w:lineRule="auto"/>
        <w:jc w:val="center"/>
        <w:rPr>
          <w:rFonts w:ascii="Times New Roman" w:eastAsiaTheme="minorEastAsia" w:hAnsi="Times New Roman" w:cs="Times New Roman"/>
          <w:b/>
          <w:bCs/>
          <w:sz w:val="36"/>
          <w:szCs w:val="36"/>
        </w:rPr>
      </w:pPr>
    </w:p>
    <w:p w14:paraId="0B744E59" w14:textId="77777777" w:rsidR="00AE719A" w:rsidRDefault="00AE719A" w:rsidP="006F116E">
      <w:pPr>
        <w:spacing w:line="360" w:lineRule="auto"/>
        <w:jc w:val="center"/>
        <w:rPr>
          <w:rFonts w:ascii="Times New Roman" w:eastAsiaTheme="minorEastAsia" w:hAnsi="Times New Roman" w:cs="Times New Roman"/>
          <w:b/>
          <w:bCs/>
          <w:sz w:val="36"/>
          <w:szCs w:val="36"/>
        </w:rPr>
      </w:pPr>
    </w:p>
    <w:p w14:paraId="31A56067" w14:textId="627707D4" w:rsidR="00B87817" w:rsidRPr="00AE719A" w:rsidRDefault="00B97643" w:rsidP="006F116E">
      <w:pPr>
        <w:spacing w:line="360" w:lineRule="auto"/>
        <w:jc w:val="center"/>
        <w:rPr>
          <w:rFonts w:ascii="Times New Roman" w:eastAsiaTheme="minorEastAsia" w:hAnsi="Times New Roman" w:cs="Times New Roman"/>
          <w:b/>
          <w:bCs/>
          <w:sz w:val="44"/>
          <w:szCs w:val="44"/>
        </w:rPr>
      </w:pPr>
      <w:r w:rsidRPr="00AE719A">
        <w:rPr>
          <w:rFonts w:ascii="Times New Roman" w:hAnsi="Times New Roman" w:cs="Times New Roman"/>
          <w:b/>
          <w:bCs/>
          <w:sz w:val="44"/>
          <w:szCs w:val="44"/>
        </w:rPr>
        <w:t>Tesco's Market Audit Analysis</w:t>
      </w:r>
    </w:p>
    <w:p w14:paraId="66841718" w14:textId="77777777" w:rsidR="00AE719A" w:rsidRDefault="00AE719A" w:rsidP="00AE719A">
      <w:pPr>
        <w:spacing w:line="360" w:lineRule="auto"/>
        <w:jc w:val="left"/>
        <w:rPr>
          <w:rFonts w:ascii="宋体" w:eastAsia="宋体" w:hAnsi="宋体" w:cs="宋体"/>
          <w:b/>
          <w:bCs/>
        </w:rPr>
      </w:pPr>
    </w:p>
    <w:p w14:paraId="0E3147AF" w14:textId="77777777" w:rsidR="00AE719A" w:rsidRDefault="00AE719A" w:rsidP="00AE719A">
      <w:pPr>
        <w:spacing w:line="360" w:lineRule="auto"/>
        <w:jc w:val="left"/>
        <w:rPr>
          <w:rFonts w:ascii="宋体" w:eastAsia="宋体" w:hAnsi="宋体" w:cs="宋体"/>
          <w:b/>
          <w:bCs/>
        </w:rPr>
      </w:pPr>
    </w:p>
    <w:p w14:paraId="3E03E1D4" w14:textId="77777777" w:rsidR="00AE719A" w:rsidRDefault="00AE719A" w:rsidP="00AE719A">
      <w:pPr>
        <w:spacing w:line="360" w:lineRule="auto"/>
        <w:jc w:val="left"/>
        <w:rPr>
          <w:rFonts w:ascii="宋体" w:eastAsia="宋体" w:hAnsi="宋体" w:cs="宋体"/>
          <w:b/>
          <w:bCs/>
        </w:rPr>
      </w:pPr>
    </w:p>
    <w:p w14:paraId="041FD358" w14:textId="77777777" w:rsidR="00AE719A" w:rsidRDefault="00AE719A" w:rsidP="00AE719A">
      <w:pPr>
        <w:spacing w:line="360" w:lineRule="auto"/>
        <w:jc w:val="left"/>
        <w:rPr>
          <w:rFonts w:ascii="宋体" w:eastAsia="宋体" w:hAnsi="宋体" w:cs="宋体"/>
          <w:b/>
          <w:bCs/>
        </w:rPr>
      </w:pPr>
    </w:p>
    <w:p w14:paraId="7109EAF7" w14:textId="7AAB0A9A" w:rsidR="00AE719A" w:rsidRDefault="00AE719A" w:rsidP="00AE719A">
      <w:pPr>
        <w:spacing w:line="360" w:lineRule="auto"/>
        <w:jc w:val="left"/>
        <w:rPr>
          <w:rFonts w:ascii="宋体" w:eastAsia="宋体" w:hAnsi="宋体" w:cs="宋体"/>
          <w:b/>
          <w:bCs/>
        </w:rPr>
      </w:pPr>
    </w:p>
    <w:p w14:paraId="121BEAC8" w14:textId="77777777" w:rsidR="00AE719A" w:rsidRDefault="00AE719A" w:rsidP="00AE719A">
      <w:pPr>
        <w:spacing w:line="360" w:lineRule="auto"/>
        <w:jc w:val="left"/>
        <w:rPr>
          <w:rFonts w:ascii="宋体" w:eastAsia="宋体" w:hAnsi="宋体" w:cs="宋体"/>
          <w:b/>
          <w:bCs/>
        </w:rPr>
      </w:pPr>
    </w:p>
    <w:p w14:paraId="3800C8F3" w14:textId="77777777" w:rsidR="00AE719A" w:rsidRDefault="00AE719A" w:rsidP="00AE719A">
      <w:pPr>
        <w:spacing w:line="360" w:lineRule="auto"/>
        <w:jc w:val="left"/>
        <w:rPr>
          <w:rFonts w:ascii="宋体" w:eastAsia="宋体" w:hAnsi="宋体" w:cs="宋体"/>
          <w:b/>
          <w:bCs/>
        </w:rPr>
      </w:pPr>
    </w:p>
    <w:p w14:paraId="0E25D188" w14:textId="77777777" w:rsidR="00B91D78" w:rsidRDefault="00B91D78" w:rsidP="00AE719A">
      <w:pPr>
        <w:spacing w:line="360" w:lineRule="auto"/>
        <w:jc w:val="left"/>
        <w:rPr>
          <w:rFonts w:ascii="宋体" w:eastAsia="宋体" w:hAnsi="宋体" w:cs="宋体"/>
          <w:b/>
          <w:bCs/>
        </w:rPr>
      </w:pPr>
    </w:p>
    <w:p w14:paraId="563FE03A" w14:textId="77777777" w:rsidR="00B91D78" w:rsidRDefault="00B91D78" w:rsidP="00AE719A">
      <w:pPr>
        <w:spacing w:line="360" w:lineRule="auto"/>
        <w:jc w:val="left"/>
        <w:rPr>
          <w:rFonts w:ascii="宋体" w:eastAsia="宋体" w:hAnsi="宋体" w:cs="宋体"/>
          <w:b/>
          <w:bCs/>
        </w:rPr>
      </w:pPr>
    </w:p>
    <w:p w14:paraId="284A38AF" w14:textId="77777777" w:rsidR="00B91D78" w:rsidRDefault="00B91D78" w:rsidP="00AE719A">
      <w:pPr>
        <w:spacing w:line="360" w:lineRule="auto"/>
        <w:jc w:val="left"/>
        <w:rPr>
          <w:rFonts w:ascii="宋体" w:eastAsia="宋体" w:hAnsi="宋体" w:cs="宋体"/>
          <w:b/>
          <w:bCs/>
        </w:rPr>
      </w:pPr>
    </w:p>
    <w:p w14:paraId="7931E506" w14:textId="77777777" w:rsidR="00B91D78" w:rsidRDefault="00B91D78" w:rsidP="00AE719A">
      <w:pPr>
        <w:spacing w:line="360" w:lineRule="auto"/>
        <w:jc w:val="left"/>
        <w:rPr>
          <w:rFonts w:ascii="宋体" w:eastAsia="宋体" w:hAnsi="宋体" w:cs="宋体"/>
          <w:b/>
          <w:bCs/>
        </w:rPr>
      </w:pPr>
    </w:p>
    <w:p w14:paraId="02FC1DDB" w14:textId="77777777" w:rsidR="00B91D78" w:rsidRDefault="00B91D78" w:rsidP="00AE719A">
      <w:pPr>
        <w:spacing w:line="360" w:lineRule="auto"/>
        <w:jc w:val="left"/>
        <w:rPr>
          <w:rFonts w:ascii="宋体" w:eastAsia="宋体" w:hAnsi="宋体" w:cs="宋体" w:hint="eastAsia"/>
          <w:b/>
          <w:bCs/>
        </w:rPr>
      </w:pPr>
    </w:p>
    <w:p w14:paraId="0CE19447" w14:textId="77777777" w:rsidR="00AE719A" w:rsidRDefault="00AE719A" w:rsidP="00AE719A">
      <w:pPr>
        <w:spacing w:line="360" w:lineRule="auto"/>
        <w:jc w:val="left"/>
        <w:rPr>
          <w:rFonts w:ascii="宋体" w:eastAsia="宋体" w:hAnsi="宋体" w:cs="宋体"/>
          <w:b/>
          <w:bCs/>
        </w:rPr>
      </w:pPr>
    </w:p>
    <w:p w14:paraId="5B434D26" w14:textId="474FACA9" w:rsidR="00B91D78" w:rsidRDefault="00AE719A" w:rsidP="00B91D78">
      <w:pPr>
        <w:spacing w:line="480" w:lineRule="auto"/>
        <w:jc w:val="left"/>
        <w:rPr>
          <w:rFonts w:ascii="Times New Roman" w:hAnsi="Times New Roman" w:cs="Times New Roman" w:hint="eastAsia"/>
          <w:b/>
          <w:bCs/>
          <w:sz w:val="36"/>
          <w:szCs w:val="36"/>
        </w:rPr>
      </w:pPr>
      <w:r w:rsidRPr="00AE719A">
        <w:rPr>
          <w:rFonts w:ascii="Times New Roman" w:hAnsi="Times New Roman" w:cs="Times New Roman"/>
          <w:b/>
          <w:bCs/>
          <w:sz w:val="36"/>
          <w:szCs w:val="36"/>
        </w:rPr>
        <w:t>Module code</w:t>
      </w:r>
      <w:r w:rsidR="00B91D78">
        <w:rPr>
          <w:rFonts w:ascii="Times New Roman" w:hAnsi="Times New Roman" w:cs="Times New Roman"/>
          <w:b/>
          <w:bCs/>
          <w:sz w:val="36"/>
          <w:szCs w:val="36"/>
        </w:rPr>
        <w:t>: BMBM6016</w:t>
      </w:r>
    </w:p>
    <w:p w14:paraId="5A81A323" w14:textId="564D363D" w:rsidR="00AE719A" w:rsidRPr="00B91D78" w:rsidRDefault="00AE719A" w:rsidP="00AE719A">
      <w:pPr>
        <w:spacing w:line="480" w:lineRule="auto"/>
        <w:jc w:val="left"/>
        <w:rPr>
          <w:rFonts w:ascii="Times New Roman" w:hAnsi="Times New Roman" w:cs="Times New Roman" w:hint="eastAsia"/>
          <w:b/>
          <w:bCs/>
          <w:sz w:val="36"/>
          <w:szCs w:val="36"/>
        </w:rPr>
      </w:pPr>
      <w:r w:rsidRPr="00AE719A">
        <w:rPr>
          <w:rFonts w:ascii="Times New Roman" w:hAnsi="Times New Roman" w:cs="Times New Roman" w:hint="eastAsia"/>
          <w:b/>
          <w:bCs/>
          <w:sz w:val="36"/>
          <w:szCs w:val="36"/>
        </w:rPr>
        <w:t>S</w:t>
      </w:r>
      <w:r w:rsidRPr="00AE719A">
        <w:rPr>
          <w:rFonts w:ascii="Times New Roman" w:hAnsi="Times New Roman" w:cs="Times New Roman"/>
          <w:b/>
          <w:bCs/>
          <w:sz w:val="36"/>
          <w:szCs w:val="36"/>
        </w:rPr>
        <w:t>tudent name</w:t>
      </w:r>
      <w:r w:rsidR="00DC6267">
        <w:rPr>
          <w:rFonts w:ascii="Times New Roman" w:eastAsiaTheme="minorEastAsia" w:hAnsi="Times New Roman" w:cs="Times New Roman" w:hint="eastAsia"/>
          <w:b/>
          <w:bCs/>
          <w:sz w:val="36"/>
          <w:szCs w:val="36"/>
        </w:rPr>
        <w:t>:</w:t>
      </w:r>
      <w:r w:rsidR="00B91D78" w:rsidRPr="00B91D78">
        <w:rPr>
          <w:rFonts w:ascii="Times New Roman" w:hAnsi="Times New Roman" w:cs="Times New Roman"/>
          <w:b/>
          <w:bCs/>
          <w:color w:val="1D2125"/>
          <w:sz w:val="36"/>
          <w:szCs w:val="36"/>
        </w:rPr>
        <w:t xml:space="preserve"> </w:t>
      </w:r>
      <w:r w:rsidR="00B91D78" w:rsidRPr="00B91D78">
        <w:rPr>
          <w:rFonts w:ascii="Times New Roman" w:hAnsi="Times New Roman" w:cs="Times New Roman"/>
          <w:b/>
          <w:bCs/>
          <w:color w:val="1D2125"/>
          <w:sz w:val="36"/>
          <w:szCs w:val="36"/>
        </w:rPr>
        <w:t>Strategic Marketing</w:t>
      </w:r>
      <w:r w:rsidR="00B91D78" w:rsidRPr="00B91D78">
        <w:rPr>
          <w:rStyle w:val="apple-converted-space"/>
          <w:rFonts w:ascii="Times New Roman" w:hAnsi="Times New Roman" w:cs="Times New Roman"/>
          <w:b/>
          <w:bCs/>
          <w:color w:val="1D2125"/>
          <w:sz w:val="36"/>
          <w:szCs w:val="36"/>
        </w:rPr>
        <w:t> </w:t>
      </w:r>
    </w:p>
    <w:p w14:paraId="058F98CE" w14:textId="1EAEC360" w:rsidR="00AE719A" w:rsidRDefault="00AE719A" w:rsidP="00AE719A">
      <w:pPr>
        <w:spacing w:line="480" w:lineRule="auto"/>
        <w:jc w:val="left"/>
        <w:rPr>
          <w:rFonts w:ascii="Times New Roman" w:hAnsi="Times New Roman" w:cs="Times New Roman"/>
          <w:b/>
          <w:bCs/>
          <w:sz w:val="36"/>
          <w:szCs w:val="36"/>
        </w:rPr>
      </w:pPr>
      <w:r w:rsidRPr="00AE719A">
        <w:rPr>
          <w:rFonts w:ascii="Times New Roman" w:hAnsi="Times New Roman" w:cs="Times New Roman"/>
          <w:b/>
          <w:bCs/>
          <w:sz w:val="36"/>
          <w:szCs w:val="36"/>
        </w:rPr>
        <w:t>Student ID:</w:t>
      </w:r>
      <w:r w:rsidR="00B91D78">
        <w:rPr>
          <w:rFonts w:ascii="Times New Roman" w:hAnsi="Times New Roman" w:cs="Times New Roman"/>
          <w:b/>
          <w:bCs/>
          <w:sz w:val="36"/>
          <w:szCs w:val="36"/>
        </w:rPr>
        <w:t>2304053</w:t>
      </w:r>
    </w:p>
    <w:p w14:paraId="597A77E4" w14:textId="56EC1B23" w:rsidR="00B91D78" w:rsidRPr="00AE719A" w:rsidRDefault="00B91D78" w:rsidP="00AE719A">
      <w:pPr>
        <w:spacing w:line="480" w:lineRule="auto"/>
        <w:jc w:val="left"/>
        <w:rPr>
          <w:rFonts w:ascii="Times New Roman" w:hAnsi="Times New Roman" w:cs="Times New Roman" w:hint="eastAsia"/>
          <w:b/>
          <w:bCs/>
          <w:sz w:val="36"/>
          <w:szCs w:val="36"/>
        </w:rPr>
      </w:pPr>
      <w:r>
        <w:rPr>
          <w:rFonts w:ascii="Times New Roman" w:hAnsi="Times New Roman" w:cs="Times New Roman"/>
          <w:b/>
          <w:bCs/>
          <w:sz w:val="36"/>
          <w:szCs w:val="36"/>
        </w:rPr>
        <w:t xml:space="preserve">Student </w:t>
      </w:r>
      <w:proofErr w:type="gramStart"/>
      <w:r>
        <w:rPr>
          <w:rFonts w:ascii="Times New Roman" w:hAnsi="Times New Roman" w:cs="Times New Roman"/>
          <w:b/>
          <w:bCs/>
          <w:sz w:val="36"/>
          <w:szCs w:val="36"/>
        </w:rPr>
        <w:t>name :</w:t>
      </w:r>
      <w:proofErr w:type="gramEnd"/>
      <w:r>
        <w:rPr>
          <w:rFonts w:ascii="Times New Roman" w:hAnsi="Times New Roman" w:cs="Times New Roman"/>
          <w:b/>
          <w:bCs/>
          <w:sz w:val="36"/>
          <w:szCs w:val="36"/>
        </w:rPr>
        <w:t xml:space="preserve"> </w:t>
      </w:r>
      <w:proofErr w:type="spellStart"/>
      <w:r>
        <w:rPr>
          <w:rFonts w:ascii="Times New Roman" w:hAnsi="Times New Roman" w:cs="Times New Roman"/>
          <w:b/>
          <w:bCs/>
          <w:sz w:val="36"/>
          <w:szCs w:val="36"/>
        </w:rPr>
        <w:t>Huijie</w:t>
      </w:r>
      <w:proofErr w:type="spellEnd"/>
      <w:r>
        <w:rPr>
          <w:rFonts w:ascii="Times New Roman" w:hAnsi="Times New Roman" w:cs="Times New Roman"/>
          <w:b/>
          <w:bCs/>
          <w:sz w:val="36"/>
          <w:szCs w:val="36"/>
        </w:rPr>
        <w:t xml:space="preserve"> Han</w:t>
      </w:r>
    </w:p>
    <w:p w14:paraId="4403EA86" w14:textId="3189F24C" w:rsidR="00B87817" w:rsidRDefault="00B87817" w:rsidP="00AE719A">
      <w:pPr>
        <w:widowControl/>
        <w:spacing w:line="480" w:lineRule="auto"/>
        <w:jc w:val="left"/>
        <w:rPr>
          <w:rFonts w:ascii="Times New Roman" w:hAnsi="Times New Roman" w:cs="Times New Roman"/>
          <w:sz w:val="24"/>
          <w:szCs w:val="24"/>
        </w:rPr>
      </w:pPr>
      <w:r>
        <w:rPr>
          <w:rFonts w:ascii="Times New Roman" w:hAnsi="Times New Roman" w:cs="Times New Roman"/>
          <w:sz w:val="24"/>
          <w:szCs w:val="24"/>
        </w:rPr>
        <w:br w:type="page"/>
      </w:r>
    </w:p>
    <w:p w14:paraId="43403F92" w14:textId="779106D7" w:rsidR="00B97643" w:rsidRPr="00B87817" w:rsidRDefault="00B87817" w:rsidP="00220F49">
      <w:pPr>
        <w:spacing w:beforeLines="50" w:before="156" w:afterLines="50" w:after="156" w:line="360" w:lineRule="auto"/>
        <w:rPr>
          <w:rFonts w:ascii="Times New Roman" w:hAnsi="Times New Roman" w:cs="Times New Roman"/>
          <w:b/>
          <w:bCs/>
          <w:sz w:val="24"/>
          <w:szCs w:val="24"/>
        </w:rPr>
      </w:pPr>
      <w:r w:rsidRPr="00B87817">
        <w:rPr>
          <w:rFonts w:ascii="Times New Roman" w:eastAsiaTheme="minorEastAsia" w:hAnsi="Times New Roman" w:cs="Times New Roman" w:hint="eastAsia"/>
          <w:b/>
          <w:bCs/>
          <w:sz w:val="24"/>
          <w:szCs w:val="24"/>
        </w:rPr>
        <w:lastRenderedPageBreak/>
        <w:t>E</w:t>
      </w:r>
      <w:r w:rsidRPr="00B87817">
        <w:rPr>
          <w:rFonts w:ascii="Times New Roman" w:hAnsi="Times New Roman" w:cs="Times New Roman"/>
          <w:b/>
          <w:bCs/>
          <w:sz w:val="24"/>
          <w:szCs w:val="24"/>
        </w:rPr>
        <w:t>xecutive summary</w:t>
      </w:r>
    </w:p>
    <w:p w14:paraId="5B1D5541" w14:textId="11C05B69"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hAnsi="Times New Roman" w:cs="Times New Roman"/>
          <w:sz w:val="24"/>
          <w:szCs w:val="24"/>
        </w:rPr>
        <w:t>The purpose of this report is to analyze the internal and external challenges faced by Tesco in the face of global economic challenges. PESTEL, Porter's Five Forces model, value chain model, and SWOT analysis were used to comprehensively examine its external macro and micro environments, as well as the value chain model of the enterprise. Finally, it is recommended that Tesco develop diversified products, reduce dependence on the UK market, and continue to optimize online sales channels and supply chains.</w:t>
      </w:r>
    </w:p>
    <w:p w14:paraId="1D3D9297" w14:textId="77777777" w:rsidR="00B87817" w:rsidRDefault="00B87817">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6B8B3488" w14:textId="045A74C0" w:rsidR="00B97643" w:rsidRPr="00B87817" w:rsidRDefault="00B97643" w:rsidP="00686F18">
      <w:pPr>
        <w:spacing w:beforeLines="50" w:before="156" w:afterLines="50" w:after="156" w:line="360" w:lineRule="auto"/>
        <w:rPr>
          <w:rFonts w:ascii="Times New Roman" w:eastAsiaTheme="minorEastAsia" w:hAnsi="Times New Roman" w:cs="Times New Roman"/>
          <w:b/>
          <w:bCs/>
          <w:sz w:val="24"/>
          <w:szCs w:val="24"/>
        </w:rPr>
      </w:pPr>
      <w:r w:rsidRPr="00B87817">
        <w:rPr>
          <w:rFonts w:ascii="Times New Roman" w:hAnsi="Times New Roman" w:cs="Times New Roman"/>
          <w:b/>
          <w:bCs/>
          <w:sz w:val="24"/>
          <w:szCs w:val="24"/>
        </w:rPr>
        <w:lastRenderedPageBreak/>
        <w:t>1.0 Introduction</w:t>
      </w:r>
    </w:p>
    <w:p w14:paraId="0D8014F1" w14:textId="7AA59BC3" w:rsidR="00B87817" w:rsidRDefault="00B97643" w:rsidP="00B87817">
      <w:pPr>
        <w:spacing w:line="360" w:lineRule="auto"/>
        <w:rPr>
          <w:rFonts w:ascii="Times New Roman" w:eastAsiaTheme="minorEastAsia" w:hAnsi="Times New Roman" w:cs="Times New Roman"/>
          <w:sz w:val="24"/>
          <w:szCs w:val="24"/>
        </w:rPr>
      </w:pPr>
      <w:r w:rsidRPr="00B87817">
        <w:rPr>
          <w:rFonts w:ascii="Times New Roman" w:hAnsi="Times New Roman" w:cs="Times New Roman"/>
          <w:sz w:val="24"/>
          <w:szCs w:val="24"/>
        </w:rPr>
        <w:t xml:space="preserve">At present, the global economy is facing increasing uncertainties. After COVID-19, the world economy shows an unbalanced recovery (Al </w:t>
      </w:r>
      <w:proofErr w:type="spellStart"/>
      <w:r w:rsidRPr="00B87817">
        <w:rPr>
          <w:rFonts w:ascii="Times New Roman" w:hAnsi="Times New Roman" w:cs="Times New Roman"/>
          <w:sz w:val="24"/>
          <w:szCs w:val="24"/>
        </w:rPr>
        <w:t>Thaqeb</w:t>
      </w:r>
      <w:proofErr w:type="spellEnd"/>
      <w:r w:rsidRPr="00B87817">
        <w:rPr>
          <w:rFonts w:ascii="Times New Roman" w:hAnsi="Times New Roman" w:cs="Times New Roman"/>
          <w:sz w:val="24"/>
          <w:szCs w:val="24"/>
        </w:rPr>
        <w:t>, et al., 2022). The rise of world trade protectionism has led to a tense trend in global trade (Milner, 2021), which will have an impact on global supply and value chains. In addition, the rapid development of digital technology has accelerated online shopping. The development of remote work has had an impact on the economic structure and industrial landscape. For the food retail industry, global economic challenges will affect consumer purchasing power, consumption habits, and preferences, change the competitive landscape of the food retail industry, and affect the stability of the food supply chain. Therefore, analyzing the internal and external environment faced by an organization is a prerequisite for implementing a good organizational marketing strategy. Tesco is a long-standing and strong food retailer in the UK, founded in 1919. Headquartered in the UK, it has thousands of stores worldwide and is one of the largest food retailers in the world. The main purpose of this report is to critically analyze the internal and external environment faced by Tesco to help it address the challenges of the global economy.</w:t>
      </w:r>
    </w:p>
    <w:p w14:paraId="7A161E9B" w14:textId="3DA11E7D" w:rsidR="00B87817" w:rsidRPr="00B87817" w:rsidRDefault="00B97643" w:rsidP="00686F18">
      <w:pPr>
        <w:spacing w:beforeLines="50" w:before="156" w:line="360" w:lineRule="auto"/>
        <w:rPr>
          <w:rFonts w:ascii="Times New Roman" w:eastAsiaTheme="minorEastAsia" w:hAnsi="Times New Roman" w:cs="Times New Roman"/>
          <w:b/>
          <w:bCs/>
          <w:sz w:val="24"/>
          <w:szCs w:val="24"/>
        </w:rPr>
      </w:pPr>
      <w:r w:rsidRPr="00B87817">
        <w:rPr>
          <w:rFonts w:ascii="Times New Roman" w:eastAsiaTheme="minorEastAsia" w:hAnsi="Times New Roman" w:cs="Times New Roman"/>
          <w:b/>
          <w:bCs/>
          <w:sz w:val="24"/>
          <w:szCs w:val="24"/>
        </w:rPr>
        <w:t>2.0 Main Findings</w:t>
      </w:r>
    </w:p>
    <w:p w14:paraId="3835ECFA" w14:textId="691B76C0" w:rsidR="00B87817" w:rsidRPr="00B87817" w:rsidRDefault="00B97643" w:rsidP="00B87817">
      <w:pPr>
        <w:spacing w:beforeLines="50" w:before="156" w:afterLines="50" w:after="156" w:line="360" w:lineRule="auto"/>
        <w:rPr>
          <w:rFonts w:ascii="Times New Roman" w:eastAsiaTheme="minorEastAsia" w:hAnsi="Times New Roman" w:cs="Times New Roman"/>
          <w:b/>
          <w:bCs/>
          <w:sz w:val="24"/>
          <w:szCs w:val="24"/>
        </w:rPr>
      </w:pPr>
      <w:r w:rsidRPr="00B87817">
        <w:rPr>
          <w:rFonts w:ascii="Times New Roman" w:eastAsiaTheme="minorEastAsia" w:hAnsi="Times New Roman" w:cs="Times New Roman"/>
          <w:b/>
          <w:bCs/>
          <w:sz w:val="24"/>
          <w:szCs w:val="24"/>
        </w:rPr>
        <w:t>2.1 PESTEL Analysis - External Macro Environment Analysis</w:t>
      </w:r>
    </w:p>
    <w:p w14:paraId="45728395"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PESTEL analysis is a commonly used analytical model for evaluating and analyzing the external macro environment of enterprises. It mainly comprehensively scans the external environment of enterprises from six aspects, namely Political, Economic, Social, Technical, Environmental, and Legal. The PESTEL analysis results of Tesco in the UK are as follows:</w:t>
      </w:r>
    </w:p>
    <w:p w14:paraId="552ED2FB" w14:textId="77777777" w:rsidR="00B97643" w:rsidRPr="00B87817" w:rsidRDefault="00B97643" w:rsidP="00B87817">
      <w:pPr>
        <w:spacing w:line="360" w:lineRule="auto"/>
        <w:rPr>
          <w:rFonts w:ascii="Times New Roman" w:eastAsiaTheme="minorEastAsia" w:hAnsi="Times New Roman" w:cs="Times New Roman"/>
          <w:sz w:val="24"/>
          <w:szCs w:val="24"/>
        </w:rPr>
      </w:pPr>
    </w:p>
    <w:p w14:paraId="0060B796"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 xml:space="preserve">(1) Politics: The political environment in the UK is unstable, and sanctions against Russia mean that the UK will face energy shortages. Brexit by the UK government will affect the food supply chain structure. The domestic fiscal tightening and political </w:t>
      </w:r>
      <w:r w:rsidRPr="00B87817">
        <w:rPr>
          <w:rFonts w:ascii="Times New Roman" w:eastAsiaTheme="minorEastAsia" w:hAnsi="Times New Roman" w:cs="Times New Roman"/>
          <w:sz w:val="24"/>
          <w:szCs w:val="24"/>
        </w:rPr>
        <w:lastRenderedPageBreak/>
        <w:t>fluctuations in the UK will have an impact on its imports, exports, and international business (Kilpatrick and Moir, 2023). On the positive side, the UK provides government tax and consumption subsidies for food, especially healthy foods such as vegetables and fruits (Andreyeva et al., 2022).</w:t>
      </w:r>
    </w:p>
    <w:p w14:paraId="196FA526" w14:textId="77777777" w:rsidR="00B97643" w:rsidRPr="00B87817" w:rsidRDefault="00B97643" w:rsidP="00B87817">
      <w:pPr>
        <w:spacing w:line="360" w:lineRule="auto"/>
        <w:rPr>
          <w:rFonts w:ascii="Times New Roman" w:eastAsiaTheme="minorEastAsia" w:hAnsi="Times New Roman" w:cs="Times New Roman"/>
          <w:sz w:val="24"/>
          <w:szCs w:val="24"/>
        </w:rPr>
      </w:pPr>
    </w:p>
    <w:p w14:paraId="4FB87D66" w14:textId="77777777" w:rsidR="00B97643"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(2) Economy: The economic environment in the UK is unstable, facing serious inflation and livelihood issues. At the end of 2022, the unemployment rate reached 6.25%, and in the first quarter of 2023, the inflation rate in the UK reached 11.7% (Gao, 2024). In order to address inflation and unemployment rates, the UK has reduced personal income tax and corporate tax (Gan and Yan, 2023). But today, the problem has not been solved, and inflation and strikes still exist. Inflation may cause price increases and a decrease in consumer purchasing power (</w:t>
      </w:r>
      <w:proofErr w:type="spellStart"/>
      <w:r w:rsidRPr="00B87817">
        <w:rPr>
          <w:rFonts w:ascii="Times New Roman" w:eastAsiaTheme="minorEastAsia" w:hAnsi="Times New Roman" w:cs="Times New Roman"/>
          <w:sz w:val="24"/>
          <w:szCs w:val="24"/>
        </w:rPr>
        <w:t>Breinlich</w:t>
      </w:r>
      <w:proofErr w:type="spellEnd"/>
      <w:r w:rsidRPr="00B87817">
        <w:rPr>
          <w:rFonts w:ascii="Times New Roman" w:eastAsiaTheme="minorEastAsia" w:hAnsi="Times New Roman" w:cs="Times New Roman"/>
          <w:sz w:val="24"/>
          <w:szCs w:val="24"/>
        </w:rPr>
        <w:t xml:space="preserve"> et al., 2022; Haskel, 2023), resulting in cost and sales performance pressures, and may also face challenges such as labor shortages.</w:t>
      </w:r>
    </w:p>
    <w:p w14:paraId="7A67E02B" w14:textId="77777777" w:rsidR="00B87817" w:rsidRPr="00B87817" w:rsidRDefault="00B87817" w:rsidP="00B87817">
      <w:pPr>
        <w:spacing w:line="360" w:lineRule="auto"/>
        <w:rPr>
          <w:rFonts w:ascii="Times New Roman" w:eastAsiaTheme="minorEastAsia" w:hAnsi="Times New Roman" w:cs="Times New Roman"/>
          <w:sz w:val="24"/>
          <w:szCs w:val="24"/>
        </w:rPr>
      </w:pPr>
    </w:p>
    <w:p w14:paraId="6EB0C3B9"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(3) Society: The UK is a diverse society with diverse cultural differences and consumption habits. The aging population in the UK is also quite severe, which may lead to changes in consumer demand (Office for National Statistics, 2021). In recent years, British citizens have increasingly focused on social equity and environmental awareness (Zhang, Zhang and Zhou, 2021), which means that businesses need to pay attention to social responsibility and sustainable development of the environment. In terms of education, there has been an increase in the number of uneducated individuals aged 16-24 in the UK (Office for National Statistics, 2023), and these unstable factors can lead to Tesco facing supply chain and employment stability, logistics delays, and service interruptions.</w:t>
      </w:r>
    </w:p>
    <w:p w14:paraId="0E518B78" w14:textId="77777777" w:rsidR="00B97643" w:rsidRPr="00B87817" w:rsidRDefault="00B97643" w:rsidP="00B87817">
      <w:pPr>
        <w:spacing w:line="360" w:lineRule="auto"/>
        <w:rPr>
          <w:rFonts w:ascii="Times New Roman" w:eastAsiaTheme="minorEastAsia" w:hAnsi="Times New Roman" w:cs="Times New Roman"/>
          <w:sz w:val="24"/>
          <w:szCs w:val="24"/>
        </w:rPr>
      </w:pPr>
    </w:p>
    <w:p w14:paraId="6960266D"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(4) Technology: Currently, digital technology is sweeping the world, and both society and enterprises are facing digital transformation (</w:t>
      </w:r>
      <w:proofErr w:type="spellStart"/>
      <w:r w:rsidRPr="00B87817">
        <w:rPr>
          <w:rFonts w:ascii="Times New Roman" w:eastAsiaTheme="minorEastAsia" w:hAnsi="Times New Roman" w:cs="Times New Roman"/>
          <w:sz w:val="24"/>
          <w:szCs w:val="24"/>
        </w:rPr>
        <w:t>Papanagnou</w:t>
      </w:r>
      <w:proofErr w:type="spellEnd"/>
      <w:r w:rsidRPr="00B87817">
        <w:rPr>
          <w:rFonts w:ascii="Times New Roman" w:eastAsiaTheme="minorEastAsia" w:hAnsi="Times New Roman" w:cs="Times New Roman"/>
          <w:sz w:val="24"/>
          <w:szCs w:val="24"/>
        </w:rPr>
        <w:t xml:space="preserve">, et al., 2022). The technological environment in the UK is full of vitality, innovation capabilities, and competitive advantages. The UK is at the forefront of digital transformation, with </w:t>
      </w:r>
      <w:r w:rsidRPr="00B87817">
        <w:rPr>
          <w:rFonts w:ascii="Times New Roman" w:eastAsiaTheme="minorEastAsia" w:hAnsi="Times New Roman" w:cs="Times New Roman"/>
          <w:sz w:val="24"/>
          <w:szCs w:val="24"/>
        </w:rPr>
        <w:lastRenderedPageBreak/>
        <w:t>rapid development in areas such as network technology, artificial intelligence, and big data analysis (Moore, 2023). Technologies such as e-commerce, intelligent Internet of Things, and digital payments are changing people's lifestyles and business models (Shang and Chiu, 2022).</w:t>
      </w:r>
    </w:p>
    <w:p w14:paraId="28AF0767" w14:textId="77777777" w:rsidR="00B97643" w:rsidRPr="00B87817" w:rsidRDefault="00B97643" w:rsidP="00B87817">
      <w:pPr>
        <w:spacing w:line="360" w:lineRule="auto"/>
        <w:rPr>
          <w:rFonts w:ascii="Times New Roman" w:eastAsiaTheme="minorEastAsia" w:hAnsi="Times New Roman" w:cs="Times New Roman"/>
          <w:sz w:val="24"/>
          <w:szCs w:val="24"/>
        </w:rPr>
      </w:pPr>
    </w:p>
    <w:p w14:paraId="5DBBD228"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(5) Environmental: The environmental awareness of British citizens is increasing (Huber, 2020). They generally support environmental policies and actions taken by governments and businesses, support measures such as banning the use of plastic bags (</w:t>
      </w:r>
      <w:proofErr w:type="spellStart"/>
      <w:r w:rsidRPr="00B87817">
        <w:rPr>
          <w:rFonts w:ascii="Times New Roman" w:eastAsiaTheme="minorEastAsia" w:hAnsi="Times New Roman" w:cs="Times New Roman"/>
          <w:sz w:val="24"/>
          <w:szCs w:val="24"/>
        </w:rPr>
        <w:t>Taghopour</w:t>
      </w:r>
      <w:proofErr w:type="spellEnd"/>
      <w:r w:rsidRPr="00B87817">
        <w:rPr>
          <w:rFonts w:ascii="Times New Roman" w:eastAsiaTheme="minorEastAsia" w:hAnsi="Times New Roman" w:cs="Times New Roman"/>
          <w:sz w:val="24"/>
          <w:szCs w:val="24"/>
        </w:rPr>
        <w:t>, et al., 2023), reducing carbon emissions, and protecting natural ecosystems (Cox, Spence and Pidgeon, 2020). More and more British citizens are paying attention to sustainable lifestyles, choosing to purchase environmentally friendly products and paying attention to climate change. These all require enterprises to focus on environmental sustainability and corporate social responsibility in the process of development and operation.</w:t>
      </w:r>
    </w:p>
    <w:p w14:paraId="097A3D46" w14:textId="77777777" w:rsidR="00B97643" w:rsidRPr="00B87817" w:rsidRDefault="00B97643" w:rsidP="00B87817">
      <w:pPr>
        <w:spacing w:line="360" w:lineRule="auto"/>
        <w:rPr>
          <w:rFonts w:ascii="Times New Roman" w:eastAsiaTheme="minorEastAsia" w:hAnsi="Times New Roman" w:cs="Times New Roman"/>
          <w:sz w:val="24"/>
          <w:szCs w:val="24"/>
        </w:rPr>
      </w:pPr>
    </w:p>
    <w:p w14:paraId="58BB983F" w14:textId="77777777" w:rsidR="00B97643"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(6) Legal: The food retail industry in the UK faces multiple regulations, mainly including the Consumer Rights Act, Food Safety Regulations, Labeling and Packaging Regulations, Competition Regulations, Labor Regulations, and Environmental Protection Regulations. These laws are mandatory for businesses to comply with. Food retailers should pay attention to protecting consumer rights, ensuring product quality and safety, and promoting the healthy development of the industry.</w:t>
      </w:r>
    </w:p>
    <w:p w14:paraId="410830C8" w14:textId="77777777" w:rsidR="00B87817" w:rsidRPr="00B87817" w:rsidRDefault="00B87817" w:rsidP="00B87817">
      <w:pPr>
        <w:spacing w:line="360" w:lineRule="auto"/>
        <w:rPr>
          <w:rFonts w:ascii="Times New Roman" w:eastAsiaTheme="minorEastAsia" w:hAnsi="Times New Roman" w:cs="Times New Roman"/>
          <w:sz w:val="24"/>
          <w:szCs w:val="24"/>
        </w:rPr>
      </w:pPr>
    </w:p>
    <w:p w14:paraId="342C9ECC" w14:textId="7885F130"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Through PESTEL analysis, it can be seen that Tesco is facing a turbulent political and economic environment, a complex social environment, and a rapidly developing technological environment. At the same time, it also needs to comply with more legal systems and raise awareness of environmental protection among citizens. In summary, the external macro environment Tesco is facing has caused many adverse effects on the development of the enterprise, and the enterprise should fully consider these influencing factors when formulating marketing strategies.</w:t>
      </w:r>
    </w:p>
    <w:p w14:paraId="6FE2D48C" w14:textId="6C00DF5D" w:rsidR="00B87817" w:rsidRPr="00B87817" w:rsidRDefault="00B97643" w:rsidP="00B87817">
      <w:pPr>
        <w:spacing w:beforeLines="50" w:before="156" w:afterLines="50" w:after="156" w:line="360" w:lineRule="auto"/>
        <w:rPr>
          <w:rFonts w:ascii="Times New Roman" w:eastAsiaTheme="minorEastAsia" w:hAnsi="Times New Roman" w:cs="Times New Roman"/>
          <w:b/>
          <w:bCs/>
          <w:sz w:val="24"/>
          <w:szCs w:val="24"/>
        </w:rPr>
      </w:pPr>
      <w:r w:rsidRPr="00B87817">
        <w:rPr>
          <w:rFonts w:ascii="Times New Roman" w:eastAsiaTheme="minorEastAsia" w:hAnsi="Times New Roman" w:cs="Times New Roman"/>
          <w:b/>
          <w:bCs/>
          <w:sz w:val="24"/>
          <w:szCs w:val="24"/>
        </w:rPr>
        <w:lastRenderedPageBreak/>
        <w:t>2.2 Porter's Five Forces Analysis - External Micro Environment Analysis</w:t>
      </w:r>
    </w:p>
    <w:p w14:paraId="48A6DF76"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The Porter's Five Forces model is used to analyze and evaluate the external micro environment faced by enterprises. This framework includes five aspects related to enterprises, namely the competitiveness of competitors, the threat of potential entrants, the threat of substitutes or services, the bargaining power of suppliers, and the bargaining power of customers. Tesco's Porter's Five Forces model analysis is as follows:</w:t>
      </w:r>
    </w:p>
    <w:p w14:paraId="44D7929A" w14:textId="77777777" w:rsidR="00B97643" w:rsidRPr="00B87817" w:rsidRDefault="00B97643" w:rsidP="00B87817">
      <w:pPr>
        <w:spacing w:line="360" w:lineRule="auto"/>
        <w:rPr>
          <w:rFonts w:ascii="Times New Roman" w:eastAsiaTheme="minorEastAsia" w:hAnsi="Times New Roman" w:cs="Times New Roman"/>
          <w:sz w:val="24"/>
          <w:szCs w:val="24"/>
        </w:rPr>
      </w:pPr>
    </w:p>
    <w:p w14:paraId="1D1FE488"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 xml:space="preserve">(1) Competitiveness: Tesco faces many strong competitors in the UK, mainly Sainsbury's, Asda, Morrisons, etc. They compete with Tesco in multiple fields such as price, market, and supply chain. In addition, German retail giants </w:t>
      </w:r>
      <w:proofErr w:type="spellStart"/>
      <w:r w:rsidRPr="00B87817">
        <w:rPr>
          <w:rFonts w:ascii="Times New Roman" w:eastAsiaTheme="minorEastAsia" w:hAnsi="Times New Roman" w:cs="Times New Roman"/>
          <w:sz w:val="24"/>
          <w:szCs w:val="24"/>
        </w:rPr>
        <w:t>Alid</w:t>
      </w:r>
      <w:proofErr w:type="spellEnd"/>
      <w:r w:rsidRPr="00B87817">
        <w:rPr>
          <w:rFonts w:ascii="Times New Roman" w:eastAsiaTheme="minorEastAsia" w:hAnsi="Times New Roman" w:cs="Times New Roman"/>
          <w:sz w:val="24"/>
          <w:szCs w:val="24"/>
        </w:rPr>
        <w:t xml:space="preserve"> and Lidl are also rapidly expanding in the UK market. Waitrose mainly occupies the high-end market, providing high-quality food and services, attracting a portion of consumers. Tesco and its competitors have a certain market share and influence in the UK market, and there is fierce competition between them, which drives Tesco's products and services to continuously optimize and enhance competitiveness.</w:t>
      </w:r>
    </w:p>
    <w:p w14:paraId="6B8EECED" w14:textId="77777777" w:rsidR="00B97643" w:rsidRPr="00B87817" w:rsidRDefault="00B97643" w:rsidP="00B87817">
      <w:pPr>
        <w:spacing w:line="360" w:lineRule="auto"/>
        <w:rPr>
          <w:rFonts w:ascii="Times New Roman" w:eastAsiaTheme="minorEastAsia" w:hAnsi="Times New Roman" w:cs="Times New Roman"/>
          <w:sz w:val="24"/>
          <w:szCs w:val="24"/>
        </w:rPr>
      </w:pPr>
    </w:p>
    <w:p w14:paraId="524742F6" w14:textId="77777777" w:rsidR="00B97643"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(2) Potential entrant threat: The food retail industry requires significant capital investment to operate daily operations such as store networks, supply chains, and inventory, and has a long investment return period. Potential entrants need time and resources to establish a supply chain network. Correspondingly, after years of operation and development, Tesco has a huge supplier network and procurement capabilities, and has invested a lot of resources in digital transformation. It can be seen that Tesco has a leading position and advantage in the market, and potential entrants face high entry barriers.</w:t>
      </w:r>
    </w:p>
    <w:p w14:paraId="677D027A" w14:textId="77777777" w:rsidR="00B87817" w:rsidRDefault="00B87817" w:rsidP="00B87817">
      <w:pPr>
        <w:spacing w:line="360" w:lineRule="auto"/>
        <w:rPr>
          <w:rFonts w:ascii="Times New Roman" w:eastAsiaTheme="minorEastAsia" w:hAnsi="Times New Roman" w:cs="Times New Roman"/>
          <w:sz w:val="24"/>
          <w:szCs w:val="24"/>
        </w:rPr>
      </w:pPr>
    </w:p>
    <w:p w14:paraId="5E6C6053" w14:textId="5001A3C5" w:rsidR="00B97643" w:rsidRPr="00B87817" w:rsidRDefault="00B87817" w:rsidP="00B87817">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hint="eastAsia"/>
          <w:sz w:val="24"/>
          <w:szCs w:val="24"/>
        </w:rPr>
        <w:t xml:space="preserve">(3) </w:t>
      </w:r>
      <w:r w:rsidR="00B97643" w:rsidRPr="00B87817">
        <w:rPr>
          <w:rFonts w:ascii="Times New Roman" w:eastAsiaTheme="minorEastAsia" w:hAnsi="Times New Roman" w:cs="Times New Roman"/>
          <w:sz w:val="24"/>
          <w:szCs w:val="24"/>
        </w:rPr>
        <w:t xml:space="preserve">Threat of substitutes: Currently, online retail platforms are developing rapidly, and consumers can purchase food through online platforms without being limited by time and location, which poses a threat to Tesco's physical stores. In addition, with the </w:t>
      </w:r>
      <w:r w:rsidR="00B97643" w:rsidRPr="00B87817">
        <w:rPr>
          <w:rFonts w:ascii="Times New Roman" w:eastAsiaTheme="minorEastAsia" w:hAnsi="Times New Roman" w:cs="Times New Roman"/>
          <w:sz w:val="24"/>
          <w:szCs w:val="24"/>
        </w:rPr>
        <w:lastRenderedPageBreak/>
        <w:t>increasing awareness of health, people may be more inclined to choose organic products, natural products, or dietary products (Kowalska, et al., 2021), and the market demand for meal substitutes has also increased in recent years (Jovanov et al., 2021). Takeout ordering and dining establishments have also segmented a portion of the market share of food retailers (Ahuja, et al., 2021). Therefore, Tesco still faces a strong threat of substitutes and needs to provide diversified products and services to enhance competitiveness.</w:t>
      </w:r>
    </w:p>
    <w:p w14:paraId="7EB847A9" w14:textId="77777777" w:rsidR="00B97643" w:rsidRPr="00B87817" w:rsidRDefault="00B97643" w:rsidP="00B87817">
      <w:pPr>
        <w:spacing w:line="360" w:lineRule="auto"/>
        <w:rPr>
          <w:rFonts w:ascii="Times New Roman" w:eastAsiaTheme="minorEastAsia" w:hAnsi="Times New Roman" w:cs="Times New Roman"/>
          <w:sz w:val="24"/>
          <w:szCs w:val="24"/>
        </w:rPr>
      </w:pPr>
    </w:p>
    <w:p w14:paraId="7EA213BB"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(4) Supplier bargaining power: From Tesco's 2023 annual report (Tesco, 2023), it can be seen that Tesco has established long-term partnerships with many of its suppliers, who consider Tesco as their top retailer. The establishment of long-term partnerships with suppliers and Tesco's large procurement volume both determine that Tesco has lower procurement costs. This means that the bargaining power of suppliers is weak, but from a sustainable development perspective, Tesco needs to ensure that both upstream and downstream enterprises in the supply chain receive reasonable profits.</w:t>
      </w:r>
    </w:p>
    <w:p w14:paraId="2ADBD828" w14:textId="77777777" w:rsidR="00B97643" w:rsidRPr="00B87817" w:rsidRDefault="00B97643" w:rsidP="00B87817">
      <w:pPr>
        <w:spacing w:line="360" w:lineRule="auto"/>
        <w:rPr>
          <w:rFonts w:ascii="Times New Roman" w:eastAsiaTheme="minorEastAsia" w:hAnsi="Times New Roman" w:cs="Times New Roman"/>
          <w:sz w:val="24"/>
          <w:szCs w:val="24"/>
        </w:rPr>
      </w:pPr>
    </w:p>
    <w:p w14:paraId="4F004DAC"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(5) Customer bargaining power: There are many competitors in the food retail market in the UK, and their strength is on par, which gives consumers a lot of choice space. In addition, the threat of substitutes allows consumers to compare prices among multiple choices when making purchasing decisions, which means that consumers have strong bargaining power. This will put a lot of pressure on Tesco to maintain and expand its market share.</w:t>
      </w:r>
    </w:p>
    <w:p w14:paraId="59B0A2D7" w14:textId="77777777" w:rsidR="00B97643" w:rsidRPr="00B87817" w:rsidRDefault="00B97643" w:rsidP="00B87817">
      <w:pPr>
        <w:spacing w:line="360" w:lineRule="auto"/>
        <w:rPr>
          <w:rFonts w:ascii="Times New Roman" w:eastAsiaTheme="minorEastAsia" w:hAnsi="Times New Roman" w:cs="Times New Roman"/>
          <w:sz w:val="24"/>
          <w:szCs w:val="24"/>
        </w:rPr>
      </w:pPr>
    </w:p>
    <w:p w14:paraId="55B3E8AE" w14:textId="77777777" w:rsidR="00B87817" w:rsidRDefault="00B97643" w:rsidP="00B87817">
      <w:pPr>
        <w:spacing w:line="360" w:lineRule="auto"/>
        <w:rPr>
          <w:rFonts w:ascii="Times New Roman" w:eastAsiaTheme="minorEastAsia" w:hAnsi="Times New Roman" w:cs="Times New Roman"/>
          <w:sz w:val="24"/>
          <w:szCs w:val="24"/>
        </w:rPr>
        <w:sectPr w:rsidR="00B87817" w:rsidSect="00830B8D">
          <w:pgSz w:w="11906" w:h="16838"/>
          <w:pgMar w:top="1440" w:right="1800" w:bottom="1440" w:left="1800" w:header="851" w:footer="992" w:gutter="0"/>
          <w:cols w:space="425"/>
          <w:docGrid w:type="lines" w:linePitch="312"/>
        </w:sectPr>
      </w:pPr>
      <w:r w:rsidRPr="00B87817">
        <w:rPr>
          <w:rFonts w:ascii="Times New Roman" w:eastAsiaTheme="minorEastAsia" w:hAnsi="Times New Roman" w:cs="Times New Roman"/>
          <w:sz w:val="24"/>
          <w:szCs w:val="24"/>
        </w:rPr>
        <w:t xml:space="preserve">From the above analysis, it can be seen that Tesco is facing fierce market competition, with competitors and substitutes posing a certain threat to Tesco's market strategy. Consumers have a wide range of products to choose from and strong bargaining power. Fortunately, Tesco has established a huge supply chain network with strong supply chain management and procurement capabilities. Tesco needs to continue to leverage its advantages in the supply chain and enhance its competitiveness. At the same time, Tesco also needs to provide diversified products and continue to increase </w:t>
      </w:r>
    </w:p>
    <w:p w14:paraId="74ADDBF8"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lastRenderedPageBreak/>
        <w:t>support for online purchases to reduce the threat of competitors and substitutes.</w:t>
      </w:r>
    </w:p>
    <w:p w14:paraId="7B709A03" w14:textId="51CF7BF4" w:rsidR="00B97643" w:rsidRPr="00B87817" w:rsidRDefault="00B97643" w:rsidP="00B87817">
      <w:pPr>
        <w:spacing w:beforeLines="50" w:before="156" w:afterLines="50" w:after="156" w:line="360" w:lineRule="auto"/>
        <w:rPr>
          <w:rFonts w:ascii="Times New Roman" w:eastAsia="宋体" w:hAnsi="Times New Roman" w:cs="Times New Roman"/>
          <w:b/>
          <w:bCs/>
          <w:sz w:val="24"/>
          <w:szCs w:val="24"/>
        </w:rPr>
      </w:pPr>
      <w:r w:rsidRPr="00B87817">
        <w:rPr>
          <w:rFonts w:ascii="Times New Roman" w:eastAsia="宋体" w:hAnsi="Times New Roman" w:cs="Times New Roman"/>
          <w:b/>
          <w:bCs/>
          <w:sz w:val="24"/>
          <w:szCs w:val="24"/>
        </w:rPr>
        <w:t>2.3 Internal Resource Audit - Porter's Value Chain Analysis</w:t>
      </w:r>
    </w:p>
    <w:p w14:paraId="26F12081" w14:textId="5A36DCF3" w:rsidR="00B97643" w:rsidRDefault="00B97643" w:rsidP="00B87817">
      <w:pPr>
        <w:spacing w:line="360" w:lineRule="auto"/>
        <w:rPr>
          <w:rFonts w:ascii="Times New Roman" w:eastAsia="宋体" w:hAnsi="Times New Roman" w:cs="Times New Roman"/>
          <w:sz w:val="24"/>
          <w:szCs w:val="24"/>
        </w:rPr>
      </w:pPr>
      <w:r w:rsidRPr="00B87817">
        <w:rPr>
          <w:rFonts w:ascii="Times New Roman" w:eastAsia="宋体" w:hAnsi="Times New Roman" w:cs="Times New Roman"/>
          <w:sz w:val="24"/>
          <w:szCs w:val="24"/>
        </w:rPr>
        <w:t xml:space="preserve">Porter's value chain analysis can understand the analytical framework of how internal activities of a company create value. It can comprehensively analyze all major and supporting activities of Tesco, and focus on the value creation process of Tesco, identifying key activities of Tesco, and providing guidance for Tesco's strategic planning. Tesco's Porter's value chain analysis is shown in </w:t>
      </w:r>
      <w:r w:rsidRPr="00B87817">
        <w:rPr>
          <w:rFonts w:ascii="Times New Roman" w:eastAsiaTheme="minorEastAsia" w:hAnsi="Times New Roman" w:cs="Times New Roman"/>
          <w:sz w:val="24"/>
          <w:szCs w:val="24"/>
        </w:rPr>
        <w:t>Table</w:t>
      </w:r>
      <w:r w:rsidRPr="00B87817">
        <w:rPr>
          <w:rFonts w:ascii="Times New Roman" w:eastAsia="宋体" w:hAnsi="Times New Roman" w:cs="Times New Roman"/>
          <w:sz w:val="24"/>
          <w:szCs w:val="24"/>
        </w:rPr>
        <w:t xml:space="preserve"> 1:</w:t>
      </w:r>
    </w:p>
    <w:p w14:paraId="0245C12F" w14:textId="27B45D34" w:rsidR="00B87817" w:rsidRPr="0089156C" w:rsidRDefault="00534012" w:rsidP="00534012">
      <w:pPr>
        <w:spacing w:line="360" w:lineRule="auto"/>
        <w:jc w:val="center"/>
        <w:rPr>
          <w:rFonts w:ascii="Times New Roman" w:eastAsia="宋体" w:hAnsi="Times New Roman" w:cs="Times New Roman"/>
          <w:b/>
          <w:bCs/>
          <w:sz w:val="24"/>
          <w:szCs w:val="24"/>
        </w:rPr>
      </w:pPr>
      <w:r w:rsidRPr="0089156C">
        <w:rPr>
          <w:rFonts w:ascii="Times New Roman" w:eastAsiaTheme="minorEastAsia" w:hAnsi="Times New Roman" w:cs="Times New Roman"/>
          <w:b/>
          <w:bCs/>
          <w:sz w:val="24"/>
          <w:szCs w:val="24"/>
        </w:rPr>
        <w:t>Table</w:t>
      </w:r>
      <w:r w:rsidRPr="0089156C">
        <w:rPr>
          <w:rFonts w:ascii="Times New Roman" w:eastAsia="宋体" w:hAnsi="Times New Roman" w:cs="Times New Roman"/>
          <w:b/>
          <w:bCs/>
          <w:sz w:val="24"/>
          <w:szCs w:val="24"/>
        </w:rPr>
        <w:t xml:space="preserve"> 1:</w:t>
      </w:r>
      <w:r w:rsidR="00293E69" w:rsidRPr="0089156C">
        <w:rPr>
          <w:rFonts w:ascii="Times New Roman" w:eastAsia="宋体" w:hAnsi="Times New Roman" w:cs="Times New Roman" w:hint="eastAsia"/>
          <w:b/>
          <w:bCs/>
          <w:sz w:val="24"/>
          <w:szCs w:val="24"/>
        </w:rPr>
        <w:t xml:space="preserve"> </w:t>
      </w:r>
      <w:r w:rsidRPr="0089156C">
        <w:rPr>
          <w:rFonts w:ascii="Times New Roman" w:eastAsiaTheme="minorEastAsia" w:hAnsi="Times New Roman" w:cs="Times New Roman"/>
          <w:b/>
          <w:bCs/>
        </w:rPr>
        <w:t>Tesco's Value Chain Analysis for 2024</w:t>
      </w:r>
    </w:p>
    <w:tbl>
      <w:tblPr>
        <w:tblStyle w:val="a8"/>
        <w:tblW w:w="14211" w:type="dxa"/>
        <w:tblLook w:val="04A0" w:firstRow="1" w:lastRow="0" w:firstColumn="1" w:lastColumn="0" w:noHBand="0" w:noVBand="1"/>
      </w:tblPr>
      <w:tblGrid>
        <w:gridCol w:w="1221"/>
        <w:gridCol w:w="3091"/>
        <w:gridCol w:w="2033"/>
        <w:gridCol w:w="1985"/>
        <w:gridCol w:w="2693"/>
        <w:gridCol w:w="3119"/>
        <w:gridCol w:w="69"/>
      </w:tblGrid>
      <w:tr w:rsidR="007C5D52" w:rsidRPr="00B87817" w14:paraId="78AF03CE" w14:textId="77777777" w:rsidTr="00B87817">
        <w:tc>
          <w:tcPr>
            <w:tcW w:w="14211" w:type="dxa"/>
            <w:gridSpan w:val="7"/>
          </w:tcPr>
          <w:p w14:paraId="6593F871" w14:textId="73315D80" w:rsidR="007C5D52" w:rsidRPr="00B87817" w:rsidRDefault="00B97643" w:rsidP="00B87817">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Tesco's Value Chain Analysis for 2024</w:t>
            </w:r>
          </w:p>
        </w:tc>
      </w:tr>
      <w:tr w:rsidR="00AF7FAB" w:rsidRPr="00B87817" w14:paraId="52007CAD" w14:textId="77777777" w:rsidTr="00B87817">
        <w:tc>
          <w:tcPr>
            <w:tcW w:w="1221" w:type="dxa"/>
            <w:vMerge w:val="restart"/>
          </w:tcPr>
          <w:p w14:paraId="6D31E03B" w14:textId="69C4C878" w:rsidR="00AF7FAB" w:rsidRPr="00B87817" w:rsidRDefault="00B97643" w:rsidP="00B87817">
            <w:pPr>
              <w:spacing w:line="360" w:lineRule="auto"/>
              <w:rPr>
                <w:rFonts w:ascii="Times New Roman" w:eastAsiaTheme="minorEastAsia" w:hAnsi="Times New Roman" w:cs="Times New Roman"/>
              </w:rPr>
            </w:pPr>
            <w:r w:rsidRPr="00B87817">
              <w:rPr>
                <w:rFonts w:ascii="Times New Roman" w:eastAsiaTheme="minorEastAsia" w:hAnsi="Times New Roman" w:cs="Times New Roman"/>
              </w:rPr>
              <w:t>supporting activities</w:t>
            </w:r>
          </w:p>
        </w:tc>
        <w:tc>
          <w:tcPr>
            <w:tcW w:w="3091" w:type="dxa"/>
          </w:tcPr>
          <w:p w14:paraId="2D7434F1" w14:textId="1D85239C" w:rsidR="00AF7FAB" w:rsidRPr="00B87817" w:rsidRDefault="00B97643" w:rsidP="00686F18">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Basic Settings of the Company</w:t>
            </w:r>
          </w:p>
        </w:tc>
        <w:tc>
          <w:tcPr>
            <w:tcW w:w="9899" w:type="dxa"/>
            <w:gridSpan w:val="5"/>
          </w:tcPr>
          <w:p w14:paraId="56D8B0B9" w14:textId="13B3919B" w:rsidR="00AF7FAB" w:rsidRPr="00B87817" w:rsidRDefault="00B97643" w:rsidP="00B87817">
            <w:pPr>
              <w:spacing w:line="360" w:lineRule="auto"/>
              <w:rPr>
                <w:rFonts w:ascii="Times New Roman" w:eastAsiaTheme="minorEastAsia" w:hAnsi="Times New Roman" w:cs="Times New Roman"/>
              </w:rPr>
            </w:pPr>
            <w:r w:rsidRPr="00B87817">
              <w:rPr>
                <w:rFonts w:ascii="Times New Roman" w:eastAsiaTheme="minorEastAsia" w:hAnsi="Times New Roman" w:cs="Times New Roman"/>
              </w:rPr>
              <w:t>Advanced warehousing and inventory management facilities, large offline stores (Chen, 2022)</w:t>
            </w:r>
          </w:p>
        </w:tc>
      </w:tr>
      <w:tr w:rsidR="00AE3293" w:rsidRPr="00B87817" w14:paraId="61E3D986" w14:textId="77777777" w:rsidTr="00B87817">
        <w:tc>
          <w:tcPr>
            <w:tcW w:w="1221" w:type="dxa"/>
            <w:vMerge/>
          </w:tcPr>
          <w:p w14:paraId="77BBE005" w14:textId="77777777" w:rsidR="00AE3293" w:rsidRPr="00B87817" w:rsidRDefault="00AE3293" w:rsidP="00B87817">
            <w:pPr>
              <w:spacing w:line="360" w:lineRule="auto"/>
              <w:rPr>
                <w:rFonts w:ascii="Times New Roman" w:eastAsiaTheme="minorEastAsia" w:hAnsi="Times New Roman" w:cs="Times New Roman"/>
              </w:rPr>
            </w:pPr>
          </w:p>
        </w:tc>
        <w:tc>
          <w:tcPr>
            <w:tcW w:w="3091" w:type="dxa"/>
          </w:tcPr>
          <w:p w14:paraId="7D8E2496" w14:textId="7A478F29" w:rsidR="00AE3293" w:rsidRPr="00B87817" w:rsidRDefault="00B97643" w:rsidP="00686F18">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Human Resource Management</w:t>
            </w:r>
          </w:p>
        </w:tc>
        <w:tc>
          <w:tcPr>
            <w:tcW w:w="9899" w:type="dxa"/>
            <w:gridSpan w:val="5"/>
          </w:tcPr>
          <w:p w14:paraId="45838721" w14:textId="567734B4" w:rsidR="00AE3293" w:rsidRPr="00B87817" w:rsidRDefault="00B97643" w:rsidP="00B87817">
            <w:pPr>
              <w:spacing w:line="360" w:lineRule="auto"/>
              <w:rPr>
                <w:rFonts w:ascii="Times New Roman" w:eastAsiaTheme="minorEastAsia" w:hAnsi="Times New Roman" w:cs="Times New Roman"/>
              </w:rPr>
            </w:pPr>
            <w:r w:rsidRPr="00B87817">
              <w:rPr>
                <w:rFonts w:ascii="Times New Roman" w:eastAsiaTheme="minorEastAsia" w:hAnsi="Times New Roman" w:cs="Times New Roman"/>
              </w:rPr>
              <w:t>Tesco focuses on employee training and management, ensuring that employees possess professional knowledge and a good service attitude. It emphasizes fairness and has increased employee salaries in 2023 (Tesco, 2023).</w:t>
            </w:r>
          </w:p>
        </w:tc>
      </w:tr>
      <w:tr w:rsidR="00AE3293" w:rsidRPr="00B87817" w14:paraId="4CC25361" w14:textId="77777777" w:rsidTr="00B87817">
        <w:tc>
          <w:tcPr>
            <w:tcW w:w="1221" w:type="dxa"/>
            <w:vMerge/>
          </w:tcPr>
          <w:p w14:paraId="7D1CD007" w14:textId="77777777" w:rsidR="00AE3293" w:rsidRPr="00B87817" w:rsidRDefault="00AE3293" w:rsidP="00B87817">
            <w:pPr>
              <w:spacing w:line="360" w:lineRule="auto"/>
              <w:rPr>
                <w:rFonts w:ascii="Times New Roman" w:eastAsiaTheme="minorEastAsia" w:hAnsi="Times New Roman" w:cs="Times New Roman"/>
              </w:rPr>
            </w:pPr>
          </w:p>
        </w:tc>
        <w:tc>
          <w:tcPr>
            <w:tcW w:w="3091" w:type="dxa"/>
          </w:tcPr>
          <w:p w14:paraId="5565A164" w14:textId="406C0313" w:rsidR="00AE3293" w:rsidRPr="00B87817" w:rsidRDefault="00B97643" w:rsidP="00686F18">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Technological development</w:t>
            </w:r>
          </w:p>
        </w:tc>
        <w:tc>
          <w:tcPr>
            <w:tcW w:w="9899" w:type="dxa"/>
            <w:gridSpan w:val="5"/>
          </w:tcPr>
          <w:p w14:paraId="23C16166" w14:textId="193413BF" w:rsidR="00AE3293" w:rsidRPr="00B87817" w:rsidRDefault="00B97643" w:rsidP="00B87817">
            <w:pPr>
              <w:spacing w:line="360" w:lineRule="auto"/>
              <w:rPr>
                <w:rFonts w:ascii="Times New Roman" w:eastAsiaTheme="minorEastAsia" w:hAnsi="Times New Roman" w:cs="Times New Roman"/>
              </w:rPr>
            </w:pPr>
            <w:r w:rsidRPr="00B87817">
              <w:rPr>
                <w:rFonts w:ascii="Times New Roman" w:eastAsiaTheme="minorEastAsia" w:hAnsi="Times New Roman" w:cs="Times New Roman"/>
              </w:rPr>
              <w:t>Tesco has invested in advanced information technology, supply chain management systems, and customer relationship management systems in recent years. In 2023, Tesco also updated its food safety and quality supervision system, enabling it to cope with external risks (Tesco, 2023). In order to enhance customer experience and sales efficiency, continuously improve its e-commerce platform and customer management system.</w:t>
            </w:r>
          </w:p>
        </w:tc>
      </w:tr>
      <w:tr w:rsidR="005F606D" w:rsidRPr="00B87817" w14:paraId="62356334" w14:textId="77777777" w:rsidTr="00B87817">
        <w:tc>
          <w:tcPr>
            <w:tcW w:w="1221" w:type="dxa"/>
            <w:vMerge/>
          </w:tcPr>
          <w:p w14:paraId="56059B76" w14:textId="77777777" w:rsidR="005F606D" w:rsidRPr="00B87817" w:rsidRDefault="005F606D" w:rsidP="00B87817">
            <w:pPr>
              <w:spacing w:line="360" w:lineRule="auto"/>
              <w:rPr>
                <w:rFonts w:ascii="Times New Roman" w:eastAsiaTheme="minorEastAsia" w:hAnsi="Times New Roman" w:cs="Times New Roman"/>
              </w:rPr>
            </w:pPr>
          </w:p>
        </w:tc>
        <w:tc>
          <w:tcPr>
            <w:tcW w:w="3091" w:type="dxa"/>
          </w:tcPr>
          <w:p w14:paraId="3029D4EF" w14:textId="2F2BEDD7" w:rsidR="005F606D" w:rsidRPr="00B87817" w:rsidRDefault="00B97643" w:rsidP="00686F18">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Procure</w:t>
            </w:r>
          </w:p>
        </w:tc>
        <w:tc>
          <w:tcPr>
            <w:tcW w:w="9899" w:type="dxa"/>
            <w:gridSpan w:val="5"/>
          </w:tcPr>
          <w:p w14:paraId="49BFE808" w14:textId="5C4AAA14" w:rsidR="005F606D" w:rsidRPr="00B87817" w:rsidRDefault="00B97643" w:rsidP="00B87817">
            <w:pPr>
              <w:spacing w:line="360" w:lineRule="auto"/>
              <w:rPr>
                <w:rFonts w:ascii="Times New Roman" w:eastAsiaTheme="minorEastAsia" w:hAnsi="Times New Roman" w:cs="Times New Roman"/>
              </w:rPr>
            </w:pPr>
            <w:r w:rsidRPr="00B87817">
              <w:rPr>
                <w:rFonts w:ascii="Times New Roman" w:hAnsi="Times New Roman" w:cs="Times New Roman"/>
                <w:color w:val="0D0D0D"/>
                <w:shd w:val="clear" w:color="auto" w:fill="FFFFFF"/>
              </w:rPr>
              <w:t>Tesco establishes long-term partnerships with suppliers to ensure access to high-quality products and competitive prices (Tesco, 2024).</w:t>
            </w:r>
          </w:p>
        </w:tc>
      </w:tr>
      <w:tr w:rsidR="00B87817" w:rsidRPr="00B87817" w14:paraId="26867787" w14:textId="77777777" w:rsidTr="00534012">
        <w:trPr>
          <w:gridAfter w:val="1"/>
          <w:wAfter w:w="69" w:type="dxa"/>
        </w:trPr>
        <w:tc>
          <w:tcPr>
            <w:tcW w:w="1221" w:type="dxa"/>
          </w:tcPr>
          <w:p w14:paraId="352BBC1A" w14:textId="77777777" w:rsidR="00505AD5" w:rsidRPr="00B87817" w:rsidRDefault="00505AD5" w:rsidP="00B87817">
            <w:pPr>
              <w:spacing w:line="360" w:lineRule="auto"/>
              <w:rPr>
                <w:rFonts w:ascii="Times New Roman" w:eastAsiaTheme="minorEastAsia" w:hAnsi="Times New Roman" w:cs="Times New Roman"/>
              </w:rPr>
            </w:pPr>
          </w:p>
        </w:tc>
        <w:tc>
          <w:tcPr>
            <w:tcW w:w="3091" w:type="dxa"/>
          </w:tcPr>
          <w:p w14:paraId="69DBEEBC" w14:textId="4601F779" w:rsidR="00505AD5" w:rsidRPr="00B87817" w:rsidRDefault="00B97643" w:rsidP="00686F18">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Procure</w:t>
            </w:r>
          </w:p>
        </w:tc>
        <w:tc>
          <w:tcPr>
            <w:tcW w:w="2033" w:type="dxa"/>
          </w:tcPr>
          <w:p w14:paraId="35629277" w14:textId="2A36ADAF" w:rsidR="00505AD5" w:rsidRPr="00B87817" w:rsidRDefault="00B97643" w:rsidP="00622283">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 xml:space="preserve">Transportation and </w:t>
            </w:r>
            <w:r w:rsidRPr="00B87817">
              <w:rPr>
                <w:rFonts w:ascii="Times New Roman" w:eastAsiaTheme="minorEastAsia" w:hAnsi="Times New Roman" w:cs="Times New Roman"/>
              </w:rPr>
              <w:lastRenderedPageBreak/>
              <w:t>Logistics</w:t>
            </w:r>
          </w:p>
        </w:tc>
        <w:tc>
          <w:tcPr>
            <w:tcW w:w="1985" w:type="dxa"/>
          </w:tcPr>
          <w:p w14:paraId="2199B5DA" w14:textId="0F7280B7" w:rsidR="00505AD5" w:rsidRPr="00B87817" w:rsidRDefault="00B97643" w:rsidP="00622283">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lastRenderedPageBreak/>
              <w:t>Storage</w:t>
            </w:r>
          </w:p>
        </w:tc>
        <w:tc>
          <w:tcPr>
            <w:tcW w:w="2693" w:type="dxa"/>
          </w:tcPr>
          <w:p w14:paraId="20E21EC6" w14:textId="16A4AEE5" w:rsidR="00505AD5" w:rsidRPr="00B87817" w:rsidRDefault="00B97643" w:rsidP="00622283">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Sales and marketing</w:t>
            </w:r>
          </w:p>
        </w:tc>
        <w:tc>
          <w:tcPr>
            <w:tcW w:w="3119" w:type="dxa"/>
          </w:tcPr>
          <w:p w14:paraId="1DC35CB6" w14:textId="1EDA760D" w:rsidR="00505AD5" w:rsidRPr="00B87817" w:rsidRDefault="00B97643" w:rsidP="00622283">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After-sale service</w:t>
            </w:r>
          </w:p>
        </w:tc>
      </w:tr>
      <w:tr w:rsidR="00B87817" w:rsidRPr="00B87817" w14:paraId="19BD9B68" w14:textId="77777777" w:rsidTr="00534012">
        <w:trPr>
          <w:gridAfter w:val="1"/>
          <w:wAfter w:w="69" w:type="dxa"/>
        </w:trPr>
        <w:tc>
          <w:tcPr>
            <w:tcW w:w="1221" w:type="dxa"/>
          </w:tcPr>
          <w:p w14:paraId="0FA445B2" w14:textId="77777777" w:rsidR="00505AD5" w:rsidRPr="00B87817" w:rsidRDefault="00505AD5" w:rsidP="00B87817">
            <w:pPr>
              <w:spacing w:line="360" w:lineRule="auto"/>
              <w:rPr>
                <w:rFonts w:ascii="Times New Roman" w:eastAsiaTheme="minorEastAsia" w:hAnsi="Times New Roman" w:cs="Times New Roman"/>
              </w:rPr>
            </w:pPr>
          </w:p>
        </w:tc>
        <w:tc>
          <w:tcPr>
            <w:tcW w:w="3091" w:type="dxa"/>
          </w:tcPr>
          <w:p w14:paraId="2C12745D" w14:textId="320620F2" w:rsidR="00505AD5" w:rsidRPr="00B87817" w:rsidRDefault="00B97643" w:rsidP="00B87817">
            <w:pPr>
              <w:spacing w:line="360" w:lineRule="auto"/>
              <w:rPr>
                <w:rFonts w:ascii="Times New Roman" w:eastAsiaTheme="minorEastAsia" w:hAnsi="Times New Roman" w:cs="Times New Roman"/>
              </w:rPr>
            </w:pPr>
            <w:r w:rsidRPr="00B87817">
              <w:rPr>
                <w:rFonts w:ascii="Times New Roman" w:eastAsiaTheme="minorEastAsia" w:hAnsi="Times New Roman" w:cs="Times New Roman"/>
              </w:rPr>
              <w:t>Tesco procures goods and raw materials through a global supply chain, negotiates prices with suppliers, and establishes strategic partnerships to ensure supply stability (Tesco, 2023).</w:t>
            </w:r>
          </w:p>
        </w:tc>
        <w:tc>
          <w:tcPr>
            <w:tcW w:w="2033" w:type="dxa"/>
          </w:tcPr>
          <w:p w14:paraId="5B06DE30" w14:textId="48F07620" w:rsidR="00505AD5" w:rsidRPr="00B87817" w:rsidRDefault="00B97643" w:rsidP="00B87817">
            <w:pPr>
              <w:spacing w:line="360" w:lineRule="auto"/>
              <w:rPr>
                <w:rFonts w:ascii="Times New Roman" w:eastAsiaTheme="minorEastAsia" w:hAnsi="Times New Roman" w:cs="Times New Roman"/>
              </w:rPr>
            </w:pPr>
            <w:r w:rsidRPr="00B87817">
              <w:rPr>
                <w:rFonts w:ascii="Times New Roman" w:eastAsiaTheme="minorEastAsia" w:hAnsi="Times New Roman" w:cs="Times New Roman"/>
              </w:rPr>
              <w:t>Tesco utilizes advanced logistics systems and distribution networks to ensure rapid transportation and distribution of products from suppliers to stores (Smith, 2023).</w:t>
            </w:r>
          </w:p>
        </w:tc>
        <w:tc>
          <w:tcPr>
            <w:tcW w:w="1985" w:type="dxa"/>
          </w:tcPr>
          <w:p w14:paraId="3186BF70" w14:textId="53F2F763" w:rsidR="00505AD5" w:rsidRPr="00B87817" w:rsidRDefault="00B97643" w:rsidP="00B87817">
            <w:pPr>
              <w:spacing w:line="360" w:lineRule="auto"/>
              <w:rPr>
                <w:rFonts w:ascii="Times New Roman" w:eastAsiaTheme="minorEastAsia" w:hAnsi="Times New Roman" w:cs="Times New Roman"/>
              </w:rPr>
            </w:pPr>
            <w:r w:rsidRPr="00B87817">
              <w:rPr>
                <w:rFonts w:ascii="Times New Roman" w:hAnsi="Times New Roman" w:cs="Times New Roman"/>
                <w:color w:val="0D0D0D"/>
                <w:shd w:val="clear" w:color="auto" w:fill="FFFFFF"/>
              </w:rPr>
              <w:t>Tesco sets up warehouses and distribution centers in various regions to ensure the effectiveness of inventory management and meet the needs of the store (Chen, 2022).</w:t>
            </w:r>
          </w:p>
        </w:tc>
        <w:tc>
          <w:tcPr>
            <w:tcW w:w="2693" w:type="dxa"/>
          </w:tcPr>
          <w:p w14:paraId="6A72FAD2" w14:textId="77777777" w:rsidR="00B97643" w:rsidRPr="00B87817" w:rsidRDefault="00B97643" w:rsidP="00B87817">
            <w:pPr>
              <w:spacing w:line="360" w:lineRule="auto"/>
              <w:rPr>
                <w:rFonts w:ascii="Times New Roman" w:hAnsi="Times New Roman" w:cs="Times New Roman"/>
                <w:color w:val="0D0D0D"/>
                <w:shd w:val="clear" w:color="auto" w:fill="FFFFFF"/>
              </w:rPr>
            </w:pPr>
            <w:r w:rsidRPr="00B87817">
              <w:rPr>
                <w:rFonts w:ascii="Times New Roman" w:hAnsi="Times New Roman" w:cs="Times New Roman"/>
                <w:color w:val="0D0D0D"/>
                <w:shd w:val="clear" w:color="auto" w:fill="FFFFFF"/>
              </w:rPr>
              <w:t>Tesco sells products through a combination of online and offline channels, and its online website is beautifully designed and attractive (Tesco, 2024).</w:t>
            </w:r>
          </w:p>
          <w:p w14:paraId="580D4698" w14:textId="77777777" w:rsidR="00B97643" w:rsidRPr="00B87817" w:rsidRDefault="00B97643" w:rsidP="00B87817">
            <w:pPr>
              <w:spacing w:line="360" w:lineRule="auto"/>
              <w:rPr>
                <w:rFonts w:ascii="Times New Roman" w:hAnsi="Times New Roman" w:cs="Times New Roman"/>
                <w:color w:val="0D0D0D"/>
                <w:shd w:val="clear" w:color="auto" w:fill="FFFFFF"/>
              </w:rPr>
            </w:pPr>
          </w:p>
          <w:p w14:paraId="196B0A06" w14:textId="6BF78D7D" w:rsidR="00505AD5" w:rsidRPr="00B87817" w:rsidRDefault="00B97643" w:rsidP="00B87817">
            <w:pPr>
              <w:spacing w:line="360" w:lineRule="auto"/>
              <w:rPr>
                <w:rFonts w:ascii="Times New Roman" w:eastAsiaTheme="minorEastAsia" w:hAnsi="Times New Roman" w:cs="Times New Roman"/>
              </w:rPr>
            </w:pPr>
            <w:r w:rsidRPr="00B87817">
              <w:rPr>
                <w:rFonts w:ascii="Times New Roman" w:hAnsi="Times New Roman" w:cs="Times New Roman"/>
                <w:color w:val="0D0D0D"/>
                <w:shd w:val="clear" w:color="auto" w:fill="FFFFFF"/>
              </w:rPr>
              <w:t>Attracting customers through offline store layout, product display, and promotional activities, providing a good shopping experience, and promoting the market through advertising and promotional activities</w:t>
            </w:r>
            <w:r w:rsidRPr="00B87817">
              <w:rPr>
                <w:rFonts w:ascii="Times New Roman" w:eastAsiaTheme="minorEastAsia" w:hAnsi="Times New Roman" w:cs="Times New Roman"/>
                <w:color w:val="0D0D0D"/>
                <w:shd w:val="clear" w:color="auto" w:fill="FFFFFF"/>
              </w:rPr>
              <w:t>.</w:t>
            </w:r>
          </w:p>
        </w:tc>
        <w:tc>
          <w:tcPr>
            <w:tcW w:w="3119" w:type="dxa"/>
          </w:tcPr>
          <w:p w14:paraId="3A6C55F5" w14:textId="681AFB7A" w:rsidR="00505AD5" w:rsidRPr="00B87817" w:rsidRDefault="00B97643" w:rsidP="00B87817">
            <w:pPr>
              <w:spacing w:line="360" w:lineRule="auto"/>
              <w:rPr>
                <w:rFonts w:ascii="Times New Roman" w:eastAsiaTheme="minorEastAsia" w:hAnsi="Times New Roman" w:cs="Times New Roman"/>
              </w:rPr>
            </w:pPr>
            <w:r w:rsidRPr="00B87817">
              <w:rPr>
                <w:rFonts w:ascii="Times New Roman" w:hAnsi="Times New Roman" w:cs="Times New Roman"/>
                <w:color w:val="0D0D0D"/>
                <w:shd w:val="clear" w:color="auto" w:fill="FFFFFF"/>
              </w:rPr>
              <w:t>Tesco provides after-sales services including return and exchange services, after-sales consultation, and customer complaint handling to improve customer satisfaction and loyalty (Tesco, 2024). In addition, the company also provides on-site services (Gan and Yan, 2023).</w:t>
            </w:r>
          </w:p>
        </w:tc>
      </w:tr>
      <w:tr w:rsidR="001D2D97" w:rsidRPr="00B87817" w14:paraId="59701B44" w14:textId="77777777" w:rsidTr="00B87817">
        <w:tc>
          <w:tcPr>
            <w:tcW w:w="14211" w:type="dxa"/>
            <w:gridSpan w:val="7"/>
          </w:tcPr>
          <w:p w14:paraId="5C44E0C7" w14:textId="77A55207" w:rsidR="001D2D97" w:rsidRPr="00B87817" w:rsidRDefault="00B97643" w:rsidP="00686F18">
            <w:pPr>
              <w:spacing w:line="360" w:lineRule="auto"/>
              <w:jc w:val="center"/>
              <w:rPr>
                <w:rFonts w:ascii="Times New Roman" w:eastAsiaTheme="minorEastAsia" w:hAnsi="Times New Roman" w:cs="Times New Roman"/>
              </w:rPr>
            </w:pPr>
            <w:r w:rsidRPr="00B87817">
              <w:rPr>
                <w:rFonts w:ascii="Times New Roman" w:eastAsiaTheme="minorEastAsia" w:hAnsi="Times New Roman" w:cs="Times New Roman"/>
              </w:rPr>
              <w:t>Main activities</w:t>
            </w:r>
          </w:p>
        </w:tc>
      </w:tr>
    </w:tbl>
    <w:p w14:paraId="77EBDA4F" w14:textId="77777777" w:rsidR="00534012" w:rsidRDefault="00534012" w:rsidP="00B87817">
      <w:pPr>
        <w:spacing w:line="360" w:lineRule="auto"/>
        <w:rPr>
          <w:rFonts w:ascii="Times New Roman" w:eastAsiaTheme="minorEastAsia" w:hAnsi="Times New Roman" w:cs="Times New Roman"/>
          <w:sz w:val="24"/>
          <w:szCs w:val="24"/>
        </w:rPr>
        <w:sectPr w:rsidR="00534012" w:rsidSect="00830B8D">
          <w:pgSz w:w="16838" w:h="11906" w:orient="landscape"/>
          <w:pgMar w:top="1800" w:right="1440" w:bottom="1800" w:left="1440" w:header="851" w:footer="992" w:gutter="0"/>
          <w:cols w:space="425"/>
          <w:docGrid w:type="lines" w:linePitch="312"/>
        </w:sectPr>
      </w:pPr>
    </w:p>
    <w:p w14:paraId="418C9669" w14:textId="4D686556"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lastRenderedPageBreak/>
        <w:t>Through value chain analysis, it can be seen that Tesco has certain advantages in procurement, logistics, and sales, and can support the smooth progress of major activities through effective support activities and infrastructure. However, with the intensification of market competition and the constant changes in consumer demand, Tesco also needs to continuously optimize its value chain, improve efficiency and service quality, and maintain its competitive advantage.</w:t>
      </w:r>
    </w:p>
    <w:p w14:paraId="5D2ECF19" w14:textId="39047F17" w:rsidR="00B97643" w:rsidRPr="00622283" w:rsidRDefault="00B97643" w:rsidP="00293E69">
      <w:pPr>
        <w:spacing w:beforeLines="50" w:before="156" w:afterLines="50" w:after="156" w:line="360" w:lineRule="auto"/>
        <w:rPr>
          <w:rFonts w:ascii="Times New Roman" w:eastAsiaTheme="minorEastAsia" w:hAnsi="Times New Roman" w:cs="Times New Roman"/>
          <w:b/>
          <w:bCs/>
          <w:sz w:val="24"/>
          <w:szCs w:val="24"/>
        </w:rPr>
      </w:pPr>
      <w:r w:rsidRPr="00622283">
        <w:rPr>
          <w:rFonts w:ascii="Times New Roman" w:eastAsiaTheme="minorEastAsia" w:hAnsi="Times New Roman" w:cs="Times New Roman"/>
          <w:b/>
          <w:bCs/>
          <w:sz w:val="24"/>
          <w:szCs w:val="24"/>
        </w:rPr>
        <w:t>2.4 Tesco's SWOT analysis</w:t>
      </w:r>
    </w:p>
    <w:p w14:paraId="1437C1EC" w14:textId="0B7DB648"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SWOT analysis is a method of comprehensively evaluating the internal strengths and weaknesses of a company, identifying external opportunities and threats. The SWOT analysis results of Tesco Company are shown in Table 2:</w:t>
      </w:r>
    </w:p>
    <w:p w14:paraId="0E657985" w14:textId="5863254E" w:rsidR="00600F31" w:rsidRPr="00293E69" w:rsidRDefault="00B97643" w:rsidP="00293E69">
      <w:pPr>
        <w:spacing w:line="360" w:lineRule="auto"/>
        <w:jc w:val="center"/>
        <w:rPr>
          <w:rFonts w:ascii="Times New Roman" w:eastAsiaTheme="minorEastAsia" w:hAnsi="Times New Roman" w:cs="Times New Roman"/>
          <w:b/>
          <w:bCs/>
          <w:sz w:val="24"/>
          <w:szCs w:val="24"/>
        </w:rPr>
      </w:pPr>
      <w:r w:rsidRPr="00293E69">
        <w:rPr>
          <w:rFonts w:ascii="Times New Roman" w:eastAsiaTheme="minorEastAsia" w:hAnsi="Times New Roman" w:cs="Times New Roman"/>
          <w:b/>
          <w:bCs/>
          <w:sz w:val="24"/>
          <w:szCs w:val="24"/>
        </w:rPr>
        <w:t>Table 2: SWOT Analysis Results of Tesco Company</w:t>
      </w:r>
    </w:p>
    <w:tbl>
      <w:tblPr>
        <w:tblStyle w:val="a8"/>
        <w:tblW w:w="0" w:type="auto"/>
        <w:tblLook w:val="04A0" w:firstRow="1" w:lastRow="0" w:firstColumn="1" w:lastColumn="0" w:noHBand="0" w:noVBand="1"/>
      </w:tblPr>
      <w:tblGrid>
        <w:gridCol w:w="2840"/>
        <w:gridCol w:w="2841"/>
        <w:gridCol w:w="2841"/>
      </w:tblGrid>
      <w:tr w:rsidR="00600F31" w:rsidRPr="00293E69" w14:paraId="68147E7B" w14:textId="77777777" w:rsidTr="00600F31">
        <w:tc>
          <w:tcPr>
            <w:tcW w:w="2840" w:type="dxa"/>
          </w:tcPr>
          <w:p w14:paraId="7A69769C" w14:textId="77777777" w:rsidR="00600F31" w:rsidRPr="00293E69" w:rsidRDefault="00600F31" w:rsidP="00B87817">
            <w:pPr>
              <w:spacing w:line="360" w:lineRule="auto"/>
              <w:rPr>
                <w:rFonts w:ascii="Times New Roman" w:eastAsiaTheme="minorEastAsia" w:hAnsi="Times New Roman" w:cs="Times New Roman"/>
              </w:rPr>
            </w:pPr>
          </w:p>
        </w:tc>
        <w:tc>
          <w:tcPr>
            <w:tcW w:w="2841" w:type="dxa"/>
          </w:tcPr>
          <w:p w14:paraId="6FD1E8E7"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S (Advantage)</w:t>
            </w:r>
          </w:p>
          <w:p w14:paraId="62E0D7F6" w14:textId="77777777" w:rsidR="00B97643" w:rsidRPr="00293E69" w:rsidRDefault="00B97643" w:rsidP="00B87817">
            <w:pPr>
              <w:spacing w:line="360" w:lineRule="auto"/>
              <w:rPr>
                <w:rFonts w:ascii="Times New Roman" w:eastAsiaTheme="minorEastAsia" w:hAnsi="Times New Roman" w:cs="Times New Roman"/>
              </w:rPr>
            </w:pPr>
          </w:p>
          <w:p w14:paraId="67E8490B" w14:textId="10A1E679"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(1) High brand awareness</w:t>
            </w:r>
          </w:p>
          <w:p w14:paraId="24F824B8" w14:textId="0AE50FF5"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(2) Diversified products and services</w:t>
            </w:r>
          </w:p>
          <w:p w14:paraId="0D945345" w14:textId="2E1379D6"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(3) A vast network of stores</w:t>
            </w:r>
          </w:p>
          <w:p w14:paraId="3AF8264C" w14:textId="0E4B240F" w:rsidR="00600F31"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(3) Excellent supply chain management</w:t>
            </w:r>
          </w:p>
        </w:tc>
        <w:tc>
          <w:tcPr>
            <w:tcW w:w="2841" w:type="dxa"/>
          </w:tcPr>
          <w:p w14:paraId="7F34116C"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W (Disadvantage)</w:t>
            </w:r>
          </w:p>
          <w:p w14:paraId="0B8D56AC" w14:textId="77777777" w:rsidR="00B97643" w:rsidRPr="00293E69" w:rsidRDefault="00B97643" w:rsidP="00B87817">
            <w:pPr>
              <w:spacing w:line="360" w:lineRule="auto"/>
              <w:rPr>
                <w:rFonts w:ascii="Times New Roman" w:eastAsiaTheme="minorEastAsia" w:hAnsi="Times New Roman" w:cs="Times New Roman"/>
              </w:rPr>
            </w:pPr>
          </w:p>
          <w:p w14:paraId="4178B6F9" w14:textId="3C35E454"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(1) Unstable performance</w:t>
            </w:r>
          </w:p>
          <w:p w14:paraId="5CE2138A" w14:textId="4F103DF5" w:rsidR="00600F31"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(2) Negative public opinion (Mohapatra and MV, 2021)</w:t>
            </w:r>
          </w:p>
        </w:tc>
      </w:tr>
      <w:tr w:rsidR="00600F31" w:rsidRPr="00293E69" w14:paraId="61573C70" w14:textId="77777777" w:rsidTr="00600F31">
        <w:tc>
          <w:tcPr>
            <w:tcW w:w="2840" w:type="dxa"/>
          </w:tcPr>
          <w:p w14:paraId="5B8DE556"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O (Opportunity)</w:t>
            </w:r>
          </w:p>
          <w:p w14:paraId="6DA40A1A" w14:textId="77777777" w:rsidR="00B97643" w:rsidRPr="00293E69" w:rsidRDefault="00B97643" w:rsidP="00B87817">
            <w:pPr>
              <w:spacing w:line="360" w:lineRule="auto"/>
              <w:rPr>
                <w:rFonts w:ascii="Times New Roman" w:eastAsiaTheme="minorEastAsia" w:hAnsi="Times New Roman" w:cs="Times New Roman"/>
              </w:rPr>
            </w:pPr>
          </w:p>
          <w:p w14:paraId="17D9AF79" w14:textId="7A853F55"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(1) Rapid development of e-commerce platforms</w:t>
            </w:r>
          </w:p>
          <w:p w14:paraId="0C0EC4DA" w14:textId="64DB9165"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(2) Economic globalization</w:t>
            </w:r>
          </w:p>
          <w:p w14:paraId="75451D5B" w14:textId="2DA28975" w:rsidR="00600F31"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(3) Healthy lifestyle trends</w:t>
            </w:r>
          </w:p>
        </w:tc>
        <w:tc>
          <w:tcPr>
            <w:tcW w:w="2841" w:type="dxa"/>
          </w:tcPr>
          <w:p w14:paraId="6531AEFB"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SO</w:t>
            </w:r>
          </w:p>
          <w:p w14:paraId="3E12BB2F" w14:textId="77777777" w:rsidR="00B97643" w:rsidRPr="00293E69" w:rsidRDefault="00B97643" w:rsidP="00B87817">
            <w:pPr>
              <w:spacing w:line="360" w:lineRule="auto"/>
              <w:rPr>
                <w:rFonts w:ascii="Times New Roman" w:eastAsiaTheme="minorEastAsia" w:hAnsi="Times New Roman" w:cs="Times New Roman"/>
              </w:rPr>
            </w:pPr>
          </w:p>
          <w:p w14:paraId="778422BE" w14:textId="7BB201EB" w:rsidR="00600F31"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Continue to optimize online channels, seize the trend of healthy living, and develop diversified and healthy products. Simultaneously planning global business layout.</w:t>
            </w:r>
          </w:p>
        </w:tc>
        <w:tc>
          <w:tcPr>
            <w:tcW w:w="2841" w:type="dxa"/>
          </w:tcPr>
          <w:p w14:paraId="76151797"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W0</w:t>
            </w:r>
          </w:p>
          <w:p w14:paraId="2236F2B2" w14:textId="77777777" w:rsidR="00B97643" w:rsidRPr="00293E69" w:rsidRDefault="00B97643" w:rsidP="00B87817">
            <w:pPr>
              <w:spacing w:line="360" w:lineRule="auto"/>
              <w:rPr>
                <w:rFonts w:ascii="Times New Roman" w:eastAsiaTheme="minorEastAsia" w:hAnsi="Times New Roman" w:cs="Times New Roman"/>
              </w:rPr>
            </w:pPr>
          </w:p>
          <w:p w14:paraId="2335C870" w14:textId="31094D70" w:rsidR="00FC5BE7"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Promote a healthy lifestyle, assume corporate social responsibility, and strengthen food safety management and monitoring. Accelerate the layout of global stores for enterprises.</w:t>
            </w:r>
          </w:p>
        </w:tc>
      </w:tr>
      <w:tr w:rsidR="00600F31" w:rsidRPr="00293E69" w14:paraId="15D64E8B" w14:textId="77777777" w:rsidTr="00600F31">
        <w:tc>
          <w:tcPr>
            <w:tcW w:w="2840" w:type="dxa"/>
          </w:tcPr>
          <w:p w14:paraId="5547A3FC"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T (threat)</w:t>
            </w:r>
          </w:p>
          <w:p w14:paraId="386AE65F" w14:textId="77777777" w:rsidR="00B97643" w:rsidRPr="00293E69" w:rsidRDefault="00B97643" w:rsidP="00B87817">
            <w:pPr>
              <w:spacing w:line="360" w:lineRule="auto"/>
              <w:rPr>
                <w:rFonts w:ascii="Times New Roman" w:eastAsiaTheme="minorEastAsia" w:hAnsi="Times New Roman" w:cs="Times New Roman"/>
              </w:rPr>
            </w:pPr>
          </w:p>
          <w:p w14:paraId="4762AB5D" w14:textId="5665B0B9"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Strong competitors</w:t>
            </w:r>
          </w:p>
          <w:p w14:paraId="2F54EA46"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Changes in consumer shopping habits</w:t>
            </w:r>
          </w:p>
          <w:p w14:paraId="67AC50F3" w14:textId="77777777" w:rsidR="00B97643" w:rsidRPr="00293E69" w:rsidRDefault="00B97643" w:rsidP="00B87817">
            <w:pPr>
              <w:spacing w:line="360" w:lineRule="auto"/>
              <w:rPr>
                <w:rFonts w:ascii="Times New Roman" w:eastAsiaTheme="minorEastAsia" w:hAnsi="Times New Roman" w:cs="Times New Roman"/>
              </w:rPr>
            </w:pPr>
          </w:p>
          <w:p w14:paraId="6AB68707" w14:textId="58AA6C18" w:rsidR="00600F31"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Political and economic uncertainty</w:t>
            </w:r>
          </w:p>
        </w:tc>
        <w:tc>
          <w:tcPr>
            <w:tcW w:w="2841" w:type="dxa"/>
          </w:tcPr>
          <w:p w14:paraId="14BDCA04"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lastRenderedPageBreak/>
              <w:t>ST</w:t>
            </w:r>
          </w:p>
          <w:p w14:paraId="4FFBBB5E" w14:textId="77777777" w:rsidR="00B97643" w:rsidRPr="00293E69" w:rsidRDefault="00B97643" w:rsidP="00B87817">
            <w:pPr>
              <w:spacing w:line="360" w:lineRule="auto"/>
              <w:rPr>
                <w:rFonts w:ascii="Times New Roman" w:eastAsiaTheme="minorEastAsia" w:hAnsi="Times New Roman" w:cs="Times New Roman"/>
              </w:rPr>
            </w:pPr>
          </w:p>
          <w:p w14:paraId="7766F86C" w14:textId="074FDCAB" w:rsidR="00FC5BE7"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 xml:space="preserve">Adequate market research and forecasting, market orientation, capturing </w:t>
            </w:r>
            <w:r w:rsidRPr="00293E69">
              <w:rPr>
                <w:rFonts w:ascii="Times New Roman" w:eastAsiaTheme="minorEastAsia" w:hAnsi="Times New Roman" w:cs="Times New Roman"/>
              </w:rPr>
              <w:lastRenderedPageBreak/>
              <w:t>consumer shopping habits and unmet pain points. We will temporarily not expand our stores in the local market in the UK and maintain the status quo. Expand the international market and avoid unstable political and economic regions.</w:t>
            </w:r>
          </w:p>
        </w:tc>
        <w:tc>
          <w:tcPr>
            <w:tcW w:w="2841" w:type="dxa"/>
          </w:tcPr>
          <w:p w14:paraId="75273251" w14:textId="77777777" w:rsidR="00B97643"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lastRenderedPageBreak/>
              <w:t>WT</w:t>
            </w:r>
          </w:p>
          <w:p w14:paraId="7BC24E73" w14:textId="77777777" w:rsidR="00B97643" w:rsidRPr="00293E69" w:rsidRDefault="00B97643" w:rsidP="00B87817">
            <w:pPr>
              <w:spacing w:line="360" w:lineRule="auto"/>
              <w:rPr>
                <w:rFonts w:ascii="Times New Roman" w:eastAsiaTheme="minorEastAsia" w:hAnsi="Times New Roman" w:cs="Times New Roman"/>
              </w:rPr>
            </w:pPr>
          </w:p>
          <w:p w14:paraId="4455421E" w14:textId="684889E3" w:rsidR="00695324" w:rsidRPr="00293E69" w:rsidRDefault="00B97643" w:rsidP="00B87817">
            <w:pPr>
              <w:spacing w:line="360" w:lineRule="auto"/>
              <w:rPr>
                <w:rFonts w:ascii="Times New Roman" w:eastAsiaTheme="minorEastAsia" w:hAnsi="Times New Roman" w:cs="Times New Roman"/>
              </w:rPr>
            </w:pPr>
            <w:r w:rsidRPr="00293E69">
              <w:rPr>
                <w:rFonts w:ascii="Times New Roman" w:eastAsiaTheme="minorEastAsia" w:hAnsi="Times New Roman" w:cs="Times New Roman"/>
              </w:rPr>
              <w:t xml:space="preserve">Research consumer needs and improve service levels. Diversification of online </w:t>
            </w:r>
            <w:r w:rsidRPr="00293E69">
              <w:rPr>
                <w:rFonts w:ascii="Times New Roman" w:eastAsiaTheme="minorEastAsia" w:hAnsi="Times New Roman" w:cs="Times New Roman"/>
              </w:rPr>
              <w:lastRenderedPageBreak/>
              <w:t>store products and offline products.</w:t>
            </w:r>
          </w:p>
        </w:tc>
      </w:tr>
    </w:tbl>
    <w:p w14:paraId="73B2EAE1" w14:textId="6AC2DEED" w:rsidR="00B97643" w:rsidRPr="00300C6E" w:rsidRDefault="00B97643" w:rsidP="00300C6E">
      <w:pPr>
        <w:spacing w:beforeLines="50" w:before="156" w:afterLines="50" w:after="156" w:line="360" w:lineRule="auto"/>
        <w:rPr>
          <w:rFonts w:ascii="Times New Roman" w:eastAsiaTheme="minorEastAsia" w:hAnsi="Times New Roman" w:cs="Times New Roman"/>
          <w:b/>
          <w:bCs/>
          <w:sz w:val="24"/>
          <w:szCs w:val="24"/>
        </w:rPr>
      </w:pPr>
      <w:r w:rsidRPr="00300C6E">
        <w:rPr>
          <w:rFonts w:ascii="Times New Roman" w:eastAsiaTheme="minorEastAsia" w:hAnsi="Times New Roman" w:cs="Times New Roman"/>
          <w:b/>
          <w:bCs/>
          <w:sz w:val="24"/>
          <w:szCs w:val="24"/>
        </w:rPr>
        <w:lastRenderedPageBreak/>
        <w:t>3.0 Suggestions</w:t>
      </w:r>
    </w:p>
    <w:p w14:paraId="31E9A543"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In the face of global economic challenges, various enterprises are seeking their own sustainable development. Through the above review of Tesco's internal and external environment, this article proposes three suggestions for Tesco to address these challenges.</w:t>
      </w:r>
    </w:p>
    <w:p w14:paraId="6B75C7FD" w14:textId="77777777" w:rsidR="00B97643" w:rsidRPr="00B87817" w:rsidRDefault="00B97643" w:rsidP="00B87817">
      <w:pPr>
        <w:spacing w:line="360" w:lineRule="auto"/>
        <w:rPr>
          <w:rFonts w:ascii="Times New Roman" w:eastAsiaTheme="minorEastAsia" w:hAnsi="Times New Roman" w:cs="Times New Roman"/>
          <w:sz w:val="24"/>
          <w:szCs w:val="24"/>
        </w:rPr>
      </w:pPr>
    </w:p>
    <w:p w14:paraId="20862E25"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(1) Developing diversified businesses: catering to changes in consumer consumption habits and developing healthier and more eco-friendly products. At the same time, further develop the international market, reduce dependence on the UK market, and seize sales growth opportunities in emerging markets through cooperation or acquisitions.</w:t>
      </w:r>
    </w:p>
    <w:p w14:paraId="56A51762" w14:textId="77777777" w:rsidR="00B97643" w:rsidRPr="00B87817" w:rsidRDefault="00B97643" w:rsidP="00B87817">
      <w:pPr>
        <w:spacing w:line="360" w:lineRule="auto"/>
        <w:rPr>
          <w:rFonts w:ascii="Times New Roman" w:eastAsiaTheme="minorEastAsia" w:hAnsi="Times New Roman" w:cs="Times New Roman"/>
          <w:sz w:val="24"/>
          <w:szCs w:val="24"/>
        </w:rPr>
      </w:pPr>
    </w:p>
    <w:p w14:paraId="167EF18E" w14:textId="77777777"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(2) Further strengthen e-commerce sales channels, especially in the current political and economic instability in the UK, do not blindly expand physical stores and reduce store opening costs. Increase online shopping channels and improve the user experience of online shopping platforms, providing more online products and services. Improve the information technology level of online shopping, use big data and other targeted recommendations to customers, and stimulate their purchasing desire.</w:t>
      </w:r>
    </w:p>
    <w:p w14:paraId="1F059E18" w14:textId="77777777" w:rsidR="00B97643" w:rsidRPr="00B87817" w:rsidRDefault="00B97643" w:rsidP="00B87817">
      <w:pPr>
        <w:spacing w:line="360" w:lineRule="auto"/>
        <w:rPr>
          <w:rFonts w:ascii="Times New Roman" w:eastAsiaTheme="minorEastAsia" w:hAnsi="Times New Roman" w:cs="Times New Roman"/>
          <w:sz w:val="24"/>
          <w:szCs w:val="24"/>
        </w:rPr>
      </w:pPr>
    </w:p>
    <w:p w14:paraId="3F6DCD4B" w14:textId="5481F844" w:rsidR="00B97643" w:rsidRPr="00B87817"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 xml:space="preserve">(3) Further optimizing the supply chain and cost management, Tesco has an excellent supply chain, but the supply chain advantages of its competitors cannot be ignored. Therefore, Tesco needs to further maintain, develop, and optimize its supply chain </w:t>
      </w:r>
      <w:r w:rsidRPr="00B87817">
        <w:rPr>
          <w:rFonts w:ascii="Times New Roman" w:eastAsiaTheme="minorEastAsia" w:hAnsi="Times New Roman" w:cs="Times New Roman"/>
          <w:sz w:val="24"/>
          <w:szCs w:val="24"/>
        </w:rPr>
        <w:lastRenderedPageBreak/>
        <w:t>management, especially in the face of a larger international market in the future. It should lay out its supply chain network, plan logistics, procurement, warehousing, and respond to market changes and risks.</w:t>
      </w:r>
    </w:p>
    <w:p w14:paraId="544E2A3E" w14:textId="191E23AB" w:rsidR="00B97643" w:rsidRPr="007C654A" w:rsidRDefault="00B97643" w:rsidP="007C654A">
      <w:pPr>
        <w:spacing w:beforeLines="50" w:before="156" w:afterLines="50" w:after="156" w:line="360" w:lineRule="auto"/>
        <w:rPr>
          <w:rFonts w:ascii="Times New Roman" w:eastAsiaTheme="minorEastAsia" w:hAnsi="Times New Roman" w:cs="Times New Roman"/>
          <w:b/>
          <w:bCs/>
          <w:sz w:val="24"/>
          <w:szCs w:val="24"/>
        </w:rPr>
      </w:pPr>
      <w:r w:rsidRPr="007C654A">
        <w:rPr>
          <w:rFonts w:ascii="Times New Roman" w:eastAsiaTheme="minorEastAsia" w:hAnsi="Times New Roman" w:cs="Times New Roman"/>
          <w:b/>
          <w:bCs/>
          <w:sz w:val="24"/>
          <w:szCs w:val="24"/>
        </w:rPr>
        <w:t>4.0 Conclusion</w:t>
      </w:r>
    </w:p>
    <w:p w14:paraId="65B4077B" w14:textId="55B78262" w:rsidR="00411593" w:rsidRDefault="00B97643" w:rsidP="00B87817">
      <w:pPr>
        <w:spacing w:line="360" w:lineRule="auto"/>
        <w:rPr>
          <w:rFonts w:ascii="Times New Roman" w:eastAsiaTheme="minorEastAsia" w:hAnsi="Times New Roman" w:cs="Times New Roman"/>
          <w:sz w:val="24"/>
          <w:szCs w:val="24"/>
        </w:rPr>
      </w:pPr>
      <w:r w:rsidRPr="00B87817">
        <w:rPr>
          <w:rFonts w:ascii="Times New Roman" w:eastAsiaTheme="minorEastAsia" w:hAnsi="Times New Roman" w:cs="Times New Roman"/>
          <w:sz w:val="24"/>
          <w:szCs w:val="24"/>
        </w:rPr>
        <w:t>Tesco is facing a less optimistic macro environment, with economic, political, and social instability requiring caution in its expansion within the UK. The development of emerging technologies enables Tesco to develop its online sales channels well. Although new entrants face high threshold pressures, the strong threat of competitors and substitutes forces Tesco to consider diversified products and services as well as further expansion into the international market. Tesco's internal audit status is good, and its core competitiveness lies in its excellent supply chain, vast sales channels, and excellent talent team. It needs to further optimize these advantages to enhance its competitiveness.</w:t>
      </w:r>
    </w:p>
    <w:p w14:paraId="2D5B5E8D" w14:textId="3445D3F4" w:rsidR="0029755F" w:rsidRDefault="0029755F">
      <w:pPr>
        <w:widowControl/>
        <w:jc w:val="left"/>
        <w:rPr>
          <w:rFonts w:ascii="Times New Roman" w:eastAsiaTheme="minorEastAsia" w:hAnsi="Times New Roman" w:cs="Times New Roman"/>
          <w:sz w:val="24"/>
          <w:szCs w:val="24"/>
        </w:rPr>
      </w:pPr>
      <w:r>
        <w:rPr>
          <w:rFonts w:ascii="Times New Roman" w:eastAsiaTheme="minorEastAsia" w:hAnsi="Times New Roman" w:cs="Times New Roman"/>
          <w:sz w:val="24"/>
          <w:szCs w:val="24"/>
        </w:rPr>
        <w:br w:type="page"/>
      </w:r>
    </w:p>
    <w:p w14:paraId="6AEC269C" w14:textId="005FB8AE" w:rsidR="000E24CE" w:rsidRPr="000E24CE" w:rsidRDefault="000E24CE" w:rsidP="000E24CE">
      <w:pPr>
        <w:spacing w:beforeLines="50" w:before="156" w:afterLines="50" w:after="156"/>
        <w:ind w:left="400" w:hangingChars="200" w:hanging="400"/>
        <w:rPr>
          <w:rFonts w:ascii="Arial" w:eastAsiaTheme="minorEastAsia" w:hAnsi="Arial" w:cs="Arial"/>
          <w:b/>
          <w:bCs/>
          <w:color w:val="222222"/>
          <w:sz w:val="20"/>
          <w:szCs w:val="20"/>
          <w:shd w:val="clear" w:color="auto" w:fill="FFFFFF"/>
        </w:rPr>
      </w:pPr>
      <w:r w:rsidRPr="000E24CE">
        <w:rPr>
          <w:rFonts w:ascii="Arial" w:eastAsiaTheme="minorEastAsia" w:hAnsi="Arial" w:cs="Arial"/>
          <w:b/>
          <w:bCs/>
          <w:color w:val="222222"/>
          <w:sz w:val="20"/>
          <w:szCs w:val="20"/>
          <w:shd w:val="clear" w:color="auto" w:fill="FFFFFF"/>
        </w:rPr>
        <w:lastRenderedPageBreak/>
        <w:t>References</w:t>
      </w:r>
    </w:p>
    <w:p w14:paraId="3DC6FEB7" w14:textId="56E35978" w:rsidR="000E24CE" w:rsidRPr="001029B2" w:rsidRDefault="000E24CE" w:rsidP="000E24CE">
      <w:pPr>
        <w:ind w:left="400" w:hangingChars="200" w:hanging="400"/>
        <w:rPr>
          <w:rFonts w:ascii="Arial" w:hAnsi="Arial" w:cs="Arial"/>
          <w:color w:val="222222"/>
          <w:sz w:val="20"/>
          <w:szCs w:val="20"/>
          <w:shd w:val="clear" w:color="auto" w:fill="FFFFFF"/>
        </w:rPr>
      </w:pPr>
      <w:r w:rsidRPr="001029B2">
        <w:rPr>
          <w:rFonts w:ascii="Arial" w:hAnsi="Arial" w:cs="Arial"/>
          <w:color w:val="222222"/>
          <w:sz w:val="20"/>
          <w:szCs w:val="20"/>
          <w:shd w:val="clear" w:color="auto" w:fill="FFFFFF"/>
        </w:rPr>
        <w:t>Ahuja, K., Chandra, V., Lord, V., &amp; Peens, C. (2021). Ordering in: The rapid evolution of food delivery.</w:t>
      </w:r>
      <w:r w:rsidRPr="001029B2">
        <w:rPr>
          <w:rFonts w:ascii="Arial" w:hAnsi="Arial" w:cs="Arial"/>
          <w:i/>
          <w:iCs/>
          <w:color w:val="222222"/>
          <w:sz w:val="20"/>
          <w:szCs w:val="20"/>
          <w:shd w:val="clear" w:color="auto" w:fill="FFFFFF"/>
        </w:rPr>
        <w:t xml:space="preserve"> McKinsey &amp; Company</w:t>
      </w:r>
      <w:r w:rsidRPr="001029B2">
        <w:rPr>
          <w:rFonts w:ascii="Arial" w:hAnsi="Arial" w:cs="Arial"/>
          <w:color w:val="222222"/>
          <w:sz w:val="20"/>
          <w:szCs w:val="20"/>
          <w:shd w:val="clear" w:color="auto" w:fill="FFFFFF"/>
        </w:rPr>
        <w:t>, 22, 1-13.</w:t>
      </w:r>
    </w:p>
    <w:p w14:paraId="162679AA"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5D1637A9"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Al</w:t>
      </w:r>
      <w:r w:rsidRPr="001029B2">
        <w:rPr>
          <w:rFonts w:ascii="宋体" w:eastAsia="宋体" w:hAnsi="宋体" w:cs="宋体" w:hint="eastAsia"/>
          <w:color w:val="222222"/>
          <w:sz w:val="20"/>
          <w:szCs w:val="20"/>
          <w:shd w:val="clear" w:color="auto" w:fill="FFFFFF"/>
        </w:rPr>
        <w:t>‐</w:t>
      </w:r>
      <w:proofErr w:type="spellStart"/>
      <w:r w:rsidRPr="001029B2">
        <w:rPr>
          <w:rFonts w:ascii="Arial" w:hAnsi="Arial" w:cs="Arial"/>
          <w:color w:val="222222"/>
          <w:sz w:val="20"/>
          <w:szCs w:val="20"/>
          <w:shd w:val="clear" w:color="auto" w:fill="FFFFFF"/>
        </w:rPr>
        <w:t>Thaqeb</w:t>
      </w:r>
      <w:proofErr w:type="spellEnd"/>
      <w:r w:rsidRPr="001029B2">
        <w:rPr>
          <w:rFonts w:ascii="Arial" w:hAnsi="Arial" w:cs="Arial"/>
          <w:color w:val="222222"/>
          <w:sz w:val="20"/>
          <w:szCs w:val="20"/>
          <w:shd w:val="clear" w:color="auto" w:fill="FFFFFF"/>
        </w:rPr>
        <w:t xml:space="preserve">, S. A., </w:t>
      </w:r>
      <w:proofErr w:type="spellStart"/>
      <w:r w:rsidRPr="001029B2">
        <w:rPr>
          <w:rFonts w:ascii="Arial" w:hAnsi="Arial" w:cs="Arial"/>
          <w:color w:val="222222"/>
          <w:sz w:val="20"/>
          <w:szCs w:val="20"/>
          <w:shd w:val="clear" w:color="auto" w:fill="FFFFFF"/>
        </w:rPr>
        <w:t>Algharabali</w:t>
      </w:r>
      <w:proofErr w:type="spellEnd"/>
      <w:r w:rsidRPr="001029B2">
        <w:rPr>
          <w:rFonts w:ascii="Arial" w:hAnsi="Arial" w:cs="Arial"/>
          <w:color w:val="222222"/>
          <w:sz w:val="20"/>
          <w:szCs w:val="20"/>
          <w:shd w:val="clear" w:color="auto" w:fill="FFFFFF"/>
        </w:rPr>
        <w:t xml:space="preserve">, B. G., &amp; </w:t>
      </w:r>
      <w:proofErr w:type="spellStart"/>
      <w:r w:rsidRPr="001029B2">
        <w:rPr>
          <w:rFonts w:ascii="Arial" w:hAnsi="Arial" w:cs="Arial"/>
          <w:color w:val="222222"/>
          <w:sz w:val="20"/>
          <w:szCs w:val="20"/>
          <w:shd w:val="clear" w:color="auto" w:fill="FFFFFF"/>
        </w:rPr>
        <w:t>Alabdulghafour</w:t>
      </w:r>
      <w:proofErr w:type="spellEnd"/>
      <w:r w:rsidRPr="001029B2">
        <w:rPr>
          <w:rFonts w:ascii="Arial" w:hAnsi="Arial" w:cs="Arial"/>
          <w:color w:val="222222"/>
          <w:sz w:val="20"/>
          <w:szCs w:val="20"/>
          <w:shd w:val="clear" w:color="auto" w:fill="FFFFFF"/>
        </w:rPr>
        <w:t xml:space="preserve">, K. T. (2022). The pandemic and economic policy uncertainty. </w:t>
      </w:r>
      <w:r w:rsidRPr="001029B2">
        <w:rPr>
          <w:rFonts w:ascii="Arial" w:hAnsi="Arial" w:cs="Arial"/>
          <w:i/>
          <w:iCs/>
          <w:color w:val="222222"/>
          <w:sz w:val="20"/>
          <w:szCs w:val="20"/>
          <w:shd w:val="clear" w:color="auto" w:fill="FFFFFF"/>
        </w:rPr>
        <w:t>International Journal of Finance &amp; Economics</w:t>
      </w:r>
      <w:r w:rsidRPr="001029B2">
        <w:rPr>
          <w:rFonts w:ascii="Arial" w:hAnsi="Arial" w:cs="Arial"/>
          <w:color w:val="222222"/>
          <w:sz w:val="20"/>
          <w:szCs w:val="20"/>
          <w:shd w:val="clear" w:color="auto" w:fill="FFFFFF"/>
        </w:rPr>
        <w:t xml:space="preserve">, 27(3), 2784-2794. </w:t>
      </w:r>
      <w:hyperlink r:id="rId7" w:history="1">
        <w:r w:rsidRPr="009662EE">
          <w:rPr>
            <w:rStyle w:val="a9"/>
            <w:rFonts w:ascii="Arial" w:hAnsi="Arial" w:cs="Arial"/>
            <w:sz w:val="20"/>
            <w:szCs w:val="20"/>
            <w:shd w:val="clear" w:color="auto" w:fill="FFFFFF"/>
          </w:rPr>
          <w:t>https://doi.org/10.1002/ijfe.2298</w:t>
        </w:r>
      </w:hyperlink>
    </w:p>
    <w:p w14:paraId="3862447B" w14:textId="77777777" w:rsidR="000E24CE" w:rsidRPr="001029B2" w:rsidRDefault="000E24CE" w:rsidP="000E24CE">
      <w:pPr>
        <w:ind w:left="400" w:hangingChars="200" w:hanging="400"/>
        <w:rPr>
          <w:rFonts w:ascii="Arial" w:eastAsiaTheme="minorEastAsia" w:hAnsi="Arial" w:cs="Arial"/>
          <w:color w:val="222222"/>
          <w:sz w:val="20"/>
          <w:szCs w:val="20"/>
          <w:shd w:val="clear" w:color="auto" w:fill="FFFFFF"/>
        </w:rPr>
      </w:pPr>
    </w:p>
    <w:p w14:paraId="2CEA06B7" w14:textId="77777777" w:rsidR="000E24CE" w:rsidRPr="001029B2"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Andreyeva, T., Marple, K., Moore, T. E., &amp; Powell, L. M. (2022). Evaluation of economic and health outcomes associated with food taxes and subsidies: a systematic review and meta-analysis. </w:t>
      </w:r>
      <w:r w:rsidRPr="001029B2">
        <w:rPr>
          <w:rFonts w:ascii="Arial" w:hAnsi="Arial" w:cs="Arial"/>
          <w:i/>
          <w:iCs/>
          <w:color w:val="222222"/>
          <w:sz w:val="20"/>
          <w:szCs w:val="20"/>
          <w:shd w:val="clear" w:color="auto" w:fill="FFFFFF"/>
        </w:rPr>
        <w:t>JAMA Network Open</w:t>
      </w:r>
      <w:r w:rsidRPr="001029B2">
        <w:rPr>
          <w:rFonts w:ascii="Arial" w:hAnsi="Arial" w:cs="Arial"/>
          <w:color w:val="222222"/>
          <w:sz w:val="20"/>
          <w:szCs w:val="20"/>
          <w:shd w:val="clear" w:color="auto" w:fill="FFFFFF"/>
        </w:rPr>
        <w:t xml:space="preserve">, 5(6), e2214371-e2214371. </w:t>
      </w:r>
      <w:hyperlink r:id="rId8" w:history="1">
        <w:r w:rsidRPr="009662EE">
          <w:rPr>
            <w:rStyle w:val="a9"/>
            <w:rFonts w:ascii="Arial" w:hAnsi="Arial" w:cs="Arial"/>
            <w:sz w:val="20"/>
            <w:szCs w:val="20"/>
            <w:shd w:val="clear" w:color="auto" w:fill="FFFFFF"/>
          </w:rPr>
          <w:t>https://doi.org/10.1001/jamanetworkopen.2022.14371</w:t>
        </w:r>
      </w:hyperlink>
    </w:p>
    <w:p w14:paraId="291060C4"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745D0136"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proofErr w:type="spellStart"/>
      <w:r w:rsidRPr="001029B2">
        <w:rPr>
          <w:rFonts w:ascii="Arial" w:hAnsi="Arial" w:cs="Arial"/>
          <w:color w:val="222222"/>
          <w:sz w:val="20"/>
          <w:szCs w:val="20"/>
          <w:shd w:val="clear" w:color="auto" w:fill="FFFFFF"/>
        </w:rPr>
        <w:t>Breinlich</w:t>
      </w:r>
      <w:proofErr w:type="spellEnd"/>
      <w:r w:rsidRPr="001029B2">
        <w:rPr>
          <w:rFonts w:ascii="Arial" w:hAnsi="Arial" w:cs="Arial"/>
          <w:color w:val="222222"/>
          <w:sz w:val="20"/>
          <w:szCs w:val="20"/>
          <w:shd w:val="clear" w:color="auto" w:fill="FFFFFF"/>
        </w:rPr>
        <w:t xml:space="preserve">, H., </w:t>
      </w:r>
      <w:proofErr w:type="spellStart"/>
      <w:r w:rsidRPr="001029B2">
        <w:rPr>
          <w:rFonts w:ascii="Arial" w:hAnsi="Arial" w:cs="Arial"/>
          <w:color w:val="222222"/>
          <w:sz w:val="20"/>
          <w:szCs w:val="20"/>
          <w:shd w:val="clear" w:color="auto" w:fill="FFFFFF"/>
        </w:rPr>
        <w:t>Leromain</w:t>
      </w:r>
      <w:proofErr w:type="spellEnd"/>
      <w:r w:rsidRPr="001029B2">
        <w:rPr>
          <w:rFonts w:ascii="Arial" w:hAnsi="Arial" w:cs="Arial"/>
          <w:color w:val="222222"/>
          <w:sz w:val="20"/>
          <w:szCs w:val="20"/>
          <w:shd w:val="clear" w:color="auto" w:fill="FFFFFF"/>
        </w:rPr>
        <w:t xml:space="preserve">, E., Novy, D., &amp; Sampson, T. (2022). The Brexit vote, inflation and UK living standards. </w:t>
      </w:r>
      <w:r w:rsidRPr="001029B2">
        <w:rPr>
          <w:rFonts w:ascii="Arial" w:hAnsi="Arial" w:cs="Arial"/>
          <w:i/>
          <w:iCs/>
          <w:color w:val="222222"/>
          <w:sz w:val="20"/>
          <w:szCs w:val="20"/>
          <w:shd w:val="clear" w:color="auto" w:fill="FFFFFF"/>
        </w:rPr>
        <w:t>International Economic Review</w:t>
      </w:r>
      <w:r w:rsidRPr="001029B2">
        <w:rPr>
          <w:rFonts w:ascii="Arial" w:hAnsi="Arial" w:cs="Arial"/>
          <w:color w:val="222222"/>
          <w:sz w:val="20"/>
          <w:szCs w:val="20"/>
          <w:shd w:val="clear" w:color="auto" w:fill="FFFFFF"/>
        </w:rPr>
        <w:t xml:space="preserve">, 63(1), 63-93. </w:t>
      </w:r>
      <w:hyperlink r:id="rId9" w:history="1">
        <w:r w:rsidRPr="009662EE">
          <w:rPr>
            <w:rStyle w:val="a9"/>
            <w:rFonts w:ascii="Arial" w:hAnsi="Arial" w:cs="Arial"/>
            <w:sz w:val="20"/>
            <w:szCs w:val="20"/>
            <w:shd w:val="clear" w:color="auto" w:fill="FFFFFF"/>
          </w:rPr>
          <w:t>https://doi.org/10.1111/iere.12541</w:t>
        </w:r>
      </w:hyperlink>
    </w:p>
    <w:p w14:paraId="2F0475CB" w14:textId="77777777" w:rsidR="000E24CE" w:rsidRPr="001029B2" w:rsidRDefault="000E24CE" w:rsidP="000E24CE">
      <w:pPr>
        <w:ind w:left="400" w:hangingChars="200" w:hanging="400"/>
        <w:rPr>
          <w:rFonts w:ascii="Arial" w:eastAsiaTheme="minorEastAsia" w:hAnsi="Arial" w:cs="Arial"/>
          <w:color w:val="222222"/>
          <w:sz w:val="20"/>
          <w:szCs w:val="20"/>
          <w:shd w:val="clear" w:color="auto" w:fill="FFFFFF"/>
        </w:rPr>
      </w:pPr>
    </w:p>
    <w:p w14:paraId="5927CC47"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Chen, J. J. (2022). Tesco Plc. In International Cases of Corporate Governance (pp. 27-44). </w:t>
      </w:r>
      <w:r w:rsidRPr="0021511D">
        <w:rPr>
          <w:rFonts w:ascii="Arial" w:hAnsi="Arial" w:cs="Arial"/>
          <w:i/>
          <w:iCs/>
          <w:color w:val="222222"/>
          <w:sz w:val="20"/>
          <w:szCs w:val="20"/>
          <w:shd w:val="clear" w:color="auto" w:fill="FFFFFF"/>
        </w:rPr>
        <w:t>Singapore: Springer Nature Singapore</w:t>
      </w:r>
      <w:r w:rsidRPr="001029B2">
        <w:rPr>
          <w:rFonts w:ascii="Arial" w:hAnsi="Arial" w:cs="Arial"/>
          <w:color w:val="222222"/>
          <w:sz w:val="20"/>
          <w:szCs w:val="20"/>
          <w:shd w:val="clear" w:color="auto" w:fill="FFFFFF"/>
        </w:rPr>
        <w:t xml:space="preserve">. </w:t>
      </w:r>
      <w:hyperlink r:id="rId10" w:history="1">
        <w:r w:rsidRPr="009662EE">
          <w:rPr>
            <w:rStyle w:val="a9"/>
            <w:rFonts w:ascii="Arial" w:hAnsi="Arial" w:cs="Arial"/>
            <w:sz w:val="20"/>
            <w:szCs w:val="20"/>
            <w:shd w:val="clear" w:color="auto" w:fill="FFFFFF"/>
          </w:rPr>
          <w:t>https://link.springer.com/chapter/10.1007/978-981-19-3238-0_3</w:t>
        </w:r>
      </w:hyperlink>
    </w:p>
    <w:p w14:paraId="66D4B055" w14:textId="77777777" w:rsidR="000E24CE" w:rsidRPr="0021511D" w:rsidRDefault="000E24CE" w:rsidP="000E24CE">
      <w:pPr>
        <w:ind w:left="400" w:hangingChars="200" w:hanging="400"/>
        <w:rPr>
          <w:rFonts w:ascii="Arial" w:eastAsiaTheme="minorEastAsia" w:hAnsi="Arial" w:cs="Arial"/>
          <w:color w:val="222222"/>
          <w:sz w:val="20"/>
          <w:szCs w:val="20"/>
          <w:shd w:val="clear" w:color="auto" w:fill="FFFFFF"/>
        </w:rPr>
      </w:pPr>
    </w:p>
    <w:p w14:paraId="087DA657"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Cox, E., Spence, E., &amp; Pidgeon, N. (2020). Public perceptions of carbon dioxide removal in the United States and the United Kingdom.</w:t>
      </w:r>
      <w:r w:rsidRPr="0021511D">
        <w:rPr>
          <w:rFonts w:ascii="Arial" w:hAnsi="Arial" w:cs="Arial"/>
          <w:i/>
          <w:iCs/>
          <w:color w:val="222222"/>
          <w:sz w:val="20"/>
          <w:szCs w:val="20"/>
          <w:shd w:val="clear" w:color="auto" w:fill="FFFFFF"/>
        </w:rPr>
        <w:t xml:space="preserve"> Nature Climate Change</w:t>
      </w:r>
      <w:r w:rsidRPr="001029B2">
        <w:rPr>
          <w:rFonts w:ascii="Arial" w:hAnsi="Arial" w:cs="Arial"/>
          <w:color w:val="222222"/>
          <w:sz w:val="20"/>
          <w:szCs w:val="20"/>
          <w:shd w:val="clear" w:color="auto" w:fill="FFFFFF"/>
        </w:rPr>
        <w:t xml:space="preserve">, 10(8), 744-749. </w:t>
      </w:r>
      <w:hyperlink r:id="rId11" w:history="1">
        <w:r w:rsidRPr="009662EE">
          <w:rPr>
            <w:rStyle w:val="a9"/>
            <w:rFonts w:ascii="Arial" w:hAnsi="Arial" w:cs="Arial"/>
            <w:sz w:val="20"/>
            <w:szCs w:val="20"/>
            <w:shd w:val="clear" w:color="auto" w:fill="FFFFFF"/>
          </w:rPr>
          <w:t>https://doi.org/10.1038/s41558-020-0823-z</w:t>
        </w:r>
      </w:hyperlink>
    </w:p>
    <w:p w14:paraId="57631BF0" w14:textId="77777777" w:rsidR="000E24CE" w:rsidRPr="0021511D" w:rsidRDefault="000E24CE" w:rsidP="000E24CE">
      <w:pPr>
        <w:ind w:left="400" w:hangingChars="200" w:hanging="400"/>
        <w:rPr>
          <w:rFonts w:ascii="Arial" w:eastAsiaTheme="minorEastAsia" w:hAnsi="Arial" w:cs="Arial"/>
          <w:color w:val="222222"/>
          <w:sz w:val="20"/>
          <w:szCs w:val="20"/>
          <w:shd w:val="clear" w:color="auto" w:fill="FFFFFF"/>
        </w:rPr>
      </w:pPr>
    </w:p>
    <w:p w14:paraId="1033B935"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Gan, W., &amp; Yan, C. (2023). Financial Analysis and Development Study of Tesco PLC. Highlights in Business, </w:t>
      </w:r>
      <w:r w:rsidRPr="0021511D">
        <w:rPr>
          <w:rFonts w:ascii="Arial" w:hAnsi="Arial" w:cs="Arial"/>
          <w:i/>
          <w:iCs/>
          <w:color w:val="222222"/>
          <w:sz w:val="20"/>
          <w:szCs w:val="20"/>
          <w:shd w:val="clear" w:color="auto" w:fill="FFFFFF"/>
        </w:rPr>
        <w:t>Economics and Management</w:t>
      </w:r>
      <w:r w:rsidRPr="001029B2">
        <w:rPr>
          <w:rFonts w:ascii="Arial" w:hAnsi="Arial" w:cs="Arial"/>
          <w:color w:val="222222"/>
          <w:sz w:val="20"/>
          <w:szCs w:val="20"/>
          <w:shd w:val="clear" w:color="auto" w:fill="FFFFFF"/>
        </w:rPr>
        <w:t xml:space="preserve">, 10, 167-172. </w:t>
      </w:r>
      <w:hyperlink r:id="rId12" w:history="1">
        <w:r w:rsidRPr="009662EE">
          <w:rPr>
            <w:rStyle w:val="a9"/>
            <w:rFonts w:ascii="Arial" w:hAnsi="Arial" w:cs="Arial"/>
            <w:sz w:val="20"/>
            <w:szCs w:val="20"/>
            <w:shd w:val="clear" w:color="auto" w:fill="FFFFFF"/>
          </w:rPr>
          <w:t>https://doi.org/10.54097/hbem.v10i.8035</w:t>
        </w:r>
      </w:hyperlink>
    </w:p>
    <w:p w14:paraId="2B54D2C3" w14:textId="77777777" w:rsidR="000E24CE" w:rsidRPr="0021511D" w:rsidRDefault="000E24CE" w:rsidP="000E24CE">
      <w:pPr>
        <w:ind w:left="400" w:hangingChars="200" w:hanging="400"/>
        <w:rPr>
          <w:rFonts w:ascii="Arial" w:eastAsiaTheme="minorEastAsia" w:hAnsi="Arial" w:cs="Arial"/>
          <w:color w:val="222222"/>
          <w:sz w:val="20"/>
          <w:szCs w:val="20"/>
          <w:shd w:val="clear" w:color="auto" w:fill="FFFFFF"/>
        </w:rPr>
      </w:pPr>
    </w:p>
    <w:p w14:paraId="702658A1"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Gao, Z. (2024) “A Study of Inflation in the UK’s Economy in 2021 and 2022”, Highlights in Business, </w:t>
      </w:r>
      <w:r w:rsidRPr="0021511D">
        <w:rPr>
          <w:rFonts w:ascii="Arial" w:hAnsi="Arial" w:cs="Arial"/>
          <w:i/>
          <w:iCs/>
          <w:color w:val="222222"/>
          <w:sz w:val="20"/>
          <w:szCs w:val="20"/>
          <w:shd w:val="clear" w:color="auto" w:fill="FFFFFF"/>
        </w:rPr>
        <w:t>Economics and Management,</w:t>
      </w:r>
      <w:r w:rsidRPr="001029B2">
        <w:rPr>
          <w:rFonts w:ascii="Arial" w:hAnsi="Arial" w:cs="Arial"/>
          <w:color w:val="222222"/>
          <w:sz w:val="20"/>
          <w:szCs w:val="20"/>
          <w:shd w:val="clear" w:color="auto" w:fill="FFFFFF"/>
        </w:rPr>
        <w:t xml:space="preserve"> 24, pp. 1846–1850. </w:t>
      </w:r>
      <w:hyperlink r:id="rId13" w:history="1">
        <w:r w:rsidRPr="009662EE">
          <w:rPr>
            <w:rStyle w:val="a9"/>
            <w:rFonts w:ascii="Arial" w:hAnsi="Arial" w:cs="Arial"/>
            <w:sz w:val="20"/>
            <w:szCs w:val="20"/>
            <w:shd w:val="clear" w:color="auto" w:fill="FFFFFF"/>
          </w:rPr>
          <w:t>https://doi.org/10.54097/f08ng338</w:t>
        </w:r>
      </w:hyperlink>
    </w:p>
    <w:p w14:paraId="0A2317DF" w14:textId="77777777" w:rsidR="000E24CE" w:rsidRPr="0021511D" w:rsidRDefault="000E24CE" w:rsidP="000E24CE">
      <w:pPr>
        <w:ind w:left="400" w:hangingChars="200" w:hanging="400"/>
        <w:rPr>
          <w:rFonts w:ascii="Arial" w:eastAsiaTheme="minorEastAsia" w:hAnsi="Arial" w:cs="Arial"/>
          <w:color w:val="222222"/>
          <w:sz w:val="20"/>
          <w:szCs w:val="20"/>
          <w:shd w:val="clear" w:color="auto" w:fill="FFFFFF"/>
        </w:rPr>
      </w:pPr>
    </w:p>
    <w:p w14:paraId="7F577164"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Haskel, J. (2023). What’s driving inflation: wages, profits, or energy </w:t>
      </w:r>
      <w:proofErr w:type="gramStart"/>
      <w:r w:rsidRPr="001029B2">
        <w:rPr>
          <w:rFonts w:ascii="Arial" w:hAnsi="Arial" w:cs="Arial"/>
          <w:color w:val="222222"/>
          <w:sz w:val="20"/>
          <w:szCs w:val="20"/>
          <w:shd w:val="clear" w:color="auto" w:fill="FFFFFF"/>
        </w:rPr>
        <w:t>prices?.</w:t>
      </w:r>
      <w:proofErr w:type="gramEnd"/>
      <w:r w:rsidRPr="001029B2">
        <w:rPr>
          <w:rFonts w:ascii="Arial" w:hAnsi="Arial" w:cs="Arial"/>
          <w:color w:val="222222"/>
          <w:sz w:val="20"/>
          <w:szCs w:val="20"/>
          <w:shd w:val="clear" w:color="auto" w:fill="FFFFFF"/>
        </w:rPr>
        <w:t xml:space="preserve"> </w:t>
      </w:r>
      <w:r w:rsidRPr="0021511D">
        <w:rPr>
          <w:rFonts w:ascii="Arial" w:hAnsi="Arial" w:cs="Arial"/>
          <w:i/>
          <w:iCs/>
          <w:color w:val="222222"/>
          <w:sz w:val="20"/>
          <w:szCs w:val="20"/>
          <w:shd w:val="clear" w:color="auto" w:fill="FFFFFF"/>
        </w:rPr>
        <w:t>Speech at the Peterson Institute for International Economics</w:t>
      </w:r>
      <w:r w:rsidRPr="001029B2">
        <w:rPr>
          <w:rFonts w:ascii="Arial" w:hAnsi="Arial" w:cs="Arial"/>
          <w:color w:val="222222"/>
          <w:sz w:val="20"/>
          <w:szCs w:val="20"/>
          <w:shd w:val="clear" w:color="auto" w:fill="FFFFFF"/>
        </w:rPr>
        <w:t xml:space="preserve">, May, 25. </w:t>
      </w:r>
      <w:hyperlink r:id="rId14" w:history="1">
        <w:r w:rsidRPr="009662EE">
          <w:rPr>
            <w:rStyle w:val="a9"/>
            <w:rFonts w:ascii="Arial" w:hAnsi="Arial" w:cs="Arial"/>
            <w:sz w:val="20"/>
            <w:szCs w:val="20"/>
            <w:shd w:val="clear" w:color="auto" w:fill="FFFFFF"/>
          </w:rPr>
          <w:t>https://doi.org/10.1016/j.ijpe.2022.108628</w:t>
        </w:r>
      </w:hyperlink>
    </w:p>
    <w:p w14:paraId="58A6100C" w14:textId="77777777" w:rsidR="000E24CE" w:rsidRPr="0021511D" w:rsidRDefault="000E24CE" w:rsidP="000E24CE">
      <w:pPr>
        <w:ind w:left="400" w:hangingChars="200" w:hanging="400"/>
        <w:rPr>
          <w:rFonts w:ascii="Arial" w:eastAsiaTheme="minorEastAsia" w:hAnsi="Arial" w:cs="Arial"/>
          <w:color w:val="222222"/>
          <w:sz w:val="20"/>
          <w:szCs w:val="20"/>
          <w:shd w:val="clear" w:color="auto" w:fill="FFFFFF"/>
        </w:rPr>
      </w:pPr>
    </w:p>
    <w:p w14:paraId="75C28CF9"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Huber, R. A. (2020). The role of populist attitudes in explaining climate change skepticism and support for environmental protection. </w:t>
      </w:r>
      <w:r w:rsidRPr="0021511D">
        <w:rPr>
          <w:rFonts w:ascii="Arial" w:hAnsi="Arial" w:cs="Arial"/>
          <w:i/>
          <w:iCs/>
          <w:color w:val="222222"/>
          <w:sz w:val="20"/>
          <w:szCs w:val="20"/>
          <w:shd w:val="clear" w:color="auto" w:fill="FFFFFF"/>
        </w:rPr>
        <w:t>Environmental Politics</w:t>
      </w:r>
      <w:r w:rsidRPr="001029B2">
        <w:rPr>
          <w:rFonts w:ascii="Arial" w:hAnsi="Arial" w:cs="Arial"/>
          <w:color w:val="222222"/>
          <w:sz w:val="20"/>
          <w:szCs w:val="20"/>
          <w:shd w:val="clear" w:color="auto" w:fill="FFFFFF"/>
        </w:rPr>
        <w:t xml:space="preserve">, 29(6), 959-982. </w:t>
      </w:r>
      <w:hyperlink r:id="rId15" w:history="1">
        <w:r w:rsidRPr="009662EE">
          <w:rPr>
            <w:rStyle w:val="a9"/>
            <w:rFonts w:ascii="Arial" w:hAnsi="Arial" w:cs="Arial"/>
            <w:sz w:val="20"/>
            <w:szCs w:val="20"/>
            <w:shd w:val="clear" w:color="auto" w:fill="FFFFFF"/>
          </w:rPr>
          <w:t>https://doi.org/10.1080/09644016.2019.1708186</w:t>
        </w:r>
      </w:hyperlink>
    </w:p>
    <w:p w14:paraId="43A72CE2" w14:textId="77777777" w:rsidR="000E24CE" w:rsidRPr="0021511D" w:rsidRDefault="000E24CE" w:rsidP="000E24CE">
      <w:pPr>
        <w:ind w:left="400" w:hangingChars="200" w:hanging="400"/>
        <w:rPr>
          <w:rFonts w:ascii="Arial" w:eastAsiaTheme="minorEastAsia" w:hAnsi="Arial" w:cs="Arial"/>
          <w:color w:val="222222"/>
          <w:sz w:val="20"/>
          <w:szCs w:val="20"/>
          <w:shd w:val="clear" w:color="auto" w:fill="FFFFFF"/>
        </w:rPr>
      </w:pPr>
    </w:p>
    <w:p w14:paraId="7F71C0D3"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Jovanov, P., </w:t>
      </w:r>
      <w:proofErr w:type="gramStart"/>
      <w:r w:rsidRPr="0021511D">
        <w:rPr>
          <w:rFonts w:ascii="Arial" w:hAnsi="Arial" w:cs="Arial" w:hint="eastAsia"/>
          <w:color w:val="222222"/>
          <w:sz w:val="20"/>
          <w:szCs w:val="20"/>
          <w:shd w:val="clear" w:color="auto" w:fill="FFFFFF"/>
        </w:rPr>
        <w:t>et al.,</w:t>
      </w:r>
      <w:r w:rsidRPr="001029B2">
        <w:rPr>
          <w:rFonts w:ascii="Arial" w:hAnsi="Arial" w:cs="Arial"/>
          <w:color w:val="222222"/>
          <w:sz w:val="20"/>
          <w:szCs w:val="20"/>
          <w:shd w:val="clear" w:color="auto" w:fill="FFFFFF"/>
        </w:rPr>
        <w:t>(</w:t>
      </w:r>
      <w:proofErr w:type="gramEnd"/>
      <w:r w:rsidRPr="001029B2">
        <w:rPr>
          <w:rFonts w:ascii="Arial" w:hAnsi="Arial" w:cs="Arial"/>
          <w:color w:val="222222"/>
          <w:sz w:val="20"/>
          <w:szCs w:val="20"/>
          <w:shd w:val="clear" w:color="auto" w:fill="FFFFFF"/>
        </w:rPr>
        <w:t xml:space="preserve">2021). High-protein bar as a meal replacement in elite sports nutrition: a pilot study. </w:t>
      </w:r>
      <w:r w:rsidRPr="0021511D">
        <w:rPr>
          <w:rFonts w:ascii="Arial" w:hAnsi="Arial" w:cs="Arial"/>
          <w:i/>
          <w:iCs/>
          <w:color w:val="222222"/>
          <w:sz w:val="20"/>
          <w:szCs w:val="20"/>
          <w:shd w:val="clear" w:color="auto" w:fill="FFFFFF"/>
        </w:rPr>
        <w:t>Foods</w:t>
      </w:r>
      <w:r w:rsidRPr="001029B2">
        <w:rPr>
          <w:rFonts w:ascii="Arial" w:hAnsi="Arial" w:cs="Arial"/>
          <w:color w:val="222222"/>
          <w:sz w:val="20"/>
          <w:szCs w:val="20"/>
          <w:shd w:val="clear" w:color="auto" w:fill="FFFFFF"/>
        </w:rPr>
        <w:t xml:space="preserve">, 10(11), 2628. </w:t>
      </w:r>
      <w:hyperlink r:id="rId16" w:history="1">
        <w:r w:rsidRPr="009662EE">
          <w:rPr>
            <w:rStyle w:val="a9"/>
            <w:rFonts w:ascii="Arial" w:hAnsi="Arial" w:cs="Arial"/>
            <w:sz w:val="20"/>
            <w:szCs w:val="20"/>
            <w:shd w:val="clear" w:color="auto" w:fill="FFFFFF"/>
          </w:rPr>
          <w:t>https://doi.org/10.3390/foods10112628</w:t>
        </w:r>
      </w:hyperlink>
    </w:p>
    <w:p w14:paraId="49FF5FFA"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6511E770" w14:textId="77777777" w:rsidR="000E24CE" w:rsidRPr="001029B2" w:rsidRDefault="000E24CE" w:rsidP="000E24CE">
      <w:pPr>
        <w:ind w:left="400" w:hangingChars="200" w:hanging="400"/>
        <w:rPr>
          <w:rFonts w:ascii="Arial" w:hAnsi="Arial" w:cs="Arial"/>
          <w:color w:val="222222"/>
          <w:sz w:val="20"/>
          <w:szCs w:val="20"/>
          <w:shd w:val="clear" w:color="auto" w:fill="FFFFFF"/>
        </w:rPr>
      </w:pPr>
      <w:r w:rsidRPr="001029B2">
        <w:rPr>
          <w:rFonts w:ascii="Arial" w:hAnsi="Arial" w:cs="Arial"/>
          <w:color w:val="222222"/>
          <w:sz w:val="20"/>
          <w:szCs w:val="20"/>
          <w:shd w:val="clear" w:color="auto" w:fill="FFFFFF"/>
        </w:rPr>
        <w:lastRenderedPageBreak/>
        <w:t xml:space="preserve">Kilpatrick, A., &amp; Moir, C. (2023). Developments in the UK's International Trading Performance. In The British Economy After Oil (pp. 141-170). </w:t>
      </w:r>
      <w:r w:rsidRPr="00B7207E">
        <w:rPr>
          <w:rFonts w:ascii="Arial" w:hAnsi="Arial" w:cs="Arial"/>
          <w:i/>
          <w:iCs/>
          <w:color w:val="222222"/>
          <w:sz w:val="20"/>
          <w:szCs w:val="20"/>
          <w:shd w:val="clear" w:color="auto" w:fill="FFFFFF"/>
        </w:rPr>
        <w:t>Routledge.</w:t>
      </w:r>
    </w:p>
    <w:p w14:paraId="7AE8A9EC"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4ACBB4B3"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Kowalska, A., Ratajczyk, M., Manning, L., Bieniek, M., &amp; </w:t>
      </w:r>
      <w:proofErr w:type="spellStart"/>
      <w:r w:rsidRPr="001029B2">
        <w:rPr>
          <w:rFonts w:ascii="Arial" w:hAnsi="Arial" w:cs="Arial"/>
          <w:color w:val="222222"/>
          <w:sz w:val="20"/>
          <w:szCs w:val="20"/>
          <w:shd w:val="clear" w:color="auto" w:fill="FFFFFF"/>
        </w:rPr>
        <w:t>Mącik</w:t>
      </w:r>
      <w:proofErr w:type="spellEnd"/>
      <w:r w:rsidRPr="001029B2">
        <w:rPr>
          <w:rFonts w:ascii="Arial" w:hAnsi="Arial" w:cs="Arial"/>
          <w:color w:val="222222"/>
          <w:sz w:val="20"/>
          <w:szCs w:val="20"/>
          <w:shd w:val="clear" w:color="auto" w:fill="FFFFFF"/>
        </w:rPr>
        <w:t xml:space="preserve">, R. (2021). “Young and Green” a study of consumers’ perceptions and reported purchasing </w:t>
      </w:r>
      <w:proofErr w:type="spellStart"/>
      <w:r w:rsidRPr="001029B2">
        <w:rPr>
          <w:rFonts w:ascii="Arial" w:hAnsi="Arial" w:cs="Arial"/>
          <w:color w:val="222222"/>
          <w:sz w:val="20"/>
          <w:szCs w:val="20"/>
          <w:shd w:val="clear" w:color="auto" w:fill="FFFFFF"/>
        </w:rPr>
        <w:t>behaviour</w:t>
      </w:r>
      <w:proofErr w:type="spellEnd"/>
      <w:r w:rsidRPr="001029B2">
        <w:rPr>
          <w:rFonts w:ascii="Arial" w:hAnsi="Arial" w:cs="Arial"/>
          <w:color w:val="222222"/>
          <w:sz w:val="20"/>
          <w:szCs w:val="20"/>
          <w:shd w:val="clear" w:color="auto" w:fill="FFFFFF"/>
        </w:rPr>
        <w:t xml:space="preserve"> towards organic food in Poland and the United Kingdom. </w:t>
      </w:r>
      <w:r w:rsidRPr="00B7207E">
        <w:rPr>
          <w:rFonts w:ascii="Arial" w:hAnsi="Arial" w:cs="Arial"/>
          <w:i/>
          <w:iCs/>
          <w:color w:val="222222"/>
          <w:sz w:val="20"/>
          <w:szCs w:val="20"/>
          <w:shd w:val="clear" w:color="auto" w:fill="FFFFFF"/>
        </w:rPr>
        <w:t>Sustainability</w:t>
      </w:r>
      <w:r w:rsidRPr="001029B2">
        <w:rPr>
          <w:rFonts w:ascii="Arial" w:hAnsi="Arial" w:cs="Arial"/>
          <w:color w:val="222222"/>
          <w:sz w:val="20"/>
          <w:szCs w:val="20"/>
          <w:shd w:val="clear" w:color="auto" w:fill="FFFFFF"/>
        </w:rPr>
        <w:t xml:space="preserve">, 13(23), 13022. </w:t>
      </w:r>
      <w:hyperlink r:id="rId17" w:history="1">
        <w:r w:rsidRPr="009662EE">
          <w:rPr>
            <w:rStyle w:val="a9"/>
            <w:rFonts w:ascii="Arial" w:hAnsi="Arial" w:cs="Arial"/>
            <w:sz w:val="20"/>
            <w:szCs w:val="20"/>
            <w:shd w:val="clear" w:color="auto" w:fill="FFFFFF"/>
          </w:rPr>
          <w:t>https://doi.org/10.3390/su132313022</w:t>
        </w:r>
      </w:hyperlink>
    </w:p>
    <w:p w14:paraId="03E01B83"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478C13F5" w14:textId="77777777" w:rsidR="000E24CE" w:rsidRPr="001029B2" w:rsidRDefault="000E24CE" w:rsidP="000E24CE">
      <w:pPr>
        <w:ind w:left="400" w:hangingChars="200" w:hanging="400"/>
        <w:rPr>
          <w:rFonts w:ascii="Arial"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Milner, H. V. (2021). Resisting protectionism: Global industries and the politics of international trade. </w:t>
      </w:r>
      <w:r w:rsidRPr="00B7207E">
        <w:rPr>
          <w:rFonts w:ascii="Arial" w:hAnsi="Arial" w:cs="Arial"/>
          <w:i/>
          <w:iCs/>
          <w:color w:val="222222"/>
          <w:sz w:val="20"/>
          <w:szCs w:val="20"/>
          <w:shd w:val="clear" w:color="auto" w:fill="FFFFFF"/>
        </w:rPr>
        <w:t>Princeton University Press</w:t>
      </w:r>
      <w:r w:rsidRPr="001029B2">
        <w:rPr>
          <w:rFonts w:ascii="Arial" w:hAnsi="Arial" w:cs="Arial"/>
          <w:color w:val="222222"/>
          <w:sz w:val="20"/>
          <w:szCs w:val="20"/>
          <w:shd w:val="clear" w:color="auto" w:fill="FFFFFF"/>
        </w:rPr>
        <w:t>.</w:t>
      </w:r>
    </w:p>
    <w:p w14:paraId="63E66DA7"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1A097CBB" w14:textId="77777777" w:rsidR="000E24CE" w:rsidRPr="001029B2" w:rsidRDefault="000E24CE" w:rsidP="000E24CE">
      <w:pPr>
        <w:ind w:left="400" w:hangingChars="200" w:hanging="400"/>
        <w:rPr>
          <w:rFonts w:ascii="Arial"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Mohapatra, P., &amp; MV, N. K. (2021). Accounting Scandal at Tesco. </w:t>
      </w:r>
      <w:r w:rsidRPr="00B7207E">
        <w:rPr>
          <w:rFonts w:ascii="Arial" w:hAnsi="Arial" w:cs="Arial"/>
          <w:i/>
          <w:iCs/>
          <w:color w:val="222222"/>
          <w:sz w:val="20"/>
          <w:szCs w:val="20"/>
          <w:shd w:val="clear" w:color="auto" w:fill="FFFFFF"/>
        </w:rPr>
        <w:t>IUP Journal of Accounting Research &amp; Audit Practices</w:t>
      </w:r>
      <w:r w:rsidRPr="001029B2">
        <w:rPr>
          <w:rFonts w:ascii="Arial" w:hAnsi="Arial" w:cs="Arial"/>
          <w:color w:val="222222"/>
          <w:sz w:val="20"/>
          <w:szCs w:val="20"/>
          <w:shd w:val="clear" w:color="auto" w:fill="FFFFFF"/>
        </w:rPr>
        <w:t>, 20(4).</w:t>
      </w:r>
    </w:p>
    <w:p w14:paraId="7902DC56"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7DCBB73D" w14:textId="77777777" w:rsidR="000E24CE" w:rsidRPr="001029B2" w:rsidRDefault="000E24CE" w:rsidP="000E24CE">
      <w:pPr>
        <w:ind w:left="400" w:hangingChars="200" w:hanging="400"/>
        <w:rPr>
          <w:rFonts w:ascii="Arial" w:hAnsi="Arial" w:cs="Arial"/>
          <w:color w:val="222222"/>
          <w:sz w:val="20"/>
          <w:szCs w:val="20"/>
          <w:shd w:val="clear" w:color="auto" w:fill="FFFFFF"/>
        </w:rPr>
      </w:pPr>
      <w:r w:rsidRPr="001029B2">
        <w:rPr>
          <w:rFonts w:ascii="Arial" w:hAnsi="Arial" w:cs="Arial"/>
          <w:color w:val="222222"/>
          <w:sz w:val="20"/>
          <w:szCs w:val="20"/>
          <w:shd w:val="clear" w:color="auto" w:fill="FFFFFF"/>
        </w:rPr>
        <w:t>Moore, C. (2023). Exploring Dynamic capabilities of Design thinking for Digital transformation of UK SMEs Towards Paradigmatic Innovation.</w:t>
      </w:r>
      <w:r w:rsidRPr="00B7207E">
        <w:rPr>
          <w:rFonts w:ascii="Arial" w:hAnsi="Arial" w:cs="Arial"/>
          <w:i/>
          <w:iCs/>
          <w:color w:val="222222"/>
          <w:sz w:val="20"/>
          <w:szCs w:val="20"/>
          <w:shd w:val="clear" w:color="auto" w:fill="FFFFFF"/>
        </w:rPr>
        <w:t xml:space="preserve"> Faculty of Business and Law Research Day</w:t>
      </w:r>
      <w:r w:rsidRPr="001029B2">
        <w:rPr>
          <w:rFonts w:ascii="Arial" w:hAnsi="Arial" w:cs="Arial"/>
          <w:color w:val="222222"/>
          <w:sz w:val="20"/>
          <w:szCs w:val="20"/>
          <w:shd w:val="clear" w:color="auto" w:fill="FFFFFF"/>
        </w:rPr>
        <w:t>.</w:t>
      </w:r>
    </w:p>
    <w:p w14:paraId="0B41A3DD"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7037FCC5"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Office for National Statistics</w:t>
      </w:r>
      <w:r>
        <w:rPr>
          <w:rFonts w:ascii="Arial" w:eastAsiaTheme="minorEastAsia" w:hAnsi="Arial" w:cs="Arial" w:hint="eastAsia"/>
          <w:color w:val="222222"/>
          <w:sz w:val="20"/>
          <w:szCs w:val="20"/>
          <w:shd w:val="clear" w:color="auto" w:fill="FFFFFF"/>
        </w:rPr>
        <w:t xml:space="preserve"> (2021)</w:t>
      </w:r>
      <w:r w:rsidRPr="001029B2">
        <w:rPr>
          <w:rFonts w:ascii="Arial" w:hAnsi="Arial" w:cs="Arial"/>
          <w:color w:val="222222"/>
          <w:sz w:val="20"/>
          <w:szCs w:val="20"/>
          <w:shd w:val="clear" w:color="auto" w:fill="FFFFFF"/>
        </w:rPr>
        <w:t xml:space="preserve">. Life expectancy factors and indicators of the health of the elderly in the UK. Statistics to help us understand the needs of an ageing population. </w:t>
      </w:r>
      <w:hyperlink r:id="rId18" w:history="1">
        <w:r w:rsidRPr="009662EE">
          <w:rPr>
            <w:rStyle w:val="a9"/>
            <w:rFonts w:ascii="Arial" w:hAnsi="Arial" w:cs="Arial"/>
            <w:sz w:val="20"/>
            <w:szCs w:val="20"/>
            <w:shd w:val="clear" w:color="auto" w:fill="FFFFFF"/>
          </w:rPr>
          <w:t>https://www.ons.gov.uk/peoplepopulationandcommunity/birthsdeathsandmarriages/ageing 2021</w:t>
        </w:r>
      </w:hyperlink>
    </w:p>
    <w:p w14:paraId="2EE90735"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3CC636A0"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Office for National </w:t>
      </w:r>
      <w:proofErr w:type="gramStart"/>
      <w:r w:rsidRPr="001029B2">
        <w:rPr>
          <w:rFonts w:ascii="Arial" w:hAnsi="Arial" w:cs="Arial"/>
          <w:color w:val="222222"/>
          <w:sz w:val="20"/>
          <w:szCs w:val="20"/>
          <w:shd w:val="clear" w:color="auto" w:fill="FFFFFF"/>
        </w:rPr>
        <w:t>Statistics</w:t>
      </w:r>
      <w:r>
        <w:rPr>
          <w:rFonts w:ascii="Arial" w:eastAsiaTheme="minorEastAsia" w:hAnsi="Arial" w:cs="Arial" w:hint="eastAsia"/>
          <w:color w:val="222222"/>
          <w:sz w:val="20"/>
          <w:szCs w:val="20"/>
          <w:shd w:val="clear" w:color="auto" w:fill="FFFFFF"/>
        </w:rPr>
        <w:t>(</w:t>
      </w:r>
      <w:proofErr w:type="gramEnd"/>
      <w:r>
        <w:rPr>
          <w:rFonts w:ascii="Arial" w:eastAsiaTheme="minorEastAsia" w:hAnsi="Arial" w:cs="Arial" w:hint="eastAsia"/>
          <w:color w:val="222222"/>
          <w:sz w:val="20"/>
          <w:szCs w:val="20"/>
          <w:shd w:val="clear" w:color="auto" w:fill="FFFFFF"/>
        </w:rPr>
        <w:t>2023)</w:t>
      </w:r>
      <w:r w:rsidRPr="001029B2">
        <w:rPr>
          <w:rFonts w:ascii="Arial" w:hAnsi="Arial" w:cs="Arial"/>
          <w:color w:val="222222"/>
          <w:sz w:val="20"/>
          <w:szCs w:val="20"/>
          <w:shd w:val="clear" w:color="auto" w:fill="FFFFFF"/>
        </w:rPr>
        <w:t xml:space="preserve">. Young people not in education, employment or training (NEET), UK: February 2023 </w:t>
      </w:r>
      <w:hyperlink r:id="rId19" w:history="1">
        <w:r w:rsidRPr="009662EE">
          <w:rPr>
            <w:rStyle w:val="a9"/>
            <w:rFonts w:ascii="Arial" w:hAnsi="Arial" w:cs="Arial"/>
            <w:sz w:val="20"/>
            <w:szCs w:val="20"/>
            <w:shd w:val="clear" w:color="auto" w:fill="FFFFFF"/>
          </w:rPr>
          <w:t xml:space="preserve">https://www.ons.gov.uk/employmentandlabourmarket/peoplenotinwork/unemployment/bulletins/youngpeoplenotineducationemploymentortrainingneet/february2023 </w:t>
        </w:r>
      </w:hyperlink>
    </w:p>
    <w:p w14:paraId="1B2A5EB6"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438023A4" w14:textId="77777777" w:rsidR="000E24CE" w:rsidRPr="001029B2" w:rsidRDefault="000E24CE" w:rsidP="000E24CE">
      <w:pPr>
        <w:ind w:left="400" w:hangingChars="200" w:hanging="400"/>
        <w:rPr>
          <w:rFonts w:ascii="Arial" w:hAnsi="Arial" w:cs="Arial"/>
          <w:color w:val="222222"/>
          <w:sz w:val="20"/>
          <w:szCs w:val="20"/>
          <w:shd w:val="clear" w:color="auto" w:fill="FFFFFF"/>
        </w:rPr>
      </w:pPr>
      <w:proofErr w:type="spellStart"/>
      <w:r w:rsidRPr="001029B2">
        <w:rPr>
          <w:rFonts w:ascii="Arial" w:hAnsi="Arial" w:cs="Arial"/>
          <w:color w:val="222222"/>
          <w:sz w:val="20"/>
          <w:szCs w:val="20"/>
          <w:shd w:val="clear" w:color="auto" w:fill="FFFFFF"/>
        </w:rPr>
        <w:t>Papanagnou</w:t>
      </w:r>
      <w:proofErr w:type="spellEnd"/>
      <w:r w:rsidRPr="001029B2">
        <w:rPr>
          <w:rFonts w:ascii="Arial" w:hAnsi="Arial" w:cs="Arial"/>
          <w:color w:val="222222"/>
          <w:sz w:val="20"/>
          <w:szCs w:val="20"/>
          <w:shd w:val="clear" w:color="auto" w:fill="FFFFFF"/>
        </w:rPr>
        <w:t xml:space="preserve">, C., Seiler, A., </w:t>
      </w:r>
      <w:proofErr w:type="spellStart"/>
      <w:r w:rsidRPr="001029B2">
        <w:rPr>
          <w:rFonts w:ascii="Arial" w:hAnsi="Arial" w:cs="Arial"/>
          <w:color w:val="222222"/>
          <w:sz w:val="20"/>
          <w:szCs w:val="20"/>
          <w:shd w:val="clear" w:color="auto" w:fill="FFFFFF"/>
        </w:rPr>
        <w:t>Spanaki</w:t>
      </w:r>
      <w:proofErr w:type="spellEnd"/>
      <w:r w:rsidRPr="001029B2">
        <w:rPr>
          <w:rFonts w:ascii="Arial" w:hAnsi="Arial" w:cs="Arial"/>
          <w:color w:val="222222"/>
          <w:sz w:val="20"/>
          <w:szCs w:val="20"/>
          <w:shd w:val="clear" w:color="auto" w:fill="FFFFFF"/>
        </w:rPr>
        <w:t xml:space="preserve">, K., Papadopoulos, T., &amp; </w:t>
      </w:r>
      <w:proofErr w:type="spellStart"/>
      <w:r w:rsidRPr="001029B2">
        <w:rPr>
          <w:rFonts w:ascii="Arial" w:hAnsi="Arial" w:cs="Arial"/>
          <w:color w:val="222222"/>
          <w:sz w:val="20"/>
          <w:szCs w:val="20"/>
          <w:shd w:val="clear" w:color="auto" w:fill="FFFFFF"/>
        </w:rPr>
        <w:t>Bourlakis</w:t>
      </w:r>
      <w:proofErr w:type="spellEnd"/>
      <w:r w:rsidRPr="001029B2">
        <w:rPr>
          <w:rFonts w:ascii="Arial" w:hAnsi="Arial" w:cs="Arial"/>
          <w:color w:val="222222"/>
          <w:sz w:val="20"/>
          <w:szCs w:val="20"/>
          <w:shd w:val="clear" w:color="auto" w:fill="FFFFFF"/>
        </w:rPr>
        <w:t xml:space="preserve">, M. (2022). Data-driven digital transformation for emergency situations: The case of the UK retail sector. </w:t>
      </w:r>
      <w:r w:rsidRPr="00B7207E">
        <w:rPr>
          <w:rFonts w:ascii="Arial" w:hAnsi="Arial" w:cs="Arial"/>
          <w:i/>
          <w:iCs/>
          <w:color w:val="222222"/>
          <w:sz w:val="20"/>
          <w:szCs w:val="20"/>
          <w:shd w:val="clear" w:color="auto" w:fill="FFFFFF"/>
        </w:rPr>
        <w:t>International Journal of Production Economics</w:t>
      </w:r>
      <w:r w:rsidRPr="001029B2">
        <w:rPr>
          <w:rFonts w:ascii="Arial" w:hAnsi="Arial" w:cs="Arial"/>
          <w:color w:val="222222"/>
          <w:sz w:val="20"/>
          <w:szCs w:val="20"/>
          <w:shd w:val="clear" w:color="auto" w:fill="FFFFFF"/>
        </w:rPr>
        <w:t>, 250, 108628.</w:t>
      </w:r>
    </w:p>
    <w:p w14:paraId="25E414E9"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3A02E950"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Shang, S. S., &amp; Chiu, L. S. (2022). Leveraging smart technology for user experience personalization–A comparative case study of innovative payment systems. </w:t>
      </w:r>
      <w:r w:rsidRPr="00B7207E">
        <w:rPr>
          <w:rFonts w:ascii="Arial" w:hAnsi="Arial" w:cs="Arial"/>
          <w:i/>
          <w:iCs/>
          <w:color w:val="222222"/>
          <w:sz w:val="20"/>
          <w:szCs w:val="20"/>
          <w:shd w:val="clear" w:color="auto" w:fill="FFFFFF"/>
        </w:rPr>
        <w:t>Pacific Asia Journal of the Association for Information Systems</w:t>
      </w:r>
      <w:r w:rsidRPr="001029B2">
        <w:rPr>
          <w:rFonts w:ascii="Arial" w:hAnsi="Arial" w:cs="Arial"/>
          <w:color w:val="222222"/>
          <w:sz w:val="20"/>
          <w:szCs w:val="20"/>
          <w:shd w:val="clear" w:color="auto" w:fill="FFFFFF"/>
        </w:rPr>
        <w:t xml:space="preserve">, 14(1), 6. </w:t>
      </w:r>
      <w:hyperlink r:id="rId20" w:history="1">
        <w:r w:rsidRPr="009662EE">
          <w:rPr>
            <w:rStyle w:val="a9"/>
            <w:rFonts w:ascii="Arial" w:hAnsi="Arial" w:cs="Arial"/>
            <w:sz w:val="20"/>
            <w:szCs w:val="20"/>
            <w:shd w:val="clear" w:color="auto" w:fill="FFFFFF"/>
          </w:rPr>
          <w:t>https://doi.org/10.17705/1pais.14106</w:t>
        </w:r>
      </w:hyperlink>
    </w:p>
    <w:p w14:paraId="1CBD8485"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2D91AFB8" w14:textId="77777777" w:rsidR="000E24CE" w:rsidRPr="001029B2" w:rsidRDefault="000E24CE" w:rsidP="000E24CE">
      <w:pPr>
        <w:ind w:left="400" w:hangingChars="200" w:hanging="400"/>
        <w:rPr>
          <w:rFonts w:ascii="Arial"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Smith, D. (2023). Logistics in Tesco: past, present and future. In Logistics </w:t>
      </w:r>
      <w:proofErr w:type="gramStart"/>
      <w:r w:rsidRPr="001029B2">
        <w:rPr>
          <w:rFonts w:ascii="Arial" w:hAnsi="Arial" w:cs="Arial"/>
          <w:color w:val="222222"/>
          <w:sz w:val="20"/>
          <w:szCs w:val="20"/>
          <w:shd w:val="clear" w:color="auto" w:fill="FFFFFF"/>
        </w:rPr>
        <w:t>And</w:t>
      </w:r>
      <w:proofErr w:type="gramEnd"/>
      <w:r w:rsidRPr="001029B2">
        <w:rPr>
          <w:rFonts w:ascii="Arial" w:hAnsi="Arial" w:cs="Arial"/>
          <w:color w:val="222222"/>
          <w:sz w:val="20"/>
          <w:szCs w:val="20"/>
          <w:shd w:val="clear" w:color="auto" w:fill="FFFFFF"/>
        </w:rPr>
        <w:t xml:space="preserve"> Retail Management insights Into Current Practice And Trends From Leading Experts (pp. 154-183). </w:t>
      </w:r>
      <w:r w:rsidRPr="00B7207E">
        <w:rPr>
          <w:rFonts w:ascii="Arial" w:hAnsi="Arial" w:cs="Arial"/>
          <w:i/>
          <w:iCs/>
          <w:color w:val="222222"/>
          <w:sz w:val="20"/>
          <w:szCs w:val="20"/>
          <w:shd w:val="clear" w:color="auto" w:fill="FFFFFF"/>
        </w:rPr>
        <w:t>CRC Press</w:t>
      </w:r>
      <w:r w:rsidRPr="001029B2">
        <w:rPr>
          <w:rFonts w:ascii="Arial" w:hAnsi="Arial" w:cs="Arial"/>
          <w:color w:val="222222"/>
          <w:sz w:val="20"/>
          <w:szCs w:val="20"/>
          <w:shd w:val="clear" w:color="auto" w:fill="FFFFFF"/>
        </w:rPr>
        <w:t>.</w:t>
      </w:r>
    </w:p>
    <w:p w14:paraId="490EF1AC"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5D5A266E"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Taghipour, H.,</w:t>
      </w:r>
      <w:r>
        <w:rPr>
          <w:rFonts w:ascii="Arial" w:eastAsiaTheme="minorEastAsia" w:hAnsi="Arial" w:cs="Arial" w:hint="eastAsia"/>
          <w:color w:val="222222"/>
          <w:sz w:val="20"/>
          <w:szCs w:val="20"/>
          <w:shd w:val="clear" w:color="auto" w:fill="FFFFFF"/>
        </w:rPr>
        <w:t xml:space="preserve"> et al.,</w:t>
      </w:r>
      <w:r w:rsidRPr="001029B2">
        <w:rPr>
          <w:rFonts w:ascii="Arial" w:hAnsi="Arial" w:cs="Arial"/>
          <w:color w:val="222222"/>
          <w:sz w:val="20"/>
          <w:szCs w:val="20"/>
          <w:shd w:val="clear" w:color="auto" w:fill="FFFFFF"/>
        </w:rPr>
        <w:t xml:space="preserve"> (2023). Single-use plastic bags: challenges, consumer’s behavior, and potential intervention policies. </w:t>
      </w:r>
      <w:r w:rsidRPr="00B7207E">
        <w:rPr>
          <w:rFonts w:ascii="Arial" w:hAnsi="Arial" w:cs="Arial"/>
          <w:i/>
          <w:iCs/>
          <w:color w:val="222222"/>
          <w:sz w:val="20"/>
          <w:szCs w:val="20"/>
          <w:shd w:val="clear" w:color="auto" w:fill="FFFFFF"/>
        </w:rPr>
        <w:t>Journal of Material Cycles and Waste Management</w:t>
      </w:r>
      <w:r w:rsidRPr="001029B2">
        <w:rPr>
          <w:rFonts w:ascii="Arial" w:hAnsi="Arial" w:cs="Arial"/>
          <w:color w:val="222222"/>
          <w:sz w:val="20"/>
          <w:szCs w:val="20"/>
          <w:shd w:val="clear" w:color="auto" w:fill="FFFFFF"/>
        </w:rPr>
        <w:t xml:space="preserve">, 25(6), 3404-3413. </w:t>
      </w:r>
      <w:hyperlink r:id="rId21" w:history="1">
        <w:r w:rsidRPr="009662EE">
          <w:rPr>
            <w:rStyle w:val="a9"/>
            <w:rFonts w:ascii="Arial" w:hAnsi="Arial" w:cs="Arial"/>
            <w:sz w:val="20"/>
            <w:szCs w:val="20"/>
            <w:shd w:val="clear" w:color="auto" w:fill="FFFFFF"/>
          </w:rPr>
          <w:t>https://doi.org/10.1007/s10163-023-01763-z</w:t>
        </w:r>
      </w:hyperlink>
    </w:p>
    <w:p w14:paraId="668126B8"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03B75C1B" w14:textId="77777777" w:rsidR="000E24CE" w:rsidRPr="001029B2" w:rsidRDefault="000E24CE" w:rsidP="000E24CE">
      <w:pPr>
        <w:ind w:left="400" w:hangingChars="200" w:hanging="400"/>
        <w:rPr>
          <w:rFonts w:ascii="Arial" w:hAnsi="Arial" w:cs="Arial"/>
          <w:color w:val="222222"/>
          <w:sz w:val="20"/>
          <w:szCs w:val="20"/>
          <w:shd w:val="clear" w:color="auto" w:fill="FFFFFF"/>
        </w:rPr>
      </w:pPr>
    </w:p>
    <w:p w14:paraId="2C552391"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proofErr w:type="gramStart"/>
      <w:r w:rsidRPr="001029B2">
        <w:rPr>
          <w:rFonts w:ascii="Arial" w:hAnsi="Arial" w:cs="Arial"/>
          <w:color w:val="222222"/>
          <w:sz w:val="20"/>
          <w:szCs w:val="20"/>
          <w:shd w:val="clear" w:color="auto" w:fill="FFFFFF"/>
        </w:rPr>
        <w:t>TESCO</w:t>
      </w:r>
      <w:r>
        <w:rPr>
          <w:rFonts w:ascii="Arial" w:eastAsiaTheme="minorEastAsia" w:hAnsi="Arial" w:cs="Arial" w:hint="eastAsia"/>
          <w:color w:val="222222"/>
          <w:sz w:val="20"/>
          <w:szCs w:val="20"/>
          <w:shd w:val="clear" w:color="auto" w:fill="FFFFFF"/>
        </w:rPr>
        <w:t>(</w:t>
      </w:r>
      <w:proofErr w:type="gramEnd"/>
      <w:r>
        <w:rPr>
          <w:rFonts w:ascii="Arial" w:eastAsiaTheme="minorEastAsia" w:hAnsi="Arial" w:cs="Arial" w:hint="eastAsia"/>
          <w:color w:val="222222"/>
          <w:sz w:val="20"/>
          <w:szCs w:val="20"/>
          <w:shd w:val="clear" w:color="auto" w:fill="FFFFFF"/>
        </w:rPr>
        <w:t xml:space="preserve">2023), </w:t>
      </w:r>
      <w:r w:rsidRPr="001029B2">
        <w:rPr>
          <w:rFonts w:ascii="Arial" w:hAnsi="Arial" w:cs="Arial"/>
          <w:color w:val="222222"/>
          <w:sz w:val="20"/>
          <w:szCs w:val="20"/>
          <w:shd w:val="clear" w:color="auto" w:fill="FFFFFF"/>
        </w:rPr>
        <w:t xml:space="preserve">Annual Report and Financial Statements 2023 </w:t>
      </w:r>
      <w:hyperlink r:id="rId22" w:history="1">
        <w:r w:rsidRPr="009662EE">
          <w:rPr>
            <w:rStyle w:val="a9"/>
            <w:rFonts w:ascii="Arial" w:hAnsi="Arial" w:cs="Arial"/>
            <w:sz w:val="20"/>
            <w:szCs w:val="20"/>
            <w:shd w:val="clear" w:color="auto" w:fill="FFFFFF"/>
          </w:rPr>
          <w:t>https://www.tescoplc.com/media/u1wlq2qf/tesco-plc-annual-report-2023.pdf</w:t>
        </w:r>
      </w:hyperlink>
    </w:p>
    <w:p w14:paraId="59424E83"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5FCAD373"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TESCO</w:t>
      </w:r>
      <w:r>
        <w:rPr>
          <w:rFonts w:ascii="Arial" w:eastAsiaTheme="minorEastAsia" w:hAnsi="Arial" w:cs="Arial" w:hint="eastAsia"/>
          <w:color w:val="222222"/>
          <w:sz w:val="20"/>
          <w:szCs w:val="20"/>
          <w:shd w:val="clear" w:color="auto" w:fill="FFFFFF"/>
        </w:rPr>
        <w:t>(2024),</w:t>
      </w:r>
      <w:r w:rsidRPr="001029B2">
        <w:rPr>
          <w:rFonts w:ascii="Arial" w:hAnsi="Arial" w:cs="Arial"/>
          <w:color w:val="222222"/>
          <w:sz w:val="20"/>
          <w:szCs w:val="20"/>
          <w:shd w:val="clear" w:color="auto" w:fill="FFFFFF"/>
        </w:rPr>
        <w:t xml:space="preserve"> Q3 and Christmas Trading Statement 2023/24 </w:t>
      </w:r>
      <w:hyperlink r:id="rId23" w:history="1">
        <w:r w:rsidRPr="009662EE">
          <w:rPr>
            <w:rStyle w:val="a9"/>
            <w:rFonts w:ascii="Arial" w:hAnsi="Arial" w:cs="Arial"/>
            <w:sz w:val="20"/>
            <w:szCs w:val="20"/>
            <w:shd w:val="clear" w:color="auto" w:fill="FFFFFF"/>
          </w:rPr>
          <w:t>https://www.tescoplc.com/investors/reports-results-and-presentations/results-and-presentations/?type=results&amp;year=2024</w:t>
        </w:r>
      </w:hyperlink>
    </w:p>
    <w:p w14:paraId="031ED725" w14:textId="77777777" w:rsidR="000E24CE" w:rsidRPr="00B7207E" w:rsidRDefault="000E24CE" w:rsidP="000E24CE">
      <w:pPr>
        <w:ind w:left="400" w:hangingChars="200" w:hanging="400"/>
        <w:rPr>
          <w:rFonts w:ascii="Arial" w:eastAsiaTheme="minorEastAsia" w:hAnsi="Arial" w:cs="Arial"/>
          <w:color w:val="222222"/>
          <w:sz w:val="20"/>
          <w:szCs w:val="20"/>
          <w:shd w:val="clear" w:color="auto" w:fill="FFFFFF"/>
        </w:rPr>
      </w:pPr>
    </w:p>
    <w:p w14:paraId="51305D4A" w14:textId="77777777" w:rsidR="000E24CE" w:rsidRDefault="000E24CE" w:rsidP="000E24CE">
      <w:pPr>
        <w:ind w:left="400" w:hangingChars="200" w:hanging="400"/>
        <w:rPr>
          <w:rFonts w:ascii="Arial" w:eastAsiaTheme="minorEastAsia" w:hAnsi="Arial" w:cs="Arial"/>
          <w:color w:val="222222"/>
          <w:sz w:val="20"/>
          <w:szCs w:val="20"/>
          <w:shd w:val="clear" w:color="auto" w:fill="FFFFFF"/>
        </w:rPr>
      </w:pPr>
      <w:r w:rsidRPr="001029B2">
        <w:rPr>
          <w:rFonts w:ascii="Arial" w:hAnsi="Arial" w:cs="Arial"/>
          <w:color w:val="222222"/>
          <w:sz w:val="20"/>
          <w:szCs w:val="20"/>
          <w:shd w:val="clear" w:color="auto" w:fill="FFFFFF"/>
        </w:rPr>
        <w:t xml:space="preserve">Zhang, B., Zhang, Y., &amp; Zhou, P. (2021). Consumer attitude towards sustainability of fast fashion products in the UK. </w:t>
      </w:r>
      <w:r w:rsidRPr="00B7207E">
        <w:rPr>
          <w:rFonts w:ascii="Arial" w:hAnsi="Arial" w:cs="Arial"/>
          <w:i/>
          <w:iCs/>
          <w:color w:val="222222"/>
          <w:sz w:val="20"/>
          <w:szCs w:val="20"/>
          <w:shd w:val="clear" w:color="auto" w:fill="FFFFFF"/>
        </w:rPr>
        <w:t>Sustainability</w:t>
      </w:r>
      <w:r w:rsidRPr="001029B2">
        <w:rPr>
          <w:rFonts w:ascii="Arial" w:hAnsi="Arial" w:cs="Arial"/>
          <w:color w:val="222222"/>
          <w:sz w:val="20"/>
          <w:szCs w:val="20"/>
          <w:shd w:val="clear" w:color="auto" w:fill="FFFFFF"/>
        </w:rPr>
        <w:t xml:space="preserve">, 13(4), 1646. </w:t>
      </w:r>
      <w:hyperlink r:id="rId24" w:history="1">
        <w:r w:rsidRPr="009662EE">
          <w:rPr>
            <w:rStyle w:val="a9"/>
            <w:rFonts w:ascii="Arial" w:hAnsi="Arial" w:cs="Arial"/>
            <w:sz w:val="20"/>
            <w:szCs w:val="20"/>
            <w:shd w:val="clear" w:color="auto" w:fill="FFFFFF"/>
          </w:rPr>
          <w:t>https://doi.org/10.3390/su13041646</w:t>
        </w:r>
      </w:hyperlink>
    </w:p>
    <w:p w14:paraId="4777B83A" w14:textId="77777777" w:rsidR="000E24CE" w:rsidRPr="00B7207E" w:rsidRDefault="000E24CE" w:rsidP="000E24CE">
      <w:pPr>
        <w:ind w:left="440" w:hangingChars="200" w:hanging="440"/>
        <w:rPr>
          <w:rFonts w:eastAsiaTheme="minorEastAsia"/>
        </w:rPr>
      </w:pPr>
    </w:p>
    <w:p w14:paraId="75E0FFCB" w14:textId="77777777" w:rsidR="003F6356" w:rsidRPr="00B87817" w:rsidRDefault="003F6356" w:rsidP="00B87817">
      <w:pPr>
        <w:spacing w:line="360" w:lineRule="auto"/>
        <w:rPr>
          <w:rFonts w:ascii="Times New Roman" w:eastAsiaTheme="minorEastAsia" w:hAnsi="Times New Roman" w:cs="Times New Roman"/>
          <w:sz w:val="24"/>
          <w:szCs w:val="24"/>
        </w:rPr>
      </w:pPr>
    </w:p>
    <w:sectPr w:rsidR="003F6356" w:rsidRPr="00B87817" w:rsidSect="00830B8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B1D3E" w14:textId="77777777" w:rsidR="00830B8D" w:rsidRDefault="00830B8D" w:rsidP="00057DF2">
      <w:r>
        <w:separator/>
      </w:r>
    </w:p>
  </w:endnote>
  <w:endnote w:type="continuationSeparator" w:id="0">
    <w:p w14:paraId="4B610021" w14:textId="77777777" w:rsidR="00830B8D" w:rsidRDefault="00830B8D" w:rsidP="00057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AA276" w14:textId="77777777" w:rsidR="00830B8D" w:rsidRDefault="00830B8D" w:rsidP="00057DF2">
      <w:r>
        <w:separator/>
      </w:r>
    </w:p>
  </w:footnote>
  <w:footnote w:type="continuationSeparator" w:id="0">
    <w:p w14:paraId="13C5C252" w14:textId="77777777" w:rsidR="00830B8D" w:rsidRDefault="00830B8D" w:rsidP="00057DF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bordersDoNotSurroundHeader/>
  <w:bordersDoNotSurroundFooter/>
  <w:proofState w:spelling="clean" w:grammar="clean"/>
  <w:defaultTabStop w:val="420"/>
  <w:drawingGridHorizontalSpacing w:val="110"/>
  <w:drawingGridVerticalSpacing w:val="156"/>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F4621"/>
    <w:rsid w:val="00000403"/>
    <w:rsid w:val="00002099"/>
    <w:rsid w:val="000446D1"/>
    <w:rsid w:val="00057DF2"/>
    <w:rsid w:val="000D7ED2"/>
    <w:rsid w:val="000E24CE"/>
    <w:rsid w:val="000F2BC9"/>
    <w:rsid w:val="0010511E"/>
    <w:rsid w:val="001255BA"/>
    <w:rsid w:val="00130B69"/>
    <w:rsid w:val="00162221"/>
    <w:rsid w:val="0017555F"/>
    <w:rsid w:val="001A09C3"/>
    <w:rsid w:val="001A7E7E"/>
    <w:rsid w:val="001C1C9B"/>
    <w:rsid w:val="001D2D97"/>
    <w:rsid w:val="001D3462"/>
    <w:rsid w:val="001F1897"/>
    <w:rsid w:val="001F687B"/>
    <w:rsid w:val="001F7AE4"/>
    <w:rsid w:val="00201016"/>
    <w:rsid w:val="00202E10"/>
    <w:rsid w:val="002044DF"/>
    <w:rsid w:val="00204E5C"/>
    <w:rsid w:val="002123D3"/>
    <w:rsid w:val="00216A13"/>
    <w:rsid w:val="00220F49"/>
    <w:rsid w:val="00224A81"/>
    <w:rsid w:val="00227B76"/>
    <w:rsid w:val="00293E69"/>
    <w:rsid w:val="0029755F"/>
    <w:rsid w:val="002A76B2"/>
    <w:rsid w:val="002B00F0"/>
    <w:rsid w:val="002C4035"/>
    <w:rsid w:val="002C539F"/>
    <w:rsid w:val="002F2C46"/>
    <w:rsid w:val="00300C6E"/>
    <w:rsid w:val="0035736A"/>
    <w:rsid w:val="00373571"/>
    <w:rsid w:val="003750EA"/>
    <w:rsid w:val="003A48BF"/>
    <w:rsid w:val="003A4C1E"/>
    <w:rsid w:val="003D567F"/>
    <w:rsid w:val="003E36EB"/>
    <w:rsid w:val="003F6356"/>
    <w:rsid w:val="00411593"/>
    <w:rsid w:val="0043375F"/>
    <w:rsid w:val="004424BA"/>
    <w:rsid w:val="0047029A"/>
    <w:rsid w:val="00492125"/>
    <w:rsid w:val="004A10E0"/>
    <w:rsid w:val="004F5E60"/>
    <w:rsid w:val="004F73CE"/>
    <w:rsid w:val="00505AD5"/>
    <w:rsid w:val="00515A41"/>
    <w:rsid w:val="005172E1"/>
    <w:rsid w:val="00526ED5"/>
    <w:rsid w:val="00534012"/>
    <w:rsid w:val="00553ADD"/>
    <w:rsid w:val="0056358A"/>
    <w:rsid w:val="005641C5"/>
    <w:rsid w:val="00565022"/>
    <w:rsid w:val="0057356F"/>
    <w:rsid w:val="005A671A"/>
    <w:rsid w:val="005A6F13"/>
    <w:rsid w:val="005D631D"/>
    <w:rsid w:val="005F606D"/>
    <w:rsid w:val="00600F31"/>
    <w:rsid w:val="00614C3B"/>
    <w:rsid w:val="00622283"/>
    <w:rsid w:val="00645193"/>
    <w:rsid w:val="00657CCE"/>
    <w:rsid w:val="00686F18"/>
    <w:rsid w:val="00695324"/>
    <w:rsid w:val="006B1CAE"/>
    <w:rsid w:val="006B5638"/>
    <w:rsid w:val="006D1805"/>
    <w:rsid w:val="006F116E"/>
    <w:rsid w:val="006F4621"/>
    <w:rsid w:val="0070429B"/>
    <w:rsid w:val="007143E8"/>
    <w:rsid w:val="00765CDF"/>
    <w:rsid w:val="00781D5E"/>
    <w:rsid w:val="007849D0"/>
    <w:rsid w:val="007B2050"/>
    <w:rsid w:val="007C5D52"/>
    <w:rsid w:val="007C654A"/>
    <w:rsid w:val="007E601A"/>
    <w:rsid w:val="00806676"/>
    <w:rsid w:val="00813FEF"/>
    <w:rsid w:val="00821F4F"/>
    <w:rsid w:val="00830B8D"/>
    <w:rsid w:val="008409CB"/>
    <w:rsid w:val="00852704"/>
    <w:rsid w:val="008575F7"/>
    <w:rsid w:val="008727DE"/>
    <w:rsid w:val="00875C72"/>
    <w:rsid w:val="00880B17"/>
    <w:rsid w:val="00883DC5"/>
    <w:rsid w:val="0089156C"/>
    <w:rsid w:val="008A36EF"/>
    <w:rsid w:val="00903BC3"/>
    <w:rsid w:val="00907189"/>
    <w:rsid w:val="00933DCE"/>
    <w:rsid w:val="00954BE7"/>
    <w:rsid w:val="0095520B"/>
    <w:rsid w:val="00960465"/>
    <w:rsid w:val="00966824"/>
    <w:rsid w:val="009B3B42"/>
    <w:rsid w:val="009C37CA"/>
    <w:rsid w:val="009D0431"/>
    <w:rsid w:val="00A332C9"/>
    <w:rsid w:val="00A63209"/>
    <w:rsid w:val="00AE02AD"/>
    <w:rsid w:val="00AE3293"/>
    <w:rsid w:val="00AE719A"/>
    <w:rsid w:val="00AF7FAB"/>
    <w:rsid w:val="00B070A4"/>
    <w:rsid w:val="00B1580C"/>
    <w:rsid w:val="00B37043"/>
    <w:rsid w:val="00B87817"/>
    <w:rsid w:val="00B87EB5"/>
    <w:rsid w:val="00B91D78"/>
    <w:rsid w:val="00B973C1"/>
    <w:rsid w:val="00B97643"/>
    <w:rsid w:val="00BB5D47"/>
    <w:rsid w:val="00BC667E"/>
    <w:rsid w:val="00BD4F4F"/>
    <w:rsid w:val="00C24928"/>
    <w:rsid w:val="00C6747E"/>
    <w:rsid w:val="00C7373F"/>
    <w:rsid w:val="00C836CB"/>
    <w:rsid w:val="00CD2E19"/>
    <w:rsid w:val="00CD4E62"/>
    <w:rsid w:val="00D47D04"/>
    <w:rsid w:val="00D51F84"/>
    <w:rsid w:val="00D7268E"/>
    <w:rsid w:val="00D97783"/>
    <w:rsid w:val="00DB5430"/>
    <w:rsid w:val="00DC32E0"/>
    <w:rsid w:val="00DC6267"/>
    <w:rsid w:val="00DE6D7A"/>
    <w:rsid w:val="00E02368"/>
    <w:rsid w:val="00E13AD0"/>
    <w:rsid w:val="00E14559"/>
    <w:rsid w:val="00E479A5"/>
    <w:rsid w:val="00E51D67"/>
    <w:rsid w:val="00E6055A"/>
    <w:rsid w:val="00E677CE"/>
    <w:rsid w:val="00E70040"/>
    <w:rsid w:val="00EA3F4C"/>
    <w:rsid w:val="00EF05BC"/>
    <w:rsid w:val="00EF68BF"/>
    <w:rsid w:val="00F15B64"/>
    <w:rsid w:val="00F20C07"/>
    <w:rsid w:val="00F319D8"/>
    <w:rsid w:val="00F36297"/>
    <w:rsid w:val="00F36CE4"/>
    <w:rsid w:val="00F44CBA"/>
    <w:rsid w:val="00F930EE"/>
    <w:rsid w:val="00FC55A1"/>
    <w:rsid w:val="00FC5BE7"/>
    <w:rsid w:val="00FF3E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F0C38"/>
  <w15:chartTrackingRefBased/>
  <w15:docId w15:val="{FC8B732F-B7F7-418E-84EB-692ABAF1D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A09C3"/>
    <w:pPr>
      <w:widowControl w:val="0"/>
      <w:jc w:val="both"/>
    </w:pPr>
    <w:rPr>
      <w:rFonts w:eastAsia="Arial"/>
      <w:sz w:val="22"/>
    </w:rPr>
  </w:style>
  <w:style w:type="paragraph" w:styleId="1">
    <w:name w:val="heading 1"/>
    <w:basedOn w:val="a"/>
    <w:next w:val="a"/>
    <w:link w:val="10"/>
    <w:uiPriority w:val="9"/>
    <w:qFormat/>
    <w:rsid w:val="001A09C3"/>
    <w:pPr>
      <w:keepNext/>
      <w:keepLines/>
      <w:spacing w:before="340" w:after="330" w:line="578" w:lineRule="auto"/>
      <w:jc w:val="center"/>
      <w:outlineLvl w:val="0"/>
    </w:pPr>
    <w:rPr>
      <w:b/>
      <w:bCs/>
      <w:kern w:val="44"/>
      <w:sz w:val="36"/>
      <w:szCs w:val="44"/>
    </w:rPr>
  </w:style>
  <w:style w:type="paragraph" w:styleId="2">
    <w:name w:val="heading 2"/>
    <w:basedOn w:val="a"/>
    <w:next w:val="a"/>
    <w:link w:val="20"/>
    <w:uiPriority w:val="9"/>
    <w:unhideWhenUsed/>
    <w:qFormat/>
    <w:rsid w:val="001A09C3"/>
    <w:pPr>
      <w:keepNext/>
      <w:keepLines/>
      <w:spacing w:before="260" w:after="260" w:line="416" w:lineRule="auto"/>
      <w:outlineLvl w:val="1"/>
    </w:pPr>
    <w:rPr>
      <w:rFonts w:asciiTheme="majorHAnsi" w:hAnsiTheme="majorHAnsi" w:cstheme="majorBidi"/>
      <w:b/>
      <w:bCs/>
      <w:sz w:val="28"/>
      <w:szCs w:val="32"/>
    </w:rPr>
  </w:style>
  <w:style w:type="paragraph" w:styleId="3">
    <w:name w:val="heading 3"/>
    <w:basedOn w:val="a"/>
    <w:next w:val="a"/>
    <w:link w:val="30"/>
    <w:uiPriority w:val="9"/>
    <w:unhideWhenUsed/>
    <w:qFormat/>
    <w:rsid w:val="001A09C3"/>
    <w:pPr>
      <w:keepNext/>
      <w:keepLines/>
      <w:spacing w:line="415" w:lineRule="auto"/>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A09C3"/>
    <w:rPr>
      <w:rFonts w:eastAsia="Arial"/>
      <w:b/>
      <w:bCs/>
      <w:kern w:val="44"/>
      <w:sz w:val="36"/>
      <w:szCs w:val="44"/>
    </w:rPr>
  </w:style>
  <w:style w:type="character" w:customStyle="1" w:styleId="20">
    <w:name w:val="标题 2 字符"/>
    <w:basedOn w:val="a0"/>
    <w:link w:val="2"/>
    <w:uiPriority w:val="9"/>
    <w:rsid w:val="001A09C3"/>
    <w:rPr>
      <w:rFonts w:asciiTheme="majorHAnsi" w:eastAsia="Arial" w:hAnsiTheme="majorHAnsi" w:cstheme="majorBidi"/>
      <w:b/>
      <w:bCs/>
      <w:sz w:val="28"/>
      <w:szCs w:val="32"/>
    </w:rPr>
  </w:style>
  <w:style w:type="character" w:customStyle="1" w:styleId="30">
    <w:name w:val="标题 3 字符"/>
    <w:basedOn w:val="a0"/>
    <w:link w:val="3"/>
    <w:uiPriority w:val="9"/>
    <w:rsid w:val="001A09C3"/>
    <w:rPr>
      <w:rFonts w:eastAsia="Arial"/>
      <w:b/>
      <w:bCs/>
      <w:sz w:val="22"/>
      <w:szCs w:val="32"/>
    </w:rPr>
  </w:style>
  <w:style w:type="paragraph" w:styleId="a3">
    <w:name w:val="List Paragraph"/>
    <w:basedOn w:val="a"/>
    <w:uiPriority w:val="34"/>
    <w:qFormat/>
    <w:rsid w:val="002F2C46"/>
    <w:pPr>
      <w:ind w:firstLineChars="200" w:firstLine="420"/>
    </w:pPr>
  </w:style>
  <w:style w:type="paragraph" w:styleId="a4">
    <w:name w:val="header"/>
    <w:basedOn w:val="a"/>
    <w:link w:val="a5"/>
    <w:uiPriority w:val="99"/>
    <w:unhideWhenUsed/>
    <w:rsid w:val="00057DF2"/>
    <w:pPr>
      <w:tabs>
        <w:tab w:val="center" w:pos="4153"/>
        <w:tab w:val="right" w:pos="8306"/>
      </w:tabs>
      <w:snapToGrid w:val="0"/>
      <w:jc w:val="center"/>
    </w:pPr>
    <w:rPr>
      <w:sz w:val="18"/>
      <w:szCs w:val="18"/>
    </w:rPr>
  </w:style>
  <w:style w:type="character" w:customStyle="1" w:styleId="a5">
    <w:name w:val="页眉 字符"/>
    <w:basedOn w:val="a0"/>
    <w:link w:val="a4"/>
    <w:uiPriority w:val="99"/>
    <w:rsid w:val="00057DF2"/>
    <w:rPr>
      <w:rFonts w:eastAsia="Arial"/>
      <w:sz w:val="18"/>
      <w:szCs w:val="18"/>
    </w:rPr>
  </w:style>
  <w:style w:type="paragraph" w:styleId="a6">
    <w:name w:val="footer"/>
    <w:basedOn w:val="a"/>
    <w:link w:val="a7"/>
    <w:uiPriority w:val="99"/>
    <w:unhideWhenUsed/>
    <w:rsid w:val="00057DF2"/>
    <w:pPr>
      <w:tabs>
        <w:tab w:val="center" w:pos="4153"/>
        <w:tab w:val="right" w:pos="8306"/>
      </w:tabs>
      <w:snapToGrid w:val="0"/>
      <w:jc w:val="left"/>
    </w:pPr>
    <w:rPr>
      <w:sz w:val="18"/>
      <w:szCs w:val="18"/>
    </w:rPr>
  </w:style>
  <w:style w:type="character" w:customStyle="1" w:styleId="a7">
    <w:name w:val="页脚 字符"/>
    <w:basedOn w:val="a0"/>
    <w:link w:val="a6"/>
    <w:uiPriority w:val="99"/>
    <w:rsid w:val="00057DF2"/>
    <w:rPr>
      <w:rFonts w:eastAsia="Arial"/>
      <w:sz w:val="18"/>
      <w:szCs w:val="18"/>
    </w:rPr>
  </w:style>
  <w:style w:type="table" w:styleId="a8">
    <w:name w:val="Table Grid"/>
    <w:basedOn w:val="a1"/>
    <w:uiPriority w:val="39"/>
    <w:rsid w:val="005735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Hyperlink"/>
    <w:basedOn w:val="a0"/>
    <w:uiPriority w:val="99"/>
    <w:unhideWhenUsed/>
    <w:rsid w:val="000E24CE"/>
    <w:rPr>
      <w:color w:val="0000FF"/>
      <w:u w:val="single"/>
    </w:rPr>
  </w:style>
  <w:style w:type="character" w:customStyle="1" w:styleId="apple-converted-space">
    <w:name w:val="apple-converted-space"/>
    <w:basedOn w:val="a0"/>
    <w:rsid w:val="00B91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734529">
      <w:bodyDiv w:val="1"/>
      <w:marLeft w:val="0"/>
      <w:marRight w:val="0"/>
      <w:marTop w:val="0"/>
      <w:marBottom w:val="0"/>
      <w:divBdr>
        <w:top w:val="none" w:sz="0" w:space="0" w:color="auto"/>
        <w:left w:val="none" w:sz="0" w:space="0" w:color="auto"/>
        <w:bottom w:val="none" w:sz="0" w:space="0" w:color="auto"/>
        <w:right w:val="none" w:sz="0" w:space="0" w:color="auto"/>
      </w:divBdr>
    </w:div>
    <w:div w:id="833033740">
      <w:bodyDiv w:val="1"/>
      <w:marLeft w:val="0"/>
      <w:marRight w:val="0"/>
      <w:marTop w:val="0"/>
      <w:marBottom w:val="0"/>
      <w:divBdr>
        <w:top w:val="none" w:sz="0" w:space="0" w:color="auto"/>
        <w:left w:val="none" w:sz="0" w:space="0" w:color="auto"/>
        <w:bottom w:val="none" w:sz="0" w:space="0" w:color="auto"/>
        <w:right w:val="none" w:sz="0" w:space="0" w:color="auto"/>
      </w:divBdr>
    </w:div>
    <w:div w:id="170559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jamanetworkopen.2022.14371" TargetMode="External"/><Relationship Id="rId13" Type="http://schemas.openxmlformats.org/officeDocument/2006/relationships/hyperlink" Target="https://doi.org/10.54097/f08ng338" TargetMode="External"/><Relationship Id="rId18" Type="http://schemas.openxmlformats.org/officeDocument/2006/relationships/hyperlink" Target="https://www.ons.gov.uk/peoplepopulationandcommunity/birthsdeathsandmarriages/ageing%20202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07/s10163-023-01763-z" TargetMode="External"/><Relationship Id="rId7" Type="http://schemas.openxmlformats.org/officeDocument/2006/relationships/hyperlink" Target="https://doi.org/10.1002/ijfe.2298" TargetMode="External"/><Relationship Id="rId12" Type="http://schemas.openxmlformats.org/officeDocument/2006/relationships/hyperlink" Target="https://doi.org/10.54097/hbem.v10i.8035" TargetMode="External"/><Relationship Id="rId17" Type="http://schemas.openxmlformats.org/officeDocument/2006/relationships/hyperlink" Target="https://doi.org/10.3390/su13231302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390/foods10112628" TargetMode="External"/><Relationship Id="rId20" Type="http://schemas.openxmlformats.org/officeDocument/2006/relationships/hyperlink" Target="https://doi.org/10.17705/1pais.1410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8/s41558-020-0823-z" TargetMode="External"/><Relationship Id="rId24" Type="http://schemas.openxmlformats.org/officeDocument/2006/relationships/hyperlink" Target="https://doi.org/10.3390/su13041646" TargetMode="External"/><Relationship Id="rId5" Type="http://schemas.openxmlformats.org/officeDocument/2006/relationships/footnotes" Target="footnotes.xml"/><Relationship Id="rId15" Type="http://schemas.openxmlformats.org/officeDocument/2006/relationships/hyperlink" Target="https://doi.org/10.1080/09644016.2019.1708186" TargetMode="External"/><Relationship Id="rId23" Type="http://schemas.openxmlformats.org/officeDocument/2006/relationships/hyperlink" Target="https://www.tescoplc.com/investors/reports-results-and-presentations/results-and-presentations/?type=results&amp;year=2024" TargetMode="External"/><Relationship Id="rId10" Type="http://schemas.openxmlformats.org/officeDocument/2006/relationships/hyperlink" Target="https://link.springer.com/chapter/10.1007/978-981-19-3238-0_3" TargetMode="External"/><Relationship Id="rId19" Type="http://schemas.openxmlformats.org/officeDocument/2006/relationships/hyperlink" Target="https://www.ons.gov.uk/employmentandlabourmarket/peoplenotinwork/unemployment/bulletins/youngpeoplenotineducationemploymentortrainingneet/february2023%202023" TargetMode="External"/><Relationship Id="rId4" Type="http://schemas.openxmlformats.org/officeDocument/2006/relationships/webSettings" Target="webSettings.xml"/><Relationship Id="rId9" Type="http://schemas.openxmlformats.org/officeDocument/2006/relationships/hyperlink" Target="https://doi.org/10.1111/iere.12541" TargetMode="External"/><Relationship Id="rId14" Type="http://schemas.openxmlformats.org/officeDocument/2006/relationships/hyperlink" Target="https://doi.org/10.1016/j.ijpe.2022.108628" TargetMode="External"/><Relationship Id="rId22" Type="http://schemas.openxmlformats.org/officeDocument/2006/relationships/hyperlink" Target="https://www.tescoplc.com/media/u1wlq2qf/tesco-plc-annual-report-2023.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C33BC-ADDE-4837-A54C-FB789CF3D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15</Pages>
  <Words>3649</Words>
  <Characters>20801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素素 吴</dc:creator>
  <cp:keywords/>
  <dc:description/>
  <cp:lastModifiedBy>Huijie Han (2304054)</cp:lastModifiedBy>
  <cp:revision>142</cp:revision>
  <dcterms:created xsi:type="dcterms:W3CDTF">2024-03-10T13:27:00Z</dcterms:created>
  <dcterms:modified xsi:type="dcterms:W3CDTF">2024-03-12T17:48:00Z</dcterms:modified>
</cp:coreProperties>
</file>