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A1403C" w14:textId="77777777" w:rsidR="00020A30" w:rsidRDefault="00020A30" w:rsidP="00FB1809">
      <w:pPr>
        <w:rPr>
          <w:b/>
          <w:bCs/>
        </w:rPr>
      </w:pPr>
    </w:p>
    <w:p w14:paraId="73384A1B" w14:textId="4E5BDCE8" w:rsidR="00020A30" w:rsidRDefault="00293C9A" w:rsidP="00EB1A58">
      <w:pPr>
        <w:rPr>
          <w:b/>
          <w:bCs/>
          <w:sz w:val="28"/>
          <w:szCs w:val="28"/>
          <w:lang w:val="en-GB"/>
        </w:rPr>
      </w:pPr>
      <w:r w:rsidRPr="00DE3A87">
        <w:rPr>
          <w:b/>
          <w:bCs/>
          <w:sz w:val="28"/>
          <w:szCs w:val="28"/>
          <w:lang w:val="en-GB"/>
        </w:rPr>
        <w:t>Mo</w:t>
      </w:r>
      <w:r w:rsidR="004E3518" w:rsidRPr="00DE3A87">
        <w:rPr>
          <w:b/>
          <w:bCs/>
          <w:sz w:val="28"/>
          <w:szCs w:val="28"/>
          <w:lang w:val="en-GB"/>
        </w:rPr>
        <w:t>odle</w:t>
      </w:r>
      <w:r w:rsidR="00733D82" w:rsidRPr="00DE3A87">
        <w:rPr>
          <w:b/>
          <w:bCs/>
          <w:sz w:val="28"/>
          <w:szCs w:val="28"/>
          <w:lang w:val="en-GB"/>
        </w:rPr>
        <w:t xml:space="preserve"> </w:t>
      </w:r>
      <w:r w:rsidR="00072EF8" w:rsidRPr="00DE3A87">
        <w:rPr>
          <w:b/>
          <w:bCs/>
          <w:sz w:val="28"/>
          <w:szCs w:val="28"/>
          <w:lang w:val="en-GB"/>
        </w:rPr>
        <w:t>Name</w:t>
      </w:r>
      <w:r w:rsidR="00072EF8">
        <w:rPr>
          <w:b/>
          <w:bCs/>
          <w:sz w:val="28"/>
          <w:szCs w:val="28"/>
          <w:lang w:val="en-GB"/>
        </w:rPr>
        <w:t>:</w:t>
      </w:r>
      <w:r w:rsidR="00DE3A87">
        <w:rPr>
          <w:b/>
          <w:bCs/>
          <w:sz w:val="28"/>
          <w:szCs w:val="28"/>
          <w:lang w:val="en-GB"/>
        </w:rPr>
        <w:t xml:space="preserve"> </w:t>
      </w:r>
      <w:r w:rsidR="00DC498A">
        <w:rPr>
          <w:b/>
          <w:bCs/>
          <w:sz w:val="28"/>
          <w:szCs w:val="28"/>
          <w:lang w:val="en-GB"/>
        </w:rPr>
        <w:t xml:space="preserve">Wellbeing and Sustainable Wellbeing </w:t>
      </w:r>
    </w:p>
    <w:p w14:paraId="212DC31F" w14:textId="3F54A808" w:rsidR="00DC498A" w:rsidRPr="00DE3A87" w:rsidRDefault="00DC498A" w:rsidP="00EB1A58">
      <w:pPr>
        <w:rPr>
          <w:b/>
          <w:bCs/>
          <w:sz w:val="28"/>
          <w:szCs w:val="28"/>
          <w:lang w:val="en-GB"/>
        </w:rPr>
      </w:pPr>
      <w:r>
        <w:rPr>
          <w:b/>
          <w:bCs/>
          <w:sz w:val="28"/>
          <w:szCs w:val="28"/>
          <w:lang w:val="en-GB"/>
        </w:rPr>
        <w:t xml:space="preserve">Moodle Number: </w:t>
      </w:r>
      <w:r w:rsidR="00D772F2">
        <w:rPr>
          <w:b/>
          <w:bCs/>
          <w:sz w:val="28"/>
          <w:szCs w:val="28"/>
          <w:lang w:val="en-GB"/>
        </w:rPr>
        <w:t>BMHP60</w:t>
      </w:r>
    </w:p>
    <w:p w14:paraId="332E4299" w14:textId="2F720927" w:rsidR="00020A30" w:rsidRPr="00A25C73" w:rsidRDefault="001116B9" w:rsidP="00FB1809">
      <w:pPr>
        <w:rPr>
          <w:b/>
          <w:bCs/>
          <w:sz w:val="28"/>
          <w:szCs w:val="28"/>
          <w:lang w:val="en-GB"/>
        </w:rPr>
      </w:pPr>
      <w:r w:rsidRPr="00A25C73">
        <w:rPr>
          <w:b/>
          <w:bCs/>
          <w:sz w:val="28"/>
          <w:szCs w:val="28"/>
          <w:lang w:val="en-GB"/>
        </w:rPr>
        <w:t xml:space="preserve">Student ID: </w:t>
      </w:r>
      <w:r w:rsidR="00A25C73" w:rsidRPr="00A25C73">
        <w:rPr>
          <w:b/>
          <w:bCs/>
          <w:sz w:val="28"/>
          <w:szCs w:val="28"/>
          <w:lang w:val="en-GB"/>
        </w:rPr>
        <w:t>22</w:t>
      </w:r>
      <w:r w:rsidR="00664CAF">
        <w:rPr>
          <w:b/>
          <w:bCs/>
          <w:sz w:val="28"/>
          <w:szCs w:val="28"/>
          <w:lang w:val="en-GB"/>
        </w:rPr>
        <w:t>47289</w:t>
      </w:r>
    </w:p>
    <w:p w14:paraId="7526C099" w14:textId="1FBEB205" w:rsidR="001116B9" w:rsidRPr="00A25C73" w:rsidRDefault="001116B9" w:rsidP="00FB1809">
      <w:pPr>
        <w:rPr>
          <w:b/>
          <w:bCs/>
          <w:sz w:val="28"/>
          <w:szCs w:val="28"/>
          <w:lang w:val="en-GB"/>
        </w:rPr>
      </w:pPr>
      <w:r w:rsidRPr="00A25C73">
        <w:rPr>
          <w:b/>
          <w:bCs/>
          <w:sz w:val="28"/>
          <w:szCs w:val="28"/>
          <w:lang w:val="en-GB"/>
        </w:rPr>
        <w:t xml:space="preserve">Student Name: </w:t>
      </w:r>
      <w:r w:rsidR="00664CAF">
        <w:rPr>
          <w:b/>
          <w:bCs/>
          <w:sz w:val="28"/>
          <w:szCs w:val="28"/>
          <w:lang w:val="en-GB"/>
        </w:rPr>
        <w:t>Patricia Barradas</w:t>
      </w:r>
    </w:p>
    <w:p w14:paraId="587BD762" w14:textId="723C32FE" w:rsidR="00020A30" w:rsidRDefault="001116B9" w:rsidP="00FB1809">
      <w:pPr>
        <w:rPr>
          <w:b/>
          <w:bCs/>
          <w:sz w:val="28"/>
          <w:szCs w:val="28"/>
        </w:rPr>
      </w:pPr>
      <w:r>
        <w:rPr>
          <w:b/>
          <w:bCs/>
          <w:sz w:val="28"/>
          <w:szCs w:val="28"/>
        </w:rPr>
        <w:t>Lecturer Name</w:t>
      </w:r>
      <w:r w:rsidR="00072EF8">
        <w:rPr>
          <w:b/>
          <w:bCs/>
          <w:sz w:val="28"/>
          <w:szCs w:val="28"/>
        </w:rPr>
        <w:t>: Dr</w:t>
      </w:r>
      <w:r w:rsidR="00DE3A87">
        <w:rPr>
          <w:b/>
          <w:bCs/>
          <w:sz w:val="28"/>
          <w:szCs w:val="28"/>
        </w:rPr>
        <w:t xml:space="preserve"> </w:t>
      </w:r>
      <w:proofErr w:type="spellStart"/>
      <w:r w:rsidR="00DE3A87">
        <w:rPr>
          <w:b/>
          <w:bCs/>
          <w:sz w:val="28"/>
          <w:szCs w:val="28"/>
        </w:rPr>
        <w:t>Itse</w:t>
      </w:r>
      <w:proofErr w:type="spellEnd"/>
      <w:r w:rsidR="00DE3A87">
        <w:rPr>
          <w:b/>
          <w:bCs/>
          <w:sz w:val="28"/>
          <w:szCs w:val="28"/>
        </w:rPr>
        <w:t xml:space="preserve"> Olaye</w:t>
      </w:r>
    </w:p>
    <w:p w14:paraId="7CF8B306" w14:textId="77777777" w:rsidR="001116B9" w:rsidRDefault="001116B9" w:rsidP="00FB1809">
      <w:pPr>
        <w:rPr>
          <w:b/>
          <w:bCs/>
        </w:rPr>
      </w:pPr>
    </w:p>
    <w:p w14:paraId="5B48AAC3" w14:textId="77777777" w:rsidR="00020A30" w:rsidRDefault="00020A30" w:rsidP="00FB1809">
      <w:pPr>
        <w:rPr>
          <w:b/>
          <w:bCs/>
        </w:rPr>
      </w:pPr>
    </w:p>
    <w:p w14:paraId="63C9D96B" w14:textId="77777777" w:rsidR="00020A30" w:rsidRDefault="00020A30" w:rsidP="00FB1809">
      <w:pPr>
        <w:rPr>
          <w:b/>
          <w:bCs/>
        </w:rPr>
      </w:pPr>
    </w:p>
    <w:p w14:paraId="6B087EC3" w14:textId="0DCBF02E" w:rsidR="00FB1809" w:rsidRPr="00FB1809" w:rsidRDefault="00FB1809" w:rsidP="00FB1809">
      <w:pPr>
        <w:rPr>
          <w:b/>
          <w:bCs/>
        </w:rPr>
      </w:pPr>
      <w:r w:rsidRPr="00FB1809">
        <w:rPr>
          <w:b/>
          <w:bCs/>
        </w:rPr>
        <w:t>REPORT</w:t>
      </w:r>
    </w:p>
    <w:p w14:paraId="3FF3FE5E" w14:textId="4C19D98D" w:rsidR="00CB65A5" w:rsidRPr="00072EF8" w:rsidRDefault="00FB1809" w:rsidP="00FB1809">
      <w:pPr>
        <w:rPr>
          <w:rFonts w:ascii="Arial" w:hAnsi="Arial" w:cs="Arial"/>
          <w:i/>
          <w:iCs/>
        </w:rPr>
      </w:pPr>
      <w:r w:rsidRPr="00FB1809">
        <w:rPr>
          <w:b/>
          <w:bCs/>
        </w:rPr>
        <w:t>Title:</w:t>
      </w:r>
      <w:r>
        <w:t xml:space="preserve"> </w:t>
      </w:r>
      <w:r w:rsidRPr="00072EF8">
        <w:rPr>
          <w:rFonts w:ascii="Arial" w:hAnsi="Arial" w:cs="Arial"/>
        </w:rPr>
        <w:t>Critically</w:t>
      </w:r>
      <w:r w:rsidRPr="00072EF8">
        <w:rPr>
          <w:rFonts w:ascii="Arial" w:hAnsi="Arial" w:cs="Arial"/>
          <w:i/>
          <w:iCs/>
        </w:rPr>
        <w:t xml:space="preserve"> </w:t>
      </w:r>
      <w:r w:rsidRPr="00072EF8">
        <w:rPr>
          <w:rFonts w:ascii="Arial" w:hAnsi="Arial" w:cs="Arial"/>
        </w:rPr>
        <w:t>Examining Health, Wellbeing and Sustainability Policies at Global, National and Local Levels</w:t>
      </w:r>
    </w:p>
    <w:p w14:paraId="16BBE0C6" w14:textId="77777777" w:rsidR="00CB65A5" w:rsidRPr="00072EF8" w:rsidRDefault="00CB65A5">
      <w:pPr>
        <w:spacing w:line="278" w:lineRule="auto"/>
        <w:jc w:val="left"/>
        <w:rPr>
          <w:rFonts w:ascii="Arial" w:hAnsi="Arial" w:cs="Arial"/>
          <w:i/>
          <w:iCs/>
        </w:rPr>
      </w:pPr>
      <w:r w:rsidRPr="00072EF8">
        <w:rPr>
          <w:rFonts w:ascii="Arial" w:hAnsi="Arial" w:cs="Arial"/>
          <w:i/>
          <w:iCs/>
        </w:rPr>
        <w:br w:type="page"/>
      </w:r>
    </w:p>
    <w:sdt>
      <w:sdtPr>
        <w:rPr>
          <w:rFonts w:ascii="Times New Roman" w:eastAsiaTheme="minorHAnsi" w:hAnsi="Times New Roman" w:cs="Times New Roman"/>
          <w:color w:val="000000" w:themeColor="text1"/>
          <w:sz w:val="24"/>
          <w:szCs w:val="24"/>
        </w:rPr>
        <w:id w:val="-169176847"/>
        <w:docPartObj>
          <w:docPartGallery w:val="Table of Contents"/>
          <w:docPartUnique/>
        </w:docPartObj>
      </w:sdtPr>
      <w:sdtEndPr>
        <w:rPr>
          <w:b/>
          <w:bCs/>
          <w:noProof/>
        </w:rPr>
      </w:sdtEndPr>
      <w:sdtContent>
        <w:p w14:paraId="73CFC7D1" w14:textId="68869E11" w:rsidR="00CB65A5" w:rsidRPr="00072EF8" w:rsidRDefault="00CB65A5" w:rsidP="00CB65A5">
          <w:pPr>
            <w:pStyle w:val="TOCHeading"/>
            <w:jc w:val="center"/>
            <w:rPr>
              <w:rFonts w:ascii="Arial" w:hAnsi="Arial" w:cs="Arial"/>
              <w:b/>
              <w:bCs/>
              <w:color w:val="000000" w:themeColor="text1"/>
              <w:sz w:val="24"/>
              <w:szCs w:val="24"/>
            </w:rPr>
          </w:pPr>
          <w:r w:rsidRPr="00072EF8">
            <w:rPr>
              <w:rFonts w:ascii="Arial" w:hAnsi="Arial" w:cs="Arial"/>
              <w:b/>
              <w:bCs/>
              <w:color w:val="000000" w:themeColor="text1"/>
              <w:sz w:val="24"/>
              <w:szCs w:val="24"/>
            </w:rPr>
            <w:t>Table of Contents</w:t>
          </w:r>
        </w:p>
        <w:p w14:paraId="3EC0ED35" w14:textId="1DA1125E" w:rsidR="00E321BE" w:rsidRPr="00072EF8" w:rsidRDefault="00CB65A5">
          <w:pPr>
            <w:pStyle w:val="TOC1"/>
            <w:tabs>
              <w:tab w:val="right" w:leader="dot" w:pos="9350"/>
            </w:tabs>
            <w:rPr>
              <w:rFonts w:ascii="Arial" w:eastAsiaTheme="minorEastAsia" w:hAnsi="Arial" w:cs="Arial"/>
              <w:noProof/>
              <w:color w:val="000000" w:themeColor="text1"/>
              <w:kern w:val="2"/>
              <w:szCs w:val="24"/>
              <w14:ligatures w14:val="standardContextual"/>
            </w:rPr>
          </w:pPr>
          <w:r w:rsidRPr="00072EF8">
            <w:rPr>
              <w:rFonts w:ascii="Arial" w:hAnsi="Arial" w:cs="Arial"/>
              <w:color w:val="000000" w:themeColor="text1"/>
              <w:szCs w:val="24"/>
            </w:rPr>
            <w:fldChar w:fldCharType="begin"/>
          </w:r>
          <w:r w:rsidRPr="00072EF8">
            <w:rPr>
              <w:rFonts w:ascii="Arial" w:hAnsi="Arial" w:cs="Arial"/>
              <w:color w:val="000000" w:themeColor="text1"/>
              <w:szCs w:val="24"/>
            </w:rPr>
            <w:instrText xml:space="preserve"> TOC \o "1-3" \h \z \u </w:instrText>
          </w:r>
          <w:r w:rsidRPr="00072EF8">
            <w:rPr>
              <w:rFonts w:ascii="Arial" w:hAnsi="Arial" w:cs="Arial"/>
              <w:color w:val="000000" w:themeColor="text1"/>
              <w:szCs w:val="24"/>
            </w:rPr>
            <w:fldChar w:fldCharType="separate"/>
          </w:r>
          <w:hyperlink w:anchor="_Toc226782093" w:history="1">
            <w:r w:rsidR="00E321BE" w:rsidRPr="00072EF8">
              <w:rPr>
                <w:rStyle w:val="Hyperlink"/>
                <w:rFonts w:ascii="Arial" w:hAnsi="Arial" w:cs="Arial"/>
                <w:noProof/>
                <w:color w:val="000000" w:themeColor="text1"/>
                <w:szCs w:val="24"/>
              </w:rPr>
              <w:t>1. Introduction</w:t>
            </w:r>
            <w:r w:rsidR="00E321BE" w:rsidRPr="00072EF8">
              <w:rPr>
                <w:rFonts w:ascii="Arial" w:hAnsi="Arial" w:cs="Arial"/>
                <w:noProof/>
                <w:webHidden/>
                <w:color w:val="000000" w:themeColor="text1"/>
                <w:szCs w:val="24"/>
              </w:rPr>
              <w:tab/>
            </w:r>
            <w:r w:rsidR="00E321BE" w:rsidRPr="00072EF8">
              <w:rPr>
                <w:rFonts w:ascii="Arial" w:hAnsi="Arial" w:cs="Arial"/>
                <w:noProof/>
                <w:webHidden/>
                <w:color w:val="000000" w:themeColor="text1"/>
                <w:szCs w:val="24"/>
              </w:rPr>
              <w:fldChar w:fldCharType="begin"/>
            </w:r>
            <w:r w:rsidR="00E321BE" w:rsidRPr="00072EF8">
              <w:rPr>
                <w:rFonts w:ascii="Arial" w:hAnsi="Arial" w:cs="Arial"/>
                <w:noProof/>
                <w:webHidden/>
                <w:color w:val="000000" w:themeColor="text1"/>
                <w:szCs w:val="24"/>
              </w:rPr>
              <w:instrText xml:space="preserve"> PAGEREF _Toc226782093 \h </w:instrText>
            </w:r>
            <w:r w:rsidR="00E321BE" w:rsidRPr="00072EF8">
              <w:rPr>
                <w:rFonts w:ascii="Arial" w:hAnsi="Arial" w:cs="Arial"/>
                <w:noProof/>
                <w:webHidden/>
                <w:color w:val="000000" w:themeColor="text1"/>
                <w:szCs w:val="24"/>
              </w:rPr>
            </w:r>
            <w:r w:rsidR="00E321BE" w:rsidRPr="00072EF8">
              <w:rPr>
                <w:rFonts w:ascii="Arial" w:hAnsi="Arial" w:cs="Arial"/>
                <w:noProof/>
                <w:webHidden/>
                <w:color w:val="000000" w:themeColor="text1"/>
                <w:szCs w:val="24"/>
              </w:rPr>
              <w:fldChar w:fldCharType="separate"/>
            </w:r>
            <w:r w:rsidR="00E321BE" w:rsidRPr="00072EF8">
              <w:rPr>
                <w:rFonts w:ascii="Arial" w:hAnsi="Arial" w:cs="Arial"/>
                <w:noProof/>
                <w:webHidden/>
                <w:color w:val="000000" w:themeColor="text1"/>
                <w:szCs w:val="24"/>
              </w:rPr>
              <w:t>3</w:t>
            </w:r>
            <w:r w:rsidR="00E321BE" w:rsidRPr="00072EF8">
              <w:rPr>
                <w:rFonts w:ascii="Arial" w:hAnsi="Arial" w:cs="Arial"/>
                <w:noProof/>
                <w:webHidden/>
                <w:color w:val="000000" w:themeColor="text1"/>
                <w:szCs w:val="24"/>
              </w:rPr>
              <w:fldChar w:fldCharType="end"/>
            </w:r>
          </w:hyperlink>
        </w:p>
        <w:p w14:paraId="0A58D1D0" w14:textId="0BF7F5F6" w:rsidR="00E321BE" w:rsidRPr="00072EF8" w:rsidRDefault="00E321BE">
          <w:pPr>
            <w:pStyle w:val="TOC1"/>
            <w:tabs>
              <w:tab w:val="right" w:leader="dot" w:pos="9350"/>
            </w:tabs>
            <w:rPr>
              <w:rFonts w:ascii="Arial" w:eastAsiaTheme="minorEastAsia" w:hAnsi="Arial" w:cs="Arial"/>
              <w:noProof/>
              <w:color w:val="000000" w:themeColor="text1"/>
              <w:kern w:val="2"/>
              <w:szCs w:val="24"/>
              <w14:ligatures w14:val="standardContextual"/>
            </w:rPr>
          </w:pPr>
          <w:hyperlink w:anchor="_Toc226782094" w:history="1">
            <w:r w:rsidRPr="00072EF8">
              <w:rPr>
                <w:rStyle w:val="Hyperlink"/>
                <w:rFonts w:ascii="Arial" w:hAnsi="Arial" w:cs="Arial"/>
                <w:noProof/>
                <w:color w:val="000000" w:themeColor="text1"/>
                <w:szCs w:val="24"/>
              </w:rPr>
              <w:t>2. Sustainable Development Goal 3: Good Health and Well-being</w:t>
            </w:r>
            <w:r w:rsidRPr="00072EF8">
              <w:rPr>
                <w:rFonts w:ascii="Arial" w:hAnsi="Arial" w:cs="Arial"/>
                <w:noProof/>
                <w:webHidden/>
                <w:color w:val="000000" w:themeColor="text1"/>
                <w:szCs w:val="24"/>
              </w:rPr>
              <w:tab/>
            </w:r>
            <w:r w:rsidRPr="00072EF8">
              <w:rPr>
                <w:rFonts w:ascii="Arial" w:hAnsi="Arial" w:cs="Arial"/>
                <w:noProof/>
                <w:webHidden/>
                <w:color w:val="000000" w:themeColor="text1"/>
                <w:szCs w:val="24"/>
              </w:rPr>
              <w:fldChar w:fldCharType="begin"/>
            </w:r>
            <w:r w:rsidRPr="00072EF8">
              <w:rPr>
                <w:rFonts w:ascii="Arial" w:hAnsi="Arial" w:cs="Arial"/>
                <w:noProof/>
                <w:webHidden/>
                <w:color w:val="000000" w:themeColor="text1"/>
                <w:szCs w:val="24"/>
              </w:rPr>
              <w:instrText xml:space="preserve"> PAGEREF _Toc226782094 \h </w:instrText>
            </w:r>
            <w:r w:rsidRPr="00072EF8">
              <w:rPr>
                <w:rFonts w:ascii="Arial" w:hAnsi="Arial" w:cs="Arial"/>
                <w:noProof/>
                <w:webHidden/>
                <w:color w:val="000000" w:themeColor="text1"/>
                <w:szCs w:val="24"/>
              </w:rPr>
            </w:r>
            <w:r w:rsidRPr="00072EF8">
              <w:rPr>
                <w:rFonts w:ascii="Arial" w:hAnsi="Arial" w:cs="Arial"/>
                <w:noProof/>
                <w:webHidden/>
                <w:color w:val="000000" w:themeColor="text1"/>
                <w:szCs w:val="24"/>
              </w:rPr>
              <w:fldChar w:fldCharType="separate"/>
            </w:r>
            <w:r w:rsidRPr="00072EF8">
              <w:rPr>
                <w:rFonts w:ascii="Arial" w:hAnsi="Arial" w:cs="Arial"/>
                <w:noProof/>
                <w:webHidden/>
                <w:color w:val="000000" w:themeColor="text1"/>
                <w:szCs w:val="24"/>
              </w:rPr>
              <w:t>3</w:t>
            </w:r>
            <w:r w:rsidRPr="00072EF8">
              <w:rPr>
                <w:rFonts w:ascii="Arial" w:hAnsi="Arial" w:cs="Arial"/>
                <w:noProof/>
                <w:webHidden/>
                <w:color w:val="000000" w:themeColor="text1"/>
                <w:szCs w:val="24"/>
              </w:rPr>
              <w:fldChar w:fldCharType="end"/>
            </w:r>
          </w:hyperlink>
        </w:p>
        <w:p w14:paraId="0C75DDF3" w14:textId="184FBAF2" w:rsidR="00E321BE" w:rsidRPr="00072EF8" w:rsidRDefault="00E321BE">
          <w:pPr>
            <w:pStyle w:val="TOC1"/>
            <w:tabs>
              <w:tab w:val="right" w:leader="dot" w:pos="9350"/>
            </w:tabs>
            <w:rPr>
              <w:rFonts w:ascii="Arial" w:eastAsiaTheme="minorEastAsia" w:hAnsi="Arial" w:cs="Arial"/>
              <w:noProof/>
              <w:color w:val="000000" w:themeColor="text1"/>
              <w:kern w:val="2"/>
              <w:szCs w:val="24"/>
              <w14:ligatures w14:val="standardContextual"/>
            </w:rPr>
          </w:pPr>
          <w:hyperlink w:anchor="_Toc226782095" w:history="1">
            <w:r w:rsidRPr="00072EF8">
              <w:rPr>
                <w:rStyle w:val="Hyperlink"/>
                <w:rFonts w:ascii="Arial" w:hAnsi="Arial" w:cs="Arial"/>
                <w:noProof/>
                <w:color w:val="000000" w:themeColor="text1"/>
                <w:szCs w:val="24"/>
              </w:rPr>
              <w:t>3. Sustainable Development Goal 13: Climate Action</w:t>
            </w:r>
            <w:r w:rsidRPr="00072EF8">
              <w:rPr>
                <w:rFonts w:ascii="Arial" w:hAnsi="Arial" w:cs="Arial"/>
                <w:noProof/>
                <w:webHidden/>
                <w:color w:val="000000" w:themeColor="text1"/>
                <w:szCs w:val="24"/>
              </w:rPr>
              <w:tab/>
            </w:r>
            <w:r w:rsidRPr="00072EF8">
              <w:rPr>
                <w:rFonts w:ascii="Arial" w:hAnsi="Arial" w:cs="Arial"/>
                <w:noProof/>
                <w:webHidden/>
                <w:color w:val="000000" w:themeColor="text1"/>
                <w:szCs w:val="24"/>
              </w:rPr>
              <w:fldChar w:fldCharType="begin"/>
            </w:r>
            <w:r w:rsidRPr="00072EF8">
              <w:rPr>
                <w:rFonts w:ascii="Arial" w:hAnsi="Arial" w:cs="Arial"/>
                <w:noProof/>
                <w:webHidden/>
                <w:color w:val="000000" w:themeColor="text1"/>
                <w:szCs w:val="24"/>
              </w:rPr>
              <w:instrText xml:space="preserve"> PAGEREF _Toc226782095 \h </w:instrText>
            </w:r>
            <w:r w:rsidRPr="00072EF8">
              <w:rPr>
                <w:rFonts w:ascii="Arial" w:hAnsi="Arial" w:cs="Arial"/>
                <w:noProof/>
                <w:webHidden/>
                <w:color w:val="000000" w:themeColor="text1"/>
                <w:szCs w:val="24"/>
              </w:rPr>
            </w:r>
            <w:r w:rsidRPr="00072EF8">
              <w:rPr>
                <w:rFonts w:ascii="Arial" w:hAnsi="Arial" w:cs="Arial"/>
                <w:noProof/>
                <w:webHidden/>
                <w:color w:val="000000" w:themeColor="text1"/>
                <w:szCs w:val="24"/>
              </w:rPr>
              <w:fldChar w:fldCharType="separate"/>
            </w:r>
            <w:r w:rsidRPr="00072EF8">
              <w:rPr>
                <w:rFonts w:ascii="Arial" w:hAnsi="Arial" w:cs="Arial"/>
                <w:noProof/>
                <w:webHidden/>
                <w:color w:val="000000" w:themeColor="text1"/>
                <w:szCs w:val="24"/>
              </w:rPr>
              <w:t>5</w:t>
            </w:r>
            <w:r w:rsidRPr="00072EF8">
              <w:rPr>
                <w:rFonts w:ascii="Arial" w:hAnsi="Arial" w:cs="Arial"/>
                <w:noProof/>
                <w:webHidden/>
                <w:color w:val="000000" w:themeColor="text1"/>
                <w:szCs w:val="24"/>
              </w:rPr>
              <w:fldChar w:fldCharType="end"/>
            </w:r>
          </w:hyperlink>
        </w:p>
        <w:p w14:paraId="20D06E66" w14:textId="7A692843" w:rsidR="00E321BE" w:rsidRPr="00072EF8" w:rsidRDefault="00E321BE">
          <w:pPr>
            <w:pStyle w:val="TOC1"/>
            <w:tabs>
              <w:tab w:val="right" w:leader="dot" w:pos="9350"/>
            </w:tabs>
            <w:rPr>
              <w:rFonts w:ascii="Arial" w:eastAsiaTheme="minorEastAsia" w:hAnsi="Arial" w:cs="Arial"/>
              <w:noProof/>
              <w:color w:val="000000" w:themeColor="text1"/>
              <w:kern w:val="2"/>
              <w:szCs w:val="24"/>
              <w14:ligatures w14:val="standardContextual"/>
            </w:rPr>
          </w:pPr>
          <w:hyperlink w:anchor="_Toc226782096" w:history="1">
            <w:r w:rsidRPr="00072EF8">
              <w:rPr>
                <w:rStyle w:val="Hyperlink"/>
                <w:rFonts w:ascii="Arial" w:hAnsi="Arial" w:cs="Arial"/>
                <w:noProof/>
                <w:color w:val="000000" w:themeColor="text1"/>
                <w:szCs w:val="24"/>
              </w:rPr>
              <w:t>4. National Wellbeing Initiatives (UK Focus)</w:t>
            </w:r>
            <w:r w:rsidRPr="00072EF8">
              <w:rPr>
                <w:rFonts w:ascii="Arial" w:hAnsi="Arial" w:cs="Arial"/>
                <w:noProof/>
                <w:webHidden/>
                <w:color w:val="000000" w:themeColor="text1"/>
                <w:szCs w:val="24"/>
              </w:rPr>
              <w:tab/>
            </w:r>
            <w:r w:rsidRPr="00072EF8">
              <w:rPr>
                <w:rFonts w:ascii="Arial" w:hAnsi="Arial" w:cs="Arial"/>
                <w:noProof/>
                <w:webHidden/>
                <w:color w:val="000000" w:themeColor="text1"/>
                <w:szCs w:val="24"/>
              </w:rPr>
              <w:fldChar w:fldCharType="begin"/>
            </w:r>
            <w:r w:rsidRPr="00072EF8">
              <w:rPr>
                <w:rFonts w:ascii="Arial" w:hAnsi="Arial" w:cs="Arial"/>
                <w:noProof/>
                <w:webHidden/>
                <w:color w:val="000000" w:themeColor="text1"/>
                <w:szCs w:val="24"/>
              </w:rPr>
              <w:instrText xml:space="preserve"> PAGEREF _Toc226782096 \h </w:instrText>
            </w:r>
            <w:r w:rsidRPr="00072EF8">
              <w:rPr>
                <w:rFonts w:ascii="Arial" w:hAnsi="Arial" w:cs="Arial"/>
                <w:noProof/>
                <w:webHidden/>
                <w:color w:val="000000" w:themeColor="text1"/>
                <w:szCs w:val="24"/>
              </w:rPr>
            </w:r>
            <w:r w:rsidRPr="00072EF8">
              <w:rPr>
                <w:rFonts w:ascii="Arial" w:hAnsi="Arial" w:cs="Arial"/>
                <w:noProof/>
                <w:webHidden/>
                <w:color w:val="000000" w:themeColor="text1"/>
                <w:szCs w:val="24"/>
              </w:rPr>
              <w:fldChar w:fldCharType="separate"/>
            </w:r>
            <w:r w:rsidRPr="00072EF8">
              <w:rPr>
                <w:rFonts w:ascii="Arial" w:hAnsi="Arial" w:cs="Arial"/>
                <w:noProof/>
                <w:webHidden/>
                <w:color w:val="000000" w:themeColor="text1"/>
                <w:szCs w:val="24"/>
              </w:rPr>
              <w:t>7</w:t>
            </w:r>
            <w:r w:rsidRPr="00072EF8">
              <w:rPr>
                <w:rFonts w:ascii="Arial" w:hAnsi="Arial" w:cs="Arial"/>
                <w:noProof/>
                <w:webHidden/>
                <w:color w:val="000000" w:themeColor="text1"/>
                <w:szCs w:val="24"/>
              </w:rPr>
              <w:fldChar w:fldCharType="end"/>
            </w:r>
          </w:hyperlink>
        </w:p>
        <w:p w14:paraId="7727FE97" w14:textId="757F0B61" w:rsidR="00E321BE" w:rsidRPr="00072EF8" w:rsidRDefault="00E321BE">
          <w:pPr>
            <w:pStyle w:val="TOC1"/>
            <w:tabs>
              <w:tab w:val="right" w:leader="dot" w:pos="9350"/>
            </w:tabs>
            <w:rPr>
              <w:rFonts w:ascii="Arial" w:eastAsiaTheme="minorEastAsia" w:hAnsi="Arial" w:cs="Arial"/>
              <w:noProof/>
              <w:color w:val="000000" w:themeColor="text1"/>
              <w:kern w:val="2"/>
              <w:szCs w:val="24"/>
              <w14:ligatures w14:val="standardContextual"/>
            </w:rPr>
          </w:pPr>
          <w:hyperlink w:anchor="_Toc226782097" w:history="1">
            <w:r w:rsidRPr="00072EF8">
              <w:rPr>
                <w:rStyle w:val="Hyperlink"/>
                <w:rFonts w:ascii="Arial" w:hAnsi="Arial" w:cs="Arial"/>
                <w:noProof/>
                <w:color w:val="000000" w:themeColor="text1"/>
                <w:szCs w:val="24"/>
              </w:rPr>
              <w:t>5. Local Wellbeing Initiatives</w:t>
            </w:r>
            <w:r w:rsidRPr="00072EF8">
              <w:rPr>
                <w:rFonts w:ascii="Arial" w:hAnsi="Arial" w:cs="Arial"/>
                <w:noProof/>
                <w:webHidden/>
                <w:color w:val="000000" w:themeColor="text1"/>
                <w:szCs w:val="24"/>
              </w:rPr>
              <w:tab/>
            </w:r>
            <w:r w:rsidRPr="00072EF8">
              <w:rPr>
                <w:rFonts w:ascii="Arial" w:hAnsi="Arial" w:cs="Arial"/>
                <w:noProof/>
                <w:webHidden/>
                <w:color w:val="000000" w:themeColor="text1"/>
                <w:szCs w:val="24"/>
              </w:rPr>
              <w:fldChar w:fldCharType="begin"/>
            </w:r>
            <w:r w:rsidRPr="00072EF8">
              <w:rPr>
                <w:rFonts w:ascii="Arial" w:hAnsi="Arial" w:cs="Arial"/>
                <w:noProof/>
                <w:webHidden/>
                <w:color w:val="000000" w:themeColor="text1"/>
                <w:szCs w:val="24"/>
              </w:rPr>
              <w:instrText xml:space="preserve"> PAGEREF _Toc226782097 \h </w:instrText>
            </w:r>
            <w:r w:rsidRPr="00072EF8">
              <w:rPr>
                <w:rFonts w:ascii="Arial" w:hAnsi="Arial" w:cs="Arial"/>
                <w:noProof/>
                <w:webHidden/>
                <w:color w:val="000000" w:themeColor="text1"/>
                <w:szCs w:val="24"/>
              </w:rPr>
            </w:r>
            <w:r w:rsidRPr="00072EF8">
              <w:rPr>
                <w:rFonts w:ascii="Arial" w:hAnsi="Arial" w:cs="Arial"/>
                <w:noProof/>
                <w:webHidden/>
                <w:color w:val="000000" w:themeColor="text1"/>
                <w:szCs w:val="24"/>
              </w:rPr>
              <w:fldChar w:fldCharType="separate"/>
            </w:r>
            <w:r w:rsidRPr="00072EF8">
              <w:rPr>
                <w:rFonts w:ascii="Arial" w:hAnsi="Arial" w:cs="Arial"/>
                <w:noProof/>
                <w:webHidden/>
                <w:color w:val="000000" w:themeColor="text1"/>
                <w:szCs w:val="24"/>
              </w:rPr>
              <w:t>8</w:t>
            </w:r>
            <w:r w:rsidRPr="00072EF8">
              <w:rPr>
                <w:rFonts w:ascii="Arial" w:hAnsi="Arial" w:cs="Arial"/>
                <w:noProof/>
                <w:webHidden/>
                <w:color w:val="000000" w:themeColor="text1"/>
                <w:szCs w:val="24"/>
              </w:rPr>
              <w:fldChar w:fldCharType="end"/>
            </w:r>
          </w:hyperlink>
        </w:p>
        <w:p w14:paraId="545EE841" w14:textId="4B6747F8" w:rsidR="00E321BE" w:rsidRPr="00072EF8" w:rsidRDefault="00E321BE">
          <w:pPr>
            <w:pStyle w:val="TOC1"/>
            <w:tabs>
              <w:tab w:val="right" w:leader="dot" w:pos="9350"/>
            </w:tabs>
            <w:rPr>
              <w:rFonts w:ascii="Arial" w:eastAsiaTheme="minorEastAsia" w:hAnsi="Arial" w:cs="Arial"/>
              <w:noProof/>
              <w:color w:val="000000" w:themeColor="text1"/>
              <w:kern w:val="2"/>
              <w:szCs w:val="24"/>
              <w14:ligatures w14:val="standardContextual"/>
            </w:rPr>
          </w:pPr>
          <w:hyperlink w:anchor="_Toc226782098" w:history="1">
            <w:r w:rsidRPr="00072EF8">
              <w:rPr>
                <w:rStyle w:val="Hyperlink"/>
                <w:rFonts w:ascii="Arial" w:hAnsi="Arial" w:cs="Arial"/>
                <w:noProof/>
                <w:color w:val="000000" w:themeColor="text1"/>
                <w:szCs w:val="24"/>
              </w:rPr>
              <w:t>6. Conclusion</w:t>
            </w:r>
            <w:r w:rsidRPr="00072EF8">
              <w:rPr>
                <w:rFonts w:ascii="Arial" w:hAnsi="Arial" w:cs="Arial"/>
                <w:noProof/>
                <w:webHidden/>
                <w:color w:val="000000" w:themeColor="text1"/>
                <w:szCs w:val="24"/>
              </w:rPr>
              <w:tab/>
            </w:r>
            <w:r w:rsidRPr="00072EF8">
              <w:rPr>
                <w:rFonts w:ascii="Arial" w:hAnsi="Arial" w:cs="Arial"/>
                <w:noProof/>
                <w:webHidden/>
                <w:color w:val="000000" w:themeColor="text1"/>
                <w:szCs w:val="24"/>
              </w:rPr>
              <w:fldChar w:fldCharType="begin"/>
            </w:r>
            <w:r w:rsidRPr="00072EF8">
              <w:rPr>
                <w:rFonts w:ascii="Arial" w:hAnsi="Arial" w:cs="Arial"/>
                <w:noProof/>
                <w:webHidden/>
                <w:color w:val="000000" w:themeColor="text1"/>
                <w:szCs w:val="24"/>
              </w:rPr>
              <w:instrText xml:space="preserve"> PAGEREF _Toc226782098 \h </w:instrText>
            </w:r>
            <w:r w:rsidRPr="00072EF8">
              <w:rPr>
                <w:rFonts w:ascii="Arial" w:hAnsi="Arial" w:cs="Arial"/>
                <w:noProof/>
                <w:webHidden/>
                <w:color w:val="000000" w:themeColor="text1"/>
                <w:szCs w:val="24"/>
              </w:rPr>
            </w:r>
            <w:r w:rsidRPr="00072EF8">
              <w:rPr>
                <w:rFonts w:ascii="Arial" w:hAnsi="Arial" w:cs="Arial"/>
                <w:noProof/>
                <w:webHidden/>
                <w:color w:val="000000" w:themeColor="text1"/>
                <w:szCs w:val="24"/>
              </w:rPr>
              <w:fldChar w:fldCharType="separate"/>
            </w:r>
            <w:r w:rsidRPr="00072EF8">
              <w:rPr>
                <w:rFonts w:ascii="Arial" w:hAnsi="Arial" w:cs="Arial"/>
                <w:noProof/>
                <w:webHidden/>
                <w:color w:val="000000" w:themeColor="text1"/>
                <w:szCs w:val="24"/>
              </w:rPr>
              <w:t>9</w:t>
            </w:r>
            <w:r w:rsidRPr="00072EF8">
              <w:rPr>
                <w:rFonts w:ascii="Arial" w:hAnsi="Arial" w:cs="Arial"/>
                <w:noProof/>
                <w:webHidden/>
                <w:color w:val="000000" w:themeColor="text1"/>
                <w:szCs w:val="24"/>
              </w:rPr>
              <w:fldChar w:fldCharType="end"/>
            </w:r>
          </w:hyperlink>
        </w:p>
        <w:p w14:paraId="5800FA20" w14:textId="53023302" w:rsidR="00E321BE" w:rsidRPr="00072EF8" w:rsidRDefault="00E321BE">
          <w:pPr>
            <w:pStyle w:val="TOC1"/>
            <w:tabs>
              <w:tab w:val="right" w:leader="dot" w:pos="9350"/>
            </w:tabs>
            <w:rPr>
              <w:rFonts w:ascii="Arial" w:eastAsiaTheme="minorEastAsia" w:hAnsi="Arial" w:cs="Arial"/>
              <w:noProof/>
              <w:color w:val="000000" w:themeColor="text1"/>
              <w:kern w:val="2"/>
              <w:szCs w:val="24"/>
              <w14:ligatures w14:val="standardContextual"/>
            </w:rPr>
          </w:pPr>
          <w:hyperlink w:anchor="_Toc226782099" w:history="1">
            <w:r w:rsidRPr="00072EF8">
              <w:rPr>
                <w:rStyle w:val="Hyperlink"/>
                <w:rFonts w:ascii="Arial" w:hAnsi="Arial" w:cs="Arial"/>
                <w:noProof/>
                <w:color w:val="000000" w:themeColor="text1"/>
                <w:szCs w:val="24"/>
              </w:rPr>
              <w:t>7. References</w:t>
            </w:r>
            <w:r w:rsidRPr="00072EF8">
              <w:rPr>
                <w:rFonts w:ascii="Arial" w:hAnsi="Arial" w:cs="Arial"/>
                <w:noProof/>
                <w:webHidden/>
                <w:color w:val="000000" w:themeColor="text1"/>
                <w:szCs w:val="24"/>
              </w:rPr>
              <w:tab/>
            </w:r>
            <w:r w:rsidRPr="00072EF8">
              <w:rPr>
                <w:rFonts w:ascii="Arial" w:hAnsi="Arial" w:cs="Arial"/>
                <w:noProof/>
                <w:webHidden/>
                <w:color w:val="000000" w:themeColor="text1"/>
                <w:szCs w:val="24"/>
              </w:rPr>
              <w:fldChar w:fldCharType="begin"/>
            </w:r>
            <w:r w:rsidRPr="00072EF8">
              <w:rPr>
                <w:rFonts w:ascii="Arial" w:hAnsi="Arial" w:cs="Arial"/>
                <w:noProof/>
                <w:webHidden/>
                <w:color w:val="000000" w:themeColor="text1"/>
                <w:szCs w:val="24"/>
              </w:rPr>
              <w:instrText xml:space="preserve"> PAGEREF _Toc226782099 \h </w:instrText>
            </w:r>
            <w:r w:rsidRPr="00072EF8">
              <w:rPr>
                <w:rFonts w:ascii="Arial" w:hAnsi="Arial" w:cs="Arial"/>
                <w:noProof/>
                <w:webHidden/>
                <w:color w:val="000000" w:themeColor="text1"/>
                <w:szCs w:val="24"/>
              </w:rPr>
            </w:r>
            <w:r w:rsidRPr="00072EF8">
              <w:rPr>
                <w:rFonts w:ascii="Arial" w:hAnsi="Arial" w:cs="Arial"/>
                <w:noProof/>
                <w:webHidden/>
                <w:color w:val="000000" w:themeColor="text1"/>
                <w:szCs w:val="24"/>
              </w:rPr>
              <w:fldChar w:fldCharType="separate"/>
            </w:r>
            <w:r w:rsidRPr="00072EF8">
              <w:rPr>
                <w:rFonts w:ascii="Arial" w:hAnsi="Arial" w:cs="Arial"/>
                <w:noProof/>
                <w:webHidden/>
                <w:color w:val="000000" w:themeColor="text1"/>
                <w:szCs w:val="24"/>
              </w:rPr>
              <w:t>10</w:t>
            </w:r>
            <w:r w:rsidRPr="00072EF8">
              <w:rPr>
                <w:rFonts w:ascii="Arial" w:hAnsi="Arial" w:cs="Arial"/>
                <w:noProof/>
                <w:webHidden/>
                <w:color w:val="000000" w:themeColor="text1"/>
                <w:szCs w:val="24"/>
              </w:rPr>
              <w:fldChar w:fldCharType="end"/>
            </w:r>
          </w:hyperlink>
        </w:p>
        <w:p w14:paraId="0531866E" w14:textId="388888C6" w:rsidR="00CB65A5" w:rsidRDefault="00CB65A5">
          <w:r w:rsidRPr="00072EF8">
            <w:rPr>
              <w:rFonts w:ascii="Arial" w:hAnsi="Arial" w:cs="Arial"/>
              <w:b/>
              <w:bCs/>
              <w:noProof/>
              <w:color w:val="000000" w:themeColor="text1"/>
              <w:szCs w:val="24"/>
            </w:rPr>
            <w:fldChar w:fldCharType="end"/>
          </w:r>
        </w:p>
      </w:sdtContent>
    </w:sdt>
    <w:p w14:paraId="058B4D1C" w14:textId="77777777" w:rsidR="00FB1809" w:rsidRPr="00FB1809" w:rsidRDefault="00FB1809" w:rsidP="00FB1809"/>
    <w:p w14:paraId="653FCF3E" w14:textId="15865454" w:rsidR="00FB1809" w:rsidRPr="00FB1809" w:rsidRDefault="00FB1809" w:rsidP="00FB1809"/>
    <w:p w14:paraId="22BF5EA9" w14:textId="77777777" w:rsidR="00FB1809" w:rsidRDefault="00FB1809">
      <w:pPr>
        <w:spacing w:line="278" w:lineRule="auto"/>
        <w:jc w:val="left"/>
        <w:rPr>
          <w:rFonts w:eastAsiaTheme="majorEastAsia" w:cstheme="majorBidi"/>
          <w:b/>
          <w:color w:val="000000" w:themeColor="text1"/>
          <w:kern w:val="2"/>
          <w:szCs w:val="32"/>
          <w14:ligatures w14:val="standardContextual"/>
        </w:rPr>
      </w:pPr>
      <w:r>
        <w:br w:type="page"/>
      </w:r>
    </w:p>
    <w:p w14:paraId="532A75A0" w14:textId="02982B3C" w:rsidR="00FB1809" w:rsidRPr="00072EF8" w:rsidRDefault="00FB1809" w:rsidP="00FB1809">
      <w:pPr>
        <w:pStyle w:val="Heading1"/>
        <w:rPr>
          <w:rFonts w:ascii="Arial" w:hAnsi="Arial" w:cs="Arial"/>
        </w:rPr>
      </w:pPr>
      <w:bookmarkStart w:id="0" w:name="_Toc226782093"/>
      <w:r w:rsidRPr="00072EF8">
        <w:rPr>
          <w:rFonts w:ascii="Arial" w:hAnsi="Arial" w:cs="Arial"/>
        </w:rPr>
        <w:lastRenderedPageBreak/>
        <w:t>1. Introduction</w:t>
      </w:r>
      <w:bookmarkEnd w:id="0"/>
    </w:p>
    <w:p w14:paraId="6019A833" w14:textId="4B8B3061" w:rsidR="00FB1809" w:rsidRPr="00072EF8" w:rsidRDefault="00FB1809" w:rsidP="00FB1809">
      <w:pPr>
        <w:rPr>
          <w:rFonts w:ascii="Arial" w:hAnsi="Arial" w:cs="Arial"/>
        </w:rPr>
      </w:pPr>
      <w:r w:rsidRPr="00072EF8">
        <w:rPr>
          <w:rFonts w:ascii="Arial" w:hAnsi="Arial" w:cs="Arial"/>
        </w:rPr>
        <w:t>Health, wellbeing and sustainability are being increasingly considered interconnected policy areas, and influenced by social, environmental and economic determinants. Recent health issues in the world</w:t>
      </w:r>
      <w:r w:rsidR="00CB65A5" w:rsidRPr="00072EF8">
        <w:rPr>
          <w:rFonts w:ascii="Arial" w:hAnsi="Arial" w:cs="Arial"/>
        </w:rPr>
        <w:t>,</w:t>
      </w:r>
      <w:r w:rsidRPr="00072EF8">
        <w:rPr>
          <w:rFonts w:ascii="Arial" w:hAnsi="Arial" w:cs="Arial"/>
        </w:rPr>
        <w:t xml:space="preserve"> such as non-communicable diseases (NCDs), pandemics, and climate change show that the health of the population cannot be discussed outside of the framework of ecological systems or governance regimes. This report makes a critical analysis </w:t>
      </w:r>
      <w:r w:rsidR="00CB65A5" w:rsidRPr="00072EF8">
        <w:rPr>
          <w:rFonts w:ascii="Arial" w:hAnsi="Arial" w:cs="Arial"/>
        </w:rPr>
        <w:t>of</w:t>
      </w:r>
      <w:r w:rsidRPr="00072EF8">
        <w:rPr>
          <w:rFonts w:ascii="Arial" w:hAnsi="Arial" w:cs="Arial"/>
        </w:rPr>
        <w:t xml:space="preserve"> Sustainable Development Goal (SDG) 3 (Good Health and </w:t>
      </w:r>
      <w:r w:rsidR="00CB65A5" w:rsidRPr="00072EF8">
        <w:rPr>
          <w:rFonts w:ascii="Arial" w:hAnsi="Arial" w:cs="Arial"/>
        </w:rPr>
        <w:t>Well-being</w:t>
      </w:r>
      <w:r w:rsidRPr="00072EF8">
        <w:rPr>
          <w:rFonts w:ascii="Arial" w:hAnsi="Arial" w:cs="Arial"/>
        </w:rPr>
        <w:t xml:space="preserve">) and SDG 13 (Climate Action), which affects its citizens around the world. It also reviews national and local health and sustainability programs in the United Kingdom and provides evidence-based solutions to enhance the national and local programs. The report </w:t>
      </w:r>
      <w:proofErr w:type="spellStart"/>
      <w:r w:rsidRPr="00072EF8">
        <w:rPr>
          <w:rFonts w:ascii="Arial" w:hAnsi="Arial" w:cs="Arial"/>
        </w:rPr>
        <w:t>centres</w:t>
      </w:r>
      <w:proofErr w:type="spellEnd"/>
      <w:r w:rsidRPr="00072EF8">
        <w:rPr>
          <w:rFonts w:ascii="Arial" w:hAnsi="Arial" w:cs="Arial"/>
        </w:rPr>
        <w:t xml:space="preserve"> its focus on equity, systems thinking and policy integration through the various governance levels based on planetary health frameworks (MacNeill et al., 2021) and planetary health literacy models (Jochem et al., 2023).</w:t>
      </w:r>
    </w:p>
    <w:p w14:paraId="5356A144" w14:textId="2DBDE84B" w:rsidR="00FB1809" w:rsidRPr="00072EF8" w:rsidRDefault="00FB1809" w:rsidP="00FB1809">
      <w:pPr>
        <w:pStyle w:val="Heading1"/>
        <w:rPr>
          <w:rFonts w:ascii="Arial" w:hAnsi="Arial" w:cs="Arial"/>
        </w:rPr>
      </w:pPr>
      <w:bookmarkStart w:id="1" w:name="_Toc226782094"/>
      <w:r w:rsidRPr="00072EF8">
        <w:rPr>
          <w:rFonts w:ascii="Arial" w:hAnsi="Arial" w:cs="Arial"/>
        </w:rPr>
        <w:t xml:space="preserve">2. Sustainable Development Goal 3: Good Health and </w:t>
      </w:r>
      <w:r w:rsidR="00CB65A5" w:rsidRPr="00072EF8">
        <w:rPr>
          <w:rFonts w:ascii="Arial" w:hAnsi="Arial" w:cs="Arial"/>
        </w:rPr>
        <w:t>Well-being</w:t>
      </w:r>
      <w:bookmarkEnd w:id="1"/>
    </w:p>
    <w:p w14:paraId="3D758765" w14:textId="6D34D903" w:rsidR="00FB1809" w:rsidRPr="00072EF8" w:rsidRDefault="00FB1809" w:rsidP="00E321BE">
      <w:pPr>
        <w:rPr>
          <w:rFonts w:ascii="Arial" w:hAnsi="Arial" w:cs="Arial"/>
          <w:b/>
          <w:bCs/>
          <w:i/>
          <w:iCs/>
        </w:rPr>
      </w:pPr>
      <w:r w:rsidRPr="00072EF8">
        <w:rPr>
          <w:rFonts w:ascii="Arial" w:hAnsi="Arial" w:cs="Arial"/>
          <w:b/>
          <w:bCs/>
          <w:i/>
          <w:iCs/>
        </w:rPr>
        <w:t>Overview of SDG 3</w:t>
      </w:r>
    </w:p>
    <w:p w14:paraId="5CDA30BC" w14:textId="11022E73" w:rsidR="00FB1809" w:rsidRPr="00072EF8" w:rsidRDefault="00FB1809" w:rsidP="00FB1809">
      <w:pPr>
        <w:rPr>
          <w:rFonts w:ascii="Arial" w:hAnsi="Arial" w:cs="Arial"/>
        </w:rPr>
      </w:pPr>
      <w:r w:rsidRPr="00072EF8">
        <w:rPr>
          <w:rFonts w:ascii="Arial" w:hAnsi="Arial" w:cs="Arial"/>
        </w:rPr>
        <w:t xml:space="preserve">Goal 3 of the </w:t>
      </w:r>
      <w:r w:rsidR="00CB65A5" w:rsidRPr="00072EF8">
        <w:rPr>
          <w:rFonts w:ascii="Arial" w:hAnsi="Arial" w:cs="Arial"/>
        </w:rPr>
        <w:t>Sustainable Development</w:t>
      </w:r>
      <w:r w:rsidRPr="00072EF8">
        <w:rPr>
          <w:rFonts w:ascii="Arial" w:hAnsi="Arial" w:cs="Arial"/>
        </w:rPr>
        <w:t xml:space="preserve"> is to achieve healthy lives and </w:t>
      </w:r>
      <w:r w:rsidR="00CB65A5" w:rsidRPr="00072EF8">
        <w:rPr>
          <w:rFonts w:ascii="Arial" w:hAnsi="Arial" w:cs="Arial"/>
        </w:rPr>
        <w:t>well-being</w:t>
      </w:r>
      <w:r w:rsidRPr="00072EF8">
        <w:rPr>
          <w:rFonts w:ascii="Arial" w:hAnsi="Arial" w:cs="Arial"/>
        </w:rPr>
        <w:t xml:space="preserve"> of all at all ages. It is broad in its scope</w:t>
      </w:r>
      <w:r w:rsidR="00CB65A5" w:rsidRPr="00072EF8">
        <w:rPr>
          <w:rFonts w:ascii="Arial" w:hAnsi="Arial" w:cs="Arial"/>
        </w:rPr>
        <w:t>,</w:t>
      </w:r>
      <w:r w:rsidRPr="00072EF8">
        <w:rPr>
          <w:rFonts w:ascii="Arial" w:hAnsi="Arial" w:cs="Arial"/>
        </w:rPr>
        <w:t xml:space="preserve"> </w:t>
      </w:r>
      <w:r w:rsidR="00CB65A5" w:rsidRPr="00072EF8">
        <w:rPr>
          <w:rFonts w:ascii="Arial" w:hAnsi="Arial" w:cs="Arial"/>
        </w:rPr>
        <w:t>including</w:t>
      </w:r>
      <w:r w:rsidRPr="00072EF8">
        <w:rPr>
          <w:rFonts w:ascii="Arial" w:hAnsi="Arial" w:cs="Arial"/>
        </w:rPr>
        <w:t xml:space="preserve"> both the Universal Health Coverage (UHC), </w:t>
      </w:r>
      <w:proofErr w:type="spellStart"/>
      <w:r w:rsidR="00CB65A5" w:rsidRPr="00072EF8">
        <w:rPr>
          <w:rFonts w:ascii="Arial" w:hAnsi="Arial" w:cs="Arial"/>
        </w:rPr>
        <w:t>minimisation</w:t>
      </w:r>
      <w:proofErr w:type="spellEnd"/>
      <w:r w:rsidRPr="00072EF8">
        <w:rPr>
          <w:rFonts w:ascii="Arial" w:hAnsi="Arial" w:cs="Arial"/>
        </w:rPr>
        <w:t xml:space="preserve"> of NCDs, maternal and infant death reduction, mental health promotion and enhanced pandemic preparedness. The key concept in SDG 3 is that of equity, meaning that health services must be affordable and available and of the right quality to address the needs of the population.</w:t>
      </w:r>
    </w:p>
    <w:p w14:paraId="1055D8EA" w14:textId="1D3F0EEE" w:rsidR="00FB1809" w:rsidRPr="00072EF8" w:rsidRDefault="00FB1809" w:rsidP="00FB1809">
      <w:pPr>
        <w:rPr>
          <w:rFonts w:ascii="Arial" w:hAnsi="Arial" w:cs="Arial"/>
        </w:rPr>
      </w:pPr>
      <w:r w:rsidRPr="00072EF8">
        <w:rPr>
          <w:rFonts w:ascii="Arial" w:hAnsi="Arial" w:cs="Arial"/>
        </w:rPr>
        <w:t xml:space="preserve">The recent literature not only </w:t>
      </w:r>
      <w:r w:rsidR="00CB65A5" w:rsidRPr="00072EF8">
        <w:rPr>
          <w:rFonts w:ascii="Arial" w:hAnsi="Arial" w:cs="Arial"/>
        </w:rPr>
        <w:t>places</w:t>
      </w:r>
      <w:r w:rsidRPr="00072EF8">
        <w:rPr>
          <w:rFonts w:ascii="Arial" w:hAnsi="Arial" w:cs="Arial"/>
        </w:rPr>
        <w:t xml:space="preserve"> UHC as a financing mechanism but also </w:t>
      </w:r>
      <w:r w:rsidR="00CB65A5" w:rsidRPr="00072EF8">
        <w:rPr>
          <w:rFonts w:ascii="Arial" w:hAnsi="Arial" w:cs="Arial"/>
        </w:rPr>
        <w:t xml:space="preserve">as </w:t>
      </w:r>
      <w:r w:rsidRPr="00072EF8">
        <w:rPr>
          <w:rFonts w:ascii="Arial" w:hAnsi="Arial" w:cs="Arial"/>
        </w:rPr>
        <w:t>a social justice and a human rights issue (Barron et al., 2023). Stevens et al. (2023) also state that the improvement of quality and equity should be a joint process because, by increasing access without paying much attention to the quality of the services, they will be able to effectively maintain inequalities. Therefore, SDG 3 is directly connected to distributive justice and social determinants of health such as income, education, housing and environmental exposure.</w:t>
      </w:r>
    </w:p>
    <w:p w14:paraId="486F3571" w14:textId="346525C9" w:rsidR="00FB1809" w:rsidRPr="00072EF8" w:rsidRDefault="00FB1809" w:rsidP="00E321BE">
      <w:pPr>
        <w:rPr>
          <w:rFonts w:ascii="Arial" w:hAnsi="Arial" w:cs="Arial"/>
          <w:b/>
          <w:bCs/>
          <w:i/>
          <w:iCs/>
        </w:rPr>
      </w:pPr>
      <w:r w:rsidRPr="00072EF8">
        <w:rPr>
          <w:rFonts w:ascii="Arial" w:hAnsi="Arial" w:cs="Arial"/>
          <w:b/>
          <w:bCs/>
          <w:i/>
          <w:iCs/>
        </w:rPr>
        <w:t xml:space="preserve">Global Impact on Health and </w:t>
      </w:r>
      <w:r w:rsidR="00CB65A5" w:rsidRPr="00072EF8">
        <w:rPr>
          <w:rFonts w:ascii="Arial" w:hAnsi="Arial" w:cs="Arial"/>
          <w:b/>
          <w:bCs/>
          <w:i/>
          <w:iCs/>
        </w:rPr>
        <w:t>Well-being</w:t>
      </w:r>
    </w:p>
    <w:p w14:paraId="6D61FEDF" w14:textId="77777777" w:rsidR="00FB1809" w:rsidRPr="00072EF8" w:rsidRDefault="00FB1809" w:rsidP="00FB1809">
      <w:pPr>
        <w:rPr>
          <w:rFonts w:ascii="Arial" w:hAnsi="Arial" w:cs="Arial"/>
          <w:b/>
          <w:bCs/>
        </w:rPr>
      </w:pPr>
      <w:r w:rsidRPr="00072EF8">
        <w:rPr>
          <w:rFonts w:ascii="Arial" w:hAnsi="Arial" w:cs="Arial"/>
          <w:b/>
          <w:bCs/>
        </w:rPr>
        <w:lastRenderedPageBreak/>
        <w:t>Universal Health Coverage</w:t>
      </w:r>
    </w:p>
    <w:p w14:paraId="334A0F0B" w14:textId="1D5CB1F2" w:rsidR="00FB1809" w:rsidRPr="00072EF8" w:rsidRDefault="00FB1809" w:rsidP="00FB1809">
      <w:pPr>
        <w:rPr>
          <w:rFonts w:ascii="Arial" w:hAnsi="Arial" w:cs="Arial"/>
        </w:rPr>
      </w:pPr>
      <w:r w:rsidRPr="00072EF8">
        <w:rPr>
          <w:rFonts w:ascii="Arial" w:hAnsi="Arial" w:cs="Arial"/>
        </w:rPr>
        <w:t>UHC is one of the most disruptive SDG 3. It aims at ensuring that people can access important health services without burdening their resources. Nonetheless, the willingness to track and follow SDG 3 targets is significantly different in low</w:t>
      </w:r>
      <w:r w:rsidR="00CB65A5" w:rsidRPr="00072EF8">
        <w:rPr>
          <w:rFonts w:ascii="Arial" w:hAnsi="Arial" w:cs="Arial"/>
        </w:rPr>
        <w:t>-</w:t>
      </w:r>
      <w:r w:rsidRPr="00072EF8">
        <w:rPr>
          <w:rFonts w:ascii="Arial" w:hAnsi="Arial" w:cs="Arial"/>
        </w:rPr>
        <w:t xml:space="preserve"> and middle-income countries (LMICs), with capacity limitations in data systems and governmental systems posing a major challenge (Nabukalu et al., 2019).</w:t>
      </w:r>
    </w:p>
    <w:p w14:paraId="1BC8D70A" w14:textId="16842DFE" w:rsidR="00FB1809" w:rsidRPr="00072EF8" w:rsidRDefault="00FB1809" w:rsidP="00FB1809">
      <w:pPr>
        <w:rPr>
          <w:rFonts w:ascii="Arial" w:hAnsi="Arial" w:cs="Arial"/>
        </w:rPr>
      </w:pPr>
      <w:r w:rsidRPr="00072EF8">
        <w:rPr>
          <w:rFonts w:ascii="Arial" w:hAnsi="Arial" w:cs="Arial"/>
        </w:rPr>
        <w:t xml:space="preserve">In addition, informal workers all around continue to have coverage gaps, especially in Southeast Asia, where health financing </w:t>
      </w:r>
      <w:proofErr w:type="spellStart"/>
      <w:r w:rsidRPr="00072EF8">
        <w:rPr>
          <w:rFonts w:ascii="Arial" w:hAnsi="Arial" w:cs="Arial"/>
        </w:rPr>
        <w:t>programmes</w:t>
      </w:r>
      <w:proofErr w:type="spellEnd"/>
      <w:r w:rsidRPr="00072EF8">
        <w:rPr>
          <w:rFonts w:ascii="Arial" w:hAnsi="Arial" w:cs="Arial"/>
        </w:rPr>
        <w:t xml:space="preserve"> frequently cannot support precarious work arrangements (Kaiser et al., 2023). This illustrates the presence of structural inequities of health systems, which supports the opinion that the UHC should have an equity-based foundation (Barron et al., 2023). SDG 3 can be challenged to create </w:t>
      </w:r>
      <w:r w:rsidR="00CB65A5" w:rsidRPr="00072EF8">
        <w:rPr>
          <w:rFonts w:ascii="Arial" w:hAnsi="Arial" w:cs="Arial"/>
        </w:rPr>
        <w:t>fewer</w:t>
      </w:r>
      <w:r w:rsidRPr="00072EF8">
        <w:rPr>
          <w:rFonts w:ascii="Arial" w:hAnsi="Arial" w:cs="Arial"/>
        </w:rPr>
        <w:t xml:space="preserve"> socio-economic inequalities instead of </w:t>
      </w:r>
      <w:r w:rsidR="00CB65A5" w:rsidRPr="00072EF8">
        <w:rPr>
          <w:rFonts w:ascii="Arial" w:hAnsi="Arial" w:cs="Arial"/>
        </w:rPr>
        <w:t>fewer</w:t>
      </w:r>
      <w:r w:rsidRPr="00072EF8">
        <w:rPr>
          <w:rFonts w:ascii="Arial" w:hAnsi="Arial" w:cs="Arial"/>
        </w:rPr>
        <w:t xml:space="preserve"> without reforms of inclusive financing.</w:t>
      </w:r>
    </w:p>
    <w:p w14:paraId="02EE5F1F" w14:textId="77777777" w:rsidR="00FB1809" w:rsidRPr="00072EF8" w:rsidRDefault="00FB1809" w:rsidP="00FB1809">
      <w:pPr>
        <w:rPr>
          <w:rFonts w:ascii="Arial" w:hAnsi="Arial" w:cs="Arial"/>
          <w:b/>
          <w:bCs/>
        </w:rPr>
      </w:pPr>
      <w:r w:rsidRPr="00072EF8">
        <w:rPr>
          <w:rFonts w:ascii="Arial" w:hAnsi="Arial" w:cs="Arial"/>
          <w:b/>
          <w:bCs/>
        </w:rPr>
        <w:t>Non-Communicable Diseases and Environmental Determinants</w:t>
      </w:r>
    </w:p>
    <w:p w14:paraId="71B8E9C1" w14:textId="0670D4EE" w:rsidR="00FB1809" w:rsidRPr="00072EF8" w:rsidRDefault="00FB1809" w:rsidP="00FB1809">
      <w:pPr>
        <w:rPr>
          <w:rFonts w:ascii="Arial" w:hAnsi="Arial" w:cs="Arial"/>
        </w:rPr>
      </w:pPr>
      <w:r w:rsidRPr="00072EF8">
        <w:rPr>
          <w:rFonts w:ascii="Arial" w:hAnsi="Arial" w:cs="Arial"/>
        </w:rPr>
        <w:t xml:space="preserve">Morbidity and mortality in the world are </w:t>
      </w:r>
      <w:r w:rsidR="00CB65A5" w:rsidRPr="00072EF8">
        <w:rPr>
          <w:rFonts w:ascii="Arial" w:hAnsi="Arial" w:cs="Arial"/>
        </w:rPr>
        <w:t>predominantly</w:t>
      </w:r>
      <w:r w:rsidRPr="00072EF8">
        <w:rPr>
          <w:rFonts w:ascii="Arial" w:hAnsi="Arial" w:cs="Arial"/>
        </w:rPr>
        <w:t xml:space="preserve"> caused by NCDs. Although the most common risk factors influencing </w:t>
      </w:r>
      <w:proofErr w:type="spellStart"/>
      <w:r w:rsidRPr="00072EF8">
        <w:rPr>
          <w:rFonts w:ascii="Arial" w:hAnsi="Arial" w:cs="Arial"/>
        </w:rPr>
        <w:t>behaviour</w:t>
      </w:r>
      <w:proofErr w:type="spellEnd"/>
      <w:r w:rsidRPr="00072EF8">
        <w:rPr>
          <w:rFonts w:ascii="Arial" w:hAnsi="Arial" w:cs="Arial"/>
        </w:rPr>
        <w:t xml:space="preserve">, including diet and physical inactivity, are well known, the emergence of environmental determinants is also a part of the issue, including elemental toxicity and geologic exposures (Arhin et al., 2025). This study highlights the </w:t>
      </w:r>
      <w:proofErr w:type="spellStart"/>
      <w:r w:rsidRPr="00072EF8">
        <w:rPr>
          <w:rFonts w:ascii="Arial" w:hAnsi="Arial" w:cs="Arial"/>
        </w:rPr>
        <w:t>multifacetedness</w:t>
      </w:r>
      <w:proofErr w:type="spellEnd"/>
      <w:r w:rsidRPr="00072EF8">
        <w:rPr>
          <w:rFonts w:ascii="Arial" w:hAnsi="Arial" w:cs="Arial"/>
        </w:rPr>
        <w:t xml:space="preserve"> of the nexus between environmental degradation and </w:t>
      </w:r>
      <w:r w:rsidR="00CB65A5" w:rsidRPr="00072EF8">
        <w:rPr>
          <w:rFonts w:ascii="Arial" w:hAnsi="Arial" w:cs="Arial"/>
        </w:rPr>
        <w:t xml:space="preserve">the </w:t>
      </w:r>
      <w:r w:rsidRPr="00072EF8">
        <w:rPr>
          <w:rFonts w:ascii="Arial" w:hAnsi="Arial" w:cs="Arial"/>
        </w:rPr>
        <w:t xml:space="preserve">prevalence of chronic diseases </w:t>
      </w:r>
      <w:r w:rsidR="00CB65A5" w:rsidRPr="00072EF8">
        <w:rPr>
          <w:rFonts w:ascii="Arial" w:hAnsi="Arial" w:cs="Arial"/>
        </w:rPr>
        <w:t>in</w:t>
      </w:r>
      <w:r w:rsidRPr="00072EF8">
        <w:rPr>
          <w:rFonts w:ascii="Arial" w:hAnsi="Arial" w:cs="Arial"/>
        </w:rPr>
        <w:t xml:space="preserve"> the </w:t>
      </w:r>
      <w:proofErr w:type="spellStart"/>
      <w:r w:rsidRPr="00072EF8">
        <w:rPr>
          <w:rFonts w:ascii="Arial" w:hAnsi="Arial" w:cs="Arial"/>
        </w:rPr>
        <w:t>conceptualisation</w:t>
      </w:r>
      <w:proofErr w:type="spellEnd"/>
      <w:r w:rsidRPr="00072EF8">
        <w:rPr>
          <w:rFonts w:ascii="Arial" w:hAnsi="Arial" w:cs="Arial"/>
        </w:rPr>
        <w:t xml:space="preserve"> of SDG 3 beyond clinical care to encompass ecological risk factors.</w:t>
      </w:r>
    </w:p>
    <w:p w14:paraId="2F99D72E" w14:textId="548A6509" w:rsidR="00FB1809" w:rsidRPr="00072EF8" w:rsidRDefault="00FB1809" w:rsidP="00FB1809">
      <w:pPr>
        <w:rPr>
          <w:rFonts w:ascii="Arial" w:hAnsi="Arial" w:cs="Arial"/>
        </w:rPr>
      </w:pPr>
      <w:r w:rsidRPr="00072EF8">
        <w:rPr>
          <w:rFonts w:ascii="Arial" w:hAnsi="Arial" w:cs="Arial"/>
        </w:rPr>
        <w:t>These results are in line with the planetary health care framework, which acknowledges that health systems are both perpetrators and sufferers of climate change (MacNeill et al., 2021). Health care provision results in high carbon emission but climate-driven occurrences also heighten disease burden and pressure on services. In its turn, the sustainable health systems are required to achieve.</w:t>
      </w:r>
    </w:p>
    <w:p w14:paraId="3BE0C89E" w14:textId="36FDB6A7" w:rsidR="00FB1809" w:rsidRPr="00072EF8" w:rsidRDefault="00FB1809" w:rsidP="00E321BE">
      <w:pPr>
        <w:rPr>
          <w:rFonts w:ascii="Arial" w:hAnsi="Arial" w:cs="Arial"/>
          <w:b/>
          <w:bCs/>
          <w:i/>
          <w:iCs/>
        </w:rPr>
      </w:pPr>
      <w:r w:rsidRPr="00072EF8">
        <w:rPr>
          <w:rFonts w:ascii="Arial" w:hAnsi="Arial" w:cs="Arial"/>
          <w:b/>
          <w:bCs/>
          <w:i/>
          <w:iCs/>
        </w:rPr>
        <w:t>Critical Evaluation</w:t>
      </w:r>
    </w:p>
    <w:p w14:paraId="339B0246" w14:textId="42ECC4C7" w:rsidR="00FB1809" w:rsidRPr="00072EF8" w:rsidRDefault="00FB1809" w:rsidP="00FB1809">
      <w:pPr>
        <w:rPr>
          <w:rFonts w:ascii="Arial" w:hAnsi="Arial" w:cs="Arial"/>
        </w:rPr>
      </w:pPr>
      <w:r w:rsidRPr="00072EF8">
        <w:rPr>
          <w:rFonts w:ascii="Arial" w:hAnsi="Arial" w:cs="Arial"/>
        </w:rPr>
        <w:t xml:space="preserve">Although significant gains have already occurred in terms of maternal mortality rates and </w:t>
      </w:r>
      <w:proofErr w:type="spellStart"/>
      <w:r w:rsidRPr="00072EF8">
        <w:rPr>
          <w:rFonts w:ascii="Arial" w:hAnsi="Arial" w:cs="Arial"/>
        </w:rPr>
        <w:t>immunisation</w:t>
      </w:r>
      <w:proofErr w:type="spellEnd"/>
      <w:r w:rsidRPr="00072EF8">
        <w:rPr>
          <w:rFonts w:ascii="Arial" w:hAnsi="Arial" w:cs="Arial"/>
        </w:rPr>
        <w:t xml:space="preserve"> rates, the global progress towards SDG 3 is unequal. Accountability and </w:t>
      </w:r>
      <w:r w:rsidRPr="00072EF8">
        <w:rPr>
          <w:rFonts w:ascii="Arial" w:hAnsi="Arial" w:cs="Arial"/>
        </w:rPr>
        <w:lastRenderedPageBreak/>
        <w:t xml:space="preserve">responsiveness to policy </w:t>
      </w:r>
      <w:r w:rsidR="00CB65A5" w:rsidRPr="00072EF8">
        <w:rPr>
          <w:rFonts w:ascii="Arial" w:hAnsi="Arial" w:cs="Arial"/>
        </w:rPr>
        <w:t>in</w:t>
      </w:r>
      <w:r w:rsidRPr="00072EF8">
        <w:rPr>
          <w:rFonts w:ascii="Arial" w:hAnsi="Arial" w:cs="Arial"/>
        </w:rPr>
        <w:t xml:space="preserve"> LMICs are undermined due to monitoring constraints (Nabukalu et al., 2019). Besides, lack of political stability, under-funding and work force is a hindrance to the </w:t>
      </w:r>
      <w:proofErr w:type="spellStart"/>
      <w:r w:rsidRPr="00072EF8">
        <w:rPr>
          <w:rFonts w:ascii="Arial" w:hAnsi="Arial" w:cs="Arial"/>
        </w:rPr>
        <w:t>actualisation</w:t>
      </w:r>
      <w:proofErr w:type="spellEnd"/>
      <w:r w:rsidRPr="00072EF8">
        <w:rPr>
          <w:rFonts w:ascii="Arial" w:hAnsi="Arial" w:cs="Arial"/>
        </w:rPr>
        <w:t xml:space="preserve"> of UHC.</w:t>
      </w:r>
    </w:p>
    <w:p w14:paraId="5CB2F3D2" w14:textId="2D3C026D" w:rsidR="00FB1809" w:rsidRPr="00072EF8" w:rsidRDefault="00FB1809" w:rsidP="00FB1809">
      <w:pPr>
        <w:rPr>
          <w:rFonts w:ascii="Arial" w:hAnsi="Arial" w:cs="Arial"/>
        </w:rPr>
      </w:pPr>
      <w:r w:rsidRPr="00072EF8">
        <w:rPr>
          <w:rFonts w:ascii="Arial" w:hAnsi="Arial" w:cs="Arial"/>
        </w:rPr>
        <w:t>Also, has a natural friction between international lofty goals and domestic execution power. Although SDG 3 is an advocate of universalism, contextual differences in economic development and governance regimes defy homogenous developmental gains. Moreover, wellbeing has more than biomedical indices</w:t>
      </w:r>
      <w:r w:rsidR="00CB65A5" w:rsidRPr="00072EF8">
        <w:rPr>
          <w:rFonts w:ascii="Arial" w:hAnsi="Arial" w:cs="Arial"/>
        </w:rPr>
        <w:t>,</w:t>
      </w:r>
      <w:r w:rsidRPr="00072EF8">
        <w:rPr>
          <w:rFonts w:ascii="Arial" w:hAnsi="Arial" w:cs="Arial"/>
        </w:rPr>
        <w:t xml:space="preserve"> and it is subjective and multidimensional</w:t>
      </w:r>
      <w:r w:rsidR="00CB65A5" w:rsidRPr="00072EF8">
        <w:rPr>
          <w:rFonts w:ascii="Arial" w:hAnsi="Arial" w:cs="Arial"/>
        </w:rPr>
        <w:t>,</w:t>
      </w:r>
      <w:r w:rsidRPr="00072EF8">
        <w:rPr>
          <w:rFonts w:ascii="Arial" w:hAnsi="Arial" w:cs="Arial"/>
        </w:rPr>
        <w:t xml:space="preserve"> which poses ambiguity in measures of wellbeing.</w:t>
      </w:r>
    </w:p>
    <w:p w14:paraId="508F846B" w14:textId="598D7C2C" w:rsidR="00FB1809" w:rsidRPr="00072EF8" w:rsidRDefault="00FB1809" w:rsidP="00FB1809">
      <w:pPr>
        <w:rPr>
          <w:rFonts w:ascii="Arial" w:hAnsi="Arial" w:cs="Arial"/>
        </w:rPr>
      </w:pPr>
      <w:r w:rsidRPr="00072EF8">
        <w:rPr>
          <w:rFonts w:ascii="Arial" w:hAnsi="Arial" w:cs="Arial"/>
        </w:rPr>
        <w:t xml:space="preserve">These disparities can be explained through the social determinants of health model, which helps to explain how structural inequalities define health outcomes. A health systems framework based on equity supports the importance of policies of redistribution, whereas the planetary model of health systems expands the scope of analysis to environmental sustainability (MacNeill et al., 2021). </w:t>
      </w:r>
    </w:p>
    <w:p w14:paraId="2CD7D7B0" w14:textId="77777777" w:rsidR="00FB1809" w:rsidRPr="00072EF8" w:rsidRDefault="00FB1809" w:rsidP="00FB1809">
      <w:pPr>
        <w:pStyle w:val="Heading1"/>
        <w:rPr>
          <w:rFonts w:ascii="Arial" w:hAnsi="Arial" w:cs="Arial"/>
        </w:rPr>
      </w:pPr>
      <w:bookmarkStart w:id="2" w:name="_Toc226782095"/>
      <w:r w:rsidRPr="00072EF8">
        <w:rPr>
          <w:rFonts w:ascii="Arial" w:hAnsi="Arial" w:cs="Arial"/>
        </w:rPr>
        <w:t>3. Sustainable Development Goal 13: Climate Action</w:t>
      </w:r>
      <w:bookmarkEnd w:id="2"/>
    </w:p>
    <w:p w14:paraId="6F7A341B" w14:textId="048D2CD6" w:rsidR="00FB1809" w:rsidRPr="00072EF8" w:rsidRDefault="00FB1809" w:rsidP="00E321BE">
      <w:pPr>
        <w:rPr>
          <w:rFonts w:ascii="Arial" w:hAnsi="Arial" w:cs="Arial"/>
          <w:b/>
          <w:bCs/>
          <w:i/>
          <w:iCs/>
        </w:rPr>
      </w:pPr>
      <w:r w:rsidRPr="00072EF8">
        <w:rPr>
          <w:rFonts w:ascii="Arial" w:hAnsi="Arial" w:cs="Arial"/>
          <w:b/>
          <w:bCs/>
          <w:i/>
          <w:iCs/>
        </w:rPr>
        <w:t>Overview of SDG 13</w:t>
      </w:r>
    </w:p>
    <w:p w14:paraId="555718C8" w14:textId="7018EE82" w:rsidR="00FB1809" w:rsidRPr="00072EF8" w:rsidRDefault="00FB1809" w:rsidP="00FB1809">
      <w:pPr>
        <w:rPr>
          <w:rFonts w:ascii="Arial" w:hAnsi="Arial" w:cs="Arial"/>
        </w:rPr>
      </w:pPr>
      <w:r w:rsidRPr="00072EF8">
        <w:rPr>
          <w:rFonts w:ascii="Arial" w:hAnsi="Arial" w:cs="Arial"/>
        </w:rPr>
        <w:t xml:space="preserve">Sustainable Development Goal 13 is concerned with the need to combat climate change and its effects by implementing urgent action. Its priorities are simple enough to be </w:t>
      </w:r>
      <w:r w:rsidR="00CB65A5" w:rsidRPr="00072EF8">
        <w:rPr>
          <w:rFonts w:ascii="Arial" w:hAnsi="Arial" w:cs="Arial"/>
        </w:rPr>
        <w:t xml:space="preserve">the </w:t>
      </w:r>
      <w:r w:rsidRPr="00072EF8">
        <w:rPr>
          <w:rFonts w:ascii="Arial" w:hAnsi="Arial" w:cs="Arial"/>
        </w:rPr>
        <w:t xml:space="preserve">reduction of greenhouse gases, to enhance climate resilience and to incorporate climate aspects into national policies and planning approaches. Though presented as more of </w:t>
      </w:r>
      <w:r w:rsidR="00CB65A5" w:rsidRPr="00072EF8">
        <w:rPr>
          <w:rFonts w:ascii="Arial" w:hAnsi="Arial" w:cs="Arial"/>
        </w:rPr>
        <w:t xml:space="preserve">an </w:t>
      </w:r>
      <w:r w:rsidRPr="00072EF8">
        <w:rPr>
          <w:rFonts w:ascii="Arial" w:hAnsi="Arial" w:cs="Arial"/>
        </w:rPr>
        <w:t xml:space="preserve">environmental goal, SDG 13 manifests itself in a far-reaching effect on human health and </w:t>
      </w:r>
      <w:r w:rsidR="00CB65A5" w:rsidRPr="00072EF8">
        <w:rPr>
          <w:rFonts w:ascii="Arial" w:hAnsi="Arial" w:cs="Arial"/>
        </w:rPr>
        <w:t>well-being</w:t>
      </w:r>
      <w:r w:rsidRPr="00072EF8">
        <w:rPr>
          <w:rFonts w:ascii="Arial" w:hAnsi="Arial" w:cs="Arial"/>
        </w:rPr>
        <w:t>.</w:t>
      </w:r>
    </w:p>
    <w:p w14:paraId="2BDE82D3" w14:textId="0AA09F90" w:rsidR="00FB1809" w:rsidRPr="00072EF8" w:rsidRDefault="00FB1809" w:rsidP="00FB1809">
      <w:pPr>
        <w:rPr>
          <w:rFonts w:ascii="Arial" w:hAnsi="Arial" w:cs="Arial"/>
        </w:rPr>
      </w:pPr>
      <w:r w:rsidRPr="00072EF8">
        <w:rPr>
          <w:rFonts w:ascii="Arial" w:hAnsi="Arial" w:cs="Arial"/>
        </w:rPr>
        <w:t>Climate change heightens the severity of extreme weather, upsets food systems and exacerbates air pollution, creating disease loads. Accordingly, SDG 13 serves as a core determinant of SDG 3, which highlights the fact that sustainable development is interdependent.</w:t>
      </w:r>
    </w:p>
    <w:p w14:paraId="124D9D11" w14:textId="77A13575" w:rsidR="00FB1809" w:rsidRPr="00072EF8" w:rsidRDefault="00FB1809" w:rsidP="00E321BE">
      <w:pPr>
        <w:rPr>
          <w:rFonts w:ascii="Arial" w:hAnsi="Arial" w:cs="Arial"/>
          <w:b/>
          <w:bCs/>
          <w:i/>
          <w:iCs/>
        </w:rPr>
      </w:pPr>
      <w:r w:rsidRPr="00072EF8">
        <w:rPr>
          <w:rFonts w:ascii="Arial" w:hAnsi="Arial" w:cs="Arial"/>
          <w:b/>
          <w:bCs/>
          <w:i/>
          <w:iCs/>
        </w:rPr>
        <w:t xml:space="preserve">Impact on Health and </w:t>
      </w:r>
      <w:r w:rsidR="00CB65A5" w:rsidRPr="00072EF8">
        <w:rPr>
          <w:rFonts w:ascii="Arial" w:hAnsi="Arial" w:cs="Arial"/>
          <w:b/>
          <w:bCs/>
          <w:i/>
          <w:iCs/>
        </w:rPr>
        <w:t>Well-being</w:t>
      </w:r>
    </w:p>
    <w:p w14:paraId="468F4DEF" w14:textId="77777777" w:rsidR="00FB1809" w:rsidRPr="00072EF8" w:rsidRDefault="00FB1809" w:rsidP="00FB1809">
      <w:pPr>
        <w:rPr>
          <w:rFonts w:ascii="Arial" w:hAnsi="Arial" w:cs="Arial"/>
          <w:b/>
          <w:bCs/>
        </w:rPr>
      </w:pPr>
      <w:r w:rsidRPr="00072EF8">
        <w:rPr>
          <w:rFonts w:ascii="Arial" w:hAnsi="Arial" w:cs="Arial"/>
          <w:b/>
          <w:bCs/>
        </w:rPr>
        <w:t>Air Quality and Respiratory Health</w:t>
      </w:r>
    </w:p>
    <w:p w14:paraId="02ADA73A" w14:textId="6405D1CA" w:rsidR="00FB1809" w:rsidRPr="00072EF8" w:rsidRDefault="00FB1809" w:rsidP="00FB1809">
      <w:pPr>
        <w:rPr>
          <w:rFonts w:ascii="Arial" w:hAnsi="Arial" w:cs="Arial"/>
        </w:rPr>
      </w:pPr>
      <w:r w:rsidRPr="00072EF8">
        <w:rPr>
          <w:rFonts w:ascii="Arial" w:hAnsi="Arial" w:cs="Arial"/>
        </w:rPr>
        <w:lastRenderedPageBreak/>
        <w:t xml:space="preserve">The air pollution has been causing premature mortality as a principal environmental risk factor. As Chang et al. (2023) reveal, the deposition of particulate matter in the lungs is a cause of respiratory and cardiovascular diseases, and climate change worsens the degree of pollution levels. The disadvantaged populations are those in the urban areas, especially those of children and the elderly. </w:t>
      </w:r>
    </w:p>
    <w:p w14:paraId="5AF50C53" w14:textId="77777777" w:rsidR="00FB1809" w:rsidRPr="00072EF8" w:rsidRDefault="00FB1809" w:rsidP="00FB1809">
      <w:pPr>
        <w:rPr>
          <w:rFonts w:ascii="Arial" w:hAnsi="Arial" w:cs="Arial"/>
          <w:b/>
          <w:bCs/>
        </w:rPr>
      </w:pPr>
      <w:r w:rsidRPr="00072EF8">
        <w:rPr>
          <w:rFonts w:ascii="Arial" w:hAnsi="Arial" w:cs="Arial"/>
          <w:b/>
          <w:bCs/>
        </w:rPr>
        <w:t>Climate Change and Children’s Health</w:t>
      </w:r>
    </w:p>
    <w:p w14:paraId="05E6A519" w14:textId="45901205" w:rsidR="00FB1809" w:rsidRPr="00072EF8" w:rsidRDefault="00FB1809" w:rsidP="00FB1809">
      <w:pPr>
        <w:rPr>
          <w:rFonts w:ascii="Arial" w:hAnsi="Arial" w:cs="Arial"/>
        </w:rPr>
      </w:pPr>
      <w:r w:rsidRPr="00072EF8">
        <w:rPr>
          <w:rFonts w:ascii="Arial" w:hAnsi="Arial" w:cs="Arial"/>
        </w:rPr>
        <w:t xml:space="preserve">Climate change has more than respiratory disease implications </w:t>
      </w:r>
      <w:r w:rsidR="00CB65A5" w:rsidRPr="00072EF8">
        <w:rPr>
          <w:rFonts w:ascii="Arial" w:hAnsi="Arial" w:cs="Arial"/>
        </w:rPr>
        <w:t>for</w:t>
      </w:r>
      <w:r w:rsidRPr="00072EF8">
        <w:rPr>
          <w:rFonts w:ascii="Arial" w:hAnsi="Arial" w:cs="Arial"/>
        </w:rPr>
        <w:t xml:space="preserve"> health. The connection between climate change, water insecurity, and early childhood caries is known, as Folayan et al. (2024) warn that </w:t>
      </w:r>
      <w:r w:rsidR="00CB65A5" w:rsidRPr="00072EF8">
        <w:rPr>
          <w:rFonts w:ascii="Arial" w:hAnsi="Arial" w:cs="Arial"/>
        </w:rPr>
        <w:t>environmentally</w:t>
      </w:r>
      <w:r w:rsidRPr="00072EF8">
        <w:rPr>
          <w:rFonts w:ascii="Arial" w:hAnsi="Arial" w:cs="Arial"/>
        </w:rPr>
        <w:t xml:space="preserve"> unstable situations have complex effects. Findings of this nature provoke the conceptual stalemate of narrow biomedical explanations of health and the suggestion of widespread integrated ecological solutions.</w:t>
      </w:r>
    </w:p>
    <w:p w14:paraId="7C586B7F" w14:textId="77777777" w:rsidR="00FB1809" w:rsidRPr="00072EF8" w:rsidRDefault="00FB1809" w:rsidP="00FB1809">
      <w:pPr>
        <w:rPr>
          <w:rFonts w:ascii="Arial" w:hAnsi="Arial" w:cs="Arial"/>
          <w:b/>
          <w:bCs/>
        </w:rPr>
      </w:pPr>
      <w:r w:rsidRPr="00072EF8">
        <w:rPr>
          <w:rFonts w:ascii="Arial" w:hAnsi="Arial" w:cs="Arial"/>
          <w:b/>
          <w:bCs/>
        </w:rPr>
        <w:t>Artificial Intelligence and Climate Resilience</w:t>
      </w:r>
    </w:p>
    <w:p w14:paraId="6720E8E9" w14:textId="4728BBF0" w:rsidR="00FB1809" w:rsidRPr="00072EF8" w:rsidRDefault="00FB1809" w:rsidP="00FB1809">
      <w:pPr>
        <w:rPr>
          <w:rFonts w:ascii="Arial" w:hAnsi="Arial" w:cs="Arial"/>
        </w:rPr>
      </w:pPr>
      <w:r w:rsidRPr="00072EF8">
        <w:rPr>
          <w:rFonts w:ascii="Arial" w:hAnsi="Arial" w:cs="Arial"/>
        </w:rPr>
        <w:t>New technologies could be used to help in climate resilience. Al-</w:t>
      </w:r>
      <w:proofErr w:type="spellStart"/>
      <w:r w:rsidRPr="00072EF8">
        <w:rPr>
          <w:rFonts w:ascii="Arial" w:hAnsi="Arial" w:cs="Arial"/>
        </w:rPr>
        <w:t>Raeei</w:t>
      </w:r>
      <w:proofErr w:type="spellEnd"/>
      <w:r w:rsidRPr="00072EF8">
        <w:rPr>
          <w:rFonts w:ascii="Arial" w:hAnsi="Arial" w:cs="Arial"/>
        </w:rPr>
        <w:t xml:space="preserve"> (2024) states that artificial intelligence has the power to improve predictive modelling and disaster preparedness to empower SDGs 11 and 13 and coordinate ethanol risks of </w:t>
      </w:r>
      <w:r w:rsidR="00CB65A5" w:rsidRPr="00072EF8">
        <w:rPr>
          <w:rFonts w:ascii="Arial" w:hAnsi="Arial" w:cs="Arial"/>
        </w:rPr>
        <w:t xml:space="preserve">the </w:t>
      </w:r>
      <w:r w:rsidRPr="00072EF8">
        <w:rPr>
          <w:rFonts w:ascii="Arial" w:hAnsi="Arial" w:cs="Arial"/>
        </w:rPr>
        <w:t>pandemic. Nonetheless, technological solutions have to be combined with an ethical government and equitable accessibility.</w:t>
      </w:r>
    </w:p>
    <w:p w14:paraId="7494238F" w14:textId="77777777" w:rsidR="00FB1809" w:rsidRPr="00072EF8" w:rsidRDefault="00FB1809" w:rsidP="00FB1809">
      <w:pPr>
        <w:rPr>
          <w:rFonts w:ascii="Arial" w:hAnsi="Arial" w:cs="Arial"/>
          <w:b/>
          <w:bCs/>
        </w:rPr>
      </w:pPr>
      <w:r w:rsidRPr="00072EF8">
        <w:rPr>
          <w:rFonts w:ascii="Arial" w:hAnsi="Arial" w:cs="Arial"/>
          <w:b/>
          <w:bCs/>
        </w:rPr>
        <w:t>Net Zero Policies</w:t>
      </w:r>
    </w:p>
    <w:p w14:paraId="14854CB6" w14:textId="7E731611" w:rsidR="00FB1809" w:rsidRPr="00072EF8" w:rsidRDefault="00FB1809" w:rsidP="00FB1809">
      <w:pPr>
        <w:rPr>
          <w:rFonts w:ascii="Arial" w:hAnsi="Arial" w:cs="Arial"/>
        </w:rPr>
      </w:pPr>
      <w:r w:rsidRPr="00072EF8">
        <w:rPr>
          <w:rFonts w:ascii="Arial" w:hAnsi="Arial" w:cs="Arial"/>
        </w:rPr>
        <w:t xml:space="preserve">The United </w:t>
      </w:r>
      <w:r w:rsidR="00CB65A5" w:rsidRPr="00072EF8">
        <w:rPr>
          <w:rFonts w:ascii="Arial" w:hAnsi="Arial" w:cs="Arial"/>
        </w:rPr>
        <w:t>Kingdom's</w:t>
      </w:r>
      <w:r w:rsidRPr="00072EF8">
        <w:rPr>
          <w:rFonts w:ascii="Arial" w:hAnsi="Arial" w:cs="Arial"/>
        </w:rPr>
        <w:t xml:space="preserve"> net zero strategy seeks to bring down the quantity of </w:t>
      </w:r>
      <w:r w:rsidR="00CB65A5" w:rsidRPr="00072EF8">
        <w:rPr>
          <w:rFonts w:ascii="Arial" w:hAnsi="Arial" w:cs="Arial"/>
        </w:rPr>
        <w:t>emissions</w:t>
      </w:r>
      <w:r w:rsidRPr="00072EF8">
        <w:rPr>
          <w:rFonts w:ascii="Arial" w:hAnsi="Arial" w:cs="Arial"/>
        </w:rPr>
        <w:t xml:space="preserve"> of greenhouse gases to net zero by 2050 (</w:t>
      </w:r>
      <w:proofErr w:type="spellStart"/>
      <w:r w:rsidRPr="00072EF8">
        <w:rPr>
          <w:rFonts w:ascii="Arial" w:hAnsi="Arial" w:cs="Arial"/>
        </w:rPr>
        <w:t>MumtaZ</w:t>
      </w:r>
      <w:proofErr w:type="spellEnd"/>
      <w:r w:rsidRPr="00072EF8">
        <w:rPr>
          <w:rFonts w:ascii="Arial" w:hAnsi="Arial" w:cs="Arial"/>
        </w:rPr>
        <w:t xml:space="preserve"> and Faugno, 2022). </w:t>
      </w:r>
      <w:proofErr w:type="spellStart"/>
      <w:r w:rsidR="00CB65A5" w:rsidRPr="00072EF8">
        <w:rPr>
          <w:rFonts w:ascii="Arial" w:hAnsi="Arial" w:cs="Arial"/>
        </w:rPr>
        <w:t>Decarbonisation</w:t>
      </w:r>
      <w:proofErr w:type="spellEnd"/>
      <w:r w:rsidRPr="00072EF8">
        <w:rPr>
          <w:rFonts w:ascii="Arial" w:hAnsi="Arial" w:cs="Arial"/>
        </w:rPr>
        <w:t xml:space="preserve"> policies produce great health co-benefits such as better air quality and less cardiovascular morbidity. However, the concerns about health tend to play second fiddle with regard to the climate discourse, restraining the popularity of these co-benefits in the formulation of policies.</w:t>
      </w:r>
    </w:p>
    <w:p w14:paraId="58DC984A" w14:textId="32FE76BB" w:rsidR="00FB1809" w:rsidRPr="00072EF8" w:rsidRDefault="00FB1809" w:rsidP="00E321BE">
      <w:pPr>
        <w:rPr>
          <w:rFonts w:ascii="Arial" w:hAnsi="Arial" w:cs="Arial"/>
          <w:b/>
          <w:bCs/>
          <w:i/>
          <w:iCs/>
        </w:rPr>
      </w:pPr>
      <w:r w:rsidRPr="00072EF8">
        <w:rPr>
          <w:rFonts w:ascii="Arial" w:hAnsi="Arial" w:cs="Arial"/>
          <w:b/>
          <w:bCs/>
          <w:i/>
          <w:iCs/>
        </w:rPr>
        <w:t>Critical Evaluation</w:t>
      </w:r>
    </w:p>
    <w:p w14:paraId="1BE4A80A" w14:textId="47A6310A" w:rsidR="00CB65A5" w:rsidRPr="00072EF8" w:rsidRDefault="00CB65A5" w:rsidP="00CB65A5">
      <w:pPr>
        <w:rPr>
          <w:rFonts w:ascii="Arial" w:hAnsi="Arial" w:cs="Arial"/>
        </w:rPr>
      </w:pPr>
      <w:r w:rsidRPr="00072EF8">
        <w:rPr>
          <w:rFonts w:ascii="Arial" w:hAnsi="Arial" w:cs="Arial"/>
        </w:rPr>
        <w:t xml:space="preserve">SDG 13 cannot be dispensed with in the </w:t>
      </w:r>
      <w:proofErr w:type="spellStart"/>
      <w:r w:rsidRPr="00072EF8">
        <w:rPr>
          <w:rFonts w:ascii="Arial" w:hAnsi="Arial" w:cs="Arial"/>
        </w:rPr>
        <w:t>realisation</w:t>
      </w:r>
      <w:proofErr w:type="spellEnd"/>
      <w:r w:rsidRPr="00072EF8">
        <w:rPr>
          <w:rFonts w:ascii="Arial" w:hAnsi="Arial" w:cs="Arial"/>
        </w:rPr>
        <w:t xml:space="preserve"> of SDG 3 because hazards caused by climate impede health benefits. Nevertheless, the current development in the reduction of emissions worldwide is still not satisfactory to respond to the Paris Agreement goals. </w:t>
      </w:r>
      <w:r w:rsidRPr="00072EF8">
        <w:rPr>
          <w:rFonts w:ascii="Arial" w:hAnsi="Arial" w:cs="Arial"/>
        </w:rPr>
        <w:lastRenderedPageBreak/>
        <w:t>The top-down approach is hindered by policy fragmentation and the short-term political cycles.</w:t>
      </w:r>
    </w:p>
    <w:p w14:paraId="2E0F3F15" w14:textId="702B44BA" w:rsidR="00CB65A5" w:rsidRPr="00072EF8" w:rsidRDefault="00CB65A5" w:rsidP="00CB65A5">
      <w:pPr>
        <w:rPr>
          <w:rFonts w:ascii="Arial" w:hAnsi="Arial" w:cs="Arial"/>
        </w:rPr>
      </w:pPr>
      <w:r w:rsidRPr="00072EF8">
        <w:rPr>
          <w:rFonts w:ascii="Arial" w:hAnsi="Arial" w:cs="Arial"/>
        </w:rPr>
        <w:t>Health co-benefits are often not given much attention in climate strategies, and this is a lost opportunity to campaign on behalf of people. In addition, the vulnerable groups of people, such as low-income communities and children, are disproportionately impacted by climate change, which strengthens health inequalities.</w:t>
      </w:r>
    </w:p>
    <w:p w14:paraId="19F3CBFE" w14:textId="13C929E2" w:rsidR="00CB65A5" w:rsidRPr="00072EF8" w:rsidRDefault="00CB65A5" w:rsidP="00CB65A5">
      <w:pPr>
        <w:rPr>
          <w:rFonts w:ascii="Arial" w:hAnsi="Arial" w:cs="Arial"/>
        </w:rPr>
      </w:pPr>
      <w:r w:rsidRPr="00072EF8">
        <w:rPr>
          <w:rFonts w:ascii="Arial" w:hAnsi="Arial" w:cs="Arial"/>
        </w:rPr>
        <w:t xml:space="preserve">As much as technological advancements like artificial intelligence have potential, they cannot replace </w:t>
      </w:r>
      <w:proofErr w:type="spellStart"/>
      <w:r w:rsidRPr="00072EF8">
        <w:rPr>
          <w:rFonts w:ascii="Arial" w:hAnsi="Arial" w:cs="Arial"/>
        </w:rPr>
        <w:t>behavioural</w:t>
      </w:r>
      <w:proofErr w:type="spellEnd"/>
      <w:r w:rsidRPr="00072EF8">
        <w:rPr>
          <w:rFonts w:ascii="Arial" w:hAnsi="Arial" w:cs="Arial"/>
        </w:rPr>
        <w:t xml:space="preserve"> change and systemic change. Public understanding can be used to promote sustainable </w:t>
      </w:r>
      <w:proofErr w:type="spellStart"/>
      <w:r w:rsidRPr="00072EF8">
        <w:rPr>
          <w:rFonts w:ascii="Arial" w:hAnsi="Arial" w:cs="Arial"/>
        </w:rPr>
        <w:t>behaviours</w:t>
      </w:r>
      <w:proofErr w:type="spellEnd"/>
      <w:r w:rsidRPr="00072EF8">
        <w:rPr>
          <w:rFonts w:ascii="Arial" w:hAnsi="Arial" w:cs="Arial"/>
        </w:rPr>
        <w:t xml:space="preserve">, and this is highlighted in the planetary health literacy model (Jochem et al., 2023). Equally, the relationship and partnership-based system of cultural change promoted by the </w:t>
      </w:r>
      <w:proofErr w:type="spellStart"/>
      <w:r w:rsidRPr="00072EF8">
        <w:rPr>
          <w:rFonts w:ascii="Arial" w:hAnsi="Arial" w:cs="Arial"/>
        </w:rPr>
        <w:t>ecosocial</w:t>
      </w:r>
      <w:proofErr w:type="spellEnd"/>
      <w:r w:rsidRPr="00072EF8">
        <w:rPr>
          <w:rFonts w:ascii="Arial" w:hAnsi="Arial" w:cs="Arial"/>
        </w:rPr>
        <w:t xml:space="preserve"> reciprocity framework (Walton et al., 2024) may be viewed as analogous.</w:t>
      </w:r>
    </w:p>
    <w:p w14:paraId="33456900" w14:textId="21B56919" w:rsidR="00FB1809" w:rsidRPr="00072EF8" w:rsidRDefault="00CB65A5" w:rsidP="00FB1809">
      <w:pPr>
        <w:pStyle w:val="Heading1"/>
        <w:rPr>
          <w:rFonts w:ascii="Arial" w:hAnsi="Arial" w:cs="Arial"/>
        </w:rPr>
      </w:pPr>
      <w:bookmarkStart w:id="3" w:name="_Toc226782096"/>
      <w:r w:rsidRPr="00072EF8">
        <w:rPr>
          <w:rFonts w:ascii="Arial" w:hAnsi="Arial" w:cs="Arial"/>
        </w:rPr>
        <w:t xml:space="preserve">4. </w:t>
      </w:r>
      <w:r w:rsidR="00FB1809" w:rsidRPr="00072EF8">
        <w:rPr>
          <w:rFonts w:ascii="Arial" w:hAnsi="Arial" w:cs="Arial"/>
        </w:rPr>
        <w:t>National Wellbeing Initiatives (UK Focus)</w:t>
      </w:r>
      <w:bookmarkEnd w:id="3"/>
    </w:p>
    <w:p w14:paraId="08D9E332" w14:textId="69E3E1F0" w:rsidR="00FB1809" w:rsidRPr="00072EF8" w:rsidRDefault="00FB1809" w:rsidP="00E321BE">
      <w:pPr>
        <w:rPr>
          <w:rFonts w:ascii="Arial" w:hAnsi="Arial" w:cs="Arial"/>
          <w:b/>
          <w:bCs/>
          <w:i/>
          <w:iCs/>
        </w:rPr>
      </w:pPr>
      <w:r w:rsidRPr="00072EF8">
        <w:rPr>
          <w:rFonts w:ascii="Arial" w:hAnsi="Arial" w:cs="Arial"/>
          <w:b/>
          <w:bCs/>
          <w:i/>
          <w:iCs/>
        </w:rPr>
        <w:t>The NHS Long Term Plan</w:t>
      </w:r>
    </w:p>
    <w:p w14:paraId="793A5B4D" w14:textId="5F4A828C" w:rsidR="00CB65A5" w:rsidRPr="00072EF8" w:rsidRDefault="00CB65A5" w:rsidP="00CB65A5">
      <w:pPr>
        <w:rPr>
          <w:rFonts w:ascii="Arial" w:hAnsi="Arial" w:cs="Arial"/>
        </w:rPr>
      </w:pPr>
      <w:r w:rsidRPr="00072EF8">
        <w:rPr>
          <w:rFonts w:ascii="Arial" w:hAnsi="Arial" w:cs="Arial"/>
        </w:rPr>
        <w:t xml:space="preserve">The NHS Long Term Plan is a ten-year plan to transform the population health outcomes and sustainability of the services in England (Cheater, 2019). Some of the key priorities will focus on transitioning to prevention, creating Integrated Care Systems (ICSs), increasing investment in mental health and hastening the digital revolution. </w:t>
      </w:r>
    </w:p>
    <w:p w14:paraId="4ECD81F2" w14:textId="0102F364" w:rsidR="00CB65A5" w:rsidRPr="00072EF8" w:rsidRDefault="00CB65A5" w:rsidP="00CB65A5">
      <w:pPr>
        <w:rPr>
          <w:rFonts w:ascii="Arial" w:hAnsi="Arial" w:cs="Arial"/>
        </w:rPr>
      </w:pPr>
      <w:r w:rsidRPr="00072EF8">
        <w:rPr>
          <w:rFonts w:ascii="Arial" w:hAnsi="Arial" w:cs="Arial"/>
        </w:rPr>
        <w:t>One of the strengths of the Plan is its prevention orientation and the clear intention of ensuring that health disparities are reduced. The strategy supports the social determinants of health model since it aims to invest in community-based services and provide mental health services. Its success has, however, been limited by shortages in the workforce caused by the constant funding pressures and growing demand for the services. Moreover, whereas the concepts of sustainability are taken into consideration, the environmental issues are not thoroughly integrated into the reform of service delivery.</w:t>
      </w:r>
    </w:p>
    <w:p w14:paraId="2FBC92FB" w14:textId="43F10D10" w:rsidR="00FB1809" w:rsidRPr="00072EF8" w:rsidRDefault="00CB65A5" w:rsidP="00CB65A5">
      <w:pPr>
        <w:rPr>
          <w:rFonts w:ascii="Arial" w:hAnsi="Arial" w:cs="Arial"/>
        </w:rPr>
      </w:pPr>
      <w:r w:rsidRPr="00072EF8">
        <w:rPr>
          <w:rFonts w:ascii="Arial" w:hAnsi="Arial" w:cs="Arial"/>
        </w:rPr>
        <w:t xml:space="preserve">To increase efficacy, the balancing of planetary health principles into the NHS governance models is to be systematically worked through, and </w:t>
      </w:r>
      <w:proofErr w:type="spellStart"/>
      <w:r w:rsidRPr="00072EF8">
        <w:rPr>
          <w:rFonts w:ascii="Arial" w:hAnsi="Arial" w:cs="Arial"/>
        </w:rPr>
        <w:t>decarbonisation</w:t>
      </w:r>
      <w:proofErr w:type="spellEnd"/>
      <w:r w:rsidRPr="00072EF8">
        <w:rPr>
          <w:rFonts w:ascii="Arial" w:hAnsi="Arial" w:cs="Arial"/>
        </w:rPr>
        <w:t xml:space="preserve"> and sustainable procurement should be in the list of the operational priorities (MacNeill et al., 2021). Also, the experience of lessons in the international health financing reforms implies </w:t>
      </w:r>
      <w:r w:rsidRPr="00072EF8">
        <w:rPr>
          <w:rFonts w:ascii="Arial" w:hAnsi="Arial" w:cs="Arial"/>
        </w:rPr>
        <w:lastRenderedPageBreak/>
        <w:t xml:space="preserve">the necessity to focus on the gaps in working with workers who are precarious and informal, whose access to healthcare can be fragmented (Kaiser et al., 2023). </w:t>
      </w:r>
    </w:p>
    <w:p w14:paraId="180E5593" w14:textId="390B3235" w:rsidR="00FB1809" w:rsidRPr="00072EF8" w:rsidRDefault="00FB1809" w:rsidP="00E321BE">
      <w:pPr>
        <w:rPr>
          <w:rFonts w:ascii="Arial" w:hAnsi="Arial" w:cs="Arial"/>
          <w:b/>
          <w:bCs/>
          <w:i/>
          <w:iCs/>
        </w:rPr>
      </w:pPr>
      <w:r w:rsidRPr="00072EF8">
        <w:rPr>
          <w:rFonts w:ascii="Arial" w:hAnsi="Arial" w:cs="Arial"/>
          <w:b/>
          <w:bCs/>
          <w:i/>
          <w:iCs/>
        </w:rPr>
        <w:t>The UK Net Zero Strategy</w:t>
      </w:r>
    </w:p>
    <w:p w14:paraId="7307D669" w14:textId="77777777" w:rsidR="00CB65A5" w:rsidRPr="00072EF8" w:rsidRDefault="00CB65A5" w:rsidP="00CB65A5">
      <w:pPr>
        <w:rPr>
          <w:rFonts w:ascii="Arial" w:hAnsi="Arial" w:cs="Arial"/>
        </w:rPr>
      </w:pPr>
      <w:r w:rsidRPr="00072EF8">
        <w:rPr>
          <w:rFonts w:ascii="Arial" w:hAnsi="Arial" w:cs="Arial"/>
        </w:rPr>
        <w:t xml:space="preserve">The Net Zero Strategy sets a firm legal obligation to reach net zero emissions of greenhouse gases by 2050 and will be backed with a sectoral </w:t>
      </w:r>
      <w:proofErr w:type="spellStart"/>
      <w:r w:rsidRPr="00072EF8">
        <w:rPr>
          <w:rFonts w:ascii="Arial" w:hAnsi="Arial" w:cs="Arial"/>
        </w:rPr>
        <w:t>decarbonisation</w:t>
      </w:r>
      <w:proofErr w:type="spellEnd"/>
      <w:r w:rsidRPr="00072EF8">
        <w:rPr>
          <w:rFonts w:ascii="Arial" w:hAnsi="Arial" w:cs="Arial"/>
        </w:rPr>
        <w:t xml:space="preserve"> action strategy and infrastructure investment (</w:t>
      </w:r>
      <w:proofErr w:type="spellStart"/>
      <w:r w:rsidRPr="00072EF8">
        <w:rPr>
          <w:rFonts w:ascii="Arial" w:hAnsi="Arial" w:cs="Arial"/>
        </w:rPr>
        <w:t>MumtaZ</w:t>
      </w:r>
      <w:proofErr w:type="spellEnd"/>
      <w:r w:rsidRPr="00072EF8">
        <w:rPr>
          <w:rFonts w:ascii="Arial" w:hAnsi="Arial" w:cs="Arial"/>
        </w:rPr>
        <w:t xml:space="preserve"> and Faugno, 2022). The plan is an important policy intervention to reduce climate change in accordance with SDG 13.</w:t>
      </w:r>
    </w:p>
    <w:p w14:paraId="0EB96991" w14:textId="5A585C00" w:rsidR="00CB65A5" w:rsidRPr="00072EF8" w:rsidRDefault="00CB65A5" w:rsidP="00CB65A5">
      <w:pPr>
        <w:rPr>
          <w:rFonts w:ascii="Arial" w:hAnsi="Arial" w:cs="Arial"/>
        </w:rPr>
      </w:pPr>
      <w:r w:rsidRPr="00072EF8">
        <w:rPr>
          <w:rFonts w:ascii="Arial" w:hAnsi="Arial" w:cs="Arial"/>
        </w:rPr>
        <w:t xml:space="preserve">The policy has a major strength of its long-term emissions goals and investment in renewable energy, electrification of the transport network and greening infrastructure. The above measures have significant co-benefits to the general health, especially in the air quality. Nonetheless, there has been slow development because of delays in implementation, political rivalry and unequal regional investment. </w:t>
      </w:r>
    </w:p>
    <w:p w14:paraId="7A13970B" w14:textId="4F2D1B7F" w:rsidR="00CB65A5" w:rsidRPr="00072EF8" w:rsidRDefault="00CB65A5" w:rsidP="00CB65A5">
      <w:pPr>
        <w:rPr>
          <w:rFonts w:ascii="Arial" w:hAnsi="Arial" w:cs="Arial"/>
        </w:rPr>
      </w:pPr>
      <w:r w:rsidRPr="00072EF8">
        <w:rPr>
          <w:rFonts w:ascii="Arial" w:hAnsi="Arial" w:cs="Arial"/>
        </w:rPr>
        <w:t xml:space="preserve">To overcome these constraints, systematic health impact assessment must be integrated into the design of climate policies, with health co-benefits being quantified and reported. Placing more emphasis on the clean air campaign would contribute to SDG 3 outputs directly, especially in cities. Moreover, more cross-sector cooperation between health, transport and environmental agencies will be needed in order to </w:t>
      </w:r>
      <w:proofErr w:type="spellStart"/>
      <w:r w:rsidRPr="00072EF8">
        <w:rPr>
          <w:rFonts w:ascii="Arial" w:hAnsi="Arial" w:cs="Arial"/>
        </w:rPr>
        <w:t>functionalise</w:t>
      </w:r>
      <w:proofErr w:type="spellEnd"/>
      <w:r w:rsidRPr="00072EF8">
        <w:rPr>
          <w:rFonts w:ascii="Arial" w:hAnsi="Arial" w:cs="Arial"/>
        </w:rPr>
        <w:t xml:space="preserve"> a whole-systems sustainability approach.</w:t>
      </w:r>
    </w:p>
    <w:p w14:paraId="71388920" w14:textId="4F420EC3" w:rsidR="00FB1809" w:rsidRPr="00072EF8" w:rsidRDefault="00CB65A5" w:rsidP="00FB1809">
      <w:pPr>
        <w:pStyle w:val="Heading1"/>
        <w:rPr>
          <w:rFonts w:ascii="Arial" w:hAnsi="Arial" w:cs="Arial"/>
        </w:rPr>
      </w:pPr>
      <w:bookmarkStart w:id="4" w:name="_Toc226782097"/>
      <w:r w:rsidRPr="00072EF8">
        <w:rPr>
          <w:rFonts w:ascii="Arial" w:hAnsi="Arial" w:cs="Arial"/>
        </w:rPr>
        <w:t xml:space="preserve">5. </w:t>
      </w:r>
      <w:r w:rsidR="00FB1809" w:rsidRPr="00072EF8">
        <w:rPr>
          <w:rFonts w:ascii="Arial" w:hAnsi="Arial" w:cs="Arial"/>
        </w:rPr>
        <w:t>Local Wellbeing Initiatives</w:t>
      </w:r>
      <w:bookmarkEnd w:id="4"/>
    </w:p>
    <w:p w14:paraId="20F1728F" w14:textId="199FDF2F" w:rsidR="00FB1809" w:rsidRPr="00072EF8" w:rsidRDefault="00FB1809" w:rsidP="00E321BE">
      <w:pPr>
        <w:rPr>
          <w:rFonts w:ascii="Arial" w:hAnsi="Arial" w:cs="Arial"/>
          <w:b/>
          <w:bCs/>
          <w:i/>
          <w:iCs/>
        </w:rPr>
      </w:pPr>
      <w:r w:rsidRPr="00072EF8">
        <w:rPr>
          <w:rFonts w:ascii="Arial" w:hAnsi="Arial" w:cs="Arial"/>
          <w:b/>
          <w:bCs/>
          <w:i/>
          <w:iCs/>
        </w:rPr>
        <w:t>London Ultra Low Emission Zone (ULEZ)</w:t>
      </w:r>
    </w:p>
    <w:p w14:paraId="347AD38D" w14:textId="77777777" w:rsidR="00CB65A5" w:rsidRPr="00072EF8" w:rsidRDefault="00CB65A5" w:rsidP="00CB65A5">
      <w:pPr>
        <w:rPr>
          <w:rFonts w:ascii="Arial" w:hAnsi="Arial" w:cs="Arial"/>
        </w:rPr>
      </w:pPr>
      <w:r w:rsidRPr="00072EF8">
        <w:rPr>
          <w:rFonts w:ascii="Arial" w:hAnsi="Arial" w:cs="Arial"/>
        </w:rPr>
        <w:t>London Ultra Low Emission Zone (ULEZ) has been established in order to curb traffic air pollution by levying charges on high-emitting cars. The CHILL study protocol presents a longitudinal analysis of the effect of the scheme on the respiratory health of the children (</w:t>
      </w:r>
      <w:proofErr w:type="spellStart"/>
      <w:r w:rsidRPr="00072EF8">
        <w:rPr>
          <w:rFonts w:ascii="Arial" w:hAnsi="Arial" w:cs="Arial"/>
        </w:rPr>
        <w:t>Tsocheva</w:t>
      </w:r>
      <w:proofErr w:type="spellEnd"/>
      <w:r w:rsidRPr="00072EF8">
        <w:rPr>
          <w:rFonts w:ascii="Arial" w:hAnsi="Arial" w:cs="Arial"/>
        </w:rPr>
        <w:t xml:space="preserve"> et al., 2023).</w:t>
      </w:r>
    </w:p>
    <w:p w14:paraId="28C946E8" w14:textId="20787FF9" w:rsidR="00FB1809" w:rsidRPr="00072EF8" w:rsidRDefault="00CB65A5" w:rsidP="00CB65A5">
      <w:pPr>
        <w:rPr>
          <w:rFonts w:ascii="Arial" w:hAnsi="Arial" w:cs="Arial"/>
        </w:rPr>
      </w:pPr>
      <w:r w:rsidRPr="00072EF8">
        <w:rPr>
          <w:rFonts w:ascii="Arial" w:hAnsi="Arial" w:cs="Arial"/>
        </w:rPr>
        <w:t xml:space="preserve">The emerging data suggest the air quality has improved, and long-term respiratory gains might be obtained by children, which is in line with the SDG 3 and SDG 13 targets. Nevertheless, the opposition and issues raised by the people on the economic cost to the poor and middle-income households have created controversy. Even though </w:t>
      </w:r>
      <w:r w:rsidRPr="00072EF8">
        <w:rPr>
          <w:rFonts w:ascii="Arial" w:hAnsi="Arial" w:cs="Arial"/>
        </w:rPr>
        <w:lastRenderedPageBreak/>
        <w:t xml:space="preserve">environmental gains can be observed, distributive consequences must be taken into consideration with care, in order to prevent the worsening of inequalities. To reinforce the effort, greater child health surveillance is needed in order to have formidable longitudinal evidence. </w:t>
      </w:r>
    </w:p>
    <w:p w14:paraId="4CB1FA70" w14:textId="6178D9F6" w:rsidR="00FB1809" w:rsidRPr="00072EF8" w:rsidRDefault="00FB1809" w:rsidP="00E321BE">
      <w:pPr>
        <w:rPr>
          <w:rFonts w:ascii="Arial" w:hAnsi="Arial" w:cs="Arial"/>
          <w:b/>
          <w:bCs/>
          <w:i/>
          <w:iCs/>
        </w:rPr>
      </w:pPr>
      <w:r w:rsidRPr="00072EF8">
        <w:rPr>
          <w:rFonts w:ascii="Arial" w:hAnsi="Arial" w:cs="Arial"/>
          <w:b/>
          <w:bCs/>
          <w:i/>
          <w:iCs/>
        </w:rPr>
        <w:t>Local Authority Joint Health and Wellbeing Strategies (England)</w:t>
      </w:r>
    </w:p>
    <w:p w14:paraId="41401D38" w14:textId="6CB55BB3" w:rsidR="00CB65A5" w:rsidRPr="00072EF8" w:rsidRDefault="00CB65A5" w:rsidP="00CB65A5">
      <w:pPr>
        <w:rPr>
          <w:rFonts w:ascii="Arial" w:hAnsi="Arial" w:cs="Arial"/>
        </w:rPr>
      </w:pPr>
      <w:r w:rsidRPr="00072EF8">
        <w:rPr>
          <w:rFonts w:ascii="Arial" w:hAnsi="Arial" w:cs="Arial"/>
        </w:rPr>
        <w:t>Joint Health and Wellbeing Strategies (JHWSs) are legal documents that are prepared by local governments to facilitate the coordination of health improvement interventions. These strategies have attempted to support cross-sector collaboration, as well as population health planning under the conditions of fiscal austerity (Tompson et al., 2024).</w:t>
      </w:r>
    </w:p>
    <w:p w14:paraId="53ADC2C3" w14:textId="5A32D2F7" w:rsidR="00CB65A5" w:rsidRPr="00072EF8" w:rsidRDefault="00CB65A5" w:rsidP="00CB65A5">
      <w:pPr>
        <w:rPr>
          <w:rFonts w:ascii="Arial" w:hAnsi="Arial" w:cs="Arial"/>
        </w:rPr>
      </w:pPr>
      <w:r w:rsidRPr="00072EF8">
        <w:rPr>
          <w:rFonts w:ascii="Arial" w:hAnsi="Arial" w:cs="Arial"/>
        </w:rPr>
        <w:t xml:space="preserve">Since JHWSs promote collaboration in working between social care and community </w:t>
      </w:r>
      <w:proofErr w:type="spellStart"/>
      <w:r w:rsidRPr="00072EF8">
        <w:rPr>
          <w:rFonts w:ascii="Arial" w:hAnsi="Arial" w:cs="Arial"/>
        </w:rPr>
        <w:t>organisations</w:t>
      </w:r>
      <w:proofErr w:type="spellEnd"/>
      <w:r w:rsidRPr="00072EF8">
        <w:rPr>
          <w:rFonts w:ascii="Arial" w:hAnsi="Arial" w:cs="Arial"/>
        </w:rPr>
        <w:t xml:space="preserve"> and public health, they have since been limited in their effectiveness due to a lack of funding and differences in their implementation across authorities. Lack of </w:t>
      </w:r>
      <w:proofErr w:type="spellStart"/>
      <w:r w:rsidRPr="00072EF8">
        <w:rPr>
          <w:rFonts w:ascii="Arial" w:hAnsi="Arial" w:cs="Arial"/>
        </w:rPr>
        <w:t>prioritisation</w:t>
      </w:r>
      <w:proofErr w:type="spellEnd"/>
      <w:r w:rsidRPr="00072EF8">
        <w:rPr>
          <w:rFonts w:ascii="Arial" w:hAnsi="Arial" w:cs="Arial"/>
        </w:rPr>
        <w:t xml:space="preserve"> on sustainability aims also cuts down on conforming to SDG 13. Therefore, the effects of these strategies are not even.</w:t>
      </w:r>
    </w:p>
    <w:p w14:paraId="3FAA21EC" w14:textId="57B572C4" w:rsidR="00FB1809" w:rsidRPr="00072EF8" w:rsidRDefault="00CB65A5" w:rsidP="00CB65A5">
      <w:pPr>
        <w:rPr>
          <w:rFonts w:ascii="Arial" w:hAnsi="Arial" w:cs="Arial"/>
        </w:rPr>
      </w:pPr>
      <w:r w:rsidRPr="00072EF8">
        <w:rPr>
          <w:rFonts w:ascii="Arial" w:hAnsi="Arial" w:cs="Arial"/>
        </w:rPr>
        <w:t xml:space="preserve">The framework of accountability, such as more precise performance metrics, should be reinforced to enhance consistency and transparency. Moreover, enhancing planetary health literacy amongst the policymaking and citizenry sectors would reinforce culturally </w:t>
      </w:r>
      <w:r w:rsidR="00072EF8" w:rsidRPr="00072EF8">
        <w:rPr>
          <w:rFonts w:ascii="Arial" w:hAnsi="Arial" w:cs="Arial"/>
        </w:rPr>
        <w:t>localized</w:t>
      </w:r>
      <w:r w:rsidRPr="00072EF8">
        <w:rPr>
          <w:rFonts w:ascii="Arial" w:hAnsi="Arial" w:cs="Arial"/>
        </w:rPr>
        <w:t xml:space="preserve"> sustainability measures (Jochem et al., 2023), which would strengthen the incorporation of the environmental and health goals</w:t>
      </w:r>
      <w:r w:rsidR="00FB1809" w:rsidRPr="00072EF8">
        <w:rPr>
          <w:rFonts w:ascii="Arial" w:hAnsi="Arial" w:cs="Arial"/>
        </w:rPr>
        <w:t>.</w:t>
      </w:r>
    </w:p>
    <w:p w14:paraId="7CE443C8" w14:textId="3B1E6468" w:rsidR="00FB1809" w:rsidRPr="00072EF8" w:rsidRDefault="00CB65A5" w:rsidP="00FB1809">
      <w:pPr>
        <w:pStyle w:val="Heading1"/>
        <w:rPr>
          <w:rFonts w:ascii="Arial" w:hAnsi="Arial" w:cs="Arial"/>
        </w:rPr>
      </w:pPr>
      <w:bookmarkStart w:id="5" w:name="_Toc226782098"/>
      <w:r w:rsidRPr="00072EF8">
        <w:rPr>
          <w:rFonts w:ascii="Arial" w:hAnsi="Arial" w:cs="Arial"/>
        </w:rPr>
        <w:t xml:space="preserve">6. </w:t>
      </w:r>
      <w:r w:rsidR="00FB1809" w:rsidRPr="00072EF8">
        <w:rPr>
          <w:rFonts w:ascii="Arial" w:hAnsi="Arial" w:cs="Arial"/>
        </w:rPr>
        <w:t>Conclusion</w:t>
      </w:r>
      <w:bookmarkEnd w:id="5"/>
    </w:p>
    <w:p w14:paraId="24A6593F" w14:textId="64416D0D" w:rsidR="00CB65A5" w:rsidRPr="00072EF8" w:rsidRDefault="00FB1809" w:rsidP="00FB1809">
      <w:pPr>
        <w:rPr>
          <w:rFonts w:ascii="Arial" w:hAnsi="Arial" w:cs="Arial"/>
        </w:rPr>
      </w:pPr>
      <w:r w:rsidRPr="00072EF8">
        <w:rPr>
          <w:rFonts w:ascii="Arial" w:hAnsi="Arial" w:cs="Arial"/>
        </w:rPr>
        <w:t xml:space="preserve">This analysis demonstrates that SDG 3 </w:t>
      </w:r>
      <w:r w:rsidR="00CB65A5" w:rsidRPr="00072EF8">
        <w:rPr>
          <w:rFonts w:ascii="Arial" w:hAnsi="Arial" w:cs="Arial"/>
        </w:rPr>
        <w:t>and SDG 13 have strong interdependence, and climate stability is the prerequisite for sustainable health outcomes. The modern health policy should therefore be based on equity and sustainability. Although some improvement can be measured in the national and local programs in the United Kingdom, there are structural challenges involved, such as funding pressure, shortage of workforce and weakness in policy fragmentation, which hinder its effectiveness. Transformative change is to be achieved by integrated governance, a planetary health approach and enhanced monitoring structures. Last, but not least, reform based on equity and trans-</w:t>
      </w:r>
      <w:r w:rsidR="00CB65A5" w:rsidRPr="00072EF8">
        <w:rPr>
          <w:rFonts w:ascii="Arial" w:hAnsi="Arial" w:cs="Arial"/>
        </w:rPr>
        <w:lastRenderedPageBreak/>
        <w:t>sectoral partnership is needed to achieve health systems resilience that is able to safeguard the current and future generations</w:t>
      </w:r>
      <w:r w:rsidRPr="00072EF8">
        <w:rPr>
          <w:rFonts w:ascii="Arial" w:hAnsi="Arial" w:cs="Arial"/>
        </w:rPr>
        <w:t>.</w:t>
      </w:r>
    </w:p>
    <w:p w14:paraId="3D017273" w14:textId="77777777" w:rsidR="00CB65A5" w:rsidRDefault="00CB65A5">
      <w:pPr>
        <w:spacing w:line="278" w:lineRule="auto"/>
        <w:jc w:val="left"/>
      </w:pPr>
      <w:r>
        <w:br w:type="page"/>
      </w:r>
    </w:p>
    <w:p w14:paraId="6FE5F6FE" w14:textId="0B032F48" w:rsidR="00FB1809" w:rsidRDefault="00CB65A5" w:rsidP="00CB65A5">
      <w:pPr>
        <w:pStyle w:val="Heading1"/>
      </w:pPr>
      <w:bookmarkStart w:id="6" w:name="_Toc226782099"/>
      <w:r>
        <w:lastRenderedPageBreak/>
        <w:t>7. References</w:t>
      </w:r>
      <w:bookmarkEnd w:id="6"/>
    </w:p>
    <w:p w14:paraId="15727396" w14:textId="77777777" w:rsidR="00CB65A5" w:rsidRPr="00CB65A5" w:rsidRDefault="00CB65A5" w:rsidP="00CB65A5">
      <w:pPr>
        <w:ind w:left="720" w:hanging="720"/>
      </w:pPr>
      <w:r w:rsidRPr="00CB65A5">
        <w:t xml:space="preserve">Al-Raeei, M. (2024) ‘Artificial intelligence for climate resilience: Advancing sustainable goals in SDGs 11 and 13 and its relationship to pandemics’, </w:t>
      </w:r>
      <w:r w:rsidRPr="00CB65A5">
        <w:rPr>
          <w:i/>
          <w:iCs/>
        </w:rPr>
        <w:t>Discover Sustainability</w:t>
      </w:r>
      <w:r w:rsidRPr="00CB65A5">
        <w:t>, 5(1), p. 513.</w:t>
      </w:r>
    </w:p>
    <w:p w14:paraId="62C8F052" w14:textId="77777777" w:rsidR="00CB65A5" w:rsidRPr="00CB65A5" w:rsidRDefault="00CB65A5" w:rsidP="00CB65A5">
      <w:pPr>
        <w:ind w:left="720" w:hanging="720"/>
      </w:pPr>
      <w:r w:rsidRPr="00CB65A5">
        <w:t xml:space="preserve">Arhin, E., Abdul, R.M., Ndo, P.A., Arhin, A.A. and Armah, D.A. (2025) ‘Elemental toxicity and non-communicable diseases (NCDs) mitigation strategies for Sustainable Development Goal 3 (SDG 3): Enhancing the nexus between geology and health’, </w:t>
      </w:r>
      <w:r w:rsidRPr="00CB65A5">
        <w:rPr>
          <w:i/>
          <w:iCs/>
        </w:rPr>
        <w:t>China Geology</w:t>
      </w:r>
      <w:r w:rsidRPr="00CB65A5">
        <w:t xml:space="preserve">, 8, pp. 1–20. </w:t>
      </w:r>
      <w:proofErr w:type="spellStart"/>
      <w:r w:rsidRPr="00CB65A5">
        <w:t>doi</w:t>
      </w:r>
      <w:proofErr w:type="spellEnd"/>
      <w:r w:rsidRPr="00CB65A5">
        <w:t>: 10.31035/cg20240191.</w:t>
      </w:r>
    </w:p>
    <w:p w14:paraId="51B867C8" w14:textId="77777777" w:rsidR="00CB65A5" w:rsidRPr="00CB65A5" w:rsidRDefault="00CB65A5" w:rsidP="00CB65A5">
      <w:pPr>
        <w:ind w:left="720" w:hanging="720"/>
      </w:pPr>
      <w:r w:rsidRPr="00CB65A5">
        <w:t xml:space="preserve">Barron, G.C., Koonin, J., Akselrod, S., </w:t>
      </w:r>
      <w:proofErr w:type="spellStart"/>
      <w:r w:rsidRPr="00CB65A5">
        <w:t>Fogstad</w:t>
      </w:r>
      <w:proofErr w:type="spellEnd"/>
      <w:r w:rsidRPr="00CB65A5">
        <w:t xml:space="preserve">, H., Karema, C., </w:t>
      </w:r>
      <w:proofErr w:type="spellStart"/>
      <w:r w:rsidRPr="00CB65A5">
        <w:t>Ditiu</w:t>
      </w:r>
      <w:proofErr w:type="spellEnd"/>
      <w:r w:rsidRPr="00CB65A5">
        <w:t xml:space="preserve">, L., Dain, K. and Joshi, N. (2023) ‘Universal health coverage is a matter of equity, rights, and justice’, </w:t>
      </w:r>
      <w:r w:rsidRPr="00CB65A5">
        <w:rPr>
          <w:i/>
          <w:iCs/>
        </w:rPr>
        <w:t>The Lancet Global Health</w:t>
      </w:r>
      <w:r w:rsidRPr="00CB65A5">
        <w:t>, 11(9), pp. e1335–e1336.</w:t>
      </w:r>
    </w:p>
    <w:p w14:paraId="2A725660" w14:textId="77777777" w:rsidR="00CB65A5" w:rsidRPr="00CB65A5" w:rsidRDefault="00CB65A5" w:rsidP="00CB65A5">
      <w:pPr>
        <w:ind w:left="720" w:hanging="720"/>
      </w:pPr>
      <w:r w:rsidRPr="00CB65A5">
        <w:t xml:space="preserve">Chang, J.H., Lee, Y.L., Chang, L.T., Chang, T.Y., Hsiao, T.C., Chung, K.F., Ho, K.F., Kuo, H.P., Lee, K.Y., Chuang, K.J. and Chuang, H.C. (2023) ‘Climate change, air quality, and respiratory health: A focus on particle deposition in the lungs’, </w:t>
      </w:r>
      <w:r w:rsidRPr="00CB65A5">
        <w:rPr>
          <w:i/>
          <w:iCs/>
        </w:rPr>
        <w:t>Annals of Medicine</w:t>
      </w:r>
      <w:r w:rsidRPr="00CB65A5">
        <w:t>, 55(2), p. 2264881.</w:t>
      </w:r>
    </w:p>
    <w:p w14:paraId="7F6857DE" w14:textId="77777777" w:rsidR="00CB65A5" w:rsidRPr="00CB65A5" w:rsidRDefault="00CB65A5" w:rsidP="00CB65A5">
      <w:pPr>
        <w:ind w:left="720" w:hanging="720"/>
      </w:pPr>
      <w:r w:rsidRPr="00CB65A5">
        <w:t xml:space="preserve">Cheater, S. (2019) ‘The NHS long-term plan’, </w:t>
      </w:r>
      <w:r w:rsidRPr="00CB65A5">
        <w:rPr>
          <w:i/>
          <w:iCs/>
        </w:rPr>
        <w:t>International Journal of Health Promotion and Education</w:t>
      </w:r>
      <w:r w:rsidRPr="00CB65A5">
        <w:t>, 57(3), pp. 174–175.</w:t>
      </w:r>
    </w:p>
    <w:p w14:paraId="60FFEC4A" w14:textId="77777777" w:rsidR="00CB65A5" w:rsidRPr="00CB65A5" w:rsidRDefault="00CB65A5" w:rsidP="00CB65A5">
      <w:pPr>
        <w:ind w:left="720" w:hanging="720"/>
      </w:pPr>
      <w:proofErr w:type="spellStart"/>
      <w:r w:rsidRPr="00CB65A5">
        <w:t>Foláyan</w:t>
      </w:r>
      <w:proofErr w:type="spellEnd"/>
      <w:r w:rsidRPr="00CB65A5">
        <w:t>, M.O., Schroth, R.J., Abodunrin, O., Al-</w:t>
      </w:r>
      <w:proofErr w:type="spellStart"/>
      <w:r w:rsidRPr="00CB65A5">
        <w:t>Batayneh</w:t>
      </w:r>
      <w:proofErr w:type="spellEnd"/>
      <w:r w:rsidRPr="00CB65A5">
        <w:t xml:space="preserve">, O.B., Arheiam, A., </w:t>
      </w:r>
      <w:proofErr w:type="spellStart"/>
      <w:r w:rsidRPr="00CB65A5">
        <w:t>Mfolo</w:t>
      </w:r>
      <w:proofErr w:type="spellEnd"/>
      <w:r w:rsidRPr="00CB65A5">
        <w:t xml:space="preserve">, T., Virtanen, J.I., </w:t>
      </w:r>
      <w:proofErr w:type="spellStart"/>
      <w:r w:rsidRPr="00CB65A5">
        <w:t>Duangthip</w:t>
      </w:r>
      <w:proofErr w:type="spellEnd"/>
      <w:r w:rsidRPr="00CB65A5">
        <w:t xml:space="preserve">, D., </w:t>
      </w:r>
      <w:proofErr w:type="spellStart"/>
      <w:r w:rsidRPr="00CB65A5">
        <w:t>Feldens</w:t>
      </w:r>
      <w:proofErr w:type="spellEnd"/>
      <w:r w:rsidRPr="00CB65A5">
        <w:t xml:space="preserve">, C.A. and El Tantawi, M. (2024) ‘Early childhood caries, climate change and the Sustainable Development Goal 13: A scoping review’, </w:t>
      </w:r>
      <w:r w:rsidRPr="00CB65A5">
        <w:rPr>
          <w:i/>
          <w:iCs/>
        </w:rPr>
        <w:t>BMC Oral Health</w:t>
      </w:r>
      <w:r w:rsidRPr="00CB65A5">
        <w:t>, 24(1), p. 524.</w:t>
      </w:r>
    </w:p>
    <w:p w14:paraId="5518AA79" w14:textId="77777777" w:rsidR="00CB65A5" w:rsidRPr="00CB65A5" w:rsidRDefault="00CB65A5" w:rsidP="00CB65A5">
      <w:pPr>
        <w:ind w:left="720" w:hanging="720"/>
      </w:pPr>
      <w:r w:rsidRPr="00CB65A5">
        <w:t xml:space="preserve">Jochem, C., von Sommoggy, J., </w:t>
      </w:r>
      <w:proofErr w:type="spellStart"/>
      <w:r w:rsidRPr="00CB65A5">
        <w:t>Hornidge</w:t>
      </w:r>
      <w:proofErr w:type="spellEnd"/>
      <w:r w:rsidRPr="00CB65A5">
        <w:t xml:space="preserve">, A.K., </w:t>
      </w:r>
      <w:proofErr w:type="spellStart"/>
      <w:r w:rsidRPr="00CB65A5">
        <w:t>Schwienhorst</w:t>
      </w:r>
      <w:proofErr w:type="spellEnd"/>
      <w:r w:rsidRPr="00CB65A5">
        <w:t xml:space="preserve">-Stich, E.M. and </w:t>
      </w:r>
      <w:proofErr w:type="spellStart"/>
      <w:r w:rsidRPr="00CB65A5">
        <w:t>Apfelbacher</w:t>
      </w:r>
      <w:proofErr w:type="spellEnd"/>
      <w:r w:rsidRPr="00CB65A5">
        <w:t xml:space="preserve">, C. (2023) ‘Planetary health literacy: A conceptual model’, </w:t>
      </w:r>
      <w:r w:rsidRPr="00CB65A5">
        <w:rPr>
          <w:i/>
          <w:iCs/>
        </w:rPr>
        <w:t>Frontiers in Public Health</w:t>
      </w:r>
      <w:r w:rsidRPr="00CB65A5">
        <w:t>, 10, p. 980779.</w:t>
      </w:r>
    </w:p>
    <w:p w14:paraId="2E50CAC3" w14:textId="77777777" w:rsidR="00CB65A5" w:rsidRPr="00CB65A5" w:rsidRDefault="00CB65A5" w:rsidP="00CB65A5">
      <w:pPr>
        <w:ind w:left="720" w:hanging="720"/>
      </w:pPr>
      <w:r w:rsidRPr="00CB65A5">
        <w:t xml:space="preserve">Kaiser, A.H., </w:t>
      </w:r>
      <w:proofErr w:type="spellStart"/>
      <w:r w:rsidRPr="00CB65A5">
        <w:t>Rotigliano</w:t>
      </w:r>
      <w:proofErr w:type="spellEnd"/>
      <w:r w:rsidRPr="00CB65A5">
        <w:t xml:space="preserve">, N., </w:t>
      </w:r>
      <w:proofErr w:type="spellStart"/>
      <w:r w:rsidRPr="00CB65A5">
        <w:t>Flessa</w:t>
      </w:r>
      <w:proofErr w:type="spellEnd"/>
      <w:r w:rsidRPr="00CB65A5">
        <w:t xml:space="preserve">, S., Ekman, B. and </w:t>
      </w:r>
      <w:proofErr w:type="spellStart"/>
      <w:r w:rsidRPr="00CB65A5">
        <w:t>Sundewall</w:t>
      </w:r>
      <w:proofErr w:type="spellEnd"/>
      <w:r w:rsidRPr="00CB65A5">
        <w:t xml:space="preserve">, J. (2023) ‘Extending universal health coverage to informal workers: A systematic review of health financing schemes in low- and middle-income countries in Southeast Asia’, </w:t>
      </w:r>
      <w:proofErr w:type="spellStart"/>
      <w:r w:rsidRPr="00CB65A5">
        <w:rPr>
          <w:i/>
          <w:iCs/>
        </w:rPr>
        <w:t>PLoS</w:t>
      </w:r>
      <w:proofErr w:type="spellEnd"/>
      <w:r w:rsidRPr="00CB65A5">
        <w:rPr>
          <w:i/>
          <w:iCs/>
        </w:rPr>
        <w:t xml:space="preserve"> One</w:t>
      </w:r>
      <w:r w:rsidRPr="00CB65A5">
        <w:t>, 18(7), p. e0288269.</w:t>
      </w:r>
    </w:p>
    <w:p w14:paraId="6C7F5668" w14:textId="77777777" w:rsidR="00CB65A5" w:rsidRPr="00CB65A5" w:rsidRDefault="00CB65A5" w:rsidP="00CB65A5">
      <w:pPr>
        <w:ind w:left="720" w:hanging="720"/>
      </w:pPr>
      <w:r w:rsidRPr="00CB65A5">
        <w:t xml:space="preserve">MacNeill, A.J., McGain, F. and Sherman, J.D. (2021) ‘Planetary health care: A framework for sustainable health systems’, </w:t>
      </w:r>
      <w:r w:rsidRPr="00CB65A5">
        <w:rPr>
          <w:i/>
          <w:iCs/>
        </w:rPr>
        <w:t>The Lancet Planetary Health</w:t>
      </w:r>
      <w:r w:rsidRPr="00CB65A5">
        <w:t>, 5(2), pp. e66–e68.</w:t>
      </w:r>
    </w:p>
    <w:p w14:paraId="6C22BD21" w14:textId="77777777" w:rsidR="00CB65A5" w:rsidRPr="00CB65A5" w:rsidRDefault="00CB65A5" w:rsidP="00CB65A5">
      <w:pPr>
        <w:ind w:left="720" w:hanging="720"/>
      </w:pPr>
      <w:proofErr w:type="spellStart"/>
      <w:r w:rsidRPr="00CB65A5">
        <w:lastRenderedPageBreak/>
        <w:t>MumtaZ</w:t>
      </w:r>
      <w:proofErr w:type="spellEnd"/>
      <w:r w:rsidRPr="00CB65A5">
        <w:t xml:space="preserve">, O. and Faugno, F. (2022) </w:t>
      </w:r>
      <w:r w:rsidRPr="00CB65A5">
        <w:rPr>
          <w:i/>
          <w:iCs/>
        </w:rPr>
        <w:t>The UK's net zero policy through the lens of project management</w:t>
      </w:r>
      <w:r w:rsidRPr="00CB65A5">
        <w:t>.</w:t>
      </w:r>
    </w:p>
    <w:p w14:paraId="0BBE83D1" w14:textId="77777777" w:rsidR="00CB65A5" w:rsidRPr="00CB65A5" w:rsidRDefault="00CB65A5" w:rsidP="00CB65A5">
      <w:pPr>
        <w:ind w:left="720" w:hanging="720"/>
      </w:pPr>
      <w:r w:rsidRPr="00CB65A5">
        <w:t xml:space="preserve">Nabukalu, J.B., Asamani, J.A. and </w:t>
      </w:r>
      <w:proofErr w:type="spellStart"/>
      <w:r w:rsidRPr="00CB65A5">
        <w:t>Nabyonga</w:t>
      </w:r>
      <w:proofErr w:type="spellEnd"/>
      <w:r w:rsidRPr="00CB65A5">
        <w:t xml:space="preserve">-Orem, J. (2019) ‘Monitoring Sustainable Development Goal 3: Assessing the readiness of low- and middle-income countries’, </w:t>
      </w:r>
      <w:r w:rsidRPr="00CB65A5">
        <w:rPr>
          <w:i/>
          <w:iCs/>
        </w:rPr>
        <w:t>International Journal of Health Policy and Management</w:t>
      </w:r>
      <w:r w:rsidRPr="00CB65A5">
        <w:t>, 9(7), p. 297.</w:t>
      </w:r>
    </w:p>
    <w:p w14:paraId="26D3A0E6" w14:textId="77777777" w:rsidR="00CB65A5" w:rsidRPr="00CB65A5" w:rsidRDefault="00CB65A5" w:rsidP="00CB65A5">
      <w:pPr>
        <w:ind w:left="720" w:hanging="720"/>
      </w:pPr>
      <w:r w:rsidRPr="00CB65A5">
        <w:t xml:space="preserve">Stevens, A., Neilson, M., </w:t>
      </w:r>
      <w:proofErr w:type="spellStart"/>
      <w:r w:rsidRPr="00CB65A5">
        <w:t>Rasanathan</w:t>
      </w:r>
      <w:proofErr w:type="spellEnd"/>
      <w:r w:rsidRPr="00CB65A5">
        <w:t xml:space="preserve">, K., Syed, S.B. and Koller, T.S. (2023) ‘Quality and equity: A shared agenda for universal health coverage’, </w:t>
      </w:r>
      <w:r w:rsidRPr="00CB65A5">
        <w:rPr>
          <w:i/>
          <w:iCs/>
        </w:rPr>
        <w:t>BMJ Global Health</w:t>
      </w:r>
      <w:r w:rsidRPr="00CB65A5">
        <w:t>, 8(7).</w:t>
      </w:r>
    </w:p>
    <w:p w14:paraId="1FD06555" w14:textId="77777777" w:rsidR="00CB65A5" w:rsidRPr="00CB65A5" w:rsidRDefault="00CB65A5" w:rsidP="00CB65A5">
      <w:pPr>
        <w:ind w:left="720" w:hanging="720"/>
      </w:pPr>
      <w:r w:rsidRPr="00CB65A5">
        <w:t xml:space="preserve">Tompson, A., Egan, M., McGill, E., Rinaldi, C., Mead, R., Holland, P., Alexiou, A., Popay, J. and </w:t>
      </w:r>
      <w:proofErr w:type="spellStart"/>
      <w:r w:rsidRPr="00CB65A5">
        <w:t>Lhussier</w:t>
      </w:r>
      <w:proofErr w:type="spellEnd"/>
      <w:r w:rsidRPr="00CB65A5">
        <w:t xml:space="preserve">, M. (2024) ‘Assessment and qualitative comparative analysis of English local authority joint health and wellbeing strategies to improve health under austerity conditions, 2013–2017’, </w:t>
      </w:r>
      <w:r w:rsidRPr="00CB65A5">
        <w:rPr>
          <w:i/>
          <w:iCs/>
        </w:rPr>
        <w:t>Health &amp; Social Care in the Community</w:t>
      </w:r>
      <w:r w:rsidRPr="00CB65A5">
        <w:t>, 2024(1), p. 4764325.</w:t>
      </w:r>
    </w:p>
    <w:p w14:paraId="18CC3630" w14:textId="77777777" w:rsidR="00CB65A5" w:rsidRPr="00CB65A5" w:rsidRDefault="00CB65A5" w:rsidP="00CB65A5">
      <w:pPr>
        <w:ind w:left="720" w:hanging="720"/>
      </w:pPr>
      <w:r w:rsidRPr="00CB65A5">
        <w:t xml:space="preserve">Tsocheva, I., Scales, J., Dove, R., Chavda, J., Kalsi, H., Wood, H.E., Colligan, G., Cross, L., Newby, C., Hall, A. and Keating, M. (2023) ‘Investigating the impact of London’s </w:t>
      </w:r>
      <w:proofErr w:type="spellStart"/>
      <w:r w:rsidRPr="00CB65A5">
        <w:t>ultra low</w:t>
      </w:r>
      <w:proofErr w:type="spellEnd"/>
      <w:r w:rsidRPr="00CB65A5">
        <w:t xml:space="preserve"> emission zone on children’s health: Children’s health in London and Luton (CHILL) protocol for a prospective parallel cohort study’, </w:t>
      </w:r>
      <w:r w:rsidRPr="00CB65A5">
        <w:rPr>
          <w:i/>
          <w:iCs/>
        </w:rPr>
        <w:t>BMC Pediatrics</w:t>
      </w:r>
      <w:r w:rsidRPr="00CB65A5">
        <w:t>, 23(1), p. 556.</w:t>
      </w:r>
    </w:p>
    <w:p w14:paraId="6D478DC7" w14:textId="77777777" w:rsidR="00CB65A5" w:rsidRPr="00CB65A5" w:rsidRDefault="00CB65A5" w:rsidP="00CB65A5">
      <w:pPr>
        <w:ind w:left="720" w:hanging="720"/>
      </w:pPr>
      <w:r w:rsidRPr="00CB65A5">
        <w:t xml:space="preserve">Walton, A., Beese, S., Chesak, S., Gingerich, S.D. and Wilson, R. (2024) ‘A partnership perspective on </w:t>
      </w:r>
      <w:proofErr w:type="spellStart"/>
      <w:r w:rsidRPr="00CB65A5">
        <w:t>ecosocial</w:t>
      </w:r>
      <w:proofErr w:type="spellEnd"/>
      <w:r w:rsidRPr="00CB65A5">
        <w:t xml:space="preserve"> reciprocity for cultural transformation’, </w:t>
      </w:r>
      <w:r w:rsidRPr="00CB65A5">
        <w:rPr>
          <w:i/>
          <w:iCs/>
        </w:rPr>
        <w:t>Interdisciplinary Journal of Partnership Studies</w:t>
      </w:r>
      <w:r w:rsidRPr="00CB65A5">
        <w:t>, 11(1), pp. 5–5.</w:t>
      </w:r>
    </w:p>
    <w:p w14:paraId="4B330998" w14:textId="77777777" w:rsidR="00CB65A5" w:rsidRPr="00CB65A5" w:rsidRDefault="00CB65A5" w:rsidP="00CB65A5"/>
    <w:p w14:paraId="63B3DBAF" w14:textId="77777777" w:rsidR="00DB6EC9" w:rsidRDefault="00DB6EC9"/>
    <w:sectPr w:rsidR="00DB6E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97325"/>
    <w:multiLevelType w:val="multilevel"/>
    <w:tmpl w:val="55EC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07380"/>
    <w:multiLevelType w:val="multilevel"/>
    <w:tmpl w:val="69205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3A2B9C"/>
    <w:multiLevelType w:val="multilevel"/>
    <w:tmpl w:val="60AAB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9970BF"/>
    <w:multiLevelType w:val="multilevel"/>
    <w:tmpl w:val="4C7486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271153"/>
    <w:multiLevelType w:val="multilevel"/>
    <w:tmpl w:val="86C8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443046"/>
    <w:multiLevelType w:val="multilevel"/>
    <w:tmpl w:val="38F20F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722288"/>
    <w:multiLevelType w:val="multilevel"/>
    <w:tmpl w:val="D4F2E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A25D5E"/>
    <w:multiLevelType w:val="multilevel"/>
    <w:tmpl w:val="2F94A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2B6AE3"/>
    <w:multiLevelType w:val="multilevel"/>
    <w:tmpl w:val="87C88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5730A9"/>
    <w:multiLevelType w:val="multilevel"/>
    <w:tmpl w:val="0C2085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453026"/>
    <w:multiLevelType w:val="multilevel"/>
    <w:tmpl w:val="BD121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F71D4A"/>
    <w:multiLevelType w:val="multilevel"/>
    <w:tmpl w:val="96E66E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074F25"/>
    <w:multiLevelType w:val="multilevel"/>
    <w:tmpl w:val="F78EBE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CA4EC8"/>
    <w:multiLevelType w:val="multilevel"/>
    <w:tmpl w:val="1D70A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F93ADC"/>
    <w:multiLevelType w:val="multilevel"/>
    <w:tmpl w:val="881AB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7E4E6F"/>
    <w:multiLevelType w:val="multilevel"/>
    <w:tmpl w:val="70D2B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F85677"/>
    <w:multiLevelType w:val="multilevel"/>
    <w:tmpl w:val="C5A03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1172CA"/>
    <w:multiLevelType w:val="multilevel"/>
    <w:tmpl w:val="E61ED1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A83869"/>
    <w:multiLevelType w:val="multilevel"/>
    <w:tmpl w:val="8F3A34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9615C8"/>
    <w:multiLevelType w:val="multilevel"/>
    <w:tmpl w:val="B0320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0E122B"/>
    <w:multiLevelType w:val="multilevel"/>
    <w:tmpl w:val="77A8D0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E660D5"/>
    <w:multiLevelType w:val="multilevel"/>
    <w:tmpl w:val="3FFE3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097CA2"/>
    <w:multiLevelType w:val="multilevel"/>
    <w:tmpl w:val="41AAA8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94614">
    <w:abstractNumId w:val="16"/>
  </w:num>
  <w:num w:numId="2" w16cid:durableId="1576668608">
    <w:abstractNumId w:val="12"/>
  </w:num>
  <w:num w:numId="3" w16cid:durableId="634918085">
    <w:abstractNumId w:val="11"/>
  </w:num>
  <w:num w:numId="4" w16cid:durableId="995231360">
    <w:abstractNumId w:val="22"/>
  </w:num>
  <w:num w:numId="5" w16cid:durableId="2086996733">
    <w:abstractNumId w:val="1"/>
  </w:num>
  <w:num w:numId="6" w16cid:durableId="1983535695">
    <w:abstractNumId w:val="14"/>
  </w:num>
  <w:num w:numId="7" w16cid:durableId="1906715505">
    <w:abstractNumId w:val="18"/>
  </w:num>
  <w:num w:numId="8" w16cid:durableId="1568807081">
    <w:abstractNumId w:val="17"/>
  </w:num>
  <w:num w:numId="9" w16cid:durableId="1229414186">
    <w:abstractNumId w:val="15"/>
  </w:num>
  <w:num w:numId="10" w16cid:durableId="1171678554">
    <w:abstractNumId w:val="2"/>
  </w:num>
  <w:num w:numId="11" w16cid:durableId="297762724">
    <w:abstractNumId w:val="3"/>
  </w:num>
  <w:num w:numId="12" w16cid:durableId="1293363289">
    <w:abstractNumId w:val="5"/>
  </w:num>
  <w:num w:numId="13" w16cid:durableId="1315986761">
    <w:abstractNumId w:val="6"/>
  </w:num>
  <w:num w:numId="14" w16cid:durableId="49883297">
    <w:abstractNumId w:val="21"/>
  </w:num>
  <w:num w:numId="15" w16cid:durableId="673262104">
    <w:abstractNumId w:val="20"/>
  </w:num>
  <w:num w:numId="16" w16cid:durableId="1844080744">
    <w:abstractNumId w:val="0"/>
  </w:num>
  <w:num w:numId="17" w16cid:durableId="454373952">
    <w:abstractNumId w:val="4"/>
  </w:num>
  <w:num w:numId="18" w16cid:durableId="1129132863">
    <w:abstractNumId w:val="19"/>
  </w:num>
  <w:num w:numId="19" w16cid:durableId="1670713159">
    <w:abstractNumId w:val="10"/>
  </w:num>
  <w:num w:numId="20" w16cid:durableId="1003168663">
    <w:abstractNumId w:val="13"/>
  </w:num>
  <w:num w:numId="21" w16cid:durableId="1776049235">
    <w:abstractNumId w:val="7"/>
  </w:num>
  <w:num w:numId="22" w16cid:durableId="451292860">
    <w:abstractNumId w:val="8"/>
  </w:num>
  <w:num w:numId="23" w16cid:durableId="11330645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OxMDMxsTQ0NzQyMbNU0lEKTi0uzszPAykwrAUA3sosTCwAAAA="/>
  </w:docVars>
  <w:rsids>
    <w:rsidRoot w:val="00FB1809"/>
    <w:rsid w:val="00020A30"/>
    <w:rsid w:val="00072EF8"/>
    <w:rsid w:val="000D7A6D"/>
    <w:rsid w:val="001116B9"/>
    <w:rsid w:val="001A2D51"/>
    <w:rsid w:val="002679DC"/>
    <w:rsid w:val="00293C9A"/>
    <w:rsid w:val="002A625B"/>
    <w:rsid w:val="002B245C"/>
    <w:rsid w:val="002E1166"/>
    <w:rsid w:val="00314774"/>
    <w:rsid w:val="00356A2C"/>
    <w:rsid w:val="003805E4"/>
    <w:rsid w:val="003E18F7"/>
    <w:rsid w:val="00421A97"/>
    <w:rsid w:val="00426D06"/>
    <w:rsid w:val="0047381B"/>
    <w:rsid w:val="004948AA"/>
    <w:rsid w:val="0049570D"/>
    <w:rsid w:val="004B4EDA"/>
    <w:rsid w:val="004D10B5"/>
    <w:rsid w:val="004E3518"/>
    <w:rsid w:val="00534AA2"/>
    <w:rsid w:val="005816E6"/>
    <w:rsid w:val="005F1582"/>
    <w:rsid w:val="006467E6"/>
    <w:rsid w:val="00664CAF"/>
    <w:rsid w:val="00733D82"/>
    <w:rsid w:val="007B3587"/>
    <w:rsid w:val="00867AA0"/>
    <w:rsid w:val="00893F4B"/>
    <w:rsid w:val="008C2461"/>
    <w:rsid w:val="009970DB"/>
    <w:rsid w:val="009F0792"/>
    <w:rsid w:val="00A10BCD"/>
    <w:rsid w:val="00A25C73"/>
    <w:rsid w:val="00B77A94"/>
    <w:rsid w:val="00C52AC2"/>
    <w:rsid w:val="00CB65A5"/>
    <w:rsid w:val="00D772F2"/>
    <w:rsid w:val="00DA043A"/>
    <w:rsid w:val="00DB69BC"/>
    <w:rsid w:val="00DB6EC9"/>
    <w:rsid w:val="00DC498A"/>
    <w:rsid w:val="00DE3A87"/>
    <w:rsid w:val="00E30DC8"/>
    <w:rsid w:val="00E321BE"/>
    <w:rsid w:val="00E41BD8"/>
    <w:rsid w:val="00E66E3E"/>
    <w:rsid w:val="00EB1A58"/>
    <w:rsid w:val="00F355DD"/>
    <w:rsid w:val="00F3691B"/>
    <w:rsid w:val="00F373B9"/>
    <w:rsid w:val="00F811C7"/>
    <w:rsid w:val="00FB18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A21DE"/>
  <w15:chartTrackingRefBased/>
  <w15:docId w15:val="{08AB5249-C3B2-4C0D-BBF0-8795A97E9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A2C"/>
    <w:pPr>
      <w:spacing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autoRedefine/>
    <w:uiPriority w:val="9"/>
    <w:qFormat/>
    <w:rsid w:val="00E66E3E"/>
    <w:pPr>
      <w:keepNext/>
      <w:keepLines/>
      <w:spacing w:before="240" w:after="0"/>
      <w:outlineLvl w:val="0"/>
    </w:pPr>
    <w:rPr>
      <w:rFonts w:eastAsiaTheme="majorEastAsia" w:cstheme="majorBidi"/>
      <w:b/>
      <w:color w:val="000000" w:themeColor="text1"/>
      <w:kern w:val="2"/>
      <w:szCs w:val="32"/>
      <w14:ligatures w14:val="standardContextual"/>
    </w:rPr>
  </w:style>
  <w:style w:type="paragraph" w:styleId="Heading2">
    <w:name w:val="heading 2"/>
    <w:basedOn w:val="Normal"/>
    <w:next w:val="Normal"/>
    <w:link w:val="Heading2Char"/>
    <w:autoRedefine/>
    <w:uiPriority w:val="9"/>
    <w:unhideWhenUsed/>
    <w:qFormat/>
    <w:rsid w:val="00E66E3E"/>
    <w:pPr>
      <w:keepNext/>
      <w:keepLines/>
      <w:spacing w:before="40" w:after="0"/>
      <w:outlineLvl w:val="1"/>
    </w:pPr>
    <w:rPr>
      <w:rFonts w:eastAsiaTheme="majorEastAsia" w:cstheme="majorBidi"/>
      <w:b/>
      <w:i/>
      <w:color w:val="000000" w:themeColor="text1"/>
      <w:kern w:val="2"/>
      <w:szCs w:val="26"/>
      <w14:ligatures w14:val="standardContextual"/>
    </w:rPr>
  </w:style>
  <w:style w:type="paragraph" w:styleId="Heading3">
    <w:name w:val="heading 3"/>
    <w:basedOn w:val="Normal"/>
    <w:next w:val="Normal"/>
    <w:link w:val="Heading3Char"/>
    <w:autoRedefine/>
    <w:uiPriority w:val="9"/>
    <w:unhideWhenUsed/>
    <w:qFormat/>
    <w:rsid w:val="0047381B"/>
    <w:pPr>
      <w:keepNext/>
      <w:keepLines/>
      <w:spacing w:before="160" w:after="80" w:line="259" w:lineRule="auto"/>
      <w:jc w:val="left"/>
      <w:outlineLvl w:val="2"/>
    </w:pPr>
    <w:rPr>
      <w:rFonts w:eastAsiaTheme="majorEastAsia" w:cstheme="majorBidi"/>
      <w:i/>
      <w:color w:val="0D0D0D" w:themeColor="text1" w:themeTint="F2"/>
      <w:szCs w:val="28"/>
      <w:lang w:val="en-ZW"/>
    </w:rPr>
  </w:style>
  <w:style w:type="paragraph" w:styleId="Heading4">
    <w:name w:val="heading 4"/>
    <w:basedOn w:val="Normal"/>
    <w:next w:val="Normal"/>
    <w:link w:val="Heading4Char"/>
    <w:uiPriority w:val="9"/>
    <w:semiHidden/>
    <w:unhideWhenUsed/>
    <w:qFormat/>
    <w:rsid w:val="00FB180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B180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B180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B180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B180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B180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E3E"/>
    <w:rPr>
      <w:rFonts w:ascii="Times New Roman" w:eastAsiaTheme="majorEastAsia" w:hAnsi="Times New Roman" w:cstheme="majorBidi"/>
      <w:b/>
      <w:color w:val="000000" w:themeColor="text1"/>
      <w:szCs w:val="32"/>
    </w:rPr>
  </w:style>
  <w:style w:type="character" w:customStyle="1" w:styleId="Heading2Char">
    <w:name w:val="Heading 2 Char"/>
    <w:basedOn w:val="DefaultParagraphFont"/>
    <w:link w:val="Heading2"/>
    <w:uiPriority w:val="9"/>
    <w:rsid w:val="00E66E3E"/>
    <w:rPr>
      <w:rFonts w:ascii="Times New Roman" w:eastAsiaTheme="majorEastAsia" w:hAnsi="Times New Roman" w:cstheme="majorBidi"/>
      <w:b/>
      <w:i/>
      <w:color w:val="000000" w:themeColor="text1"/>
      <w:szCs w:val="26"/>
    </w:rPr>
  </w:style>
  <w:style w:type="paragraph" w:customStyle="1" w:styleId="Heading31">
    <w:name w:val="Heading 31"/>
    <w:basedOn w:val="Normal"/>
    <w:link w:val="heading3Char0"/>
    <w:autoRedefine/>
    <w:qFormat/>
    <w:rsid w:val="002B245C"/>
    <w:rPr>
      <w:i/>
    </w:rPr>
  </w:style>
  <w:style w:type="character" w:customStyle="1" w:styleId="heading3Char0">
    <w:name w:val="heading 3 Char"/>
    <w:basedOn w:val="DefaultParagraphFont"/>
    <w:link w:val="Heading31"/>
    <w:rsid w:val="002B245C"/>
    <w:rPr>
      <w:rFonts w:ascii="Times New Roman" w:hAnsi="Times New Roman"/>
      <w:i/>
      <w:color w:val="171717" w:themeColor="background2" w:themeShade="1A"/>
    </w:rPr>
  </w:style>
  <w:style w:type="character" w:customStyle="1" w:styleId="Heading3Char">
    <w:name w:val="Heading 3 Char"/>
    <w:basedOn w:val="DefaultParagraphFont"/>
    <w:link w:val="Heading3"/>
    <w:uiPriority w:val="9"/>
    <w:rsid w:val="0047381B"/>
    <w:rPr>
      <w:rFonts w:ascii="Times New Roman" w:eastAsiaTheme="majorEastAsia" w:hAnsi="Times New Roman" w:cstheme="majorBidi"/>
      <w:i/>
      <w:color w:val="0D0D0D" w:themeColor="text1" w:themeTint="F2"/>
      <w:kern w:val="0"/>
      <w:szCs w:val="28"/>
      <w:lang w:val="en-ZW"/>
      <w14:ligatures w14:val="none"/>
    </w:rPr>
  </w:style>
  <w:style w:type="character" w:customStyle="1" w:styleId="Heading4Char">
    <w:name w:val="Heading 4 Char"/>
    <w:basedOn w:val="DefaultParagraphFont"/>
    <w:link w:val="Heading4"/>
    <w:uiPriority w:val="9"/>
    <w:semiHidden/>
    <w:rsid w:val="00FB1809"/>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FB1809"/>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FB1809"/>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FB1809"/>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FB1809"/>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FB1809"/>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FB1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809"/>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FB180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809"/>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FB1809"/>
    <w:pPr>
      <w:spacing w:before="160"/>
      <w:jc w:val="center"/>
    </w:pPr>
    <w:rPr>
      <w:i/>
      <w:iCs/>
      <w:color w:val="404040" w:themeColor="text1" w:themeTint="BF"/>
    </w:rPr>
  </w:style>
  <w:style w:type="character" w:customStyle="1" w:styleId="QuoteChar">
    <w:name w:val="Quote Char"/>
    <w:basedOn w:val="DefaultParagraphFont"/>
    <w:link w:val="Quote"/>
    <w:uiPriority w:val="29"/>
    <w:rsid w:val="00FB1809"/>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FB1809"/>
    <w:pPr>
      <w:ind w:left="720"/>
      <w:contextualSpacing/>
    </w:pPr>
  </w:style>
  <w:style w:type="character" w:styleId="IntenseEmphasis">
    <w:name w:val="Intense Emphasis"/>
    <w:basedOn w:val="DefaultParagraphFont"/>
    <w:uiPriority w:val="21"/>
    <w:qFormat/>
    <w:rsid w:val="00FB1809"/>
    <w:rPr>
      <w:i/>
      <w:iCs/>
      <w:color w:val="2F5496" w:themeColor="accent1" w:themeShade="BF"/>
    </w:rPr>
  </w:style>
  <w:style w:type="paragraph" w:styleId="IntenseQuote">
    <w:name w:val="Intense Quote"/>
    <w:basedOn w:val="Normal"/>
    <w:next w:val="Normal"/>
    <w:link w:val="IntenseQuoteChar"/>
    <w:uiPriority w:val="30"/>
    <w:qFormat/>
    <w:rsid w:val="00FB18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1809"/>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FB1809"/>
    <w:rPr>
      <w:b/>
      <w:bCs/>
      <w:smallCaps/>
      <w:color w:val="2F5496" w:themeColor="accent1" w:themeShade="BF"/>
      <w:spacing w:val="5"/>
    </w:rPr>
  </w:style>
  <w:style w:type="paragraph" w:styleId="TOCHeading">
    <w:name w:val="TOC Heading"/>
    <w:basedOn w:val="Heading1"/>
    <w:next w:val="Normal"/>
    <w:uiPriority w:val="39"/>
    <w:unhideWhenUsed/>
    <w:qFormat/>
    <w:rsid w:val="00CB65A5"/>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CB65A5"/>
    <w:pPr>
      <w:spacing w:after="100"/>
    </w:pPr>
  </w:style>
  <w:style w:type="paragraph" w:styleId="TOC2">
    <w:name w:val="toc 2"/>
    <w:basedOn w:val="Normal"/>
    <w:next w:val="Normal"/>
    <w:autoRedefine/>
    <w:uiPriority w:val="39"/>
    <w:unhideWhenUsed/>
    <w:rsid w:val="00CB65A5"/>
    <w:pPr>
      <w:spacing w:after="100"/>
      <w:ind w:left="240"/>
    </w:pPr>
  </w:style>
  <w:style w:type="character" w:styleId="Hyperlink">
    <w:name w:val="Hyperlink"/>
    <w:basedOn w:val="DefaultParagraphFont"/>
    <w:uiPriority w:val="99"/>
    <w:unhideWhenUsed/>
    <w:rsid w:val="00CB65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E15FFAE-F891-4FF7-95A3-5B8C2BE41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2880</Words>
  <Characters>16421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Patricia De sousa Barradas</cp:lastModifiedBy>
  <cp:revision>2</cp:revision>
  <dcterms:created xsi:type="dcterms:W3CDTF">2026-04-30T11:42:00Z</dcterms:created>
  <dcterms:modified xsi:type="dcterms:W3CDTF">2026-04-30T11:42:00Z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a2e08c3d-21e1-4fdd-ad3b-0617119659da</vt:lpwstr>
  </property>
</Properties>
</file>