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Pr="00BA386A" w:rsidRDefault="00ED5964">
      <w:pPr>
        <w:rPr>
          <w:sz w:val="22"/>
          <w:szCs w:val="24"/>
        </w:rPr>
      </w:pPr>
    </w:p>
    <w:p w14:paraId="5DAF1770" w14:textId="77777777" w:rsidR="00BA386A" w:rsidRDefault="00BA386A" w:rsidP="00BA386A">
      <w:pPr>
        <w:jc w:val="center"/>
        <w:rPr>
          <w:rFonts w:ascii="Arial" w:hAnsi="Arial" w:cs="Arial"/>
          <w:b/>
          <w:bCs/>
          <w:sz w:val="56"/>
          <w:szCs w:val="56"/>
        </w:rPr>
      </w:pPr>
    </w:p>
    <w:p w14:paraId="59184693" w14:textId="77777777" w:rsidR="00BA386A" w:rsidRDefault="00BA386A" w:rsidP="00BA386A">
      <w:pPr>
        <w:jc w:val="center"/>
        <w:rPr>
          <w:rFonts w:ascii="Arial" w:hAnsi="Arial" w:cs="Arial"/>
          <w:b/>
          <w:bCs/>
          <w:sz w:val="56"/>
          <w:szCs w:val="56"/>
        </w:rPr>
      </w:pPr>
    </w:p>
    <w:p w14:paraId="3E40CB0F" w14:textId="77777777" w:rsidR="00BA386A" w:rsidRDefault="00BA386A" w:rsidP="00BA386A">
      <w:pPr>
        <w:jc w:val="center"/>
        <w:rPr>
          <w:rFonts w:ascii="Arial" w:hAnsi="Arial" w:cs="Arial"/>
          <w:b/>
          <w:bCs/>
          <w:sz w:val="56"/>
          <w:szCs w:val="56"/>
        </w:rPr>
      </w:pPr>
    </w:p>
    <w:p w14:paraId="56733E4C" w14:textId="77777777" w:rsidR="00BA386A" w:rsidRDefault="00BA386A" w:rsidP="00BA386A">
      <w:pPr>
        <w:jc w:val="center"/>
        <w:rPr>
          <w:rFonts w:ascii="Arial" w:hAnsi="Arial" w:cs="Arial"/>
          <w:b/>
          <w:bCs/>
          <w:sz w:val="56"/>
          <w:szCs w:val="56"/>
        </w:rPr>
      </w:pPr>
    </w:p>
    <w:p w14:paraId="478C11A1" w14:textId="062F44AD" w:rsidR="00ED5964" w:rsidRPr="00BA386A" w:rsidRDefault="00A761EF" w:rsidP="00BA386A">
      <w:pPr>
        <w:jc w:val="center"/>
        <w:rPr>
          <w:rFonts w:ascii="Arial" w:hAnsi="Arial" w:cs="Arial"/>
          <w:b/>
          <w:bCs/>
          <w:sz w:val="56"/>
          <w:szCs w:val="56"/>
        </w:rPr>
      </w:pPr>
      <w:r>
        <w:rPr>
          <w:rFonts w:ascii="Arial" w:hAnsi="Arial" w:cs="Arial"/>
          <w:b/>
          <w:bCs/>
          <w:sz w:val="56"/>
          <w:szCs w:val="56"/>
        </w:rPr>
        <w:t>Bibliography &amp; Repor</w:t>
      </w:r>
      <w:r w:rsidR="00BA386A" w:rsidRPr="00BA386A">
        <w:rPr>
          <w:rFonts w:ascii="Arial" w:hAnsi="Arial" w:cs="Arial"/>
          <w:b/>
          <w:bCs/>
          <w:sz w:val="56"/>
          <w:szCs w:val="56"/>
        </w:rPr>
        <w:t>t</w:t>
      </w:r>
    </w:p>
    <w:p w14:paraId="6B8ADB81" w14:textId="77777777" w:rsidR="006A5CFC" w:rsidRDefault="006A5CFC"/>
    <w:p w14:paraId="168F467C" w14:textId="77777777" w:rsidR="006A5CFC" w:rsidRDefault="006A5CFC"/>
    <w:p w14:paraId="3BEDB360" w14:textId="77777777" w:rsidR="00ED5964" w:rsidRDefault="00ED5964"/>
    <w:p w14:paraId="51DBACA3" w14:textId="77777777" w:rsidR="00BA386A" w:rsidRDefault="00BA386A" w:rsidP="00ED5964">
      <w:pPr>
        <w:jc w:val="both"/>
        <w:rPr>
          <w:rFonts w:ascii="Arial" w:hAnsi="Arial" w:cs="Arial"/>
          <w:sz w:val="24"/>
          <w:szCs w:val="24"/>
        </w:rPr>
      </w:pPr>
    </w:p>
    <w:p w14:paraId="4AC73D29" w14:textId="77777777" w:rsidR="00BA386A" w:rsidRDefault="00BA386A" w:rsidP="00ED5964">
      <w:pPr>
        <w:jc w:val="both"/>
        <w:rPr>
          <w:rFonts w:ascii="Arial" w:hAnsi="Arial" w:cs="Arial"/>
          <w:sz w:val="24"/>
          <w:szCs w:val="24"/>
        </w:rPr>
      </w:pPr>
    </w:p>
    <w:p w14:paraId="2EF804A0" w14:textId="0193E01E" w:rsidR="00ED5964" w:rsidRPr="00BA386A" w:rsidRDefault="00ED5964" w:rsidP="00ED5964">
      <w:pPr>
        <w:jc w:val="both"/>
        <w:rPr>
          <w:rFonts w:ascii="Arial" w:hAnsi="Arial" w:cs="Arial"/>
          <w:sz w:val="24"/>
          <w:szCs w:val="24"/>
        </w:rPr>
      </w:pPr>
      <w:r w:rsidRPr="00BA386A">
        <w:rPr>
          <w:rFonts w:ascii="Arial" w:hAnsi="Arial" w:cs="Arial"/>
          <w:sz w:val="24"/>
          <w:szCs w:val="24"/>
        </w:rPr>
        <w:t xml:space="preserve">Name: </w:t>
      </w:r>
      <w:r w:rsidR="00B00F13" w:rsidRPr="00BA386A">
        <w:rPr>
          <w:rFonts w:ascii="Arial" w:hAnsi="Arial" w:cs="Arial"/>
          <w:sz w:val="24"/>
          <w:szCs w:val="24"/>
        </w:rPr>
        <w:t xml:space="preserve">Ion </w:t>
      </w:r>
      <w:proofErr w:type="spellStart"/>
      <w:r w:rsidR="00B00F13" w:rsidRPr="00BA386A">
        <w:rPr>
          <w:rFonts w:ascii="Arial" w:hAnsi="Arial" w:cs="Arial"/>
          <w:sz w:val="24"/>
          <w:szCs w:val="24"/>
        </w:rPr>
        <w:t>Untura</w:t>
      </w:r>
      <w:proofErr w:type="spellEnd"/>
    </w:p>
    <w:p w14:paraId="485B6F49" w14:textId="0BC17B6A" w:rsidR="00ED5964" w:rsidRPr="00BA386A" w:rsidRDefault="00ED5964" w:rsidP="00ED5964">
      <w:pPr>
        <w:jc w:val="both"/>
        <w:rPr>
          <w:rFonts w:ascii="Arial" w:hAnsi="Arial" w:cs="Arial"/>
          <w:sz w:val="24"/>
          <w:szCs w:val="24"/>
        </w:rPr>
      </w:pPr>
      <w:r w:rsidRPr="00BA386A">
        <w:rPr>
          <w:rFonts w:ascii="Arial" w:hAnsi="Arial" w:cs="Arial"/>
          <w:sz w:val="24"/>
          <w:szCs w:val="24"/>
        </w:rPr>
        <w:t xml:space="preserve">Student ID: </w:t>
      </w:r>
      <w:r w:rsidR="00B00F13" w:rsidRPr="00BA386A">
        <w:rPr>
          <w:rFonts w:ascii="Arial" w:hAnsi="Arial" w:cs="Arial"/>
          <w:sz w:val="24"/>
          <w:szCs w:val="24"/>
        </w:rPr>
        <w:t>2440192</w:t>
      </w:r>
    </w:p>
    <w:p w14:paraId="3C1E7A20" w14:textId="50A35E65" w:rsidR="00ED5964" w:rsidRPr="00BA386A" w:rsidRDefault="00ED5964" w:rsidP="00ED5964">
      <w:pPr>
        <w:jc w:val="both"/>
        <w:rPr>
          <w:rFonts w:ascii="Arial" w:hAnsi="Arial" w:cs="Arial"/>
          <w:sz w:val="24"/>
          <w:szCs w:val="24"/>
        </w:rPr>
      </w:pPr>
      <w:r w:rsidRPr="00BA386A">
        <w:rPr>
          <w:rFonts w:ascii="Arial" w:hAnsi="Arial" w:cs="Arial"/>
          <w:sz w:val="24"/>
          <w:szCs w:val="24"/>
        </w:rPr>
        <w:t xml:space="preserve">Module Code: </w:t>
      </w:r>
      <w:r w:rsidR="00B00F13" w:rsidRPr="00BA386A">
        <w:rPr>
          <w:rFonts w:ascii="Arial" w:hAnsi="Arial" w:cs="Arial"/>
          <w:sz w:val="24"/>
          <w:szCs w:val="24"/>
        </w:rPr>
        <w:t>LCHS40</w:t>
      </w:r>
      <w:r w:rsidR="00A761EF">
        <w:rPr>
          <w:rFonts w:ascii="Arial" w:hAnsi="Arial" w:cs="Arial"/>
          <w:sz w:val="24"/>
          <w:szCs w:val="24"/>
        </w:rPr>
        <w:t>10</w:t>
      </w:r>
      <w:r w:rsidR="00BA386A" w:rsidRPr="00BA386A">
        <w:rPr>
          <w:rFonts w:ascii="Arial" w:hAnsi="Arial" w:cs="Arial"/>
          <w:sz w:val="24"/>
          <w:szCs w:val="24"/>
        </w:rPr>
        <w:t>_LON</w:t>
      </w:r>
    </w:p>
    <w:p w14:paraId="4EEB2DA3" w14:textId="3B2B4575" w:rsidR="00ED5964" w:rsidRPr="00BA386A" w:rsidRDefault="00ED5964" w:rsidP="00ED5964">
      <w:pPr>
        <w:jc w:val="both"/>
        <w:rPr>
          <w:rFonts w:ascii="Arial" w:hAnsi="Arial" w:cs="Arial"/>
          <w:sz w:val="24"/>
          <w:szCs w:val="24"/>
        </w:rPr>
      </w:pPr>
      <w:r w:rsidRPr="00BA386A">
        <w:rPr>
          <w:rFonts w:ascii="Arial" w:hAnsi="Arial" w:cs="Arial"/>
          <w:sz w:val="24"/>
          <w:szCs w:val="24"/>
        </w:rPr>
        <w:t xml:space="preserve">Module: </w:t>
      </w:r>
      <w:r w:rsidR="00A761EF">
        <w:rPr>
          <w:rFonts w:ascii="Arial" w:hAnsi="Arial" w:cs="Arial"/>
          <w:sz w:val="24"/>
          <w:szCs w:val="24"/>
        </w:rPr>
        <w:t>Psychology in</w:t>
      </w:r>
      <w:r w:rsidR="00BA386A" w:rsidRPr="00BA386A">
        <w:rPr>
          <w:rFonts w:ascii="Arial" w:hAnsi="Arial" w:cs="Arial"/>
          <w:sz w:val="24"/>
          <w:szCs w:val="24"/>
        </w:rPr>
        <w:t xml:space="preserve"> Health and Social Care</w:t>
      </w:r>
    </w:p>
    <w:p w14:paraId="112342CB" w14:textId="7087A9BB" w:rsidR="00ED5964" w:rsidRPr="00BA386A" w:rsidRDefault="00ED5964" w:rsidP="00ED5964">
      <w:pPr>
        <w:jc w:val="both"/>
        <w:rPr>
          <w:rFonts w:ascii="Arial" w:hAnsi="Arial" w:cs="Arial"/>
          <w:sz w:val="24"/>
          <w:szCs w:val="24"/>
        </w:rPr>
      </w:pPr>
      <w:r w:rsidRPr="00BA386A">
        <w:rPr>
          <w:rFonts w:ascii="Arial" w:hAnsi="Arial" w:cs="Arial"/>
          <w:sz w:val="24"/>
          <w:szCs w:val="24"/>
        </w:rPr>
        <w:t xml:space="preserve">Lecturer: </w:t>
      </w:r>
      <w:r w:rsidR="00A761EF">
        <w:rPr>
          <w:rFonts w:ascii="Arial" w:hAnsi="Arial" w:cs="Arial"/>
          <w:sz w:val="24"/>
          <w:szCs w:val="24"/>
        </w:rPr>
        <w:t>Peace Ukachukwu</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6E50D72A" w:rsidR="00ED5964" w:rsidRDefault="00ED5964" w:rsidP="00B00F13">
      <w:pPr>
        <w:jc w:val="center"/>
        <w:rPr>
          <w:rFonts w:asciiTheme="minorBidi" w:hAnsiTheme="minorBidi"/>
          <w:sz w:val="28"/>
          <w:szCs w:val="28"/>
        </w:rPr>
      </w:pPr>
      <w:r>
        <w:rPr>
          <w:rFonts w:asciiTheme="minorBidi" w:hAnsiTheme="minorBidi"/>
          <w:sz w:val="28"/>
          <w:szCs w:val="28"/>
        </w:rPr>
        <w:t>Submitted on:</w:t>
      </w:r>
    </w:p>
    <w:p w14:paraId="7752FE6D" w14:textId="0B27CFC5" w:rsidR="002C4ADE" w:rsidRDefault="00B00F13" w:rsidP="002C4ADE">
      <w:pPr>
        <w:jc w:val="center"/>
        <w:rPr>
          <w:rFonts w:asciiTheme="minorBidi" w:hAnsiTheme="minorBidi"/>
          <w:sz w:val="28"/>
          <w:szCs w:val="28"/>
        </w:rPr>
      </w:pPr>
      <w:r>
        <w:rPr>
          <w:rFonts w:asciiTheme="minorBidi" w:hAnsiTheme="minorBidi"/>
          <w:sz w:val="28"/>
          <w:szCs w:val="28"/>
        </w:rPr>
        <w:t>1</w:t>
      </w:r>
      <w:r w:rsidR="00A761EF">
        <w:rPr>
          <w:rFonts w:asciiTheme="minorBidi" w:hAnsiTheme="minorBidi"/>
          <w:sz w:val="28"/>
          <w:szCs w:val="28"/>
        </w:rPr>
        <w:t>8</w:t>
      </w:r>
      <w:r w:rsidRPr="00B00F13">
        <w:rPr>
          <w:rFonts w:asciiTheme="minorBidi" w:hAnsiTheme="minorBidi"/>
          <w:sz w:val="28"/>
          <w:szCs w:val="28"/>
          <w:vertAlign w:val="superscript"/>
        </w:rPr>
        <w:t>th</w:t>
      </w:r>
      <w:r>
        <w:rPr>
          <w:rFonts w:asciiTheme="minorBidi" w:hAnsiTheme="minorBidi"/>
          <w:sz w:val="28"/>
          <w:szCs w:val="28"/>
        </w:rPr>
        <w:t xml:space="preserve"> of</w:t>
      </w:r>
      <w:r w:rsidR="00BA386A">
        <w:rPr>
          <w:rFonts w:asciiTheme="minorBidi" w:hAnsiTheme="minorBidi"/>
          <w:sz w:val="28"/>
          <w:szCs w:val="28"/>
        </w:rPr>
        <w:t xml:space="preserve"> </w:t>
      </w:r>
      <w:r w:rsidR="00F1627A">
        <w:rPr>
          <w:rFonts w:asciiTheme="minorBidi" w:hAnsiTheme="minorBidi"/>
          <w:sz w:val="28"/>
          <w:szCs w:val="28"/>
        </w:rPr>
        <w:t>March</w:t>
      </w:r>
      <w:r w:rsidR="00BA386A">
        <w:rPr>
          <w:rFonts w:asciiTheme="minorBidi" w:hAnsiTheme="minorBidi"/>
          <w:sz w:val="28"/>
          <w:szCs w:val="28"/>
        </w:rPr>
        <w:t xml:space="preserve"> 2026</w:t>
      </w:r>
    </w:p>
    <w:p w14:paraId="0DA2E5C6" w14:textId="75AC4717" w:rsidR="00F35445" w:rsidRPr="002C4ADE" w:rsidRDefault="00F35445" w:rsidP="002C4ADE">
      <w:pPr>
        <w:jc w:val="center"/>
        <w:rPr>
          <w:rFonts w:asciiTheme="minorBidi" w:hAnsiTheme="minorBidi"/>
          <w:sz w:val="28"/>
          <w:szCs w:val="28"/>
        </w:rPr>
      </w:pPr>
      <w:r w:rsidRPr="002C4ADE">
        <w:rPr>
          <w:rFonts w:ascii="Arial" w:hAnsi="Arial" w:cs="Arial"/>
          <w:b/>
          <w:bCs/>
          <w:sz w:val="22"/>
        </w:rPr>
        <w:lastRenderedPageBreak/>
        <w:t>Part A: Annotated Bibliography</w:t>
      </w:r>
    </w:p>
    <w:p w14:paraId="6F25B886" w14:textId="77777777" w:rsidR="002C4ADE" w:rsidRDefault="002C4ADE" w:rsidP="002C4ADE">
      <w:pPr>
        <w:spacing w:line="360" w:lineRule="auto"/>
        <w:rPr>
          <w:rFonts w:ascii="Arial" w:hAnsi="Arial" w:cs="Arial"/>
          <w:sz w:val="22"/>
        </w:rPr>
      </w:pPr>
    </w:p>
    <w:p w14:paraId="72361071" w14:textId="2D3392F0" w:rsidR="00F35445" w:rsidRPr="006477D1" w:rsidRDefault="00F35445" w:rsidP="006477D1">
      <w:pPr>
        <w:pStyle w:val="ListParagraph"/>
        <w:numPr>
          <w:ilvl w:val="0"/>
          <w:numId w:val="22"/>
        </w:numPr>
        <w:spacing w:line="360" w:lineRule="auto"/>
        <w:rPr>
          <w:rFonts w:ascii="Arial" w:hAnsi="Arial" w:cs="Arial"/>
          <w:b/>
          <w:bCs/>
          <w:sz w:val="22"/>
        </w:rPr>
      </w:pPr>
      <w:r w:rsidRPr="006477D1">
        <w:rPr>
          <w:rFonts w:ascii="Arial" w:hAnsi="Arial" w:cs="Arial"/>
          <w:b/>
          <w:bCs/>
          <w:sz w:val="22"/>
        </w:rPr>
        <w:t>Erikson’s Psychosocial Development and Ageing</w:t>
      </w:r>
    </w:p>
    <w:p w14:paraId="0B85F5CE" w14:textId="35925977" w:rsidR="006477D1" w:rsidRPr="006477D1" w:rsidRDefault="006477D1" w:rsidP="006477D1">
      <w:pPr>
        <w:spacing w:line="360" w:lineRule="auto"/>
        <w:rPr>
          <w:rFonts w:ascii="Arial" w:hAnsi="Arial" w:cs="Arial"/>
          <w:sz w:val="22"/>
        </w:rPr>
      </w:pPr>
      <w:r w:rsidRPr="006477D1">
        <w:rPr>
          <w:rFonts w:ascii="Arial" w:hAnsi="Arial" w:cs="Arial"/>
          <w:sz w:val="22"/>
        </w:rPr>
        <w:t>Knight, B.G. (2004) ‘Psychosocial functioning in older adults: Integrating Erikson’s theory with gerontological practice’, Clinical Gerontologist, 27(1–2), pp. 5–18.</w:t>
      </w:r>
    </w:p>
    <w:p w14:paraId="202EC950" w14:textId="27E36C31" w:rsidR="00F35445" w:rsidRPr="002C4ADE" w:rsidRDefault="00F35445" w:rsidP="002C4ADE">
      <w:pPr>
        <w:spacing w:line="360" w:lineRule="auto"/>
        <w:rPr>
          <w:rFonts w:ascii="Arial" w:hAnsi="Arial" w:cs="Arial"/>
          <w:sz w:val="22"/>
        </w:rPr>
      </w:pPr>
      <w:r w:rsidRPr="002C4ADE">
        <w:rPr>
          <w:rFonts w:ascii="Arial" w:hAnsi="Arial" w:cs="Arial"/>
          <w:sz w:val="22"/>
        </w:rPr>
        <w:t xml:space="preserve">Knight (2004) examines the relevance of Erikson’s final psychosocial stage, integrity versus despair, for understanding psychological well-being in later life. The article argues that </w:t>
      </w:r>
      <w:r w:rsidR="00277179" w:rsidRPr="002C4ADE">
        <w:rPr>
          <w:rFonts w:ascii="Arial" w:hAnsi="Arial" w:cs="Arial"/>
          <w:sz w:val="22"/>
        </w:rPr>
        <w:t>older adults</w:t>
      </w:r>
      <w:r w:rsidRPr="002C4ADE">
        <w:rPr>
          <w:rFonts w:ascii="Arial" w:hAnsi="Arial" w:cs="Arial"/>
          <w:sz w:val="22"/>
        </w:rPr>
        <w:t xml:space="preserve"> who achieve a sense of integrity demonstrate greater emotional stability, lower depressive symptoms, and enhanced life satisfaction. Knight presents evidence that life</w:t>
      </w:r>
      <w:r w:rsidRPr="002C4ADE">
        <w:rPr>
          <w:rFonts w:ascii="Cambria Math" w:hAnsi="Cambria Math" w:cs="Cambria Math"/>
          <w:sz w:val="22"/>
        </w:rPr>
        <w:t>‑</w:t>
      </w:r>
      <w:r w:rsidRPr="002C4ADE">
        <w:rPr>
          <w:rFonts w:ascii="Arial" w:hAnsi="Arial" w:cs="Arial"/>
          <w:sz w:val="22"/>
        </w:rPr>
        <w:t>review and reminiscence</w:t>
      </w:r>
      <w:r w:rsidRPr="002C4ADE">
        <w:rPr>
          <w:rFonts w:ascii="Cambria Math" w:hAnsi="Cambria Math" w:cs="Cambria Math"/>
          <w:sz w:val="22"/>
        </w:rPr>
        <w:t>‑</w:t>
      </w:r>
      <w:r w:rsidRPr="002C4ADE">
        <w:rPr>
          <w:rFonts w:ascii="Arial" w:hAnsi="Arial" w:cs="Arial"/>
          <w:sz w:val="22"/>
        </w:rPr>
        <w:t>based interventions support the resolution of this stage by enabling individuals to integrate past experiences into a coherent life narrative.</w:t>
      </w:r>
    </w:p>
    <w:p w14:paraId="4170770A" w14:textId="739C59F1" w:rsidR="002C4ADE" w:rsidRDefault="00F35445" w:rsidP="002C4ADE">
      <w:pPr>
        <w:spacing w:line="360" w:lineRule="auto"/>
        <w:rPr>
          <w:rFonts w:ascii="Arial" w:hAnsi="Arial" w:cs="Arial"/>
          <w:sz w:val="22"/>
        </w:rPr>
      </w:pPr>
      <w:r w:rsidRPr="002C4ADE">
        <w:rPr>
          <w:rFonts w:ascii="Arial" w:hAnsi="Arial" w:cs="Arial"/>
          <w:sz w:val="22"/>
        </w:rPr>
        <w:t>This source is directly relevant to residential care practice because it provides a theoretical foundation for interventions that promote psychological well-being. Life</w:t>
      </w:r>
      <w:r w:rsidRPr="002C4ADE">
        <w:rPr>
          <w:rFonts w:ascii="Cambria Math" w:hAnsi="Cambria Math" w:cs="Cambria Math"/>
          <w:sz w:val="22"/>
        </w:rPr>
        <w:t>‑</w:t>
      </w:r>
      <w:r w:rsidRPr="002C4ADE">
        <w:rPr>
          <w:rFonts w:ascii="Arial" w:hAnsi="Arial" w:cs="Arial"/>
          <w:sz w:val="22"/>
        </w:rPr>
        <w:t>review and reminiscence activities are widely used in care homes, and Knight (2004) offers clear evidence that these approaches reduce despair and strengthen identity. The article supports person</w:t>
      </w:r>
      <w:r w:rsidRPr="002C4ADE">
        <w:rPr>
          <w:rFonts w:ascii="Cambria Math" w:hAnsi="Cambria Math" w:cs="Cambria Math"/>
          <w:sz w:val="22"/>
        </w:rPr>
        <w:t>‑</w:t>
      </w:r>
      <w:r w:rsidRPr="002C4ADE">
        <w:rPr>
          <w:rFonts w:ascii="Arial" w:hAnsi="Arial" w:cs="Arial"/>
          <w:sz w:val="22"/>
        </w:rPr>
        <w:t>centred care by emphasising dignity, meaning, and emotional continuity—elements that are essential for older adults experiencing loss, transition, or reduced independence.</w:t>
      </w:r>
    </w:p>
    <w:p w14:paraId="7EBCB281" w14:textId="17A21E48" w:rsidR="00F35445" w:rsidRPr="00B940DB" w:rsidRDefault="00F35445" w:rsidP="002C4ADE">
      <w:pPr>
        <w:spacing w:line="360" w:lineRule="auto"/>
        <w:rPr>
          <w:rFonts w:ascii="Arial" w:hAnsi="Arial" w:cs="Arial"/>
          <w:b/>
          <w:bCs/>
          <w:sz w:val="22"/>
        </w:rPr>
      </w:pPr>
      <w:r w:rsidRPr="00B940DB">
        <w:rPr>
          <w:rFonts w:ascii="Arial" w:hAnsi="Arial" w:cs="Arial"/>
          <w:b/>
          <w:bCs/>
          <w:sz w:val="22"/>
        </w:rPr>
        <w:t>2. Erikson’s Theory and Later</w:t>
      </w:r>
      <w:r w:rsidRPr="00B940DB">
        <w:rPr>
          <w:rFonts w:ascii="Cambria Math" w:hAnsi="Cambria Math" w:cs="Cambria Math"/>
          <w:b/>
          <w:bCs/>
          <w:sz w:val="22"/>
        </w:rPr>
        <w:t>‑</w:t>
      </w:r>
      <w:r w:rsidRPr="00B940DB">
        <w:rPr>
          <w:rFonts w:ascii="Arial" w:hAnsi="Arial" w:cs="Arial"/>
          <w:b/>
          <w:bCs/>
          <w:sz w:val="22"/>
        </w:rPr>
        <w:t>Life Mental Health Outcomes</w:t>
      </w:r>
    </w:p>
    <w:p w14:paraId="7A4D673B" w14:textId="295D0A53" w:rsidR="006477D1" w:rsidRDefault="006477D1" w:rsidP="002C4ADE">
      <w:pPr>
        <w:spacing w:line="360" w:lineRule="auto"/>
        <w:rPr>
          <w:rFonts w:ascii="Arial" w:hAnsi="Arial" w:cs="Arial"/>
          <w:sz w:val="22"/>
        </w:rPr>
      </w:pPr>
      <w:r w:rsidRPr="002C4ADE">
        <w:rPr>
          <w:rFonts w:ascii="Arial" w:hAnsi="Arial" w:cs="Arial"/>
          <w:sz w:val="22"/>
        </w:rPr>
        <w:t>Malone, J.C., Liu, S.R., Vaillant, G.E., Rentz, D.M. and Waldinger, R.J. (2016) ‘</w:t>
      </w:r>
      <w:proofErr w:type="spellStart"/>
      <w:r w:rsidRPr="002C4ADE">
        <w:rPr>
          <w:rFonts w:ascii="Arial" w:hAnsi="Arial" w:cs="Arial"/>
          <w:sz w:val="22"/>
        </w:rPr>
        <w:t>Eriksonian</w:t>
      </w:r>
      <w:proofErr w:type="spellEnd"/>
      <w:r w:rsidRPr="002C4ADE">
        <w:rPr>
          <w:rFonts w:ascii="Arial" w:hAnsi="Arial" w:cs="Arial"/>
          <w:sz w:val="22"/>
        </w:rPr>
        <w:t xml:space="preserve"> psychosocial development in midlife predicts cognitive and emotional functioning in later life’, Developmental Psychology, 52(3), pp. 496–508.</w:t>
      </w:r>
    </w:p>
    <w:p w14:paraId="5F93FCA7" w14:textId="066F639E" w:rsidR="00F35445" w:rsidRPr="002C4ADE" w:rsidRDefault="00F35445" w:rsidP="002C4ADE">
      <w:pPr>
        <w:spacing w:line="360" w:lineRule="auto"/>
        <w:rPr>
          <w:rFonts w:ascii="Arial" w:hAnsi="Arial" w:cs="Arial"/>
          <w:sz w:val="22"/>
        </w:rPr>
      </w:pPr>
      <w:r w:rsidRPr="002C4ADE">
        <w:rPr>
          <w:rFonts w:ascii="Arial" w:hAnsi="Arial" w:cs="Arial"/>
          <w:sz w:val="22"/>
        </w:rPr>
        <w:t>Malone et al. (2016) present longitudinal evidence that higher levels of generativity and ego integrity in midlife predict better cognitive functioning, lower levels of depression, and stronger emotional regulation in older adulthood. The study identifies late</w:t>
      </w:r>
      <w:r w:rsidRPr="002C4ADE">
        <w:rPr>
          <w:rFonts w:ascii="Cambria Math" w:hAnsi="Cambria Math" w:cs="Cambria Math"/>
          <w:sz w:val="22"/>
        </w:rPr>
        <w:t>‑</w:t>
      </w:r>
      <w:r w:rsidRPr="002C4ADE">
        <w:rPr>
          <w:rFonts w:ascii="Arial" w:hAnsi="Arial" w:cs="Arial"/>
          <w:sz w:val="22"/>
        </w:rPr>
        <w:t>life depression as a mediating factor between earlier psychosocial development and cognitive decline, suggesting that unresolved psychosocial conflicts may have long</w:t>
      </w:r>
      <w:r w:rsidRPr="002C4ADE">
        <w:rPr>
          <w:rFonts w:ascii="Cambria Math" w:hAnsi="Cambria Math" w:cs="Cambria Math"/>
          <w:sz w:val="22"/>
        </w:rPr>
        <w:t>‑</w:t>
      </w:r>
      <w:r w:rsidRPr="002C4ADE">
        <w:rPr>
          <w:rFonts w:ascii="Arial" w:hAnsi="Arial" w:cs="Arial"/>
          <w:sz w:val="22"/>
        </w:rPr>
        <w:t>term consequences for well-being.</w:t>
      </w:r>
    </w:p>
    <w:p w14:paraId="488B08ED" w14:textId="503355E8" w:rsidR="002C4ADE" w:rsidRDefault="00F35445" w:rsidP="002C4ADE">
      <w:pPr>
        <w:spacing w:line="360" w:lineRule="auto"/>
        <w:rPr>
          <w:rFonts w:ascii="Arial" w:hAnsi="Arial" w:cs="Arial"/>
          <w:sz w:val="22"/>
        </w:rPr>
      </w:pPr>
      <w:r w:rsidRPr="002C4ADE">
        <w:rPr>
          <w:rFonts w:ascii="Arial" w:hAnsi="Arial" w:cs="Arial"/>
          <w:sz w:val="22"/>
        </w:rPr>
        <w:t>This study provides robust empirical support for applying Erikson’s theory in residential care. The findings highlight the importance of promoting purpose, social connection, and identity continuity among older adults, as these factors can protect against depression and cognitive vulnerability. For health and social care professionals, the evidence justifies interventions such as goal</w:t>
      </w:r>
      <w:r w:rsidRPr="002C4ADE">
        <w:rPr>
          <w:rFonts w:ascii="Cambria Math" w:hAnsi="Cambria Math" w:cs="Cambria Math"/>
          <w:sz w:val="22"/>
        </w:rPr>
        <w:t>‑</w:t>
      </w:r>
      <w:r w:rsidRPr="002C4ADE">
        <w:rPr>
          <w:rFonts w:ascii="Arial" w:hAnsi="Arial" w:cs="Arial"/>
          <w:sz w:val="22"/>
        </w:rPr>
        <w:t>setting, meaning</w:t>
      </w:r>
      <w:r w:rsidRPr="002C4ADE">
        <w:rPr>
          <w:rFonts w:ascii="Cambria Math" w:hAnsi="Cambria Math" w:cs="Cambria Math"/>
          <w:sz w:val="22"/>
        </w:rPr>
        <w:t>‑</w:t>
      </w:r>
      <w:r w:rsidRPr="002C4ADE">
        <w:rPr>
          <w:rFonts w:ascii="Arial" w:hAnsi="Arial" w:cs="Arial"/>
          <w:sz w:val="22"/>
        </w:rPr>
        <w:t xml:space="preserve">focused activities, and structured social engagement, which can strengthen emotional resilience and support cognitive health in care home residents </w:t>
      </w:r>
      <w:r w:rsidRPr="002C4ADE">
        <w:rPr>
          <w:rFonts w:ascii="Arial" w:hAnsi="Arial" w:cs="Arial"/>
          <w:sz w:val="22"/>
        </w:rPr>
        <w:lastRenderedPageBreak/>
        <w:t>(Malone et al., 2016). The study also reinforces the need for early identification of depressive symptoms, which is a key responsibility within care settings.</w:t>
      </w:r>
    </w:p>
    <w:p w14:paraId="684AAFA2" w14:textId="45F7A53E" w:rsidR="00F35445" w:rsidRPr="00B940DB" w:rsidRDefault="00F35445" w:rsidP="002C4ADE">
      <w:pPr>
        <w:spacing w:line="360" w:lineRule="auto"/>
        <w:rPr>
          <w:rFonts w:ascii="Arial" w:hAnsi="Arial" w:cs="Arial"/>
          <w:b/>
          <w:bCs/>
          <w:sz w:val="22"/>
        </w:rPr>
      </w:pPr>
      <w:r w:rsidRPr="00B940DB">
        <w:rPr>
          <w:rFonts w:ascii="Arial" w:hAnsi="Arial" w:cs="Arial"/>
          <w:b/>
          <w:bCs/>
          <w:sz w:val="22"/>
        </w:rPr>
        <w:t>3. Positive Psychology and Wellbeing Across the Lifespan</w:t>
      </w:r>
    </w:p>
    <w:p w14:paraId="50E16C66" w14:textId="1EAB91BF" w:rsidR="006477D1" w:rsidRDefault="006477D1" w:rsidP="002C4ADE">
      <w:pPr>
        <w:spacing w:line="360" w:lineRule="auto"/>
        <w:rPr>
          <w:rFonts w:ascii="Arial" w:hAnsi="Arial" w:cs="Arial"/>
          <w:sz w:val="22"/>
        </w:rPr>
      </w:pPr>
      <w:r w:rsidRPr="002C4ADE">
        <w:rPr>
          <w:rFonts w:ascii="Arial" w:hAnsi="Arial" w:cs="Arial"/>
          <w:sz w:val="22"/>
        </w:rPr>
        <w:t>Seligman, M.E.P. (2011)</w:t>
      </w:r>
      <w:r>
        <w:rPr>
          <w:rFonts w:ascii="Arial" w:hAnsi="Arial" w:cs="Arial"/>
          <w:sz w:val="22"/>
        </w:rPr>
        <w:t>.</w:t>
      </w:r>
      <w:r w:rsidRPr="002C4ADE">
        <w:rPr>
          <w:rFonts w:ascii="Arial" w:hAnsi="Arial" w:cs="Arial"/>
          <w:sz w:val="22"/>
        </w:rPr>
        <w:t xml:space="preserve"> Flourish: A visionary new understanding of happiness and wellbeing. New York: Free Press.</w:t>
      </w:r>
    </w:p>
    <w:p w14:paraId="54140255" w14:textId="7161D2D0" w:rsidR="00F35445" w:rsidRPr="002C4ADE" w:rsidRDefault="00F35445" w:rsidP="002C4ADE">
      <w:pPr>
        <w:spacing w:line="360" w:lineRule="auto"/>
        <w:rPr>
          <w:rFonts w:ascii="Arial" w:hAnsi="Arial" w:cs="Arial"/>
          <w:sz w:val="22"/>
        </w:rPr>
      </w:pPr>
      <w:r w:rsidRPr="002C4ADE">
        <w:rPr>
          <w:rFonts w:ascii="Arial" w:hAnsi="Arial" w:cs="Arial"/>
          <w:sz w:val="22"/>
        </w:rPr>
        <w:t>Seligman (2011) introduces the PERMA model—Positive emotion, Engagement, Relationships, Meaning, and Accomplishment—as a comprehensive framework for understanding well-being. He argues that well-being in later life is enhanced through the cultivation of strengths, positive emotion, meaning</w:t>
      </w:r>
      <w:r w:rsidRPr="002C4ADE">
        <w:rPr>
          <w:rFonts w:ascii="Cambria Math" w:hAnsi="Cambria Math" w:cs="Cambria Math"/>
          <w:sz w:val="22"/>
        </w:rPr>
        <w:t>‑</w:t>
      </w:r>
      <w:r w:rsidRPr="002C4ADE">
        <w:rPr>
          <w:rFonts w:ascii="Arial" w:hAnsi="Arial" w:cs="Arial"/>
          <w:sz w:val="22"/>
        </w:rPr>
        <w:t>making, and social connection, rather than focusing solely on physical health or functional decline. The book outlines evidence</w:t>
      </w:r>
      <w:r w:rsidRPr="002C4ADE">
        <w:rPr>
          <w:rFonts w:ascii="Cambria Math" w:hAnsi="Cambria Math" w:cs="Cambria Math"/>
          <w:sz w:val="22"/>
        </w:rPr>
        <w:t>‑</w:t>
      </w:r>
      <w:r w:rsidRPr="002C4ADE">
        <w:rPr>
          <w:rFonts w:ascii="Arial" w:hAnsi="Arial" w:cs="Arial"/>
          <w:sz w:val="22"/>
        </w:rPr>
        <w:t>based interventions such as gratitude practices, strengths identification, and relationship</w:t>
      </w:r>
      <w:r w:rsidRPr="002C4ADE">
        <w:rPr>
          <w:rFonts w:ascii="Cambria Math" w:hAnsi="Cambria Math" w:cs="Cambria Math"/>
          <w:sz w:val="22"/>
        </w:rPr>
        <w:t>‑</w:t>
      </w:r>
      <w:r w:rsidRPr="002C4ADE">
        <w:rPr>
          <w:rFonts w:ascii="Arial" w:hAnsi="Arial" w:cs="Arial"/>
          <w:sz w:val="22"/>
        </w:rPr>
        <w:t>building activities.</w:t>
      </w:r>
    </w:p>
    <w:p w14:paraId="154D8360" w14:textId="12702732" w:rsidR="002C4ADE" w:rsidRDefault="00F35445" w:rsidP="002C4ADE">
      <w:pPr>
        <w:spacing w:line="360" w:lineRule="auto"/>
        <w:rPr>
          <w:rFonts w:ascii="Arial" w:hAnsi="Arial" w:cs="Arial"/>
          <w:sz w:val="22"/>
        </w:rPr>
      </w:pPr>
      <w:r w:rsidRPr="002C4ADE">
        <w:rPr>
          <w:rFonts w:ascii="Arial" w:hAnsi="Arial" w:cs="Arial"/>
          <w:sz w:val="22"/>
        </w:rPr>
        <w:t>This source is highly relevant to health and social care practice because it provides practical, strengths</w:t>
      </w:r>
      <w:r w:rsidRPr="002C4ADE">
        <w:rPr>
          <w:rFonts w:ascii="Cambria Math" w:hAnsi="Cambria Math" w:cs="Cambria Math"/>
          <w:sz w:val="22"/>
        </w:rPr>
        <w:t>‑</w:t>
      </w:r>
      <w:r w:rsidRPr="002C4ADE">
        <w:rPr>
          <w:rFonts w:ascii="Arial" w:hAnsi="Arial" w:cs="Arial"/>
          <w:sz w:val="22"/>
        </w:rPr>
        <w:t>based strategies that can be integrated into daily care. PERMA</w:t>
      </w:r>
      <w:r w:rsidRPr="002C4ADE">
        <w:rPr>
          <w:rFonts w:ascii="Cambria Math" w:hAnsi="Cambria Math" w:cs="Cambria Math"/>
          <w:sz w:val="22"/>
        </w:rPr>
        <w:t>‑</w:t>
      </w:r>
      <w:r w:rsidRPr="002C4ADE">
        <w:rPr>
          <w:rFonts w:ascii="Arial" w:hAnsi="Arial" w:cs="Arial"/>
          <w:sz w:val="22"/>
        </w:rPr>
        <w:t>based interventions can reduce loneliness, enhance mood, and promote engagement among older adults, particularly those living with chronic illness or reduced independence. Seligman’s model supports a shift from deficit</w:t>
      </w:r>
      <w:r w:rsidRPr="002C4ADE">
        <w:rPr>
          <w:rFonts w:ascii="Cambria Math" w:hAnsi="Cambria Math" w:cs="Cambria Math"/>
          <w:sz w:val="22"/>
        </w:rPr>
        <w:t>‑</w:t>
      </w:r>
      <w:r w:rsidRPr="002C4ADE">
        <w:rPr>
          <w:rFonts w:ascii="Arial" w:hAnsi="Arial" w:cs="Arial"/>
          <w:sz w:val="22"/>
        </w:rPr>
        <w:t>focused views of ageing to an approach that emphasises capability, resilience, and flourishing—principles that align with person</w:t>
      </w:r>
      <w:r w:rsidRPr="002C4ADE">
        <w:rPr>
          <w:rFonts w:ascii="Cambria Math" w:hAnsi="Cambria Math" w:cs="Cambria Math"/>
          <w:sz w:val="22"/>
        </w:rPr>
        <w:t>‑</w:t>
      </w:r>
      <w:r w:rsidRPr="002C4ADE">
        <w:rPr>
          <w:rFonts w:ascii="Arial" w:hAnsi="Arial" w:cs="Arial"/>
          <w:sz w:val="22"/>
        </w:rPr>
        <w:t>centred care in residential settings. The model also provides a structured framework that staff can apply consistently across individual and group activities.</w:t>
      </w:r>
    </w:p>
    <w:p w14:paraId="7CB673D3" w14:textId="3DC04CC2" w:rsidR="00F35445" w:rsidRDefault="00F35445" w:rsidP="002C4ADE">
      <w:pPr>
        <w:spacing w:line="360" w:lineRule="auto"/>
        <w:rPr>
          <w:rFonts w:ascii="Arial" w:hAnsi="Arial" w:cs="Arial"/>
          <w:b/>
          <w:bCs/>
          <w:sz w:val="22"/>
        </w:rPr>
      </w:pPr>
      <w:r w:rsidRPr="00B940DB">
        <w:rPr>
          <w:rFonts w:ascii="Arial" w:hAnsi="Arial" w:cs="Arial"/>
          <w:b/>
          <w:bCs/>
          <w:sz w:val="22"/>
        </w:rPr>
        <w:t>4. Meaning</w:t>
      </w:r>
      <w:r w:rsidRPr="00B940DB">
        <w:rPr>
          <w:rFonts w:ascii="Cambria Math" w:hAnsi="Cambria Math" w:cs="Cambria Math"/>
          <w:b/>
          <w:bCs/>
          <w:sz w:val="22"/>
        </w:rPr>
        <w:t>‑</w:t>
      </w:r>
      <w:r w:rsidRPr="00B940DB">
        <w:rPr>
          <w:rFonts w:ascii="Arial" w:hAnsi="Arial" w:cs="Arial"/>
          <w:b/>
          <w:bCs/>
          <w:sz w:val="22"/>
        </w:rPr>
        <w:t>Making and Resilience in Later Life (Positive Psychology 2.0)</w:t>
      </w:r>
    </w:p>
    <w:p w14:paraId="152EE6B0" w14:textId="0AC7125A" w:rsidR="006477D1" w:rsidRPr="006477D1" w:rsidRDefault="006477D1" w:rsidP="002C4ADE">
      <w:pPr>
        <w:spacing w:line="360" w:lineRule="auto"/>
        <w:rPr>
          <w:sz w:val="22"/>
        </w:rPr>
      </w:pPr>
      <w:r w:rsidRPr="002C4ADE">
        <w:rPr>
          <w:rFonts w:ascii="Arial" w:hAnsi="Arial" w:cs="Arial"/>
          <w:sz w:val="22"/>
        </w:rPr>
        <w:t>Wong, P.T.P. (2011) ‘Positive psychology 2.0: Towards a balanced interactive model of the good life’, Canadian Psychology, 52(2), pp. 69</w:t>
      </w:r>
      <w:r w:rsidRPr="002C4ADE">
        <w:rPr>
          <w:sz w:val="22"/>
        </w:rPr>
        <w:t>–81</w:t>
      </w:r>
      <w:r w:rsidRPr="002E4762">
        <w:rPr>
          <w:sz w:val="22"/>
        </w:rPr>
        <w:t>.</w:t>
      </w:r>
    </w:p>
    <w:p w14:paraId="0AC92CBA" w14:textId="5E496989" w:rsidR="00F35445" w:rsidRPr="002C4ADE" w:rsidRDefault="00F35445" w:rsidP="002C4ADE">
      <w:pPr>
        <w:spacing w:line="360" w:lineRule="auto"/>
        <w:rPr>
          <w:rFonts w:ascii="Arial" w:hAnsi="Arial" w:cs="Arial"/>
          <w:sz w:val="22"/>
        </w:rPr>
      </w:pPr>
      <w:r w:rsidRPr="002C4ADE">
        <w:rPr>
          <w:rFonts w:ascii="Arial" w:hAnsi="Arial" w:cs="Arial"/>
          <w:sz w:val="22"/>
        </w:rPr>
        <w:t>Wong (2011) critiques early Positive Psychology for its emphasis on happiness and proposes Positive Psychology 2.0, a model that integrates both positive experiences and the capacity to cope with suffering. He introduces the concept of existential resilience, arguing that older adults who find meaning in adversity demonstrate stronger psychological well-being. The article highlights the importance of meaning</w:t>
      </w:r>
      <w:r w:rsidRPr="002C4ADE">
        <w:rPr>
          <w:rFonts w:ascii="Cambria Math" w:hAnsi="Cambria Math" w:cs="Cambria Math"/>
          <w:sz w:val="22"/>
        </w:rPr>
        <w:t>‑</w:t>
      </w:r>
      <w:r w:rsidRPr="002C4ADE">
        <w:rPr>
          <w:rFonts w:ascii="Arial" w:hAnsi="Arial" w:cs="Arial"/>
          <w:sz w:val="22"/>
        </w:rPr>
        <w:t>making, acceptance, and integrating both positive and negative life experiences.</w:t>
      </w:r>
    </w:p>
    <w:p w14:paraId="4A355D43" w14:textId="5C7379B9" w:rsidR="00277179" w:rsidRPr="002C4ADE" w:rsidRDefault="00F35445" w:rsidP="002C4ADE">
      <w:pPr>
        <w:spacing w:line="360" w:lineRule="auto"/>
        <w:rPr>
          <w:rFonts w:ascii="Arial" w:hAnsi="Arial" w:cs="Arial"/>
          <w:sz w:val="22"/>
        </w:rPr>
      </w:pPr>
      <w:r w:rsidRPr="002C4ADE">
        <w:rPr>
          <w:rFonts w:ascii="Arial" w:hAnsi="Arial" w:cs="Arial"/>
          <w:sz w:val="22"/>
        </w:rPr>
        <w:t>This source is particularly relevant for practitioners supporting older adults who experience bereavement, chronic illness, or existential distress. Wong’s model aligns with holistic and palliative care approaches by emphasising meaning</w:t>
      </w:r>
      <w:r w:rsidRPr="002C4ADE">
        <w:rPr>
          <w:rFonts w:ascii="Cambria Math" w:hAnsi="Cambria Math" w:cs="Cambria Math"/>
          <w:sz w:val="22"/>
        </w:rPr>
        <w:t>‑</w:t>
      </w:r>
      <w:r w:rsidRPr="002C4ADE">
        <w:rPr>
          <w:rFonts w:ascii="Arial" w:hAnsi="Arial" w:cs="Arial"/>
          <w:sz w:val="22"/>
        </w:rPr>
        <w:t xml:space="preserve">making, acceptance, and dignity as essential components of wellbeing. The framework supports interventions that help older </w:t>
      </w:r>
      <w:r w:rsidRPr="002C4ADE">
        <w:rPr>
          <w:rFonts w:ascii="Arial" w:hAnsi="Arial" w:cs="Arial"/>
          <w:sz w:val="22"/>
        </w:rPr>
        <w:lastRenderedPageBreak/>
        <w:t>adults reinterpret adversity, maintain purpose, and strengthen emotional resilience, making it highly applicable to complex care environments (Wong, 2011). It also provides a realistic and balanced approach that acknowledges the challenges associated with ageing.</w:t>
      </w:r>
    </w:p>
    <w:p w14:paraId="2CB772AD" w14:textId="6C5DA3CC" w:rsidR="00277179" w:rsidRPr="002C4ADE" w:rsidRDefault="00277179" w:rsidP="002C4ADE">
      <w:pPr>
        <w:spacing w:line="360" w:lineRule="auto"/>
        <w:jc w:val="center"/>
        <w:rPr>
          <w:rFonts w:ascii="Arial" w:hAnsi="Arial" w:cs="Arial"/>
          <w:b/>
          <w:bCs/>
          <w:sz w:val="22"/>
        </w:rPr>
      </w:pPr>
      <w:r w:rsidRPr="002C4ADE">
        <w:rPr>
          <w:rFonts w:ascii="Arial" w:hAnsi="Arial" w:cs="Arial"/>
          <w:b/>
          <w:bCs/>
          <w:sz w:val="22"/>
        </w:rPr>
        <w:t>Part B: Short Report</w:t>
      </w:r>
    </w:p>
    <w:p w14:paraId="14B71617" w14:textId="1C4FEA71" w:rsidR="00277179" w:rsidRPr="00D50A4A" w:rsidRDefault="00277179" w:rsidP="002C4ADE">
      <w:pPr>
        <w:spacing w:line="360" w:lineRule="auto"/>
        <w:rPr>
          <w:rFonts w:ascii="Arial" w:hAnsi="Arial" w:cs="Arial"/>
          <w:b/>
          <w:bCs/>
          <w:sz w:val="22"/>
        </w:rPr>
      </w:pPr>
      <w:r w:rsidRPr="00D50A4A">
        <w:rPr>
          <w:rFonts w:ascii="Arial" w:hAnsi="Arial" w:cs="Arial"/>
          <w:b/>
          <w:bCs/>
          <w:sz w:val="22"/>
        </w:rPr>
        <w:t xml:space="preserve">Applying Erikson’s Psychosocial Theory to Support Psychological </w:t>
      </w:r>
      <w:r w:rsidR="002E4762" w:rsidRPr="00D50A4A">
        <w:rPr>
          <w:rFonts w:ascii="Arial" w:hAnsi="Arial" w:cs="Arial"/>
          <w:b/>
          <w:bCs/>
          <w:sz w:val="22"/>
        </w:rPr>
        <w:t>Well-being</w:t>
      </w:r>
      <w:r w:rsidRPr="00D50A4A">
        <w:rPr>
          <w:rFonts w:ascii="Arial" w:hAnsi="Arial" w:cs="Arial"/>
          <w:b/>
          <w:bCs/>
          <w:sz w:val="22"/>
        </w:rPr>
        <w:t xml:space="preserve"> in Residential Care</w:t>
      </w:r>
    </w:p>
    <w:p w14:paraId="2A07770F" w14:textId="63D17AA2" w:rsidR="00277179" w:rsidRPr="00D50A4A" w:rsidRDefault="00277179" w:rsidP="002C4ADE">
      <w:pPr>
        <w:spacing w:line="360" w:lineRule="auto"/>
        <w:rPr>
          <w:rFonts w:ascii="Arial" w:hAnsi="Arial" w:cs="Arial"/>
          <w:b/>
          <w:bCs/>
          <w:sz w:val="22"/>
        </w:rPr>
      </w:pPr>
      <w:r w:rsidRPr="00D50A4A">
        <w:rPr>
          <w:rFonts w:ascii="Arial" w:hAnsi="Arial" w:cs="Arial"/>
          <w:b/>
          <w:bCs/>
          <w:sz w:val="22"/>
        </w:rPr>
        <w:t>Introduction</w:t>
      </w:r>
    </w:p>
    <w:p w14:paraId="06439017" w14:textId="06D58434" w:rsidR="00277179" w:rsidRPr="002C4ADE" w:rsidRDefault="00277179" w:rsidP="002C4ADE">
      <w:pPr>
        <w:spacing w:line="360" w:lineRule="auto"/>
        <w:rPr>
          <w:rFonts w:ascii="Arial" w:hAnsi="Arial" w:cs="Arial"/>
          <w:sz w:val="22"/>
        </w:rPr>
      </w:pPr>
      <w:r w:rsidRPr="002C4ADE">
        <w:rPr>
          <w:rFonts w:ascii="Arial" w:hAnsi="Arial" w:cs="Arial"/>
          <w:sz w:val="22"/>
        </w:rPr>
        <w:t>Older adults living in residential care settings often experience significant transitions, including changes in independence, social roles, and identity. These transitions can influence psychological well-being and may increase vulnerability to depression, loneliness, or loss of purpose. Erikson’s Psychosocial Theory, particularly the final stage of integrity versus despair, provides a useful framework for understanding the emotional needs of older adults and guiding supportive interventions. This report explains how Erikson’s theory can be applied in a care home environment, presents a real</w:t>
      </w:r>
      <w:r w:rsidRPr="002C4ADE">
        <w:rPr>
          <w:rFonts w:ascii="Cambria Math" w:hAnsi="Cambria Math" w:cs="Cambria Math"/>
          <w:sz w:val="22"/>
        </w:rPr>
        <w:t>‑</w:t>
      </w:r>
      <w:r w:rsidRPr="002C4ADE">
        <w:rPr>
          <w:rFonts w:ascii="Arial" w:hAnsi="Arial" w:cs="Arial"/>
          <w:sz w:val="22"/>
        </w:rPr>
        <w:t>world case scenario, and discusses a key challenge and strategy for implementation.</w:t>
      </w:r>
    </w:p>
    <w:p w14:paraId="13CFC7F0" w14:textId="5B3330D3" w:rsidR="00277179" w:rsidRPr="00D50A4A" w:rsidRDefault="00277179" w:rsidP="002C4ADE">
      <w:pPr>
        <w:spacing w:line="360" w:lineRule="auto"/>
        <w:rPr>
          <w:rFonts w:ascii="Arial" w:hAnsi="Arial" w:cs="Arial"/>
          <w:b/>
          <w:bCs/>
          <w:sz w:val="22"/>
        </w:rPr>
      </w:pPr>
      <w:r w:rsidRPr="00D50A4A">
        <w:rPr>
          <w:rFonts w:ascii="Arial" w:hAnsi="Arial" w:cs="Arial"/>
          <w:b/>
          <w:bCs/>
          <w:sz w:val="22"/>
        </w:rPr>
        <w:t>Applying Erikson’s Theory to Improve Well-being</w:t>
      </w:r>
    </w:p>
    <w:p w14:paraId="25AD836F" w14:textId="58382438" w:rsidR="00277179" w:rsidRPr="002C4ADE" w:rsidRDefault="00277179" w:rsidP="002C4ADE">
      <w:pPr>
        <w:spacing w:line="360" w:lineRule="auto"/>
        <w:rPr>
          <w:rFonts w:ascii="Arial" w:hAnsi="Arial" w:cs="Arial"/>
          <w:sz w:val="22"/>
        </w:rPr>
      </w:pPr>
      <w:r w:rsidRPr="002C4ADE">
        <w:rPr>
          <w:rFonts w:ascii="Arial" w:hAnsi="Arial" w:cs="Arial"/>
          <w:sz w:val="22"/>
        </w:rPr>
        <w:t>Erikson’s final psychosocial stage proposes that older adults evaluate their life as a whole and seek a sense of integrity, which involves acceptance, coherence, and meaning. When individuals struggle to integrate past experiences, they may experience despair, characterised by regret, hopelessness, or a sense of unfinished life tasks (Knight, 2004). This stage is particularly relevant in residential care, where older adults may reflect on their life achievements, losses, and changing roles.</w:t>
      </w:r>
    </w:p>
    <w:p w14:paraId="40C52833" w14:textId="7CD24F7B" w:rsidR="00277179" w:rsidRPr="002C4ADE" w:rsidRDefault="00277179" w:rsidP="002C4ADE">
      <w:pPr>
        <w:spacing w:line="360" w:lineRule="auto"/>
        <w:rPr>
          <w:rFonts w:ascii="Arial" w:hAnsi="Arial" w:cs="Arial"/>
          <w:sz w:val="22"/>
        </w:rPr>
      </w:pPr>
      <w:r w:rsidRPr="002C4ADE">
        <w:rPr>
          <w:rFonts w:ascii="Arial" w:hAnsi="Arial" w:cs="Arial"/>
          <w:sz w:val="22"/>
        </w:rPr>
        <w:t>Health and social care professionals can apply Erikson’s theory by supporting residents to engage in life</w:t>
      </w:r>
      <w:r w:rsidRPr="002C4ADE">
        <w:rPr>
          <w:rFonts w:ascii="Cambria Math" w:hAnsi="Cambria Math" w:cs="Cambria Math"/>
          <w:sz w:val="22"/>
        </w:rPr>
        <w:t>‑</w:t>
      </w:r>
      <w:r w:rsidRPr="002C4ADE">
        <w:rPr>
          <w:rFonts w:ascii="Arial" w:hAnsi="Arial" w:cs="Arial"/>
          <w:sz w:val="22"/>
        </w:rPr>
        <w:t>review, reminiscence, and meaning</w:t>
      </w:r>
      <w:r w:rsidRPr="002C4ADE">
        <w:rPr>
          <w:rFonts w:ascii="Cambria Math" w:hAnsi="Cambria Math" w:cs="Cambria Math"/>
          <w:sz w:val="22"/>
        </w:rPr>
        <w:t>‑</w:t>
      </w:r>
      <w:r w:rsidRPr="002C4ADE">
        <w:rPr>
          <w:rFonts w:ascii="Arial" w:hAnsi="Arial" w:cs="Arial"/>
          <w:sz w:val="22"/>
        </w:rPr>
        <w:t>focused conversations. Evidence indicates that structured life</w:t>
      </w:r>
      <w:r w:rsidRPr="002C4ADE">
        <w:rPr>
          <w:rFonts w:ascii="Cambria Math" w:hAnsi="Cambria Math" w:cs="Cambria Math"/>
          <w:sz w:val="22"/>
        </w:rPr>
        <w:t>‑</w:t>
      </w:r>
      <w:r w:rsidRPr="002C4ADE">
        <w:rPr>
          <w:rFonts w:ascii="Arial" w:hAnsi="Arial" w:cs="Arial"/>
          <w:sz w:val="22"/>
        </w:rPr>
        <w:t>review interventions can reduce depressive symptoms, enhance identity continuity, and promote emotional stability (Knight, 2004). These interventions allow older adults to articulate their experiences, recognise personal strengths, and make sense of their life narrative.</w:t>
      </w:r>
    </w:p>
    <w:p w14:paraId="1D466F2A" w14:textId="5511A33E" w:rsidR="00D50A4A" w:rsidRDefault="00277179" w:rsidP="002C4ADE">
      <w:pPr>
        <w:spacing w:line="360" w:lineRule="auto"/>
        <w:rPr>
          <w:rFonts w:ascii="Arial" w:hAnsi="Arial" w:cs="Arial"/>
          <w:sz w:val="22"/>
        </w:rPr>
      </w:pPr>
      <w:r w:rsidRPr="002C4ADE">
        <w:rPr>
          <w:rFonts w:ascii="Arial" w:hAnsi="Arial" w:cs="Arial"/>
          <w:sz w:val="22"/>
        </w:rPr>
        <w:t xml:space="preserve">Malone et al. (2016) further demonstrate that individuals with higher levels of generativity and ego integrity earlier in adulthood show better emotional regulation and lower depression in later life. This suggests that supporting older adults to reconnect with meaningful experiences and social roles may contribute to improved well-being. In residential care, this </w:t>
      </w:r>
      <w:r w:rsidRPr="002C4ADE">
        <w:rPr>
          <w:rFonts w:ascii="Arial" w:hAnsi="Arial" w:cs="Arial"/>
          <w:sz w:val="22"/>
        </w:rPr>
        <w:lastRenderedPageBreak/>
        <w:t>can be achieved through personalised care planning, activities that reflect residents’ interests, and opportunities for purposeful engagement.</w:t>
      </w:r>
    </w:p>
    <w:p w14:paraId="0F95EAFA" w14:textId="5B13AFA7" w:rsidR="00277179" w:rsidRPr="002C4ADE" w:rsidRDefault="00277179" w:rsidP="002C4ADE">
      <w:pPr>
        <w:spacing w:line="360" w:lineRule="auto"/>
        <w:rPr>
          <w:rFonts w:ascii="Arial" w:hAnsi="Arial" w:cs="Arial"/>
          <w:sz w:val="22"/>
        </w:rPr>
      </w:pPr>
      <w:r w:rsidRPr="00D50A4A">
        <w:rPr>
          <w:rFonts w:ascii="Arial" w:hAnsi="Arial" w:cs="Arial"/>
          <w:b/>
          <w:bCs/>
          <w:sz w:val="22"/>
        </w:rPr>
        <w:t>Practical applications of Erikson’s theory may include:</w:t>
      </w:r>
    </w:p>
    <w:p w14:paraId="05644241" w14:textId="77777777" w:rsidR="00277179" w:rsidRPr="002C4ADE" w:rsidRDefault="00277179" w:rsidP="002C4ADE">
      <w:pPr>
        <w:spacing w:line="360" w:lineRule="auto"/>
        <w:rPr>
          <w:rFonts w:ascii="Arial" w:hAnsi="Arial" w:cs="Arial"/>
          <w:sz w:val="22"/>
        </w:rPr>
      </w:pPr>
      <w:r w:rsidRPr="002C4ADE">
        <w:rPr>
          <w:rFonts w:ascii="Arial" w:hAnsi="Arial" w:cs="Arial"/>
          <w:sz w:val="22"/>
        </w:rPr>
        <w:t>• Life</w:t>
      </w:r>
      <w:r w:rsidRPr="002C4ADE">
        <w:rPr>
          <w:rFonts w:ascii="Cambria Math" w:hAnsi="Cambria Math" w:cs="Cambria Math"/>
          <w:sz w:val="22"/>
        </w:rPr>
        <w:t>‑</w:t>
      </w:r>
      <w:r w:rsidRPr="002C4ADE">
        <w:rPr>
          <w:rFonts w:ascii="Arial" w:hAnsi="Arial" w:cs="Arial"/>
          <w:sz w:val="22"/>
        </w:rPr>
        <w:t>story work, where residents create written or visual accounts of their life experiences.</w:t>
      </w:r>
    </w:p>
    <w:p w14:paraId="724E6B63" w14:textId="77777777" w:rsidR="00277179" w:rsidRPr="002C4ADE" w:rsidRDefault="00277179" w:rsidP="002C4ADE">
      <w:pPr>
        <w:spacing w:line="360" w:lineRule="auto"/>
        <w:rPr>
          <w:rFonts w:ascii="Arial" w:hAnsi="Arial" w:cs="Arial"/>
          <w:sz w:val="22"/>
        </w:rPr>
      </w:pPr>
      <w:r w:rsidRPr="002C4ADE">
        <w:rPr>
          <w:rFonts w:ascii="Arial" w:hAnsi="Arial" w:cs="Arial"/>
          <w:sz w:val="22"/>
        </w:rPr>
        <w:t>• Reminiscence groups, using photographs, music, or objects to stimulate memory and discussion.</w:t>
      </w:r>
    </w:p>
    <w:p w14:paraId="457AA283" w14:textId="77777777" w:rsidR="00277179" w:rsidRPr="002C4ADE" w:rsidRDefault="00277179" w:rsidP="002C4ADE">
      <w:pPr>
        <w:spacing w:line="360" w:lineRule="auto"/>
        <w:rPr>
          <w:rFonts w:ascii="Arial" w:hAnsi="Arial" w:cs="Arial"/>
          <w:sz w:val="22"/>
        </w:rPr>
      </w:pPr>
      <w:r w:rsidRPr="002C4ADE">
        <w:rPr>
          <w:rFonts w:ascii="Arial" w:hAnsi="Arial" w:cs="Arial"/>
          <w:sz w:val="22"/>
        </w:rPr>
        <w:t>• Purpose</w:t>
      </w:r>
      <w:r w:rsidRPr="002C4ADE">
        <w:rPr>
          <w:rFonts w:ascii="Cambria Math" w:hAnsi="Cambria Math" w:cs="Cambria Math"/>
          <w:sz w:val="22"/>
        </w:rPr>
        <w:t>‑</w:t>
      </w:r>
      <w:r w:rsidRPr="002C4ADE">
        <w:rPr>
          <w:rFonts w:ascii="Arial" w:hAnsi="Arial" w:cs="Arial"/>
          <w:sz w:val="22"/>
        </w:rPr>
        <w:t>focused activities, such as mentoring, creative projects, or community involvement.</w:t>
      </w:r>
    </w:p>
    <w:p w14:paraId="0CE02EBC" w14:textId="38B58CDE" w:rsidR="00277179" w:rsidRPr="002C4ADE" w:rsidRDefault="00277179" w:rsidP="002C4ADE">
      <w:pPr>
        <w:spacing w:line="360" w:lineRule="auto"/>
        <w:rPr>
          <w:rFonts w:ascii="Arial" w:hAnsi="Arial" w:cs="Arial"/>
          <w:sz w:val="22"/>
        </w:rPr>
      </w:pPr>
      <w:r w:rsidRPr="002C4ADE">
        <w:rPr>
          <w:rFonts w:ascii="Arial" w:hAnsi="Arial" w:cs="Arial"/>
          <w:sz w:val="22"/>
        </w:rPr>
        <w:t>• Individual reflective conversations, integrated into daily care routines.</w:t>
      </w:r>
    </w:p>
    <w:p w14:paraId="5C35DD89" w14:textId="20B07717" w:rsidR="00B940DB" w:rsidRPr="002C4ADE" w:rsidRDefault="00277179" w:rsidP="002C4ADE">
      <w:pPr>
        <w:spacing w:line="360" w:lineRule="auto"/>
        <w:rPr>
          <w:rFonts w:ascii="Arial" w:hAnsi="Arial" w:cs="Arial"/>
          <w:sz w:val="22"/>
        </w:rPr>
      </w:pPr>
      <w:r w:rsidRPr="002C4ADE">
        <w:rPr>
          <w:rFonts w:ascii="Arial" w:hAnsi="Arial" w:cs="Arial"/>
          <w:sz w:val="22"/>
        </w:rPr>
        <w:t>These approaches support emotional resilience, strengthen identity, and promote a sense of continuity during a period of significant change.</w:t>
      </w:r>
    </w:p>
    <w:p w14:paraId="5F300FAC" w14:textId="526F5AD0" w:rsidR="00277179" w:rsidRPr="002C4ADE" w:rsidRDefault="00277179" w:rsidP="002C4ADE">
      <w:pPr>
        <w:spacing w:line="360" w:lineRule="auto"/>
        <w:rPr>
          <w:rFonts w:ascii="Arial" w:hAnsi="Arial" w:cs="Arial"/>
          <w:b/>
          <w:bCs/>
          <w:sz w:val="22"/>
        </w:rPr>
      </w:pPr>
      <w:r w:rsidRPr="002C4ADE">
        <w:rPr>
          <w:rFonts w:ascii="Arial" w:hAnsi="Arial" w:cs="Arial"/>
          <w:b/>
          <w:bCs/>
          <w:sz w:val="22"/>
        </w:rPr>
        <w:t>Case Scenario: Application in Practice</w:t>
      </w:r>
    </w:p>
    <w:p w14:paraId="1C628C52" w14:textId="3F18D957" w:rsidR="00277179" w:rsidRPr="002C4ADE" w:rsidRDefault="00277179" w:rsidP="002C4ADE">
      <w:pPr>
        <w:spacing w:line="360" w:lineRule="auto"/>
        <w:rPr>
          <w:rFonts w:ascii="Arial" w:hAnsi="Arial" w:cs="Arial"/>
          <w:sz w:val="22"/>
        </w:rPr>
      </w:pPr>
      <w:r w:rsidRPr="002C4ADE">
        <w:rPr>
          <w:rFonts w:ascii="Arial" w:hAnsi="Arial" w:cs="Arial"/>
          <w:sz w:val="22"/>
        </w:rPr>
        <w:t>Mrs Patel, an 84</w:t>
      </w:r>
      <w:r w:rsidRPr="002C4ADE">
        <w:rPr>
          <w:rFonts w:ascii="Cambria Math" w:hAnsi="Cambria Math" w:cs="Cambria Math"/>
          <w:sz w:val="22"/>
        </w:rPr>
        <w:t>‑</w:t>
      </w:r>
      <w:r w:rsidRPr="002C4ADE">
        <w:rPr>
          <w:rFonts w:ascii="Arial" w:hAnsi="Arial" w:cs="Arial"/>
          <w:sz w:val="22"/>
        </w:rPr>
        <w:t>year</w:t>
      </w:r>
      <w:r w:rsidRPr="002C4ADE">
        <w:rPr>
          <w:rFonts w:ascii="Cambria Math" w:hAnsi="Cambria Math" w:cs="Cambria Math"/>
          <w:sz w:val="22"/>
        </w:rPr>
        <w:t>‑</w:t>
      </w:r>
      <w:r w:rsidRPr="002C4ADE">
        <w:rPr>
          <w:rFonts w:ascii="Arial" w:hAnsi="Arial" w:cs="Arial"/>
          <w:sz w:val="22"/>
        </w:rPr>
        <w:t>old resident, recently moved into a care home following a decline in mobility. She expressed feelings of sadness and stated that she “no longer contributed anything meaningful.” Staff observed that she withdrew from group activities and appeared disengaged.</w:t>
      </w:r>
    </w:p>
    <w:p w14:paraId="13BE0CCC" w14:textId="7CFDAFF8" w:rsidR="00277179" w:rsidRPr="002C4ADE" w:rsidRDefault="00277179" w:rsidP="002C4ADE">
      <w:pPr>
        <w:spacing w:line="360" w:lineRule="auto"/>
        <w:rPr>
          <w:rFonts w:ascii="Arial" w:hAnsi="Arial" w:cs="Arial"/>
          <w:sz w:val="22"/>
        </w:rPr>
      </w:pPr>
      <w:r w:rsidRPr="002C4ADE">
        <w:rPr>
          <w:rFonts w:ascii="Arial" w:hAnsi="Arial" w:cs="Arial"/>
          <w:sz w:val="22"/>
        </w:rPr>
        <w:t>Using Erikson’s framework, the care team recognised indicators of despair, including regret, loss of purpose, and reduced self</w:t>
      </w:r>
      <w:r w:rsidRPr="002C4ADE">
        <w:rPr>
          <w:rFonts w:ascii="Cambria Math" w:hAnsi="Cambria Math" w:cs="Cambria Math"/>
          <w:sz w:val="22"/>
        </w:rPr>
        <w:t>‑</w:t>
      </w:r>
      <w:r w:rsidRPr="002C4ADE">
        <w:rPr>
          <w:rFonts w:ascii="Arial" w:hAnsi="Arial" w:cs="Arial"/>
          <w:sz w:val="22"/>
        </w:rPr>
        <w:t>esteem. A senior care worker initiated a structured life</w:t>
      </w:r>
      <w:r w:rsidRPr="002C4ADE">
        <w:rPr>
          <w:rFonts w:ascii="Cambria Math" w:hAnsi="Cambria Math" w:cs="Cambria Math"/>
          <w:sz w:val="22"/>
        </w:rPr>
        <w:t>‑</w:t>
      </w:r>
      <w:r w:rsidRPr="002C4ADE">
        <w:rPr>
          <w:rFonts w:ascii="Arial" w:hAnsi="Arial" w:cs="Arial"/>
          <w:sz w:val="22"/>
        </w:rPr>
        <w:t>review intervention, meeting with Mrs Patel weekly to explore key life themes such as family, migration, community involvement, and her long career as a primary school teacher.</w:t>
      </w:r>
    </w:p>
    <w:p w14:paraId="695DBE5E" w14:textId="2B54B056" w:rsidR="00277179" w:rsidRPr="002C4ADE" w:rsidRDefault="00277179" w:rsidP="002C4ADE">
      <w:pPr>
        <w:spacing w:line="360" w:lineRule="auto"/>
        <w:rPr>
          <w:rFonts w:ascii="Arial" w:hAnsi="Arial" w:cs="Arial"/>
          <w:sz w:val="22"/>
        </w:rPr>
      </w:pPr>
      <w:r w:rsidRPr="002C4ADE">
        <w:rPr>
          <w:rFonts w:ascii="Arial" w:hAnsi="Arial" w:cs="Arial"/>
          <w:sz w:val="22"/>
        </w:rPr>
        <w:t>During these sessions, Mrs Patel spoke positively about her passion for supporting children’s learning. In response, the activities coordinator developed a small literacy group where Mrs Patel could read stories to other residents and assist with simple writing activities. This allowed her to reconnect with a meaningful role and experience a renewed sense of purpose.</w:t>
      </w:r>
    </w:p>
    <w:p w14:paraId="4C5D172E" w14:textId="77777777" w:rsidR="00277179" w:rsidRPr="002C4ADE" w:rsidRDefault="00277179" w:rsidP="002C4ADE">
      <w:pPr>
        <w:spacing w:line="360" w:lineRule="auto"/>
        <w:rPr>
          <w:rFonts w:ascii="Arial" w:hAnsi="Arial" w:cs="Arial"/>
          <w:sz w:val="22"/>
        </w:rPr>
      </w:pPr>
      <w:r w:rsidRPr="002C4ADE">
        <w:rPr>
          <w:rFonts w:ascii="Arial" w:hAnsi="Arial" w:cs="Arial"/>
          <w:sz w:val="22"/>
        </w:rPr>
        <w:t>Over time, staff observed improvements in her mood, engagement, and social interaction.</w:t>
      </w:r>
    </w:p>
    <w:p w14:paraId="03B6D5BC" w14:textId="2CD5609C" w:rsidR="00D50A4A" w:rsidRDefault="00277179" w:rsidP="002C4ADE">
      <w:pPr>
        <w:spacing w:line="360" w:lineRule="auto"/>
        <w:rPr>
          <w:rFonts w:ascii="Arial" w:hAnsi="Arial" w:cs="Arial"/>
          <w:sz w:val="22"/>
        </w:rPr>
      </w:pPr>
      <w:r w:rsidRPr="002C4ADE">
        <w:rPr>
          <w:rFonts w:ascii="Arial" w:hAnsi="Arial" w:cs="Arial"/>
          <w:sz w:val="22"/>
        </w:rPr>
        <w:t xml:space="preserve">Mrs Patel reported feeling “valued again” and expressed pride in contributing to the </w:t>
      </w:r>
      <w:r w:rsidR="002E4762" w:rsidRPr="002C4ADE">
        <w:rPr>
          <w:rFonts w:ascii="Arial" w:hAnsi="Arial" w:cs="Arial"/>
          <w:sz w:val="22"/>
        </w:rPr>
        <w:t>well-being</w:t>
      </w:r>
      <w:r w:rsidRPr="002C4ADE">
        <w:rPr>
          <w:rFonts w:ascii="Arial" w:hAnsi="Arial" w:cs="Arial"/>
          <w:sz w:val="22"/>
        </w:rPr>
        <w:t xml:space="preserve"> of others. This scenario demonstrates how applying Erikson’s theory can support psychological </w:t>
      </w:r>
      <w:r w:rsidR="002E4762" w:rsidRPr="002C4ADE">
        <w:rPr>
          <w:rFonts w:ascii="Arial" w:hAnsi="Arial" w:cs="Arial"/>
          <w:sz w:val="22"/>
        </w:rPr>
        <w:t>well-being</w:t>
      </w:r>
      <w:r w:rsidRPr="002C4ADE">
        <w:rPr>
          <w:rFonts w:ascii="Arial" w:hAnsi="Arial" w:cs="Arial"/>
          <w:sz w:val="22"/>
        </w:rPr>
        <w:t xml:space="preserve"> by promoting integrity, purpose, and identity continuity.</w:t>
      </w:r>
    </w:p>
    <w:p w14:paraId="0E1E2261" w14:textId="4ADFB886" w:rsidR="00277179" w:rsidRPr="002C4ADE" w:rsidRDefault="00277179" w:rsidP="002C4ADE">
      <w:pPr>
        <w:spacing w:line="360" w:lineRule="auto"/>
        <w:rPr>
          <w:rFonts w:ascii="Arial" w:hAnsi="Arial" w:cs="Arial"/>
          <w:b/>
          <w:bCs/>
          <w:sz w:val="22"/>
        </w:rPr>
      </w:pPr>
      <w:r w:rsidRPr="002C4ADE">
        <w:rPr>
          <w:rFonts w:ascii="Arial" w:hAnsi="Arial" w:cs="Arial"/>
          <w:b/>
          <w:bCs/>
          <w:sz w:val="22"/>
        </w:rPr>
        <w:t>Challenge: Time and Staffing Constraints</w:t>
      </w:r>
    </w:p>
    <w:p w14:paraId="1EF8D3BD" w14:textId="10E7FD71" w:rsidR="00D50A4A" w:rsidRPr="00B940DB" w:rsidRDefault="00277179" w:rsidP="002C4ADE">
      <w:pPr>
        <w:spacing w:line="360" w:lineRule="auto"/>
        <w:rPr>
          <w:rFonts w:ascii="Arial" w:hAnsi="Arial" w:cs="Arial"/>
          <w:sz w:val="22"/>
        </w:rPr>
      </w:pPr>
      <w:r w:rsidRPr="002C4ADE">
        <w:rPr>
          <w:rFonts w:ascii="Arial" w:hAnsi="Arial" w:cs="Arial"/>
          <w:sz w:val="22"/>
        </w:rPr>
        <w:lastRenderedPageBreak/>
        <w:t>A significant challenge in applying Erikson</w:t>
      </w:r>
      <w:r w:rsidRPr="002C4ADE">
        <w:rPr>
          <w:rFonts w:ascii="Cambria Math" w:hAnsi="Cambria Math" w:cs="Cambria Math"/>
          <w:sz w:val="22"/>
        </w:rPr>
        <w:t>‑</w:t>
      </w:r>
      <w:r w:rsidRPr="002C4ADE">
        <w:rPr>
          <w:rFonts w:ascii="Arial" w:hAnsi="Arial" w:cs="Arial"/>
          <w:sz w:val="22"/>
        </w:rPr>
        <w:t>based interventions is the time required for meaningful life</w:t>
      </w:r>
      <w:r w:rsidRPr="002C4ADE">
        <w:rPr>
          <w:rFonts w:ascii="Cambria Math" w:hAnsi="Cambria Math" w:cs="Cambria Math"/>
          <w:sz w:val="22"/>
        </w:rPr>
        <w:t>‑</w:t>
      </w:r>
      <w:r w:rsidRPr="002C4ADE">
        <w:rPr>
          <w:rFonts w:ascii="Arial" w:hAnsi="Arial" w:cs="Arial"/>
          <w:sz w:val="22"/>
        </w:rPr>
        <w:t>review work. Residential care settings often experience staffing pressures, high workloads, and task</w:t>
      </w:r>
      <w:r w:rsidRPr="002C4ADE">
        <w:rPr>
          <w:rFonts w:ascii="Cambria Math" w:hAnsi="Cambria Math" w:cs="Cambria Math"/>
          <w:sz w:val="22"/>
        </w:rPr>
        <w:t>‑</w:t>
      </w:r>
      <w:r w:rsidRPr="002C4ADE">
        <w:rPr>
          <w:rFonts w:ascii="Arial" w:hAnsi="Arial" w:cs="Arial"/>
          <w:sz w:val="22"/>
        </w:rPr>
        <w:t>focused routines. These constraints may limit opportunities for extended reflective conversations or personalised activities. Without adequate time, interventions risk becoming superficial, reducing their effectiveness and potentially leaving residents feeling unheard.</w:t>
      </w:r>
    </w:p>
    <w:p w14:paraId="24C3F6FA" w14:textId="6C449AF0" w:rsidR="00277179" w:rsidRPr="002C4ADE" w:rsidRDefault="00277179" w:rsidP="002C4ADE">
      <w:pPr>
        <w:spacing w:line="360" w:lineRule="auto"/>
        <w:rPr>
          <w:rFonts w:ascii="Arial" w:hAnsi="Arial" w:cs="Arial"/>
          <w:b/>
          <w:bCs/>
          <w:sz w:val="22"/>
        </w:rPr>
      </w:pPr>
      <w:r w:rsidRPr="002C4ADE">
        <w:rPr>
          <w:rFonts w:ascii="Arial" w:hAnsi="Arial" w:cs="Arial"/>
          <w:b/>
          <w:bCs/>
          <w:sz w:val="22"/>
        </w:rPr>
        <w:t>Strategy to Overcome the Challenge</w:t>
      </w:r>
    </w:p>
    <w:p w14:paraId="05B3BE81" w14:textId="25F6168D" w:rsidR="00277179" w:rsidRPr="002C4ADE" w:rsidRDefault="00277179" w:rsidP="002C4ADE">
      <w:pPr>
        <w:spacing w:line="360" w:lineRule="auto"/>
        <w:rPr>
          <w:rFonts w:ascii="Arial" w:hAnsi="Arial" w:cs="Arial"/>
          <w:sz w:val="22"/>
        </w:rPr>
      </w:pPr>
      <w:r w:rsidRPr="002C4ADE">
        <w:rPr>
          <w:rFonts w:ascii="Arial" w:hAnsi="Arial" w:cs="Arial"/>
          <w:sz w:val="22"/>
        </w:rPr>
        <w:t>One effective strategy is to integrate life</w:t>
      </w:r>
      <w:r w:rsidRPr="002C4ADE">
        <w:rPr>
          <w:rFonts w:ascii="Cambria Math" w:hAnsi="Cambria Math" w:cs="Cambria Math"/>
          <w:sz w:val="22"/>
        </w:rPr>
        <w:t>‑</w:t>
      </w:r>
      <w:r w:rsidRPr="002C4ADE">
        <w:rPr>
          <w:rFonts w:ascii="Arial" w:hAnsi="Arial" w:cs="Arial"/>
          <w:sz w:val="22"/>
        </w:rPr>
        <w:t>review principles into everyday interactions, rather than relying solely on dedicated sessions. Staff can be trained to use brief, meaningful prompts during routine care tasks, such as asking residents about past interests, achievements, or significant life events. These short conversations accumulate over time and contribute to a deeper understanding of the resident’s identity.</w:t>
      </w:r>
    </w:p>
    <w:p w14:paraId="4384CCC7" w14:textId="2EF29771" w:rsidR="00B940DB" w:rsidRPr="00B940DB" w:rsidRDefault="00277179" w:rsidP="002C4ADE">
      <w:pPr>
        <w:spacing w:line="360" w:lineRule="auto"/>
        <w:rPr>
          <w:rFonts w:ascii="Arial" w:hAnsi="Arial" w:cs="Arial"/>
          <w:sz w:val="22"/>
        </w:rPr>
      </w:pPr>
      <w:r w:rsidRPr="002C4ADE">
        <w:rPr>
          <w:rFonts w:ascii="Arial" w:hAnsi="Arial" w:cs="Arial"/>
          <w:sz w:val="22"/>
        </w:rPr>
        <w:t>Additionally, care homes can implement structured group reminiscence activities facilitated by activity coordinators or volunteers. This reduces pressure on care staff while ensuring that residents still benefit from reflective engagement. Memory boxes, themed discussion groups, and photo</w:t>
      </w:r>
      <w:r w:rsidRPr="002C4ADE">
        <w:rPr>
          <w:rFonts w:ascii="Cambria Math" w:hAnsi="Cambria Math" w:cs="Cambria Math"/>
          <w:sz w:val="22"/>
        </w:rPr>
        <w:t>‑</w:t>
      </w:r>
      <w:r w:rsidRPr="002C4ADE">
        <w:rPr>
          <w:rFonts w:ascii="Arial" w:hAnsi="Arial" w:cs="Arial"/>
          <w:sz w:val="22"/>
        </w:rPr>
        <w:t>based storytelling sessions can be used to support collective life</w:t>
      </w:r>
      <w:r w:rsidRPr="002C4ADE">
        <w:rPr>
          <w:rFonts w:ascii="Cambria Math" w:hAnsi="Cambria Math" w:cs="Cambria Math"/>
          <w:sz w:val="22"/>
        </w:rPr>
        <w:t>‑</w:t>
      </w:r>
      <w:r w:rsidRPr="002C4ADE">
        <w:rPr>
          <w:rFonts w:ascii="Arial" w:hAnsi="Arial" w:cs="Arial"/>
          <w:sz w:val="22"/>
        </w:rPr>
        <w:t>review in a manageable and sustainable way.</w:t>
      </w:r>
    </w:p>
    <w:p w14:paraId="277B9357" w14:textId="22A588FB" w:rsidR="00277179" w:rsidRPr="002C4ADE" w:rsidRDefault="00277179" w:rsidP="002C4ADE">
      <w:pPr>
        <w:spacing w:line="360" w:lineRule="auto"/>
        <w:rPr>
          <w:rFonts w:ascii="Arial" w:hAnsi="Arial" w:cs="Arial"/>
          <w:b/>
          <w:bCs/>
          <w:sz w:val="22"/>
        </w:rPr>
      </w:pPr>
      <w:r w:rsidRPr="002C4ADE">
        <w:rPr>
          <w:rFonts w:ascii="Arial" w:hAnsi="Arial" w:cs="Arial"/>
          <w:b/>
          <w:bCs/>
          <w:sz w:val="22"/>
        </w:rPr>
        <w:t>Conclusion</w:t>
      </w:r>
    </w:p>
    <w:p w14:paraId="486BD7DA" w14:textId="77777777" w:rsidR="00D50A4A" w:rsidRDefault="00277179" w:rsidP="002C4ADE">
      <w:pPr>
        <w:spacing w:line="360" w:lineRule="auto"/>
        <w:rPr>
          <w:rFonts w:ascii="Arial" w:hAnsi="Arial" w:cs="Arial"/>
          <w:sz w:val="22"/>
        </w:rPr>
      </w:pPr>
      <w:r w:rsidRPr="002C4ADE">
        <w:rPr>
          <w:rFonts w:ascii="Arial" w:hAnsi="Arial" w:cs="Arial"/>
          <w:sz w:val="22"/>
        </w:rPr>
        <w:t xml:space="preserve">Erikson’s Psychosocial Theory provides a valuable framework for supporting psychological </w:t>
      </w:r>
      <w:r w:rsidR="002E4762" w:rsidRPr="002C4ADE">
        <w:rPr>
          <w:rFonts w:ascii="Arial" w:hAnsi="Arial" w:cs="Arial"/>
          <w:sz w:val="22"/>
        </w:rPr>
        <w:t>well-being</w:t>
      </w:r>
      <w:r w:rsidRPr="002C4ADE">
        <w:rPr>
          <w:rFonts w:ascii="Arial" w:hAnsi="Arial" w:cs="Arial"/>
          <w:sz w:val="22"/>
        </w:rPr>
        <w:t xml:space="preserve"> in older adults living in residential care. By promoting life</w:t>
      </w:r>
      <w:r w:rsidRPr="002C4ADE">
        <w:rPr>
          <w:rFonts w:ascii="Cambria Math" w:hAnsi="Cambria Math" w:cs="Cambria Math"/>
          <w:sz w:val="22"/>
        </w:rPr>
        <w:t>‑</w:t>
      </w:r>
      <w:r w:rsidRPr="002C4ADE">
        <w:rPr>
          <w:rFonts w:ascii="Arial" w:hAnsi="Arial" w:cs="Arial"/>
          <w:sz w:val="22"/>
        </w:rPr>
        <w:t>review, meaning</w:t>
      </w:r>
      <w:r w:rsidRPr="002C4ADE">
        <w:rPr>
          <w:rFonts w:ascii="Cambria Math" w:hAnsi="Cambria Math" w:cs="Cambria Math"/>
          <w:sz w:val="22"/>
        </w:rPr>
        <w:t>‑</w:t>
      </w:r>
      <w:r w:rsidRPr="002C4ADE">
        <w:rPr>
          <w:rFonts w:ascii="Arial" w:hAnsi="Arial" w:cs="Arial"/>
          <w:sz w:val="22"/>
        </w:rPr>
        <w:t>making, and identity continuity, care professionals can help residents achieve a sense of integrity and reduce the risk of despair. Although staffing pressures present challenges, integrating reflective practice into daily interactions and using structured group activities can make this approach practical and effective. Applying Erikson’s theory in this way contributes to a compassionate, person</w:t>
      </w:r>
      <w:r w:rsidRPr="002C4ADE">
        <w:rPr>
          <w:rFonts w:ascii="Cambria Math" w:hAnsi="Cambria Math" w:cs="Cambria Math"/>
          <w:sz w:val="22"/>
        </w:rPr>
        <w:t>‑</w:t>
      </w:r>
      <w:r w:rsidRPr="002C4ADE">
        <w:rPr>
          <w:rFonts w:ascii="Arial" w:hAnsi="Arial" w:cs="Arial"/>
          <w:sz w:val="22"/>
        </w:rPr>
        <w:t xml:space="preserve">centred care environment that supports dignity, purpose, and emotional </w:t>
      </w:r>
      <w:r w:rsidR="002E4762" w:rsidRPr="002C4ADE">
        <w:rPr>
          <w:rFonts w:ascii="Arial" w:hAnsi="Arial" w:cs="Arial"/>
          <w:sz w:val="22"/>
        </w:rPr>
        <w:t>well-being</w:t>
      </w:r>
      <w:r w:rsidR="00D50A4A">
        <w:rPr>
          <w:rFonts w:ascii="Arial" w:hAnsi="Arial" w:cs="Arial"/>
          <w:sz w:val="22"/>
        </w:rPr>
        <w:t>.</w:t>
      </w:r>
    </w:p>
    <w:p w14:paraId="58F7941A" w14:textId="77777777" w:rsidR="00D50A4A" w:rsidRDefault="00D50A4A" w:rsidP="002C4ADE">
      <w:pPr>
        <w:spacing w:line="360" w:lineRule="auto"/>
        <w:rPr>
          <w:rFonts w:ascii="Arial" w:hAnsi="Arial" w:cs="Arial"/>
          <w:b/>
          <w:bCs/>
          <w:sz w:val="22"/>
        </w:rPr>
      </w:pPr>
    </w:p>
    <w:p w14:paraId="7F16AC2F" w14:textId="77777777" w:rsidR="00D50A4A" w:rsidRDefault="00D50A4A" w:rsidP="002C4ADE">
      <w:pPr>
        <w:spacing w:line="360" w:lineRule="auto"/>
        <w:rPr>
          <w:rFonts w:ascii="Arial" w:hAnsi="Arial" w:cs="Arial"/>
          <w:b/>
          <w:bCs/>
          <w:sz w:val="22"/>
        </w:rPr>
      </w:pPr>
    </w:p>
    <w:p w14:paraId="114F5E40" w14:textId="77777777" w:rsidR="00B940DB" w:rsidRDefault="00B940DB" w:rsidP="002C4ADE">
      <w:pPr>
        <w:spacing w:line="360" w:lineRule="auto"/>
        <w:rPr>
          <w:rFonts w:ascii="Arial" w:hAnsi="Arial" w:cs="Arial"/>
          <w:b/>
          <w:bCs/>
          <w:sz w:val="22"/>
        </w:rPr>
      </w:pPr>
    </w:p>
    <w:p w14:paraId="7DBB897B" w14:textId="77777777" w:rsidR="00B940DB" w:rsidRDefault="00B940DB" w:rsidP="002C4ADE">
      <w:pPr>
        <w:spacing w:line="360" w:lineRule="auto"/>
        <w:rPr>
          <w:rFonts w:ascii="Arial" w:hAnsi="Arial" w:cs="Arial"/>
          <w:b/>
          <w:bCs/>
          <w:sz w:val="22"/>
        </w:rPr>
      </w:pPr>
    </w:p>
    <w:p w14:paraId="3533C5CD" w14:textId="77777777" w:rsidR="006477D1" w:rsidRDefault="006477D1" w:rsidP="002C4ADE">
      <w:pPr>
        <w:spacing w:line="360" w:lineRule="auto"/>
        <w:rPr>
          <w:rFonts w:ascii="Arial" w:hAnsi="Arial" w:cs="Arial"/>
          <w:b/>
          <w:bCs/>
          <w:sz w:val="22"/>
        </w:rPr>
      </w:pPr>
    </w:p>
    <w:p w14:paraId="69BB30BA" w14:textId="77777777" w:rsidR="006477D1" w:rsidRDefault="006477D1" w:rsidP="002C4ADE">
      <w:pPr>
        <w:spacing w:line="360" w:lineRule="auto"/>
        <w:rPr>
          <w:rFonts w:ascii="Arial" w:hAnsi="Arial" w:cs="Arial"/>
          <w:b/>
          <w:bCs/>
          <w:sz w:val="22"/>
        </w:rPr>
      </w:pPr>
    </w:p>
    <w:p w14:paraId="0794BD7D" w14:textId="6D366208" w:rsidR="002E4762" w:rsidRDefault="002E4762" w:rsidP="006477D1">
      <w:pPr>
        <w:spacing w:line="360" w:lineRule="auto"/>
        <w:rPr>
          <w:rFonts w:ascii="Arial" w:hAnsi="Arial" w:cs="Arial"/>
          <w:sz w:val="22"/>
        </w:rPr>
      </w:pPr>
      <w:r w:rsidRPr="002C4ADE">
        <w:rPr>
          <w:rFonts w:ascii="Arial" w:hAnsi="Arial" w:cs="Arial"/>
          <w:b/>
          <w:bCs/>
          <w:sz w:val="22"/>
        </w:rPr>
        <w:lastRenderedPageBreak/>
        <w:t xml:space="preserve">Reference List </w:t>
      </w:r>
    </w:p>
    <w:p w14:paraId="2A16EE33" w14:textId="77777777" w:rsidR="006477D1" w:rsidRPr="006477D1" w:rsidRDefault="006477D1" w:rsidP="006477D1">
      <w:pPr>
        <w:spacing w:line="360" w:lineRule="auto"/>
        <w:rPr>
          <w:rFonts w:ascii="Arial" w:hAnsi="Arial" w:cs="Arial"/>
          <w:sz w:val="22"/>
        </w:rPr>
      </w:pPr>
      <w:r w:rsidRPr="006477D1">
        <w:rPr>
          <w:rFonts w:ascii="Arial" w:hAnsi="Arial" w:cs="Arial"/>
          <w:sz w:val="22"/>
        </w:rPr>
        <w:t>Knight, B.G. (2004) ‘Psychosocial functioning in older adults: Integrating Erikson’s theory with gerontological practice’, Clinical Gerontologist, 27(1–2), pp. 5–18.</w:t>
      </w:r>
    </w:p>
    <w:p w14:paraId="0F00BB1D" w14:textId="77777777" w:rsidR="006477D1" w:rsidRPr="000A369F" w:rsidRDefault="006477D1" w:rsidP="006477D1">
      <w:pPr>
        <w:spacing w:line="360" w:lineRule="auto"/>
        <w:rPr>
          <w:sz w:val="22"/>
        </w:rPr>
      </w:pPr>
    </w:p>
    <w:sectPr w:rsidR="006477D1" w:rsidRPr="000A369F">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4B1C21" w14:textId="77777777" w:rsidR="007635B4" w:rsidRDefault="007635B4" w:rsidP="002C4ADE">
      <w:pPr>
        <w:spacing w:after="0" w:line="240" w:lineRule="auto"/>
      </w:pPr>
      <w:r>
        <w:separator/>
      </w:r>
    </w:p>
  </w:endnote>
  <w:endnote w:type="continuationSeparator" w:id="0">
    <w:p w14:paraId="6736117C" w14:textId="77777777" w:rsidR="007635B4" w:rsidRDefault="007635B4" w:rsidP="002C4A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86021171"/>
      <w:docPartObj>
        <w:docPartGallery w:val="Page Numbers (Bottom of Page)"/>
        <w:docPartUnique/>
      </w:docPartObj>
    </w:sdtPr>
    <w:sdtEndPr>
      <w:rPr>
        <w:noProof/>
      </w:rPr>
    </w:sdtEndPr>
    <w:sdtContent>
      <w:p w14:paraId="2C366610" w14:textId="6FEF3A4A" w:rsidR="002C4ADE" w:rsidRDefault="002C4AD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A593779" w14:textId="77777777" w:rsidR="002C4ADE" w:rsidRDefault="002C4A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74CEFF" w14:textId="77777777" w:rsidR="007635B4" w:rsidRDefault="007635B4" w:rsidP="002C4ADE">
      <w:pPr>
        <w:spacing w:after="0" w:line="240" w:lineRule="auto"/>
      </w:pPr>
      <w:r>
        <w:separator/>
      </w:r>
    </w:p>
  </w:footnote>
  <w:footnote w:type="continuationSeparator" w:id="0">
    <w:p w14:paraId="78A4EF60" w14:textId="77777777" w:rsidR="007635B4" w:rsidRDefault="007635B4" w:rsidP="002C4A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420F50" w14:textId="14A57BB3" w:rsidR="002C4ADE" w:rsidRDefault="002C4ADE" w:rsidP="002C4ADE"/>
  <w:p w14:paraId="48C8C9C0" w14:textId="77777777" w:rsidR="002C4ADE" w:rsidRDefault="002C4A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0"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882F41"/>
    <w:multiLevelType w:val="hybridMultilevel"/>
    <w:tmpl w:val="0CB865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4"/>
  </w:num>
  <w:num w:numId="2" w16cid:durableId="351032333">
    <w:abstractNumId w:val="0"/>
  </w:num>
  <w:num w:numId="3" w16cid:durableId="1067413603">
    <w:abstractNumId w:val="7"/>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1"/>
  </w:num>
  <w:num w:numId="9" w16cid:durableId="1393503788">
    <w:abstractNumId w:val="2"/>
  </w:num>
  <w:num w:numId="10" w16cid:durableId="1579359955">
    <w:abstractNumId w:val="9"/>
  </w:num>
  <w:num w:numId="11" w16cid:durableId="806699681">
    <w:abstractNumId w:val="10"/>
  </w:num>
  <w:num w:numId="12" w16cid:durableId="1314750107">
    <w:abstractNumId w:val="8"/>
  </w:num>
  <w:num w:numId="13" w16cid:durableId="1766919701">
    <w:abstractNumId w:val="14"/>
  </w:num>
  <w:num w:numId="14" w16cid:durableId="1957908719">
    <w:abstractNumId w:val="6"/>
  </w:num>
  <w:num w:numId="15" w16cid:durableId="1132019979">
    <w:abstractNumId w:val="1"/>
  </w:num>
  <w:num w:numId="16" w16cid:durableId="1457524365">
    <w:abstractNumId w:val="3"/>
  </w:num>
  <w:num w:numId="17" w16cid:durableId="1386294306">
    <w:abstractNumId w:val="20"/>
  </w:num>
  <w:num w:numId="18" w16cid:durableId="1838374920">
    <w:abstractNumId w:val="17"/>
  </w:num>
  <w:num w:numId="19" w16cid:durableId="1827044992">
    <w:abstractNumId w:val="5"/>
  </w:num>
  <w:num w:numId="20" w16cid:durableId="895820667">
    <w:abstractNumId w:val="13"/>
  </w:num>
  <w:num w:numId="21" w16cid:durableId="817497522">
    <w:abstractNumId w:val="21"/>
  </w:num>
  <w:num w:numId="22" w16cid:durableId="139719454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A369F"/>
    <w:rsid w:val="00127C1A"/>
    <w:rsid w:val="00150D81"/>
    <w:rsid w:val="00184A9A"/>
    <w:rsid w:val="002205D4"/>
    <w:rsid w:val="00226D31"/>
    <w:rsid w:val="002370CE"/>
    <w:rsid w:val="00277179"/>
    <w:rsid w:val="002A5577"/>
    <w:rsid w:val="002C4ADE"/>
    <w:rsid w:val="002E4762"/>
    <w:rsid w:val="002F5066"/>
    <w:rsid w:val="00310245"/>
    <w:rsid w:val="003458DB"/>
    <w:rsid w:val="00364C35"/>
    <w:rsid w:val="00383763"/>
    <w:rsid w:val="00396F60"/>
    <w:rsid w:val="003A51D6"/>
    <w:rsid w:val="003B7E0C"/>
    <w:rsid w:val="003E6C4E"/>
    <w:rsid w:val="00406B8D"/>
    <w:rsid w:val="00410068"/>
    <w:rsid w:val="0042295C"/>
    <w:rsid w:val="004552CE"/>
    <w:rsid w:val="00481FF7"/>
    <w:rsid w:val="004A30F4"/>
    <w:rsid w:val="004F63ED"/>
    <w:rsid w:val="00500295"/>
    <w:rsid w:val="00527AFA"/>
    <w:rsid w:val="005419DA"/>
    <w:rsid w:val="005709B1"/>
    <w:rsid w:val="00572B3B"/>
    <w:rsid w:val="005A7FD4"/>
    <w:rsid w:val="005D5457"/>
    <w:rsid w:val="00602F1A"/>
    <w:rsid w:val="00612DEA"/>
    <w:rsid w:val="006232DF"/>
    <w:rsid w:val="00631F2E"/>
    <w:rsid w:val="006457C0"/>
    <w:rsid w:val="006477D1"/>
    <w:rsid w:val="00661758"/>
    <w:rsid w:val="0067612C"/>
    <w:rsid w:val="006A5CFC"/>
    <w:rsid w:val="006C5138"/>
    <w:rsid w:val="006D5B71"/>
    <w:rsid w:val="007635B4"/>
    <w:rsid w:val="00774092"/>
    <w:rsid w:val="00782830"/>
    <w:rsid w:val="007B0F6D"/>
    <w:rsid w:val="007C62C3"/>
    <w:rsid w:val="007D5863"/>
    <w:rsid w:val="007F0873"/>
    <w:rsid w:val="00815117"/>
    <w:rsid w:val="00855F34"/>
    <w:rsid w:val="008826B6"/>
    <w:rsid w:val="008B0B22"/>
    <w:rsid w:val="008C58B0"/>
    <w:rsid w:val="00904FEB"/>
    <w:rsid w:val="009124D5"/>
    <w:rsid w:val="00926458"/>
    <w:rsid w:val="00926B85"/>
    <w:rsid w:val="00933720"/>
    <w:rsid w:val="00957BBC"/>
    <w:rsid w:val="009F5CE6"/>
    <w:rsid w:val="00A0180F"/>
    <w:rsid w:val="00A035CD"/>
    <w:rsid w:val="00A50E80"/>
    <w:rsid w:val="00A667CE"/>
    <w:rsid w:val="00A75042"/>
    <w:rsid w:val="00A761EF"/>
    <w:rsid w:val="00A774BC"/>
    <w:rsid w:val="00A82678"/>
    <w:rsid w:val="00A946CB"/>
    <w:rsid w:val="00AC7BE2"/>
    <w:rsid w:val="00B00F13"/>
    <w:rsid w:val="00B1067E"/>
    <w:rsid w:val="00B81790"/>
    <w:rsid w:val="00B81BBC"/>
    <w:rsid w:val="00B940DB"/>
    <w:rsid w:val="00BA386A"/>
    <w:rsid w:val="00C3215E"/>
    <w:rsid w:val="00C3541B"/>
    <w:rsid w:val="00C47770"/>
    <w:rsid w:val="00C75856"/>
    <w:rsid w:val="00C95214"/>
    <w:rsid w:val="00CE4670"/>
    <w:rsid w:val="00D50A4A"/>
    <w:rsid w:val="00D64A0D"/>
    <w:rsid w:val="00D750B4"/>
    <w:rsid w:val="00D81C18"/>
    <w:rsid w:val="00D95CAF"/>
    <w:rsid w:val="00DC1CC6"/>
    <w:rsid w:val="00E067A8"/>
    <w:rsid w:val="00E13924"/>
    <w:rsid w:val="00E33758"/>
    <w:rsid w:val="00E53E5E"/>
    <w:rsid w:val="00E67967"/>
    <w:rsid w:val="00E869B6"/>
    <w:rsid w:val="00EA29A5"/>
    <w:rsid w:val="00ED5964"/>
    <w:rsid w:val="00F1627A"/>
    <w:rsid w:val="00F1720B"/>
    <w:rsid w:val="00F35445"/>
    <w:rsid w:val="00F36ADC"/>
    <w:rsid w:val="00F605C6"/>
    <w:rsid w:val="00F6785B"/>
    <w:rsid w:val="00F67E99"/>
    <w:rsid w:val="00F915D6"/>
    <w:rsid w:val="00FF2B0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77D1"/>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NoSpacing">
    <w:name w:val="No Spacing"/>
    <w:uiPriority w:val="1"/>
    <w:qFormat/>
    <w:rsid w:val="00E869B6"/>
    <w:pPr>
      <w:spacing w:after="0" w:line="240" w:lineRule="auto"/>
    </w:pPr>
    <w:rPr>
      <w:rFonts w:ascii="Segoe UI" w:hAnsi="Segoe UI"/>
      <w:sz w:val="20"/>
    </w:rPr>
  </w:style>
  <w:style w:type="character" w:styleId="UnresolvedMention">
    <w:name w:val="Unresolved Mention"/>
    <w:basedOn w:val="DefaultParagraphFont"/>
    <w:uiPriority w:val="99"/>
    <w:semiHidden/>
    <w:unhideWhenUsed/>
    <w:rsid w:val="004F63ED"/>
    <w:rPr>
      <w:color w:val="605E5C"/>
      <w:shd w:val="clear" w:color="auto" w:fill="E1DFDD"/>
    </w:rPr>
  </w:style>
  <w:style w:type="paragraph" w:styleId="Header">
    <w:name w:val="header"/>
    <w:basedOn w:val="Normal"/>
    <w:link w:val="HeaderChar"/>
    <w:uiPriority w:val="99"/>
    <w:unhideWhenUsed/>
    <w:rsid w:val="002C4A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4ADE"/>
    <w:rPr>
      <w:rFonts w:ascii="Segoe UI" w:hAnsi="Segoe UI"/>
      <w:sz w:val="20"/>
    </w:rPr>
  </w:style>
  <w:style w:type="paragraph" w:styleId="Footer">
    <w:name w:val="footer"/>
    <w:basedOn w:val="Normal"/>
    <w:link w:val="FooterChar"/>
    <w:uiPriority w:val="99"/>
    <w:unhideWhenUsed/>
    <w:rsid w:val="002C4A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4ADE"/>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1825</Words>
  <Characters>10406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Nelu Junior</cp:lastModifiedBy>
  <cp:revision>2</cp:revision>
  <cp:lastPrinted>2026-04-16T12:47:00Z</cp:lastPrinted>
  <dcterms:created xsi:type="dcterms:W3CDTF">2026-04-18T11:45:00Z</dcterms:created>
  <dcterms:modified xsi:type="dcterms:W3CDTF">2026-04-18T11:45:00Z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GrammarlyDocumentId">
    <vt:lpwstr>e6a85dbe-0d0e-480b-9fd3-d491c6faaf1c</vt:lpwstr>
  </property>
</Properties>
</file>