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E20FBE" w14:textId="77777777" w:rsidR="009E5ECC" w:rsidRPr="00AD4427" w:rsidRDefault="009E5ECC" w:rsidP="007F7024">
      <w:pPr>
        <w:jc w:val="center"/>
        <w:rPr>
          <w:rFonts w:ascii="Arial" w:eastAsia="Times New Roman" w:hAnsi="Arial" w:cs="Arial"/>
          <w:b/>
          <w:bCs/>
          <w:sz w:val="32"/>
          <w:szCs w:val="36"/>
        </w:rPr>
      </w:pPr>
      <w:r w:rsidRPr="00412D6B">
        <w:rPr>
          <w:rFonts w:ascii="Arial" w:hAnsi="Arial" w:cs="Arial"/>
          <w:noProof/>
          <w:lang w:val="en-US"/>
        </w:rPr>
        <w:t xml:space="preserve"> </w:t>
      </w:r>
      <w:r w:rsidR="007F7024" w:rsidRPr="00AD4427">
        <w:rPr>
          <w:rFonts w:ascii="Arial" w:eastAsia="Times New Roman" w:hAnsi="Arial" w:cs="Arial"/>
          <w:b/>
          <w:bCs/>
          <w:sz w:val="32"/>
          <w:szCs w:val="36"/>
        </w:rPr>
        <w:t>University of Wales Trinity Saint David</w:t>
      </w:r>
    </w:p>
    <w:p w14:paraId="2CE20FBF" w14:textId="77777777" w:rsidR="007F7024" w:rsidRPr="00AD4427" w:rsidRDefault="007F7024" w:rsidP="000E3733">
      <w:pPr>
        <w:spacing w:line="360" w:lineRule="auto"/>
        <w:jc w:val="center"/>
        <w:rPr>
          <w:rFonts w:ascii="Arial" w:eastAsia="Times New Roman" w:hAnsi="Arial" w:cs="Arial"/>
          <w:b/>
          <w:bCs/>
          <w:sz w:val="32"/>
          <w:szCs w:val="36"/>
        </w:rPr>
      </w:pPr>
      <w:r w:rsidRPr="00AD4427">
        <w:rPr>
          <w:rFonts w:ascii="Arial" w:hAnsi="Arial" w:cs="Arial"/>
          <w:noProof/>
          <w:lang w:val="en-US"/>
        </w:rPr>
        <w:drawing>
          <wp:anchor distT="0" distB="0" distL="114300" distR="114300" simplePos="0" relativeHeight="251664384" behindDoc="0" locked="0" layoutInCell="1" allowOverlap="1" wp14:anchorId="2CE21072" wp14:editId="2CE21073">
            <wp:simplePos x="0" y="0"/>
            <wp:positionH relativeFrom="column">
              <wp:posOffset>1718310</wp:posOffset>
            </wp:positionH>
            <wp:positionV relativeFrom="paragraph">
              <wp:posOffset>75565</wp:posOffset>
            </wp:positionV>
            <wp:extent cx="2633345" cy="1057275"/>
            <wp:effectExtent l="0" t="0" r="0" b="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extLst>
                        <a:ext uri="{28A0092B-C50C-407E-A947-70E740481C1C}">
                          <a14:useLocalDpi xmlns:a14="http://schemas.microsoft.com/office/drawing/2010/main" val="0"/>
                        </a:ext>
                      </a:extLst>
                    </a:blip>
                    <a:stretch>
                      <a:fillRect/>
                    </a:stretch>
                  </pic:blipFill>
                  <pic:spPr>
                    <a:xfrm>
                      <a:off x="0" y="0"/>
                      <a:ext cx="2633345" cy="1057275"/>
                    </a:xfrm>
                    <a:prstGeom prst="rect">
                      <a:avLst/>
                    </a:prstGeom>
                  </pic:spPr>
                </pic:pic>
              </a:graphicData>
            </a:graphic>
            <wp14:sizeRelH relativeFrom="page">
              <wp14:pctWidth>0</wp14:pctWidth>
            </wp14:sizeRelH>
            <wp14:sizeRelV relativeFrom="page">
              <wp14:pctHeight>0</wp14:pctHeight>
            </wp14:sizeRelV>
          </wp:anchor>
        </w:drawing>
      </w:r>
    </w:p>
    <w:p w14:paraId="2CE20FC0" w14:textId="77777777" w:rsidR="007F7024" w:rsidRPr="00AD4427" w:rsidRDefault="007F7024" w:rsidP="0065412B">
      <w:pPr>
        <w:spacing w:line="360" w:lineRule="auto"/>
        <w:jc w:val="center"/>
        <w:rPr>
          <w:rFonts w:ascii="Arial" w:eastAsia="Times New Roman" w:hAnsi="Arial" w:cs="Arial"/>
          <w:b/>
          <w:bCs/>
          <w:sz w:val="28"/>
          <w:szCs w:val="24"/>
        </w:rPr>
      </w:pPr>
    </w:p>
    <w:p w14:paraId="2CE20FC1" w14:textId="77777777" w:rsidR="007F7024" w:rsidRDefault="007F7024" w:rsidP="0065412B">
      <w:pPr>
        <w:spacing w:line="360" w:lineRule="auto"/>
        <w:jc w:val="center"/>
        <w:rPr>
          <w:rFonts w:ascii="Arial" w:eastAsia="Times New Roman" w:hAnsi="Arial" w:cs="Arial"/>
          <w:b/>
          <w:bCs/>
          <w:sz w:val="28"/>
          <w:szCs w:val="24"/>
        </w:rPr>
      </w:pPr>
    </w:p>
    <w:p w14:paraId="2CE20FC2" w14:textId="77777777" w:rsidR="005C7AA1" w:rsidRPr="005C7AA1" w:rsidRDefault="005C7AA1" w:rsidP="009656A3">
      <w:pPr>
        <w:shd w:val="clear" w:color="auto" w:fill="FFC000" w:themeFill="accent4"/>
        <w:spacing w:line="360" w:lineRule="auto"/>
        <w:jc w:val="center"/>
        <w:rPr>
          <w:rFonts w:ascii="Arial" w:eastAsia="Times New Roman" w:hAnsi="Arial" w:cs="Arial"/>
          <w:b/>
          <w:bCs/>
          <w:sz w:val="38"/>
          <w:szCs w:val="24"/>
        </w:rPr>
      </w:pPr>
      <w:r w:rsidRPr="005C7AA1">
        <w:rPr>
          <w:rFonts w:ascii="Arial" w:hAnsi="Arial" w:cs="Arial"/>
          <w:b/>
          <w:sz w:val="32"/>
        </w:rPr>
        <w:t>Report</w:t>
      </w:r>
    </w:p>
    <w:tbl>
      <w:tblPr>
        <w:tblStyle w:val="TableGrid"/>
        <w:tblW w:w="9367" w:type="dxa"/>
        <w:tblLook w:val="04A0" w:firstRow="1" w:lastRow="0" w:firstColumn="1" w:lastColumn="0" w:noHBand="0" w:noVBand="1"/>
      </w:tblPr>
      <w:tblGrid>
        <w:gridCol w:w="3638"/>
        <w:gridCol w:w="5729"/>
      </w:tblGrid>
      <w:tr w:rsidR="00A3264A" w:rsidRPr="009656A3" w14:paraId="2CE20FC5" w14:textId="77777777" w:rsidTr="009656A3">
        <w:trPr>
          <w:trHeight w:val="395"/>
        </w:trPr>
        <w:tc>
          <w:tcPr>
            <w:tcW w:w="3638" w:type="dxa"/>
            <w:shd w:val="clear" w:color="auto" w:fill="8EAADB" w:themeFill="accent5" w:themeFillTint="99"/>
          </w:tcPr>
          <w:p w14:paraId="2CE20FC3" w14:textId="77777777" w:rsidR="00A3264A" w:rsidRPr="009656A3" w:rsidRDefault="00A3264A" w:rsidP="000E3733">
            <w:pPr>
              <w:spacing w:line="480" w:lineRule="auto"/>
              <w:rPr>
                <w:rFonts w:ascii="Arial" w:eastAsia="Times New Roman" w:hAnsi="Arial" w:cs="Arial"/>
                <w:b/>
                <w:bCs/>
                <w:sz w:val="28"/>
                <w:szCs w:val="28"/>
              </w:rPr>
            </w:pPr>
            <w:r w:rsidRPr="009656A3">
              <w:rPr>
                <w:rFonts w:ascii="Arial" w:eastAsia="Times New Roman" w:hAnsi="Arial" w:cs="Arial"/>
                <w:b/>
                <w:bCs/>
                <w:sz w:val="28"/>
                <w:szCs w:val="28"/>
              </w:rPr>
              <w:t>Item</w:t>
            </w:r>
          </w:p>
        </w:tc>
        <w:tc>
          <w:tcPr>
            <w:tcW w:w="5729" w:type="dxa"/>
            <w:shd w:val="clear" w:color="auto" w:fill="8EAADB" w:themeFill="accent5" w:themeFillTint="99"/>
          </w:tcPr>
          <w:p w14:paraId="2CE20FC4" w14:textId="77777777" w:rsidR="00A3264A" w:rsidRPr="009656A3" w:rsidRDefault="00A3264A" w:rsidP="000E3733">
            <w:pPr>
              <w:spacing w:line="480" w:lineRule="auto"/>
              <w:rPr>
                <w:rFonts w:ascii="Arial" w:eastAsia="Times New Roman" w:hAnsi="Arial" w:cs="Arial"/>
                <w:b/>
                <w:bCs/>
                <w:sz w:val="28"/>
                <w:szCs w:val="28"/>
              </w:rPr>
            </w:pPr>
            <w:r w:rsidRPr="009656A3">
              <w:rPr>
                <w:rFonts w:ascii="Arial" w:eastAsia="Times New Roman" w:hAnsi="Arial" w:cs="Arial"/>
                <w:b/>
                <w:bCs/>
                <w:sz w:val="28"/>
                <w:szCs w:val="28"/>
              </w:rPr>
              <w:t>Description</w:t>
            </w:r>
          </w:p>
        </w:tc>
      </w:tr>
      <w:tr w:rsidR="00A3264A" w:rsidRPr="009656A3" w14:paraId="2CE20FC8" w14:textId="77777777" w:rsidTr="00BC2CB0">
        <w:trPr>
          <w:trHeight w:hRule="exact" w:val="460"/>
        </w:trPr>
        <w:tc>
          <w:tcPr>
            <w:tcW w:w="3638" w:type="dxa"/>
          </w:tcPr>
          <w:p w14:paraId="2CE20FC6" w14:textId="77777777" w:rsidR="00A3264A" w:rsidRPr="009656A3" w:rsidRDefault="00A3264A" w:rsidP="000E3733">
            <w:pPr>
              <w:spacing w:line="480" w:lineRule="auto"/>
              <w:rPr>
                <w:rFonts w:ascii="Arial" w:eastAsia="Times New Roman" w:hAnsi="Arial" w:cs="Arial"/>
                <w:b/>
                <w:bCs/>
                <w:sz w:val="28"/>
                <w:szCs w:val="28"/>
              </w:rPr>
            </w:pPr>
            <w:r w:rsidRPr="009656A3">
              <w:rPr>
                <w:rFonts w:ascii="Arial" w:eastAsia="Times New Roman" w:hAnsi="Arial" w:cs="Arial"/>
                <w:b/>
                <w:bCs/>
                <w:sz w:val="28"/>
                <w:szCs w:val="28"/>
              </w:rPr>
              <w:t>Student Name:</w:t>
            </w:r>
          </w:p>
        </w:tc>
        <w:tc>
          <w:tcPr>
            <w:tcW w:w="5729" w:type="dxa"/>
          </w:tcPr>
          <w:p w14:paraId="2CE20FC7" w14:textId="7CC525F5" w:rsidR="00A3264A" w:rsidRPr="009656A3" w:rsidRDefault="00A8018F" w:rsidP="000E3733">
            <w:pPr>
              <w:spacing w:line="480" w:lineRule="auto"/>
              <w:rPr>
                <w:rFonts w:ascii="Arial" w:eastAsia="Times New Roman" w:hAnsi="Arial" w:cs="Arial"/>
                <w:b/>
                <w:bCs/>
                <w:sz w:val="28"/>
                <w:szCs w:val="28"/>
              </w:rPr>
            </w:pPr>
            <w:r w:rsidRPr="009656A3">
              <w:rPr>
                <w:rFonts w:ascii="Arial" w:eastAsia="Times New Roman" w:hAnsi="Arial" w:cs="Arial"/>
                <w:b/>
                <w:bCs/>
                <w:sz w:val="28"/>
                <w:szCs w:val="28"/>
              </w:rPr>
              <w:t>Chiya Fayzullah</w:t>
            </w:r>
            <w:r w:rsidR="00A3264A" w:rsidRPr="009656A3">
              <w:rPr>
                <w:rFonts w:ascii="Arial" w:eastAsia="Times New Roman" w:hAnsi="Arial" w:cs="Arial"/>
                <w:b/>
                <w:bCs/>
                <w:sz w:val="28"/>
                <w:szCs w:val="28"/>
              </w:rPr>
              <w:t xml:space="preserve"> </w:t>
            </w:r>
            <w:r w:rsidR="005A2F2D">
              <w:rPr>
                <w:rFonts w:ascii="Arial" w:eastAsia="Times New Roman" w:hAnsi="Arial" w:cs="Arial"/>
                <w:b/>
                <w:bCs/>
                <w:sz w:val="28"/>
                <w:szCs w:val="28"/>
              </w:rPr>
              <w:t xml:space="preserve"> </w:t>
            </w:r>
          </w:p>
        </w:tc>
      </w:tr>
      <w:tr w:rsidR="00A3264A" w:rsidRPr="009656A3" w14:paraId="2CE20FCB" w14:textId="77777777" w:rsidTr="00BC2CB0">
        <w:trPr>
          <w:trHeight w:hRule="exact" w:val="468"/>
        </w:trPr>
        <w:tc>
          <w:tcPr>
            <w:tcW w:w="3638" w:type="dxa"/>
          </w:tcPr>
          <w:p w14:paraId="2CE20FC9" w14:textId="77777777" w:rsidR="00A3264A" w:rsidRPr="009656A3" w:rsidRDefault="00A3264A" w:rsidP="000E3733">
            <w:pPr>
              <w:spacing w:line="480" w:lineRule="auto"/>
              <w:rPr>
                <w:rFonts w:ascii="Arial" w:eastAsia="Times New Roman" w:hAnsi="Arial" w:cs="Arial"/>
                <w:b/>
                <w:bCs/>
                <w:sz w:val="28"/>
                <w:szCs w:val="28"/>
              </w:rPr>
            </w:pPr>
            <w:r w:rsidRPr="009656A3">
              <w:rPr>
                <w:rFonts w:ascii="Arial" w:eastAsia="Times New Roman" w:hAnsi="Arial" w:cs="Arial"/>
                <w:b/>
                <w:bCs/>
                <w:sz w:val="28"/>
                <w:szCs w:val="28"/>
              </w:rPr>
              <w:t>Student ID:</w:t>
            </w:r>
          </w:p>
        </w:tc>
        <w:tc>
          <w:tcPr>
            <w:tcW w:w="5729" w:type="dxa"/>
          </w:tcPr>
          <w:p w14:paraId="2CE20FCA" w14:textId="5791BB3A" w:rsidR="00A3264A" w:rsidRPr="009656A3" w:rsidRDefault="00A8018F" w:rsidP="000E3733">
            <w:pPr>
              <w:spacing w:line="480" w:lineRule="auto"/>
              <w:rPr>
                <w:rFonts w:ascii="Arial" w:eastAsia="Times New Roman" w:hAnsi="Arial" w:cs="Arial"/>
                <w:b/>
                <w:bCs/>
                <w:sz w:val="28"/>
                <w:szCs w:val="28"/>
              </w:rPr>
            </w:pPr>
            <w:r w:rsidRPr="009656A3">
              <w:rPr>
                <w:rFonts w:ascii="Arial" w:eastAsia="Times New Roman" w:hAnsi="Arial" w:cs="Arial"/>
                <w:b/>
                <w:bCs/>
                <w:sz w:val="28"/>
                <w:szCs w:val="28"/>
              </w:rPr>
              <w:t>2</w:t>
            </w:r>
            <w:r w:rsidR="00E1244E">
              <w:rPr>
                <w:rFonts w:ascii="Arial" w:eastAsia="Times New Roman" w:hAnsi="Arial" w:cs="Arial"/>
                <w:b/>
                <w:bCs/>
                <w:sz w:val="28"/>
                <w:szCs w:val="28"/>
              </w:rPr>
              <w:t>208596</w:t>
            </w:r>
          </w:p>
        </w:tc>
      </w:tr>
      <w:tr w:rsidR="00A3264A" w:rsidRPr="009656A3" w14:paraId="2CE20FCE" w14:textId="77777777" w:rsidTr="00BC2CB0">
        <w:trPr>
          <w:trHeight w:hRule="exact" w:val="538"/>
        </w:trPr>
        <w:tc>
          <w:tcPr>
            <w:tcW w:w="3638" w:type="dxa"/>
          </w:tcPr>
          <w:p w14:paraId="2CE20FCC" w14:textId="77777777" w:rsidR="00A3264A" w:rsidRPr="009656A3" w:rsidRDefault="00A3264A" w:rsidP="000E3733">
            <w:pPr>
              <w:spacing w:line="480" w:lineRule="auto"/>
              <w:rPr>
                <w:rFonts w:ascii="Arial" w:eastAsia="Times New Roman" w:hAnsi="Arial" w:cs="Arial"/>
                <w:b/>
                <w:bCs/>
                <w:sz w:val="28"/>
                <w:szCs w:val="28"/>
              </w:rPr>
            </w:pPr>
            <w:r w:rsidRPr="009656A3">
              <w:rPr>
                <w:rFonts w:ascii="Arial" w:eastAsia="Times New Roman" w:hAnsi="Arial" w:cs="Arial"/>
                <w:b/>
                <w:bCs/>
                <w:sz w:val="28"/>
                <w:szCs w:val="28"/>
              </w:rPr>
              <w:t>Module:</w:t>
            </w:r>
          </w:p>
        </w:tc>
        <w:tc>
          <w:tcPr>
            <w:tcW w:w="5729" w:type="dxa"/>
          </w:tcPr>
          <w:p w14:paraId="2CE20FCD" w14:textId="77777777" w:rsidR="00A3264A" w:rsidRPr="009656A3" w:rsidRDefault="00E914E4" w:rsidP="0047085A">
            <w:pPr>
              <w:spacing w:line="480" w:lineRule="auto"/>
              <w:rPr>
                <w:rFonts w:ascii="Arial" w:eastAsia="Times New Roman" w:hAnsi="Arial" w:cs="Arial"/>
                <w:b/>
                <w:bCs/>
                <w:sz w:val="28"/>
                <w:szCs w:val="28"/>
              </w:rPr>
            </w:pPr>
            <w:r w:rsidRPr="009656A3">
              <w:rPr>
                <w:rFonts w:ascii="Arial" w:hAnsi="Arial" w:cs="Arial"/>
                <w:b/>
                <w:sz w:val="28"/>
                <w:szCs w:val="28"/>
              </w:rPr>
              <w:t>International Business Concepts</w:t>
            </w:r>
          </w:p>
        </w:tc>
      </w:tr>
      <w:tr w:rsidR="00A3264A" w:rsidRPr="009656A3" w14:paraId="2CE20FD1" w14:textId="77777777" w:rsidTr="00BC2CB0">
        <w:trPr>
          <w:trHeight w:hRule="exact" w:val="538"/>
        </w:trPr>
        <w:tc>
          <w:tcPr>
            <w:tcW w:w="3638" w:type="dxa"/>
          </w:tcPr>
          <w:p w14:paraId="2CE20FCF" w14:textId="77777777" w:rsidR="00A3264A" w:rsidRPr="009656A3" w:rsidRDefault="00A3264A" w:rsidP="000E3733">
            <w:pPr>
              <w:spacing w:line="480" w:lineRule="auto"/>
              <w:rPr>
                <w:rFonts w:ascii="Arial" w:eastAsia="Times New Roman" w:hAnsi="Arial" w:cs="Arial"/>
                <w:b/>
                <w:bCs/>
                <w:sz w:val="28"/>
                <w:szCs w:val="28"/>
              </w:rPr>
            </w:pPr>
            <w:r w:rsidRPr="009656A3">
              <w:rPr>
                <w:rFonts w:ascii="Arial" w:eastAsia="Times New Roman" w:hAnsi="Arial" w:cs="Arial"/>
                <w:b/>
                <w:bCs/>
                <w:sz w:val="28"/>
                <w:szCs w:val="28"/>
              </w:rPr>
              <w:t>Module Code:</w:t>
            </w:r>
          </w:p>
        </w:tc>
        <w:tc>
          <w:tcPr>
            <w:tcW w:w="5729" w:type="dxa"/>
          </w:tcPr>
          <w:p w14:paraId="2CE20FD0" w14:textId="77777777" w:rsidR="00A3264A" w:rsidRPr="009656A3" w:rsidRDefault="00E914E4" w:rsidP="000E3733">
            <w:pPr>
              <w:spacing w:line="480" w:lineRule="auto"/>
              <w:rPr>
                <w:rFonts w:ascii="Arial" w:eastAsia="Times New Roman" w:hAnsi="Arial" w:cs="Arial"/>
                <w:b/>
                <w:bCs/>
                <w:sz w:val="28"/>
                <w:szCs w:val="28"/>
              </w:rPr>
            </w:pPr>
            <w:r w:rsidRPr="009656A3">
              <w:rPr>
                <w:rFonts w:ascii="Arial" w:eastAsia="Times New Roman" w:hAnsi="Arial" w:cs="Arial"/>
                <w:b/>
                <w:bCs/>
                <w:sz w:val="28"/>
                <w:szCs w:val="28"/>
              </w:rPr>
              <w:t>LCLM7034</w:t>
            </w:r>
          </w:p>
        </w:tc>
      </w:tr>
      <w:tr w:rsidR="00A3264A" w:rsidRPr="009656A3" w14:paraId="2CE20FD4" w14:textId="77777777" w:rsidTr="00BC2CB0">
        <w:trPr>
          <w:trHeight w:hRule="exact" w:val="546"/>
        </w:trPr>
        <w:tc>
          <w:tcPr>
            <w:tcW w:w="3638" w:type="dxa"/>
          </w:tcPr>
          <w:p w14:paraId="2CE20FD2" w14:textId="77777777" w:rsidR="00A3264A" w:rsidRPr="009656A3" w:rsidRDefault="00A3264A" w:rsidP="000E3733">
            <w:pPr>
              <w:spacing w:line="480" w:lineRule="auto"/>
              <w:rPr>
                <w:rFonts w:ascii="Arial" w:eastAsia="Times New Roman" w:hAnsi="Arial" w:cs="Arial"/>
                <w:b/>
                <w:bCs/>
                <w:sz w:val="28"/>
                <w:szCs w:val="28"/>
              </w:rPr>
            </w:pPr>
            <w:r w:rsidRPr="009656A3">
              <w:rPr>
                <w:rFonts w:ascii="Arial" w:eastAsia="Times New Roman" w:hAnsi="Arial" w:cs="Arial"/>
                <w:b/>
                <w:bCs/>
                <w:sz w:val="28"/>
                <w:szCs w:val="28"/>
              </w:rPr>
              <w:t>Lecturer:</w:t>
            </w:r>
          </w:p>
        </w:tc>
        <w:tc>
          <w:tcPr>
            <w:tcW w:w="5729" w:type="dxa"/>
          </w:tcPr>
          <w:p w14:paraId="2CE20FD3" w14:textId="400B9FEC" w:rsidR="00A3264A" w:rsidRPr="009656A3" w:rsidRDefault="00554698" w:rsidP="00E914E4">
            <w:pPr>
              <w:spacing w:line="480" w:lineRule="auto"/>
              <w:rPr>
                <w:rFonts w:ascii="Arial" w:eastAsia="Times New Roman" w:hAnsi="Arial" w:cs="Arial"/>
                <w:b/>
                <w:bCs/>
                <w:sz w:val="28"/>
                <w:szCs w:val="28"/>
              </w:rPr>
            </w:pPr>
            <w:r>
              <w:rPr>
                <w:rFonts w:ascii="Arial" w:eastAsia="Times New Roman" w:hAnsi="Arial" w:cs="Arial"/>
                <w:b/>
                <w:bCs/>
                <w:sz w:val="28"/>
                <w:szCs w:val="28"/>
              </w:rPr>
              <w:t>Syed</w:t>
            </w:r>
            <w:r w:rsidR="004437DA">
              <w:rPr>
                <w:rFonts w:ascii="Arial" w:eastAsia="Times New Roman" w:hAnsi="Arial" w:cs="Arial"/>
                <w:b/>
                <w:bCs/>
                <w:sz w:val="28"/>
                <w:szCs w:val="28"/>
              </w:rPr>
              <w:t xml:space="preserve"> murshed</w:t>
            </w:r>
          </w:p>
        </w:tc>
      </w:tr>
      <w:tr w:rsidR="00A3264A" w:rsidRPr="009656A3" w14:paraId="2CE20FD7" w14:textId="77777777" w:rsidTr="00BC2CB0">
        <w:trPr>
          <w:trHeight w:hRule="exact" w:val="452"/>
        </w:trPr>
        <w:tc>
          <w:tcPr>
            <w:tcW w:w="3638" w:type="dxa"/>
          </w:tcPr>
          <w:p w14:paraId="2CE20FD5" w14:textId="77777777" w:rsidR="00A3264A" w:rsidRPr="009656A3" w:rsidRDefault="00A3264A" w:rsidP="000E3733">
            <w:pPr>
              <w:spacing w:line="480" w:lineRule="auto"/>
              <w:rPr>
                <w:rFonts w:ascii="Arial" w:eastAsia="Times New Roman" w:hAnsi="Arial" w:cs="Arial"/>
                <w:b/>
                <w:bCs/>
                <w:sz w:val="28"/>
                <w:szCs w:val="28"/>
              </w:rPr>
            </w:pPr>
            <w:r w:rsidRPr="009656A3">
              <w:rPr>
                <w:rFonts w:ascii="Arial" w:eastAsia="Times New Roman" w:hAnsi="Arial" w:cs="Arial"/>
                <w:b/>
                <w:bCs/>
                <w:sz w:val="28"/>
                <w:szCs w:val="28"/>
              </w:rPr>
              <w:t xml:space="preserve">Internal Verifier: </w:t>
            </w:r>
          </w:p>
        </w:tc>
        <w:tc>
          <w:tcPr>
            <w:tcW w:w="5729" w:type="dxa"/>
          </w:tcPr>
          <w:p w14:paraId="2CE20FD6" w14:textId="77777777" w:rsidR="00A3264A" w:rsidRPr="009656A3" w:rsidRDefault="0047085A" w:rsidP="000E3733">
            <w:pPr>
              <w:spacing w:line="480" w:lineRule="auto"/>
              <w:rPr>
                <w:rFonts w:ascii="Arial" w:eastAsia="Times New Roman" w:hAnsi="Arial" w:cs="Arial"/>
                <w:b/>
                <w:bCs/>
                <w:sz w:val="28"/>
                <w:szCs w:val="28"/>
              </w:rPr>
            </w:pPr>
            <w:r w:rsidRPr="009656A3">
              <w:rPr>
                <w:rFonts w:ascii="Arial" w:hAnsi="Arial" w:cs="Arial"/>
                <w:b/>
                <w:sz w:val="28"/>
                <w:szCs w:val="28"/>
              </w:rPr>
              <w:t>Vasilios Tavlaridis and Hoang Nguyen</w:t>
            </w:r>
          </w:p>
        </w:tc>
      </w:tr>
      <w:tr w:rsidR="00A3264A" w:rsidRPr="009656A3" w14:paraId="2CE20FDA" w14:textId="77777777" w:rsidTr="00BC2CB0">
        <w:trPr>
          <w:trHeight w:hRule="exact" w:val="476"/>
        </w:trPr>
        <w:tc>
          <w:tcPr>
            <w:tcW w:w="3638" w:type="dxa"/>
          </w:tcPr>
          <w:p w14:paraId="2CE20FD8" w14:textId="77777777" w:rsidR="00A3264A" w:rsidRPr="009656A3" w:rsidRDefault="00A3264A" w:rsidP="000E3733">
            <w:pPr>
              <w:spacing w:line="480" w:lineRule="auto"/>
              <w:rPr>
                <w:rFonts w:ascii="Arial" w:eastAsia="Times New Roman" w:hAnsi="Arial" w:cs="Arial"/>
                <w:b/>
                <w:bCs/>
                <w:sz w:val="28"/>
                <w:szCs w:val="28"/>
              </w:rPr>
            </w:pPr>
            <w:r w:rsidRPr="009656A3">
              <w:rPr>
                <w:rFonts w:ascii="Arial" w:eastAsia="Times New Roman" w:hAnsi="Arial" w:cs="Arial"/>
                <w:b/>
                <w:bCs/>
                <w:sz w:val="28"/>
                <w:szCs w:val="28"/>
              </w:rPr>
              <w:t>Date:</w:t>
            </w:r>
          </w:p>
        </w:tc>
        <w:tc>
          <w:tcPr>
            <w:tcW w:w="5729" w:type="dxa"/>
          </w:tcPr>
          <w:p w14:paraId="2CE20FD9" w14:textId="6DD7B36F" w:rsidR="00A3264A" w:rsidRPr="009656A3" w:rsidRDefault="00A3264A" w:rsidP="00E914E4">
            <w:pPr>
              <w:spacing w:line="480" w:lineRule="auto"/>
              <w:jc w:val="both"/>
              <w:rPr>
                <w:rFonts w:ascii="Arial" w:eastAsia="Times New Roman" w:hAnsi="Arial" w:cs="Arial"/>
                <w:b/>
                <w:bCs/>
                <w:sz w:val="28"/>
                <w:szCs w:val="28"/>
              </w:rPr>
            </w:pPr>
          </w:p>
        </w:tc>
      </w:tr>
      <w:tr w:rsidR="00A3264A" w:rsidRPr="009656A3" w14:paraId="2CE20FDD" w14:textId="77777777" w:rsidTr="00BC2CB0">
        <w:trPr>
          <w:trHeight w:hRule="exact" w:val="546"/>
        </w:trPr>
        <w:tc>
          <w:tcPr>
            <w:tcW w:w="3638" w:type="dxa"/>
          </w:tcPr>
          <w:p w14:paraId="2CE20FDB" w14:textId="77777777" w:rsidR="00A3264A" w:rsidRPr="009656A3" w:rsidRDefault="00A3264A" w:rsidP="000E3733">
            <w:pPr>
              <w:spacing w:line="480" w:lineRule="auto"/>
              <w:rPr>
                <w:rFonts w:ascii="Arial" w:eastAsia="Times New Roman" w:hAnsi="Arial" w:cs="Arial"/>
                <w:b/>
                <w:bCs/>
                <w:sz w:val="28"/>
                <w:szCs w:val="28"/>
              </w:rPr>
            </w:pPr>
            <w:r w:rsidRPr="009656A3">
              <w:rPr>
                <w:rFonts w:ascii="Arial" w:eastAsia="Times New Roman" w:hAnsi="Arial" w:cs="Arial"/>
                <w:b/>
                <w:bCs/>
                <w:sz w:val="28"/>
                <w:szCs w:val="28"/>
              </w:rPr>
              <w:t>Word count</w:t>
            </w:r>
          </w:p>
        </w:tc>
        <w:tc>
          <w:tcPr>
            <w:tcW w:w="5729" w:type="dxa"/>
          </w:tcPr>
          <w:p w14:paraId="2CE20FDC" w14:textId="38E695AC" w:rsidR="00A3264A" w:rsidRPr="009656A3" w:rsidRDefault="00A3264A" w:rsidP="000E3733">
            <w:pPr>
              <w:spacing w:line="480" w:lineRule="auto"/>
              <w:rPr>
                <w:rFonts w:ascii="Arial" w:eastAsia="Times New Roman" w:hAnsi="Arial" w:cs="Arial"/>
                <w:b/>
                <w:bCs/>
                <w:sz w:val="28"/>
                <w:szCs w:val="28"/>
              </w:rPr>
            </w:pPr>
          </w:p>
        </w:tc>
      </w:tr>
    </w:tbl>
    <w:p w14:paraId="2CE20FDE" w14:textId="77777777" w:rsidR="00216B03" w:rsidRPr="00AD4427" w:rsidRDefault="00FD0388">
      <w:pPr>
        <w:rPr>
          <w:rFonts w:ascii="Arial" w:hAnsi="Arial" w:cs="Arial"/>
          <w:b/>
          <w:sz w:val="24"/>
        </w:rPr>
      </w:pPr>
      <w:r w:rsidRPr="00AD4427">
        <w:rPr>
          <w:rFonts w:ascii="Arial" w:hAnsi="Arial" w:cs="Arial"/>
          <w:b/>
          <w:sz w:val="24"/>
        </w:rPr>
        <w:br w:type="page"/>
      </w:r>
    </w:p>
    <w:sdt>
      <w:sdtPr>
        <w:rPr>
          <w:rFonts w:ascii="Arial" w:eastAsiaTheme="minorHAnsi" w:hAnsi="Arial" w:cs="Arial"/>
          <w:b w:val="0"/>
          <w:bCs w:val="0"/>
          <w:color w:val="auto"/>
          <w:sz w:val="22"/>
          <w:szCs w:val="22"/>
          <w:lang w:val="en-GB" w:eastAsia="en-US"/>
        </w:rPr>
        <w:id w:val="1720093859"/>
        <w:docPartObj>
          <w:docPartGallery w:val="Table of Contents"/>
          <w:docPartUnique/>
        </w:docPartObj>
      </w:sdtPr>
      <w:sdtEndPr>
        <w:rPr>
          <w:noProof/>
        </w:rPr>
      </w:sdtEndPr>
      <w:sdtContent>
        <w:p w14:paraId="2CE20FDF" w14:textId="77777777" w:rsidR="00FD0388" w:rsidRPr="00AD4427" w:rsidRDefault="00FD0388" w:rsidP="005F69B8">
          <w:pPr>
            <w:pStyle w:val="TOCHeading"/>
            <w:tabs>
              <w:tab w:val="left" w:pos="1575"/>
            </w:tabs>
            <w:jc w:val="both"/>
            <w:rPr>
              <w:rFonts w:ascii="Arial" w:hAnsi="Arial" w:cs="Arial"/>
            </w:rPr>
          </w:pPr>
          <w:r w:rsidRPr="00AD4427">
            <w:rPr>
              <w:rFonts w:ascii="Arial" w:hAnsi="Arial" w:cs="Arial"/>
            </w:rPr>
            <w:t>Contents</w:t>
          </w:r>
          <w:r w:rsidR="005F69B8" w:rsidRPr="00AD4427">
            <w:rPr>
              <w:rFonts w:ascii="Arial" w:hAnsi="Arial" w:cs="Arial"/>
            </w:rPr>
            <w:tab/>
          </w:r>
        </w:p>
        <w:p w14:paraId="2CE20FE0" w14:textId="77777777" w:rsidR="009656A3" w:rsidRDefault="00FD0388">
          <w:pPr>
            <w:pStyle w:val="TOC1"/>
            <w:tabs>
              <w:tab w:val="right" w:leader="dot" w:pos="9016"/>
            </w:tabs>
            <w:rPr>
              <w:rFonts w:eastAsiaTheme="minorEastAsia"/>
              <w:noProof/>
              <w:lang w:val="en-US"/>
            </w:rPr>
          </w:pPr>
          <w:r w:rsidRPr="00AD4427">
            <w:rPr>
              <w:rFonts w:ascii="Arial" w:hAnsi="Arial" w:cs="Arial"/>
            </w:rPr>
            <w:fldChar w:fldCharType="begin"/>
          </w:r>
          <w:r w:rsidRPr="00AD4427">
            <w:rPr>
              <w:rFonts w:ascii="Arial" w:hAnsi="Arial" w:cs="Arial"/>
            </w:rPr>
            <w:instrText xml:space="preserve"> TOC \o "1-3" \h \z \u </w:instrText>
          </w:r>
          <w:r w:rsidRPr="00AD4427">
            <w:rPr>
              <w:rFonts w:ascii="Arial" w:hAnsi="Arial" w:cs="Arial"/>
            </w:rPr>
            <w:fldChar w:fldCharType="separate"/>
          </w:r>
          <w:hyperlink w:anchor="_Toc221779075" w:history="1">
            <w:r w:rsidR="009656A3" w:rsidRPr="008E58D8">
              <w:rPr>
                <w:rStyle w:val="Hyperlink"/>
                <w:rFonts w:ascii="Arial" w:hAnsi="Arial" w:cs="Arial"/>
                <w:noProof/>
              </w:rPr>
              <w:t>Introduction</w:t>
            </w:r>
            <w:r w:rsidR="009656A3">
              <w:rPr>
                <w:noProof/>
                <w:webHidden/>
              </w:rPr>
              <w:tab/>
            </w:r>
            <w:r w:rsidR="009656A3">
              <w:rPr>
                <w:noProof/>
                <w:webHidden/>
              </w:rPr>
              <w:fldChar w:fldCharType="begin"/>
            </w:r>
            <w:r w:rsidR="009656A3">
              <w:rPr>
                <w:noProof/>
                <w:webHidden/>
              </w:rPr>
              <w:instrText xml:space="preserve"> PAGEREF _Toc221779075 \h </w:instrText>
            </w:r>
            <w:r w:rsidR="009656A3">
              <w:rPr>
                <w:noProof/>
                <w:webHidden/>
              </w:rPr>
            </w:r>
            <w:r w:rsidR="009656A3">
              <w:rPr>
                <w:noProof/>
                <w:webHidden/>
              </w:rPr>
              <w:fldChar w:fldCharType="separate"/>
            </w:r>
            <w:r w:rsidR="009656A3">
              <w:rPr>
                <w:noProof/>
                <w:webHidden/>
              </w:rPr>
              <w:t>1</w:t>
            </w:r>
            <w:r w:rsidR="009656A3">
              <w:rPr>
                <w:noProof/>
                <w:webHidden/>
              </w:rPr>
              <w:fldChar w:fldCharType="end"/>
            </w:r>
          </w:hyperlink>
        </w:p>
        <w:p w14:paraId="2CE20FE1" w14:textId="77777777" w:rsidR="009656A3" w:rsidRDefault="009656A3">
          <w:pPr>
            <w:pStyle w:val="TOC1"/>
            <w:tabs>
              <w:tab w:val="right" w:leader="dot" w:pos="9016"/>
            </w:tabs>
            <w:rPr>
              <w:rFonts w:eastAsiaTheme="minorEastAsia"/>
              <w:noProof/>
              <w:lang w:val="en-US"/>
            </w:rPr>
          </w:pPr>
          <w:hyperlink w:anchor="_Toc221779076" w:history="1">
            <w:r w:rsidRPr="008E58D8">
              <w:rPr>
                <w:rStyle w:val="Hyperlink"/>
                <w:rFonts w:ascii="Arial" w:hAnsi="Arial" w:cs="Arial"/>
                <w:noProof/>
                <w:lang w:val="en-US"/>
              </w:rPr>
              <w:t>2. Industry and Country Overview</w:t>
            </w:r>
            <w:r>
              <w:rPr>
                <w:noProof/>
                <w:webHidden/>
              </w:rPr>
              <w:tab/>
            </w:r>
            <w:r>
              <w:rPr>
                <w:noProof/>
                <w:webHidden/>
              </w:rPr>
              <w:fldChar w:fldCharType="begin"/>
            </w:r>
            <w:r>
              <w:rPr>
                <w:noProof/>
                <w:webHidden/>
              </w:rPr>
              <w:instrText xml:space="preserve"> PAGEREF _Toc221779076 \h </w:instrText>
            </w:r>
            <w:r>
              <w:rPr>
                <w:noProof/>
                <w:webHidden/>
              </w:rPr>
            </w:r>
            <w:r>
              <w:rPr>
                <w:noProof/>
                <w:webHidden/>
              </w:rPr>
              <w:fldChar w:fldCharType="separate"/>
            </w:r>
            <w:r>
              <w:rPr>
                <w:noProof/>
                <w:webHidden/>
              </w:rPr>
              <w:t>1</w:t>
            </w:r>
            <w:r>
              <w:rPr>
                <w:noProof/>
                <w:webHidden/>
              </w:rPr>
              <w:fldChar w:fldCharType="end"/>
            </w:r>
          </w:hyperlink>
        </w:p>
        <w:p w14:paraId="2CE20FE2" w14:textId="77777777" w:rsidR="009656A3" w:rsidRDefault="009656A3">
          <w:pPr>
            <w:pStyle w:val="TOC2"/>
            <w:tabs>
              <w:tab w:val="right" w:leader="dot" w:pos="9016"/>
            </w:tabs>
            <w:rPr>
              <w:rFonts w:eastAsiaTheme="minorEastAsia"/>
              <w:noProof/>
              <w:lang w:val="en-US"/>
            </w:rPr>
          </w:pPr>
          <w:hyperlink w:anchor="_Toc221779077" w:history="1">
            <w:r w:rsidRPr="008E58D8">
              <w:rPr>
                <w:rStyle w:val="Hyperlink"/>
                <w:rFonts w:ascii="Arial" w:hAnsi="Arial" w:cs="Arial"/>
                <w:noProof/>
                <w:lang w:val="en-US"/>
              </w:rPr>
              <w:t>a. The Renewable Energy (Solar PV) Industry in Germany</w:t>
            </w:r>
            <w:r>
              <w:rPr>
                <w:noProof/>
                <w:webHidden/>
              </w:rPr>
              <w:tab/>
            </w:r>
            <w:r>
              <w:rPr>
                <w:noProof/>
                <w:webHidden/>
              </w:rPr>
              <w:fldChar w:fldCharType="begin"/>
            </w:r>
            <w:r>
              <w:rPr>
                <w:noProof/>
                <w:webHidden/>
              </w:rPr>
              <w:instrText xml:space="preserve"> PAGEREF _Toc221779077 \h </w:instrText>
            </w:r>
            <w:r>
              <w:rPr>
                <w:noProof/>
                <w:webHidden/>
              </w:rPr>
            </w:r>
            <w:r>
              <w:rPr>
                <w:noProof/>
                <w:webHidden/>
              </w:rPr>
              <w:fldChar w:fldCharType="separate"/>
            </w:r>
            <w:r>
              <w:rPr>
                <w:noProof/>
                <w:webHidden/>
              </w:rPr>
              <w:t>1</w:t>
            </w:r>
            <w:r>
              <w:rPr>
                <w:noProof/>
                <w:webHidden/>
              </w:rPr>
              <w:fldChar w:fldCharType="end"/>
            </w:r>
          </w:hyperlink>
        </w:p>
        <w:p w14:paraId="2CE20FE3" w14:textId="77777777" w:rsidR="009656A3" w:rsidRDefault="009656A3">
          <w:pPr>
            <w:pStyle w:val="TOC2"/>
            <w:tabs>
              <w:tab w:val="right" w:leader="dot" w:pos="9016"/>
            </w:tabs>
            <w:rPr>
              <w:rFonts w:eastAsiaTheme="minorEastAsia"/>
              <w:noProof/>
              <w:lang w:val="en-US"/>
            </w:rPr>
          </w:pPr>
          <w:hyperlink w:anchor="_Toc221779078" w:history="1">
            <w:r w:rsidRPr="008E58D8">
              <w:rPr>
                <w:rStyle w:val="Hyperlink"/>
                <w:rFonts w:ascii="Arial" w:hAnsi="Arial" w:cs="Arial"/>
                <w:noProof/>
              </w:rPr>
              <w:t>b. Size, scope, and economic importance</w:t>
            </w:r>
            <w:r>
              <w:rPr>
                <w:noProof/>
                <w:webHidden/>
              </w:rPr>
              <w:tab/>
            </w:r>
            <w:r>
              <w:rPr>
                <w:noProof/>
                <w:webHidden/>
              </w:rPr>
              <w:fldChar w:fldCharType="begin"/>
            </w:r>
            <w:r>
              <w:rPr>
                <w:noProof/>
                <w:webHidden/>
              </w:rPr>
              <w:instrText xml:space="preserve"> PAGEREF _Toc221779078 \h </w:instrText>
            </w:r>
            <w:r>
              <w:rPr>
                <w:noProof/>
                <w:webHidden/>
              </w:rPr>
            </w:r>
            <w:r>
              <w:rPr>
                <w:noProof/>
                <w:webHidden/>
              </w:rPr>
              <w:fldChar w:fldCharType="separate"/>
            </w:r>
            <w:r>
              <w:rPr>
                <w:noProof/>
                <w:webHidden/>
              </w:rPr>
              <w:t>1</w:t>
            </w:r>
            <w:r>
              <w:rPr>
                <w:noProof/>
                <w:webHidden/>
              </w:rPr>
              <w:fldChar w:fldCharType="end"/>
            </w:r>
          </w:hyperlink>
        </w:p>
        <w:p w14:paraId="2CE20FE4" w14:textId="77777777" w:rsidR="009656A3" w:rsidRDefault="009656A3">
          <w:pPr>
            <w:pStyle w:val="TOC1"/>
            <w:tabs>
              <w:tab w:val="right" w:leader="dot" w:pos="9016"/>
            </w:tabs>
            <w:rPr>
              <w:rFonts w:eastAsiaTheme="minorEastAsia"/>
              <w:noProof/>
              <w:lang w:val="en-US"/>
            </w:rPr>
          </w:pPr>
          <w:hyperlink w:anchor="_Toc221779079" w:history="1">
            <w:r w:rsidRPr="008E58D8">
              <w:rPr>
                <w:rStyle w:val="Hyperlink"/>
                <w:rFonts w:ascii="Arial" w:hAnsi="Arial" w:cs="Arial"/>
                <w:noProof/>
                <w:lang w:val="en-US"/>
              </w:rPr>
              <w:t>3. Applying Porter’s Diamond Model to Vietnam’s Solar PV Industry-</w:t>
            </w:r>
            <w:r>
              <w:rPr>
                <w:noProof/>
                <w:webHidden/>
              </w:rPr>
              <w:tab/>
            </w:r>
            <w:r>
              <w:rPr>
                <w:noProof/>
                <w:webHidden/>
              </w:rPr>
              <w:fldChar w:fldCharType="begin"/>
            </w:r>
            <w:r>
              <w:rPr>
                <w:noProof/>
                <w:webHidden/>
              </w:rPr>
              <w:instrText xml:space="preserve"> PAGEREF _Toc221779079 \h </w:instrText>
            </w:r>
            <w:r>
              <w:rPr>
                <w:noProof/>
                <w:webHidden/>
              </w:rPr>
            </w:r>
            <w:r>
              <w:rPr>
                <w:noProof/>
                <w:webHidden/>
              </w:rPr>
              <w:fldChar w:fldCharType="separate"/>
            </w:r>
            <w:r>
              <w:rPr>
                <w:noProof/>
                <w:webHidden/>
              </w:rPr>
              <w:t>5</w:t>
            </w:r>
            <w:r>
              <w:rPr>
                <w:noProof/>
                <w:webHidden/>
              </w:rPr>
              <w:fldChar w:fldCharType="end"/>
            </w:r>
          </w:hyperlink>
        </w:p>
        <w:p w14:paraId="2CE20FE5" w14:textId="77777777" w:rsidR="009656A3" w:rsidRDefault="009656A3">
          <w:pPr>
            <w:pStyle w:val="TOC1"/>
            <w:tabs>
              <w:tab w:val="right" w:leader="dot" w:pos="9016"/>
            </w:tabs>
            <w:rPr>
              <w:rFonts w:eastAsiaTheme="minorEastAsia"/>
              <w:noProof/>
              <w:lang w:val="en-US"/>
            </w:rPr>
          </w:pPr>
          <w:hyperlink w:anchor="_Toc221779080" w:history="1">
            <w:r w:rsidRPr="008E58D8">
              <w:rPr>
                <w:rStyle w:val="Hyperlink"/>
                <w:noProof/>
                <w:lang w:val="en-US"/>
              </w:rPr>
              <w:t>4. Strategic Evaluation of Tesla’s Operational Resilience and Market Attractiveness in Germany (2026)</w:t>
            </w:r>
            <w:r>
              <w:rPr>
                <w:noProof/>
                <w:webHidden/>
              </w:rPr>
              <w:tab/>
            </w:r>
            <w:r>
              <w:rPr>
                <w:noProof/>
                <w:webHidden/>
              </w:rPr>
              <w:fldChar w:fldCharType="begin"/>
            </w:r>
            <w:r>
              <w:rPr>
                <w:noProof/>
                <w:webHidden/>
              </w:rPr>
              <w:instrText xml:space="preserve"> PAGEREF _Toc221779080 \h </w:instrText>
            </w:r>
            <w:r>
              <w:rPr>
                <w:noProof/>
                <w:webHidden/>
              </w:rPr>
            </w:r>
            <w:r>
              <w:rPr>
                <w:noProof/>
                <w:webHidden/>
              </w:rPr>
              <w:fldChar w:fldCharType="separate"/>
            </w:r>
            <w:r>
              <w:rPr>
                <w:noProof/>
                <w:webHidden/>
              </w:rPr>
              <w:t>7</w:t>
            </w:r>
            <w:r>
              <w:rPr>
                <w:noProof/>
                <w:webHidden/>
              </w:rPr>
              <w:fldChar w:fldCharType="end"/>
            </w:r>
          </w:hyperlink>
        </w:p>
        <w:p w14:paraId="2CE20FE6" w14:textId="77777777" w:rsidR="009656A3" w:rsidRDefault="009656A3">
          <w:pPr>
            <w:pStyle w:val="TOC1"/>
            <w:tabs>
              <w:tab w:val="right" w:leader="dot" w:pos="9016"/>
            </w:tabs>
            <w:rPr>
              <w:rFonts w:eastAsiaTheme="minorEastAsia"/>
              <w:noProof/>
              <w:lang w:val="en-US"/>
            </w:rPr>
          </w:pPr>
          <w:hyperlink w:anchor="_Toc221779081" w:history="1">
            <w:r w:rsidRPr="008E58D8">
              <w:rPr>
                <w:rStyle w:val="Hyperlink"/>
                <w:rFonts w:ascii="Arial" w:hAnsi="Arial" w:cs="Arial"/>
                <w:noProof/>
              </w:rPr>
              <w:t>5.0 Conclusion</w:t>
            </w:r>
            <w:r>
              <w:rPr>
                <w:noProof/>
                <w:webHidden/>
              </w:rPr>
              <w:tab/>
            </w:r>
            <w:r>
              <w:rPr>
                <w:noProof/>
                <w:webHidden/>
              </w:rPr>
              <w:fldChar w:fldCharType="begin"/>
            </w:r>
            <w:r>
              <w:rPr>
                <w:noProof/>
                <w:webHidden/>
              </w:rPr>
              <w:instrText xml:space="preserve"> PAGEREF _Toc221779081 \h </w:instrText>
            </w:r>
            <w:r>
              <w:rPr>
                <w:noProof/>
                <w:webHidden/>
              </w:rPr>
            </w:r>
            <w:r>
              <w:rPr>
                <w:noProof/>
                <w:webHidden/>
              </w:rPr>
              <w:fldChar w:fldCharType="separate"/>
            </w:r>
            <w:r>
              <w:rPr>
                <w:noProof/>
                <w:webHidden/>
              </w:rPr>
              <w:t>13</w:t>
            </w:r>
            <w:r>
              <w:rPr>
                <w:noProof/>
                <w:webHidden/>
              </w:rPr>
              <w:fldChar w:fldCharType="end"/>
            </w:r>
          </w:hyperlink>
        </w:p>
        <w:p w14:paraId="2CE20FE7" w14:textId="77777777" w:rsidR="009656A3" w:rsidRDefault="009656A3">
          <w:pPr>
            <w:pStyle w:val="TOC1"/>
            <w:tabs>
              <w:tab w:val="right" w:leader="dot" w:pos="9016"/>
            </w:tabs>
            <w:rPr>
              <w:rFonts w:eastAsiaTheme="minorEastAsia"/>
              <w:noProof/>
              <w:lang w:val="en-US"/>
            </w:rPr>
          </w:pPr>
          <w:hyperlink w:anchor="_Toc221779082" w:history="1">
            <w:r w:rsidRPr="008E58D8">
              <w:rPr>
                <w:rStyle w:val="Hyperlink"/>
                <w:rFonts w:ascii="Arial" w:hAnsi="Arial" w:cs="Arial"/>
                <w:noProof/>
                <w:lang w:val="en-US"/>
              </w:rPr>
              <w:t>Section 2: Reflective Account of the Research and Analysis Process</w:t>
            </w:r>
            <w:r>
              <w:rPr>
                <w:noProof/>
                <w:webHidden/>
              </w:rPr>
              <w:tab/>
            </w:r>
            <w:r>
              <w:rPr>
                <w:noProof/>
                <w:webHidden/>
              </w:rPr>
              <w:fldChar w:fldCharType="begin"/>
            </w:r>
            <w:r>
              <w:rPr>
                <w:noProof/>
                <w:webHidden/>
              </w:rPr>
              <w:instrText xml:space="preserve"> PAGEREF _Toc221779082 \h </w:instrText>
            </w:r>
            <w:r>
              <w:rPr>
                <w:noProof/>
                <w:webHidden/>
              </w:rPr>
            </w:r>
            <w:r>
              <w:rPr>
                <w:noProof/>
                <w:webHidden/>
              </w:rPr>
              <w:fldChar w:fldCharType="separate"/>
            </w:r>
            <w:r>
              <w:rPr>
                <w:noProof/>
                <w:webHidden/>
              </w:rPr>
              <w:t>14</w:t>
            </w:r>
            <w:r>
              <w:rPr>
                <w:noProof/>
                <w:webHidden/>
              </w:rPr>
              <w:fldChar w:fldCharType="end"/>
            </w:r>
          </w:hyperlink>
        </w:p>
        <w:p w14:paraId="2CE20FE8" w14:textId="77777777" w:rsidR="009656A3" w:rsidRDefault="009656A3">
          <w:pPr>
            <w:pStyle w:val="TOC1"/>
            <w:tabs>
              <w:tab w:val="right" w:leader="dot" w:pos="9016"/>
            </w:tabs>
            <w:rPr>
              <w:rFonts w:eastAsiaTheme="minorEastAsia"/>
              <w:noProof/>
              <w:lang w:val="en-US"/>
            </w:rPr>
          </w:pPr>
          <w:hyperlink w:anchor="_Toc221779083" w:history="1">
            <w:r w:rsidRPr="008E58D8">
              <w:rPr>
                <w:rStyle w:val="Hyperlink"/>
                <w:rFonts w:ascii="Arial" w:hAnsi="Arial" w:cs="Arial"/>
                <w:noProof/>
              </w:rPr>
              <w:t>References</w:t>
            </w:r>
            <w:r>
              <w:rPr>
                <w:noProof/>
                <w:webHidden/>
              </w:rPr>
              <w:tab/>
            </w:r>
            <w:r>
              <w:rPr>
                <w:noProof/>
                <w:webHidden/>
              </w:rPr>
              <w:fldChar w:fldCharType="begin"/>
            </w:r>
            <w:r>
              <w:rPr>
                <w:noProof/>
                <w:webHidden/>
              </w:rPr>
              <w:instrText xml:space="preserve"> PAGEREF _Toc221779083 \h </w:instrText>
            </w:r>
            <w:r>
              <w:rPr>
                <w:noProof/>
                <w:webHidden/>
              </w:rPr>
            </w:r>
            <w:r>
              <w:rPr>
                <w:noProof/>
                <w:webHidden/>
              </w:rPr>
              <w:fldChar w:fldCharType="separate"/>
            </w:r>
            <w:r>
              <w:rPr>
                <w:noProof/>
                <w:webHidden/>
              </w:rPr>
              <w:t>18</w:t>
            </w:r>
            <w:r>
              <w:rPr>
                <w:noProof/>
                <w:webHidden/>
              </w:rPr>
              <w:fldChar w:fldCharType="end"/>
            </w:r>
          </w:hyperlink>
        </w:p>
        <w:p w14:paraId="2CE20FE9" w14:textId="77777777" w:rsidR="00FD0388" w:rsidRPr="00AD4427" w:rsidRDefault="00FD0388" w:rsidP="00135C1B">
          <w:pPr>
            <w:jc w:val="both"/>
            <w:rPr>
              <w:rFonts w:ascii="Arial" w:hAnsi="Arial" w:cs="Arial"/>
            </w:rPr>
          </w:pPr>
          <w:r w:rsidRPr="00AD4427">
            <w:rPr>
              <w:rFonts w:ascii="Arial" w:hAnsi="Arial" w:cs="Arial"/>
              <w:b/>
              <w:bCs/>
              <w:noProof/>
            </w:rPr>
            <w:fldChar w:fldCharType="end"/>
          </w:r>
        </w:p>
      </w:sdtContent>
    </w:sdt>
    <w:p w14:paraId="2CE20FEA" w14:textId="77777777" w:rsidR="006E0F18" w:rsidRPr="00AD4427" w:rsidRDefault="006E0F18">
      <w:pPr>
        <w:rPr>
          <w:rFonts w:ascii="Arial" w:hAnsi="Arial" w:cs="Arial"/>
          <w:b/>
          <w:bCs/>
          <w:sz w:val="24"/>
        </w:rPr>
      </w:pPr>
      <w:r w:rsidRPr="00AD4427">
        <w:rPr>
          <w:rFonts w:ascii="Arial" w:hAnsi="Arial" w:cs="Arial"/>
          <w:b/>
          <w:bCs/>
          <w:sz w:val="24"/>
        </w:rPr>
        <w:br w:type="page"/>
      </w:r>
    </w:p>
    <w:p w14:paraId="2CE20FEB" w14:textId="77777777" w:rsidR="005E4072" w:rsidRPr="00AD4427" w:rsidRDefault="005E4072" w:rsidP="005F69B8">
      <w:pPr>
        <w:jc w:val="center"/>
        <w:rPr>
          <w:rStyle w:val="Strong"/>
          <w:rFonts w:ascii="Arial" w:hAnsi="Arial" w:cs="Arial"/>
          <w:b w:val="0"/>
          <w:bCs w:val="0"/>
          <w:color w:val="ED7D31" w:themeColor="accent2"/>
          <w:sz w:val="32"/>
          <w:szCs w:val="32"/>
        </w:rPr>
      </w:pPr>
      <w:r w:rsidRPr="00AD4427">
        <w:rPr>
          <w:rStyle w:val="Strong"/>
          <w:rFonts w:ascii="Arial" w:hAnsi="Arial" w:cs="Arial"/>
          <w:b w:val="0"/>
          <w:bCs w:val="0"/>
          <w:color w:val="ED7D31" w:themeColor="accent2"/>
          <w:sz w:val="32"/>
          <w:szCs w:val="32"/>
        </w:rPr>
        <w:lastRenderedPageBreak/>
        <w:t xml:space="preserve">The </w:t>
      </w:r>
      <w:r w:rsidR="00433681" w:rsidRPr="00AD4427">
        <w:rPr>
          <w:rFonts w:ascii="Arial" w:hAnsi="Arial" w:cs="Arial"/>
          <w:color w:val="ED7D31" w:themeColor="accent2"/>
          <w:sz w:val="32"/>
          <w:szCs w:val="32"/>
          <w:shd w:val="clear" w:color="auto" w:fill="FFFFFF"/>
        </w:rPr>
        <w:t>German Electric Vehicle Industry</w:t>
      </w:r>
    </w:p>
    <w:p w14:paraId="2CE20FEC" w14:textId="77777777" w:rsidR="005E4072" w:rsidRPr="00AD4427" w:rsidRDefault="005E4072" w:rsidP="005E4072">
      <w:pPr>
        <w:rPr>
          <w:rFonts w:ascii="Arial" w:hAnsi="Arial" w:cs="Arial"/>
        </w:rPr>
      </w:pPr>
    </w:p>
    <w:p w14:paraId="2CE20FED" w14:textId="77777777" w:rsidR="006E0F18" w:rsidRDefault="00972288" w:rsidP="00EC03CF">
      <w:pPr>
        <w:rPr>
          <w:rFonts w:ascii="Arial" w:hAnsi="Arial" w:cs="Arial"/>
          <w:b/>
          <w:bCs/>
          <w:sz w:val="24"/>
        </w:rPr>
      </w:pPr>
      <w:r>
        <w:rPr>
          <w:noProof/>
          <w:lang w:val="en-US"/>
        </w:rPr>
        <w:drawing>
          <wp:inline distT="0" distB="0" distL="0" distR="0" wp14:anchorId="2CE21074" wp14:editId="2CE21075">
            <wp:extent cx="5731510" cy="3518510"/>
            <wp:effectExtent l="0" t="0" r="254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5731510" cy="3518510"/>
                    </a:xfrm>
                    <a:prstGeom prst="rect">
                      <a:avLst/>
                    </a:prstGeom>
                  </pic:spPr>
                </pic:pic>
              </a:graphicData>
            </a:graphic>
          </wp:inline>
        </w:drawing>
      </w:r>
    </w:p>
    <w:p w14:paraId="2CE20FEE" w14:textId="77777777" w:rsidR="00927D62" w:rsidRPr="00AD4427" w:rsidRDefault="00927D62" w:rsidP="00EC03CF">
      <w:pPr>
        <w:rPr>
          <w:rFonts w:ascii="Arial" w:hAnsi="Arial" w:cs="Arial"/>
          <w:b/>
          <w:bCs/>
          <w:sz w:val="24"/>
        </w:rPr>
      </w:pPr>
      <w:r>
        <w:rPr>
          <w:noProof/>
          <w:lang w:val="en-US"/>
        </w:rPr>
        <w:drawing>
          <wp:inline distT="0" distB="0" distL="0" distR="0" wp14:anchorId="2CE21076" wp14:editId="2CE21077">
            <wp:extent cx="5731510" cy="3839989"/>
            <wp:effectExtent l="0" t="0" r="2540" b="825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5731510" cy="3839989"/>
                    </a:xfrm>
                    <a:prstGeom prst="rect">
                      <a:avLst/>
                    </a:prstGeom>
                  </pic:spPr>
                </pic:pic>
              </a:graphicData>
            </a:graphic>
          </wp:inline>
        </w:drawing>
      </w:r>
    </w:p>
    <w:p w14:paraId="2CE20FEF" w14:textId="77777777" w:rsidR="002D1264" w:rsidRPr="00AD4427" w:rsidRDefault="009922AE" w:rsidP="00885692">
      <w:pPr>
        <w:rPr>
          <w:rFonts w:ascii="Arial" w:hAnsi="Arial" w:cs="Arial"/>
          <w:b/>
          <w:bCs/>
          <w:sz w:val="24"/>
        </w:rPr>
      </w:pPr>
      <w:r w:rsidRPr="00AD4427">
        <w:rPr>
          <w:rFonts w:ascii="Arial" w:hAnsi="Arial" w:cs="Arial"/>
          <w:b/>
          <w:bCs/>
          <w:sz w:val="24"/>
        </w:rPr>
        <w:br w:type="page"/>
      </w:r>
    </w:p>
    <w:p w14:paraId="2CE20FF0" w14:textId="77777777" w:rsidR="008C45E0" w:rsidRPr="00AD4427" w:rsidRDefault="008C45E0" w:rsidP="009922AE">
      <w:pPr>
        <w:pStyle w:val="Caption"/>
        <w:rPr>
          <w:rFonts w:ascii="Arial" w:hAnsi="Arial" w:cs="Arial"/>
          <w:b w:val="0"/>
          <w:bCs w:val="0"/>
          <w:sz w:val="24"/>
        </w:rPr>
        <w:sectPr w:rsidR="008C45E0" w:rsidRPr="00AD4427" w:rsidSect="008C45E0">
          <w:headerReference w:type="even" r:id="rId11"/>
          <w:headerReference w:type="default" r:id="rId12"/>
          <w:footerReference w:type="even" r:id="rId13"/>
          <w:footerReference w:type="default" r:id="rId14"/>
          <w:headerReference w:type="first" r:id="rId15"/>
          <w:footerReference w:type="first" r:id="rId16"/>
          <w:pgSz w:w="11906" w:h="16838"/>
          <w:pgMar w:top="1440" w:right="1440" w:bottom="1440" w:left="1440" w:header="708" w:footer="708" w:gutter="0"/>
          <w:pgNumType w:fmt="upperRoman"/>
          <w:cols w:space="708"/>
          <w:docGrid w:linePitch="360"/>
        </w:sectPr>
      </w:pPr>
    </w:p>
    <w:p w14:paraId="2CE20FF1" w14:textId="77777777" w:rsidR="00FD0388" w:rsidRPr="00AD4427" w:rsidRDefault="00FD0388" w:rsidP="006E6670">
      <w:pPr>
        <w:pStyle w:val="Heading1"/>
        <w:rPr>
          <w:rFonts w:ascii="Arial" w:hAnsi="Arial" w:cs="Arial"/>
        </w:rPr>
      </w:pPr>
      <w:bookmarkStart w:id="0" w:name="_Toc221779075"/>
      <w:r w:rsidRPr="00AD4427">
        <w:rPr>
          <w:rFonts w:ascii="Arial" w:hAnsi="Arial" w:cs="Arial"/>
        </w:rPr>
        <w:lastRenderedPageBreak/>
        <w:t>Introduction</w:t>
      </w:r>
      <w:bookmarkEnd w:id="0"/>
    </w:p>
    <w:p w14:paraId="2CE20FF2" w14:textId="77777777" w:rsidR="00433681" w:rsidRPr="00AD4427" w:rsidRDefault="00A7770E" w:rsidP="00433681">
      <w:pPr>
        <w:tabs>
          <w:tab w:val="left" w:pos="1605"/>
        </w:tabs>
        <w:spacing w:line="360" w:lineRule="auto"/>
        <w:jc w:val="both"/>
        <w:rPr>
          <w:rFonts w:ascii="Arial" w:hAnsi="Arial" w:cs="Arial"/>
          <w:lang w:val="en-US"/>
        </w:rPr>
      </w:pPr>
      <w:r w:rsidRPr="00AD4427">
        <w:rPr>
          <w:rFonts w:ascii="Arial" w:hAnsi="Arial" w:cs="Arial"/>
        </w:rPr>
        <w:t xml:space="preserve">The German car makers who have always been historically founded on internal-combustion superiority are in a tectonic structural transition to </w:t>
      </w:r>
      <w:r w:rsidR="003967E5">
        <w:rPr>
          <w:rFonts w:ascii="Arial" w:hAnsi="Arial" w:cs="Arial"/>
        </w:rPr>
        <w:t>electro-</w:t>
      </w:r>
      <w:r w:rsidR="003967E5" w:rsidRPr="00AD4427">
        <w:rPr>
          <w:rFonts w:ascii="Arial" w:hAnsi="Arial" w:cs="Arial"/>
        </w:rPr>
        <w:t>mobility</w:t>
      </w:r>
      <w:r w:rsidRPr="00AD4427">
        <w:rPr>
          <w:rFonts w:ascii="Arial" w:hAnsi="Arial" w:cs="Arial"/>
        </w:rPr>
        <w:t>. The present paper is a critical assessment of the industry landscape in the year 2026, which is characterised by the clash of hostile forces of European Union decarbonisation requirements and the unstable competitive landscape. Tesla Inc. is at the centre of this shift as the creation of Giga Berlin-Brandenburg was meant to break the hegemony of the old German OEMs, including Volkswagen, BMW, and Mercedes-Benz</w:t>
      </w:r>
      <w:r w:rsidR="00433681" w:rsidRPr="00AD4427">
        <w:rPr>
          <w:rFonts w:ascii="Arial" w:hAnsi="Arial" w:cs="Arial"/>
          <w:lang w:val="en-US"/>
        </w:rPr>
        <w:t>.</w:t>
      </w:r>
    </w:p>
    <w:p w14:paraId="2CE20FF3" w14:textId="77777777" w:rsidR="00A7770E" w:rsidRPr="00AD4427" w:rsidRDefault="00A7770E" w:rsidP="00433681">
      <w:pPr>
        <w:tabs>
          <w:tab w:val="left" w:pos="1605"/>
        </w:tabs>
        <w:spacing w:line="360" w:lineRule="auto"/>
        <w:jc w:val="both"/>
        <w:rPr>
          <w:rFonts w:ascii="Arial" w:hAnsi="Arial" w:cs="Arial"/>
          <w:lang w:val="en-US"/>
        </w:rPr>
      </w:pPr>
      <w:r w:rsidRPr="00AD4427">
        <w:rPr>
          <w:rFonts w:ascii="Arial" w:hAnsi="Arial" w:cs="Arial"/>
        </w:rPr>
        <w:t>The following report assesses the extent and economic significance of the industry, uses the Diamond Model created by Porter to examine the national advantage of Germany, and finally gives a strategy analysis as to how Tesla can withstand the Chinese competition that is on the rise and its self-inflicted erosion of the brand that it has strategically built over the years.</w:t>
      </w:r>
    </w:p>
    <w:p w14:paraId="2CE20FF4" w14:textId="77777777" w:rsidR="003F1C2D" w:rsidRPr="00AD4427" w:rsidRDefault="003F1C2D" w:rsidP="00A91D23">
      <w:pPr>
        <w:pStyle w:val="Heading1"/>
        <w:rPr>
          <w:rFonts w:ascii="Arial" w:hAnsi="Arial" w:cs="Arial"/>
          <w:b w:val="0"/>
          <w:i/>
          <w:lang w:val="en-US"/>
        </w:rPr>
      </w:pPr>
      <w:bookmarkStart w:id="1" w:name="_Toc221779076"/>
      <w:r w:rsidRPr="00AD4427">
        <w:rPr>
          <w:rFonts w:ascii="Arial" w:hAnsi="Arial" w:cs="Arial"/>
          <w:lang w:val="en-US"/>
        </w:rPr>
        <w:t>2. Industry and Country Overview</w:t>
      </w:r>
      <w:bookmarkEnd w:id="1"/>
    </w:p>
    <w:p w14:paraId="2CE20FF5" w14:textId="77777777" w:rsidR="003F1C2D" w:rsidRPr="00AD4427" w:rsidRDefault="00F10445" w:rsidP="00A91D23">
      <w:pPr>
        <w:pStyle w:val="Heading2"/>
        <w:rPr>
          <w:rFonts w:ascii="Arial" w:hAnsi="Arial" w:cs="Arial"/>
          <w:lang w:val="en-US"/>
        </w:rPr>
      </w:pPr>
      <w:bookmarkStart w:id="2" w:name="_Toc221779077"/>
      <w:r w:rsidRPr="00AD4427">
        <w:rPr>
          <w:rFonts w:ascii="Arial" w:hAnsi="Arial" w:cs="Arial"/>
          <w:lang w:val="en-US"/>
        </w:rPr>
        <w:t xml:space="preserve">a. </w:t>
      </w:r>
      <w:r w:rsidR="003F1C2D" w:rsidRPr="00AD4427">
        <w:rPr>
          <w:rFonts w:ascii="Arial" w:hAnsi="Arial" w:cs="Arial"/>
          <w:lang w:val="en-US"/>
        </w:rPr>
        <w:t xml:space="preserve">The Renewable Energy (Solar PV) Industry in </w:t>
      </w:r>
      <w:r w:rsidR="0006768A" w:rsidRPr="00AD4427">
        <w:rPr>
          <w:rFonts w:ascii="Arial" w:hAnsi="Arial" w:cs="Arial"/>
          <w:lang w:val="en-US"/>
        </w:rPr>
        <w:t>Germany</w:t>
      </w:r>
      <w:bookmarkEnd w:id="2"/>
    </w:p>
    <w:p w14:paraId="2CE20FF6" w14:textId="77777777" w:rsidR="00896CEB" w:rsidRPr="00AD4427" w:rsidRDefault="00A7770E" w:rsidP="00896CEB">
      <w:pPr>
        <w:spacing w:line="360" w:lineRule="auto"/>
        <w:jc w:val="both"/>
        <w:rPr>
          <w:rFonts w:ascii="Arial" w:hAnsi="Arial" w:cs="Arial"/>
          <w:sz w:val="20"/>
          <w:lang w:val="en-US"/>
        </w:rPr>
      </w:pPr>
      <w:r w:rsidRPr="00AD4427">
        <w:rPr>
          <w:rFonts w:ascii="Arial" w:hAnsi="Arial" w:cs="Arial"/>
        </w:rPr>
        <w:t>The traditional automotive star of Europe, Germany is in the process of a radical reorganisation as it transitions to the electro</w:t>
      </w:r>
      <w:r w:rsidR="00B35BF8">
        <w:rPr>
          <w:rFonts w:ascii="Arial" w:hAnsi="Arial" w:cs="Arial"/>
        </w:rPr>
        <w:t>-</w:t>
      </w:r>
      <w:r w:rsidRPr="00AD4427">
        <w:rPr>
          <w:rFonts w:ascii="Arial" w:hAnsi="Arial" w:cs="Arial"/>
        </w:rPr>
        <w:t>mobility as opposed to internal-combustion engines. The German electric vehicle (EV) industry is currently shaped by ambitious climate targets and a regulatory framework heavily influenced by European Union mandates. The International Energy Agency Technology Collaboration Programme (EVTCP, 2024) has shown that Germany is already one of the top markets where battery-only-electric vehicles (BEVs) are bought, and the country has a well-developed national strategy to implement 15 million EVs on the road by 2030. The current market trends suggest that there is a major change in the consumer behaviour and registration patterns. According to the Alternative Fuels Observatory (2025b), in April 2025 alone, BEV registrations in Germany increased by 54 percent, the indication of a recovery and a developing acceleration in adoption rates even after the previously announced phasing out of direct purchase subsidies. Such growth is also reflected in the region; whereas Czech republic is currently seen to have dominated in plug-in hybrid electric vehicles (PHEVs) ( Alternative Fuels Observatory, 2025a), Germany is still concerned with pure battery tech</w:t>
      </w:r>
      <w:r w:rsidR="00A25093" w:rsidRPr="00AD4427">
        <w:rPr>
          <w:rFonts w:ascii="Arial" w:hAnsi="Arial" w:cs="Arial"/>
        </w:rPr>
        <w:t>nology to comply with strict CO</w:t>
      </w:r>
      <w:r w:rsidRPr="00AD4427">
        <w:rPr>
          <w:rFonts w:ascii="Arial" w:hAnsi="Arial" w:cs="Arial"/>
          <w:sz w:val="26"/>
          <w:vertAlign w:val="subscript"/>
        </w:rPr>
        <w:t>2</w:t>
      </w:r>
      <w:r w:rsidRPr="00AD4427">
        <w:rPr>
          <w:rFonts w:ascii="Arial" w:hAnsi="Arial" w:cs="Arial"/>
        </w:rPr>
        <w:t xml:space="preserve"> emission levels. </w:t>
      </w:r>
    </w:p>
    <w:p w14:paraId="2CE20FF7" w14:textId="77777777" w:rsidR="003F1C2D" w:rsidRPr="00AD4427" w:rsidRDefault="00F10445" w:rsidP="00A91D23">
      <w:pPr>
        <w:pStyle w:val="Heading2"/>
        <w:rPr>
          <w:rFonts w:ascii="Arial" w:hAnsi="Arial" w:cs="Arial"/>
        </w:rPr>
      </w:pPr>
      <w:bookmarkStart w:id="3" w:name="_Toc221779078"/>
      <w:r w:rsidRPr="00AD4427">
        <w:rPr>
          <w:rFonts w:ascii="Arial" w:hAnsi="Arial" w:cs="Arial"/>
        </w:rPr>
        <w:t>b. S</w:t>
      </w:r>
      <w:r w:rsidR="003F1C2D" w:rsidRPr="00AD4427">
        <w:rPr>
          <w:rFonts w:ascii="Arial" w:hAnsi="Arial" w:cs="Arial"/>
        </w:rPr>
        <w:t>ize, scope, and economic importance</w:t>
      </w:r>
      <w:bookmarkEnd w:id="3"/>
      <w:r w:rsidR="003F1C2D" w:rsidRPr="00AD4427">
        <w:rPr>
          <w:rFonts w:ascii="Arial" w:hAnsi="Arial" w:cs="Arial"/>
        </w:rPr>
        <w:t xml:space="preserve"> </w:t>
      </w:r>
    </w:p>
    <w:p w14:paraId="2CE20FF8" w14:textId="77777777" w:rsidR="00010A2E" w:rsidRPr="00AD4427" w:rsidRDefault="009249CC" w:rsidP="00010A2E">
      <w:pPr>
        <w:spacing w:line="360" w:lineRule="auto"/>
        <w:jc w:val="both"/>
        <w:rPr>
          <w:rFonts w:ascii="Arial" w:hAnsi="Arial" w:cs="Arial"/>
          <w:sz w:val="24"/>
          <w:lang w:val="en-US"/>
        </w:rPr>
      </w:pPr>
      <w:r w:rsidRPr="00AD4427">
        <w:rPr>
          <w:rFonts w:ascii="Arial" w:hAnsi="Arial" w:cs="Arial"/>
          <w:b/>
          <w:bCs/>
          <w:sz w:val="24"/>
          <w:lang w:val="en-US"/>
        </w:rPr>
        <w:t>Figure</w:t>
      </w:r>
      <w:r w:rsidR="00010A2E" w:rsidRPr="00AD4427">
        <w:rPr>
          <w:rFonts w:ascii="Arial" w:hAnsi="Arial" w:cs="Arial"/>
          <w:b/>
          <w:bCs/>
          <w:sz w:val="24"/>
          <w:lang w:val="en-US"/>
        </w:rPr>
        <w:t xml:space="preserve"> 1: Germany EV Market Forecast (2024–2032)</w:t>
      </w:r>
    </w:p>
    <w:p w14:paraId="2CE20FF9" w14:textId="77777777" w:rsidR="00094F2D" w:rsidRPr="00AD4427" w:rsidRDefault="009249CC" w:rsidP="00B35BF8">
      <w:pPr>
        <w:spacing w:line="360" w:lineRule="auto"/>
        <w:jc w:val="center"/>
        <w:rPr>
          <w:rFonts w:ascii="Arial" w:hAnsi="Arial" w:cs="Arial"/>
          <w:i/>
          <w:iCs/>
          <w:sz w:val="24"/>
          <w:lang w:val="en-US"/>
        </w:rPr>
      </w:pPr>
      <w:r w:rsidRPr="00AD4427">
        <w:rPr>
          <w:noProof/>
          <w:lang w:val="en-US"/>
        </w:rPr>
        <w:lastRenderedPageBreak/>
        <w:drawing>
          <wp:inline distT="0" distB="0" distL="0" distR="0" wp14:anchorId="2CE21078" wp14:editId="2CE21079">
            <wp:extent cx="4029075" cy="3571875"/>
            <wp:effectExtent l="0" t="0" r="9525" b="952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a:stretch>
                      <a:fillRect/>
                    </a:stretch>
                  </pic:blipFill>
                  <pic:spPr>
                    <a:xfrm>
                      <a:off x="0" y="0"/>
                      <a:ext cx="4029075" cy="3571875"/>
                    </a:xfrm>
                    <a:prstGeom prst="rect">
                      <a:avLst/>
                    </a:prstGeom>
                  </pic:spPr>
                </pic:pic>
              </a:graphicData>
            </a:graphic>
          </wp:inline>
        </w:drawing>
      </w:r>
    </w:p>
    <w:p w14:paraId="2CE20FFA" w14:textId="77777777" w:rsidR="00094F2D" w:rsidRPr="00AD4427" w:rsidRDefault="00094F2D" w:rsidP="00B35BF8">
      <w:pPr>
        <w:spacing w:line="360" w:lineRule="auto"/>
        <w:jc w:val="center"/>
        <w:rPr>
          <w:rFonts w:ascii="Arial" w:hAnsi="Arial" w:cs="Arial"/>
          <w:i/>
          <w:iCs/>
          <w:sz w:val="24"/>
          <w:lang w:val="en-US"/>
        </w:rPr>
      </w:pPr>
      <w:r w:rsidRPr="00AD4427">
        <w:rPr>
          <w:noProof/>
          <w:lang w:val="en-US"/>
        </w:rPr>
        <w:drawing>
          <wp:inline distT="0" distB="0" distL="0" distR="0" wp14:anchorId="2CE2107A" wp14:editId="2CE2107B">
            <wp:extent cx="3962400" cy="3667125"/>
            <wp:effectExtent l="0" t="0" r="0" b="952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a:stretch>
                      <a:fillRect/>
                    </a:stretch>
                  </pic:blipFill>
                  <pic:spPr>
                    <a:xfrm>
                      <a:off x="0" y="0"/>
                      <a:ext cx="3962400" cy="3667125"/>
                    </a:xfrm>
                    <a:prstGeom prst="rect">
                      <a:avLst/>
                    </a:prstGeom>
                  </pic:spPr>
                </pic:pic>
              </a:graphicData>
            </a:graphic>
          </wp:inline>
        </w:drawing>
      </w:r>
    </w:p>
    <w:p w14:paraId="2CE20FFB" w14:textId="77777777" w:rsidR="00773C1D" w:rsidRPr="00AD4427" w:rsidRDefault="006521D2" w:rsidP="00B35BF8">
      <w:pPr>
        <w:spacing w:line="360" w:lineRule="auto"/>
        <w:jc w:val="center"/>
        <w:rPr>
          <w:rFonts w:ascii="Arial" w:hAnsi="Arial" w:cs="Arial"/>
          <w:i/>
          <w:iCs/>
          <w:sz w:val="24"/>
          <w:lang w:val="en-US"/>
        </w:rPr>
      </w:pPr>
      <w:r w:rsidRPr="00AD4427">
        <w:rPr>
          <w:noProof/>
          <w:lang w:val="en-US"/>
        </w:rPr>
        <w:lastRenderedPageBreak/>
        <w:drawing>
          <wp:inline distT="0" distB="0" distL="0" distR="0" wp14:anchorId="2CE2107C" wp14:editId="2CE2107D">
            <wp:extent cx="5943600" cy="154368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a:stretch>
                      <a:fillRect/>
                    </a:stretch>
                  </pic:blipFill>
                  <pic:spPr>
                    <a:xfrm>
                      <a:off x="0" y="0"/>
                      <a:ext cx="5943600" cy="1543685"/>
                    </a:xfrm>
                    <a:prstGeom prst="rect">
                      <a:avLst/>
                    </a:prstGeom>
                  </pic:spPr>
                </pic:pic>
              </a:graphicData>
            </a:graphic>
          </wp:inline>
        </w:drawing>
      </w:r>
      <w:r w:rsidR="00773C1D" w:rsidRPr="00AD4427">
        <w:rPr>
          <w:noProof/>
          <w:lang w:val="en-US"/>
        </w:rPr>
        <w:drawing>
          <wp:inline distT="0" distB="0" distL="0" distR="0" wp14:anchorId="2CE2107E" wp14:editId="2CE2107F">
            <wp:extent cx="5943600" cy="305244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a:stretch>
                      <a:fillRect/>
                    </a:stretch>
                  </pic:blipFill>
                  <pic:spPr>
                    <a:xfrm>
                      <a:off x="0" y="0"/>
                      <a:ext cx="5943600" cy="3052445"/>
                    </a:xfrm>
                    <a:prstGeom prst="rect">
                      <a:avLst/>
                    </a:prstGeom>
                  </pic:spPr>
                </pic:pic>
              </a:graphicData>
            </a:graphic>
          </wp:inline>
        </w:drawing>
      </w:r>
    </w:p>
    <w:p w14:paraId="2CE20FFC" w14:textId="77777777" w:rsidR="00010A2E" w:rsidRPr="00EC53F4" w:rsidRDefault="00010A2E" w:rsidP="006521D2">
      <w:pPr>
        <w:spacing w:line="360" w:lineRule="auto"/>
        <w:jc w:val="center"/>
        <w:rPr>
          <w:rFonts w:ascii="Arial" w:hAnsi="Arial" w:cs="Arial"/>
          <w:sz w:val="20"/>
          <w:lang w:val="en-US"/>
        </w:rPr>
      </w:pPr>
      <w:r w:rsidRPr="00EC53F4">
        <w:rPr>
          <w:rFonts w:ascii="Arial" w:hAnsi="Arial" w:cs="Arial"/>
          <w:i/>
          <w:iCs/>
          <w:sz w:val="20"/>
          <w:lang w:val="en-US"/>
        </w:rPr>
        <w:t>(Source: Credence Research, 2024)</w:t>
      </w:r>
    </w:p>
    <w:p w14:paraId="2CE20FFD" w14:textId="77777777" w:rsidR="00010A2E" w:rsidRPr="00AD4427" w:rsidRDefault="00010A2E" w:rsidP="00010A2E">
      <w:pPr>
        <w:spacing w:line="360" w:lineRule="auto"/>
        <w:jc w:val="both"/>
        <w:rPr>
          <w:rFonts w:ascii="Arial" w:hAnsi="Arial" w:cs="Arial"/>
          <w:b/>
          <w:bCs/>
          <w:sz w:val="24"/>
          <w:lang w:val="en-US"/>
        </w:rPr>
      </w:pPr>
      <w:r w:rsidRPr="00AD4427">
        <w:rPr>
          <w:rFonts w:ascii="Arial" w:hAnsi="Arial" w:cs="Arial"/>
          <w:b/>
          <w:bCs/>
          <w:sz w:val="24"/>
          <w:lang w:val="en-US"/>
        </w:rPr>
        <w:t>Scope and Market Segmentation</w:t>
      </w:r>
    </w:p>
    <w:p w14:paraId="2CE20FFE" w14:textId="77777777" w:rsidR="00010A2E" w:rsidRPr="00AD4427" w:rsidRDefault="00137A10" w:rsidP="00010A2E">
      <w:pPr>
        <w:spacing w:line="360" w:lineRule="auto"/>
        <w:jc w:val="both"/>
        <w:rPr>
          <w:rFonts w:ascii="Arial" w:hAnsi="Arial" w:cs="Arial"/>
          <w:lang w:val="en-US"/>
        </w:rPr>
      </w:pPr>
      <w:r w:rsidRPr="00AD4427">
        <w:rPr>
          <w:rFonts w:ascii="Arial" w:hAnsi="Arial" w:cs="Arial"/>
        </w:rPr>
        <w:t>A wide variety of powertrains and end consumer markets determines the size of the industry. Battery electric vehicles (BEVs) are the topper of the world, holding 68 percent of the market</w:t>
      </w:r>
      <w:r w:rsidR="00996859">
        <w:rPr>
          <w:rFonts w:ascii="Arial" w:hAnsi="Arial" w:cs="Arial"/>
        </w:rPr>
        <w:t xml:space="preserve"> share in 2024 as the strict CO</w:t>
      </w:r>
      <w:r w:rsidRPr="00996859">
        <w:rPr>
          <w:rFonts w:ascii="Arial" w:hAnsi="Arial" w:cs="Arial"/>
          <w:sz w:val="26"/>
          <w:vertAlign w:val="subscript"/>
        </w:rPr>
        <w:t>2</w:t>
      </w:r>
      <w:r w:rsidRPr="00AD4427">
        <w:rPr>
          <w:rFonts w:ascii="Arial" w:hAnsi="Arial" w:cs="Arial"/>
        </w:rPr>
        <w:t xml:space="preserve"> emission limits and intensive implementation of fast-charging networks keep the vehicles at the forefront (Credence Research, 2024). Plug-in hybrid electric vehicles (PHEVs) continue to hold a large share of 27⁯% to attract consumers in the need of long-distance flexibility. Concerning end-users, the market is mainly consumer-wide with 72 percent of the overall share as consumers are driven by tax exemptions due to the rising provision of affordable models like the Volkswagen 1-EUVERY. The rest are corporate buyers, which constitutes 28% of the total, where fleet electrification and sustainability requirements drive</w:t>
      </w:r>
      <w:r w:rsidR="00996859">
        <w:rPr>
          <w:rFonts w:ascii="Arial" w:hAnsi="Arial" w:cs="Arial"/>
        </w:rPr>
        <w:t xml:space="preserve"> the growth (Credence Research, </w:t>
      </w:r>
      <w:r w:rsidRPr="00AD4427">
        <w:rPr>
          <w:rFonts w:ascii="Arial" w:hAnsi="Arial" w:cs="Arial"/>
        </w:rPr>
        <w:t>2024).</w:t>
      </w:r>
    </w:p>
    <w:p w14:paraId="2CE20FFF" w14:textId="77777777" w:rsidR="00010A2E" w:rsidRPr="00AD4427" w:rsidRDefault="00010A2E" w:rsidP="00010A2E">
      <w:pPr>
        <w:spacing w:line="360" w:lineRule="auto"/>
        <w:jc w:val="both"/>
        <w:rPr>
          <w:rFonts w:ascii="Arial" w:hAnsi="Arial" w:cs="Arial"/>
          <w:b/>
          <w:bCs/>
          <w:sz w:val="24"/>
          <w:lang w:val="en-US"/>
        </w:rPr>
      </w:pPr>
      <w:r w:rsidRPr="00AD4427">
        <w:rPr>
          <w:rFonts w:ascii="Arial" w:hAnsi="Arial" w:cs="Arial"/>
          <w:b/>
          <w:bCs/>
          <w:sz w:val="24"/>
          <w:lang w:val="en-US"/>
        </w:rPr>
        <w:t>Economic Importance and Regional Dynamics</w:t>
      </w:r>
    </w:p>
    <w:p w14:paraId="2CE21000" w14:textId="77777777" w:rsidR="00010A2E" w:rsidRPr="00AD4427" w:rsidRDefault="00137A10" w:rsidP="00010A2E">
      <w:pPr>
        <w:spacing w:line="360" w:lineRule="auto"/>
        <w:jc w:val="both"/>
        <w:rPr>
          <w:rFonts w:ascii="Arial" w:hAnsi="Arial" w:cs="Arial"/>
          <w:lang w:val="en-US"/>
        </w:rPr>
      </w:pPr>
      <w:r w:rsidRPr="00AD4427">
        <w:rPr>
          <w:rFonts w:ascii="Arial" w:hAnsi="Arial" w:cs="Arial"/>
        </w:rPr>
        <w:t xml:space="preserve">The EV is an important sector of the industrial policy of Germany, especially Southern Germany, which controlled a 35 percent market share in 2024. This area is the national </w:t>
      </w:r>
      <w:r w:rsidRPr="00AD4427">
        <w:rPr>
          <w:rFonts w:ascii="Arial" w:hAnsi="Arial" w:cs="Arial"/>
        </w:rPr>
        <w:lastRenderedPageBreak/>
        <w:t xml:space="preserve">innovation centre, where the headquarters and research and development centre of the world leaders are: Volkswagen, BMW AG, Mercedes-Benz, and Audi (Credence Research, 2024). Significance of the industry is also emphasised by the huge investments; recent example is Volkswagen that just declared an EUR180 billion investment programme until 2027, two-thirds of which will be electrification and digitalisation. </w:t>
      </w:r>
    </w:p>
    <w:p w14:paraId="2CE21001" w14:textId="77777777" w:rsidR="00CC7121" w:rsidRPr="00AD4427" w:rsidRDefault="00CC7121" w:rsidP="00CC7121">
      <w:pPr>
        <w:spacing w:line="360" w:lineRule="auto"/>
        <w:jc w:val="both"/>
        <w:rPr>
          <w:rFonts w:ascii="Arial" w:hAnsi="Arial" w:cs="Arial"/>
          <w:b/>
          <w:bCs/>
          <w:sz w:val="24"/>
          <w:lang w:val="en-US"/>
        </w:rPr>
      </w:pPr>
      <w:r w:rsidRPr="00AD4427">
        <w:rPr>
          <w:rFonts w:ascii="Arial" w:hAnsi="Arial" w:cs="Arial"/>
          <w:b/>
          <w:bCs/>
          <w:sz w:val="24"/>
          <w:lang w:val="en-US"/>
        </w:rPr>
        <w:t>Major Domestic and Multinational Firms in the German EV Industry</w:t>
      </w:r>
    </w:p>
    <w:p w14:paraId="2CE21002" w14:textId="77777777" w:rsidR="00CC7121" w:rsidRPr="00AD4427" w:rsidRDefault="00E85C4A" w:rsidP="00CC7121">
      <w:pPr>
        <w:spacing w:line="360" w:lineRule="auto"/>
        <w:jc w:val="both"/>
        <w:rPr>
          <w:rFonts w:ascii="Arial" w:hAnsi="Arial" w:cs="Arial"/>
          <w:lang w:val="en-US"/>
        </w:rPr>
      </w:pPr>
      <w:r w:rsidRPr="00AD4427">
        <w:rPr>
          <w:rFonts w:ascii="Arial" w:hAnsi="Arial" w:cs="Arial"/>
        </w:rPr>
        <w:t>German electric vehicle (EV) market can be characterised by a very competitive environment where domestic conglomerates possessing deep manufacturing experience can use the opportunity to offset the disruptive nature of multinational impact entrants. In 2025, 545,142 all-electric vehicles were registered in the market, which constituted 19.1 percent of the market share (Best Selling Cars, 2026).</w:t>
      </w:r>
    </w:p>
    <w:p w14:paraId="2CE21003" w14:textId="77777777" w:rsidR="00CC7121" w:rsidRPr="00AD4427" w:rsidRDefault="00CC7121" w:rsidP="00CC7121">
      <w:pPr>
        <w:spacing w:line="360" w:lineRule="auto"/>
        <w:jc w:val="both"/>
        <w:rPr>
          <w:rFonts w:ascii="Arial" w:hAnsi="Arial" w:cs="Arial"/>
          <w:b/>
          <w:bCs/>
          <w:sz w:val="24"/>
          <w:lang w:val="en-US"/>
        </w:rPr>
      </w:pPr>
      <w:r w:rsidRPr="00AD4427">
        <w:rPr>
          <w:rFonts w:ascii="Arial" w:hAnsi="Arial" w:cs="Arial"/>
          <w:b/>
          <w:bCs/>
          <w:sz w:val="24"/>
          <w:lang w:val="en-US"/>
        </w:rPr>
        <w:t>1. Domestic Market Leaders: The "Big Three" Strategy</w:t>
      </w:r>
    </w:p>
    <w:p w14:paraId="2CE21004" w14:textId="77777777" w:rsidR="00CC7121" w:rsidRPr="00AD4427" w:rsidRDefault="00FF2C39" w:rsidP="00CC7121">
      <w:pPr>
        <w:spacing w:line="360" w:lineRule="auto"/>
        <w:jc w:val="both"/>
        <w:rPr>
          <w:rFonts w:ascii="Arial" w:hAnsi="Arial" w:cs="Arial"/>
          <w:sz w:val="24"/>
          <w:lang w:val="en-US"/>
        </w:rPr>
      </w:pPr>
      <w:r w:rsidRPr="00AD4427">
        <w:rPr>
          <w:rFonts w:ascii="Arial" w:hAnsi="Arial" w:cs="Arial"/>
          <w:sz w:val="24"/>
        </w:rPr>
        <w:t>Local conglomerates control local markets in Germany and have transitioned to all-electrified portfolios</w:t>
      </w:r>
      <w:r w:rsidR="00CC7121" w:rsidRPr="00AD4427">
        <w:rPr>
          <w:rFonts w:ascii="Arial" w:hAnsi="Arial" w:cs="Arial"/>
          <w:sz w:val="24"/>
          <w:lang w:val="en-US"/>
        </w:rPr>
        <w:t>.</w:t>
      </w:r>
    </w:p>
    <w:p w14:paraId="2CE21005" w14:textId="77777777" w:rsidR="00CC7121" w:rsidRPr="00AD4427" w:rsidRDefault="00CC7121" w:rsidP="00126C9B">
      <w:pPr>
        <w:spacing w:line="360" w:lineRule="auto"/>
        <w:jc w:val="both"/>
        <w:rPr>
          <w:rFonts w:ascii="Arial" w:hAnsi="Arial" w:cs="Arial"/>
          <w:sz w:val="24"/>
          <w:lang w:val="en-US"/>
        </w:rPr>
      </w:pPr>
      <w:r w:rsidRPr="00AD4427">
        <w:rPr>
          <w:rFonts w:ascii="Arial" w:hAnsi="Arial" w:cs="Arial"/>
          <w:b/>
          <w:bCs/>
          <w:sz w:val="24"/>
          <w:lang w:val="en-US"/>
        </w:rPr>
        <w:t>Volkswagen (VW) Group:</w:t>
      </w:r>
      <w:r w:rsidRPr="00AD4427">
        <w:rPr>
          <w:rFonts w:ascii="Arial" w:hAnsi="Arial" w:cs="Arial"/>
          <w:sz w:val="24"/>
          <w:lang w:val="en-US"/>
        </w:rPr>
        <w:t xml:space="preserve"> </w:t>
      </w:r>
      <w:r w:rsidR="00FF2C39" w:rsidRPr="00AD4427">
        <w:rPr>
          <w:rFonts w:ascii="Arial" w:hAnsi="Arial" w:cs="Arial"/>
          <w:sz w:val="24"/>
        </w:rPr>
        <w:t>VW has established itself in the market as the market leader by taking a</w:t>
      </w:r>
      <w:r w:rsidR="00996859">
        <w:rPr>
          <w:rFonts w:ascii="Arial" w:hAnsi="Arial" w:cs="Arial"/>
          <w:sz w:val="24"/>
        </w:rPr>
        <w:t xml:space="preserve">n 18.8% </w:t>
      </w:r>
      <w:r w:rsidR="00FF2C39" w:rsidRPr="00AD4427">
        <w:rPr>
          <w:rFonts w:ascii="Arial" w:hAnsi="Arial" w:cs="Arial"/>
          <w:sz w:val="24"/>
        </w:rPr>
        <w:t xml:space="preserve">share of the battery-electric vehicle (BEV) market in 2025 (Best Selling Cars, 2026). Its “Core Brand” concept focuses on mass accessibility of the products, as the VW ID.7 was found as the most popular EV model in Germany in 2025 selling 34,563 units (Best Selling Cars, 2026). </w:t>
      </w:r>
    </w:p>
    <w:p w14:paraId="2CE21006" w14:textId="77777777" w:rsidR="00CC7121" w:rsidRPr="00AD4427" w:rsidRDefault="00CC7121" w:rsidP="00126C9B">
      <w:pPr>
        <w:spacing w:line="360" w:lineRule="auto"/>
        <w:jc w:val="both"/>
        <w:rPr>
          <w:rFonts w:ascii="Arial" w:hAnsi="Arial" w:cs="Arial"/>
          <w:sz w:val="24"/>
          <w:lang w:val="en-US"/>
        </w:rPr>
      </w:pPr>
      <w:r w:rsidRPr="00AD4427">
        <w:rPr>
          <w:rFonts w:ascii="Arial" w:hAnsi="Arial" w:cs="Arial"/>
          <w:b/>
          <w:bCs/>
          <w:sz w:val="24"/>
          <w:lang w:val="en-US"/>
        </w:rPr>
        <w:t>BMW Group:</w:t>
      </w:r>
      <w:r w:rsidRPr="00AD4427">
        <w:rPr>
          <w:rFonts w:ascii="Arial" w:hAnsi="Arial" w:cs="Arial"/>
          <w:sz w:val="24"/>
          <w:lang w:val="en-US"/>
        </w:rPr>
        <w:t xml:space="preserve"> </w:t>
      </w:r>
      <w:r w:rsidR="00FF2C39" w:rsidRPr="00AD4427">
        <w:rPr>
          <w:rFonts w:ascii="Arial" w:hAnsi="Arial" w:cs="Arial"/>
          <w:sz w:val="24"/>
        </w:rPr>
        <w:t xml:space="preserve">BMW has a Power of Choice strategy, in which there are EV versions of the popular upscale vehicles. By 2025, BMW had reached the second-best selling position in the BEV market with a </w:t>
      </w:r>
      <w:r w:rsidR="00996859">
        <w:rPr>
          <w:rFonts w:ascii="Arial" w:hAnsi="Arial" w:cs="Arial"/>
          <w:sz w:val="24"/>
        </w:rPr>
        <w:t xml:space="preserve">9.5% </w:t>
      </w:r>
      <w:r w:rsidR="00FF2C39" w:rsidRPr="00AD4427">
        <w:rPr>
          <w:rFonts w:ascii="Arial" w:hAnsi="Arial" w:cs="Arial"/>
          <w:sz w:val="24"/>
        </w:rPr>
        <w:t xml:space="preserve">share (Best Selling Cars, 2026). </w:t>
      </w:r>
    </w:p>
    <w:p w14:paraId="2CE21007" w14:textId="77777777" w:rsidR="0011172B" w:rsidRPr="0011172B" w:rsidRDefault="00CC7121" w:rsidP="00126C9B">
      <w:pPr>
        <w:spacing w:line="360" w:lineRule="auto"/>
        <w:jc w:val="both"/>
        <w:rPr>
          <w:rFonts w:ascii="Arial" w:hAnsi="Arial" w:cs="Arial"/>
          <w:b/>
          <w:bCs/>
          <w:sz w:val="24"/>
          <w:lang w:val="en-US"/>
        </w:rPr>
      </w:pPr>
      <w:r w:rsidRPr="0011172B">
        <w:rPr>
          <w:rFonts w:ascii="Arial" w:hAnsi="Arial" w:cs="Arial"/>
          <w:b/>
          <w:bCs/>
          <w:sz w:val="24"/>
          <w:lang w:val="en-US"/>
        </w:rPr>
        <w:t>Mercedes-Benz:</w:t>
      </w:r>
      <w:r w:rsidRPr="0011172B">
        <w:rPr>
          <w:rFonts w:ascii="Arial" w:hAnsi="Arial" w:cs="Arial"/>
          <w:sz w:val="24"/>
          <w:lang w:val="en-US"/>
        </w:rPr>
        <w:t xml:space="preserve"> </w:t>
      </w:r>
      <w:r w:rsidR="00FF2C39" w:rsidRPr="0011172B">
        <w:rPr>
          <w:rFonts w:ascii="Arial" w:hAnsi="Arial" w:cs="Arial"/>
          <w:sz w:val="24"/>
        </w:rPr>
        <w:t xml:space="preserve">Moving to the Top End Luxury segment, Mercedes-Benz focuses on high-margin vehicles, including EQS and EQE. Nevertheless, its performance has been relatively conservative, as it has fallen to position five in BEV ranking in 2025 (Best Selling Cars, 2026). </w:t>
      </w:r>
    </w:p>
    <w:p w14:paraId="2CE21008" w14:textId="77777777" w:rsidR="00CC7121" w:rsidRPr="0011172B" w:rsidRDefault="00CC7121" w:rsidP="0011172B">
      <w:pPr>
        <w:spacing w:line="360" w:lineRule="auto"/>
        <w:jc w:val="both"/>
        <w:rPr>
          <w:rFonts w:ascii="Arial" w:hAnsi="Arial" w:cs="Arial"/>
          <w:b/>
          <w:bCs/>
          <w:sz w:val="24"/>
          <w:lang w:val="en-US"/>
        </w:rPr>
      </w:pPr>
      <w:r w:rsidRPr="0011172B">
        <w:rPr>
          <w:rFonts w:ascii="Arial" w:hAnsi="Arial" w:cs="Arial"/>
          <w:b/>
          <w:bCs/>
          <w:sz w:val="24"/>
          <w:lang w:val="en-US"/>
        </w:rPr>
        <w:t>2. Multinational Competitors: The Disruptors</w:t>
      </w:r>
    </w:p>
    <w:p w14:paraId="2CE21009" w14:textId="77777777" w:rsidR="00CC7121" w:rsidRPr="00AD4427" w:rsidRDefault="00903072" w:rsidP="00CC7121">
      <w:pPr>
        <w:spacing w:line="360" w:lineRule="auto"/>
        <w:jc w:val="both"/>
        <w:rPr>
          <w:rFonts w:ascii="Arial" w:hAnsi="Arial" w:cs="Arial"/>
          <w:sz w:val="24"/>
          <w:lang w:val="en-US"/>
        </w:rPr>
      </w:pPr>
      <w:r w:rsidRPr="00AD4427">
        <w:rPr>
          <w:rFonts w:ascii="Arial" w:hAnsi="Arial" w:cs="Arial"/>
          <w:sz w:val="24"/>
        </w:rPr>
        <w:t>Multinational companies have forced host countries to increase the speed of innovations, but the results in 2025 are greatly polarised.</w:t>
      </w:r>
    </w:p>
    <w:p w14:paraId="2CE2100A" w14:textId="77777777" w:rsidR="0011172B" w:rsidRPr="0011172B" w:rsidRDefault="00CC7121" w:rsidP="00126C9B">
      <w:pPr>
        <w:spacing w:line="360" w:lineRule="auto"/>
        <w:jc w:val="both"/>
        <w:rPr>
          <w:rFonts w:ascii="Arial" w:hAnsi="Arial" w:cs="Arial"/>
          <w:sz w:val="24"/>
          <w:lang w:val="en-US"/>
        </w:rPr>
      </w:pPr>
      <w:r w:rsidRPr="0011172B">
        <w:rPr>
          <w:rFonts w:ascii="Arial" w:hAnsi="Arial" w:cs="Arial"/>
          <w:b/>
          <w:bCs/>
          <w:sz w:val="24"/>
          <w:lang w:val="en-US"/>
        </w:rPr>
        <w:t>Tesla (USA):</w:t>
      </w:r>
      <w:r w:rsidRPr="0011172B">
        <w:rPr>
          <w:rFonts w:ascii="Arial" w:hAnsi="Arial" w:cs="Arial"/>
          <w:sz w:val="24"/>
          <w:lang w:val="en-US"/>
        </w:rPr>
        <w:t xml:space="preserve"> </w:t>
      </w:r>
      <w:r w:rsidR="00903072" w:rsidRPr="0011172B">
        <w:rPr>
          <w:rFonts w:ascii="Arial" w:hAnsi="Arial" w:cs="Arial"/>
          <w:sz w:val="24"/>
        </w:rPr>
        <w:t xml:space="preserve">After being the unquestionable leader, Tesla lost its positions in Germany and dropped to the third to ninth place on the BEV rating by 2025 (Best </w:t>
      </w:r>
      <w:r w:rsidR="00903072" w:rsidRPr="0011172B">
        <w:rPr>
          <w:rFonts w:ascii="Arial" w:hAnsi="Arial" w:cs="Arial"/>
          <w:sz w:val="24"/>
        </w:rPr>
        <w:lastRenderedPageBreak/>
        <w:t xml:space="preserve">Selling Cars, 2026). The 2025 registration of the Tesla Model, previously the highest-selling EV in Germany, dropped by almost 12,304 units compared to almost 30,000 the year before (Best Selling Cars, 2026). </w:t>
      </w:r>
    </w:p>
    <w:p w14:paraId="2CE2100B" w14:textId="77777777" w:rsidR="00CC7121" w:rsidRPr="0011172B" w:rsidRDefault="00CC7121" w:rsidP="00126C9B">
      <w:pPr>
        <w:spacing w:line="360" w:lineRule="auto"/>
        <w:jc w:val="both"/>
        <w:rPr>
          <w:rFonts w:ascii="Arial" w:hAnsi="Arial" w:cs="Arial"/>
          <w:sz w:val="24"/>
          <w:lang w:val="en-US"/>
        </w:rPr>
      </w:pPr>
      <w:r w:rsidRPr="0011172B">
        <w:rPr>
          <w:rFonts w:ascii="Arial" w:hAnsi="Arial" w:cs="Arial"/>
          <w:b/>
          <w:bCs/>
          <w:sz w:val="24"/>
          <w:lang w:val="en-US"/>
        </w:rPr>
        <w:t>BYD (China):</w:t>
      </w:r>
      <w:r w:rsidRPr="0011172B">
        <w:rPr>
          <w:rFonts w:ascii="Arial" w:hAnsi="Arial" w:cs="Arial"/>
          <w:sz w:val="24"/>
          <w:lang w:val="en-US"/>
        </w:rPr>
        <w:t xml:space="preserve"> </w:t>
      </w:r>
      <w:r w:rsidR="00903072" w:rsidRPr="0011172B">
        <w:rPr>
          <w:rFonts w:ascii="Arial" w:hAnsi="Arial" w:cs="Arial"/>
          <w:sz w:val="24"/>
        </w:rPr>
        <w:t>BYD is becoming a formidable threat, officially surpassing Tesla on the entire German car market of 2025 (Best Selling Cars, 2026). Its business concept is based on price competitiveness and vertical integration of battery technology the so-called Blade Battery, which aims at low-end and middle-end markets which are only starting to be exploited by the German brands (BloombergNEF, 2025).</w:t>
      </w:r>
      <w:r w:rsidRPr="0011172B">
        <w:rPr>
          <w:rFonts w:ascii="Arial" w:hAnsi="Arial" w:cs="Arial"/>
          <w:sz w:val="24"/>
          <w:lang w:val="en-US"/>
        </w:rPr>
        <w:t>).</w:t>
      </w:r>
    </w:p>
    <w:p w14:paraId="2CE2100C" w14:textId="77777777" w:rsidR="00CC7121" w:rsidRPr="00AD4427" w:rsidRDefault="00CC7121" w:rsidP="00126C9B">
      <w:pPr>
        <w:spacing w:line="360" w:lineRule="auto"/>
        <w:jc w:val="both"/>
        <w:rPr>
          <w:rFonts w:ascii="Arial" w:hAnsi="Arial" w:cs="Arial"/>
          <w:sz w:val="24"/>
          <w:lang w:val="en-US"/>
        </w:rPr>
      </w:pPr>
      <w:r w:rsidRPr="00AD4427">
        <w:rPr>
          <w:rFonts w:ascii="Arial" w:hAnsi="Arial" w:cs="Arial"/>
          <w:b/>
          <w:bCs/>
          <w:sz w:val="24"/>
          <w:lang w:val="en-US"/>
        </w:rPr>
        <w:t>Stellantis (Multinational):</w:t>
      </w:r>
      <w:r w:rsidRPr="00AD4427">
        <w:rPr>
          <w:rFonts w:ascii="Arial" w:hAnsi="Arial" w:cs="Arial"/>
          <w:sz w:val="24"/>
          <w:lang w:val="en-US"/>
        </w:rPr>
        <w:t xml:space="preserve"> Through brands like </w:t>
      </w:r>
      <w:r w:rsidRPr="00AD4427">
        <w:rPr>
          <w:rFonts w:ascii="Arial" w:hAnsi="Arial" w:cs="Arial"/>
          <w:b/>
          <w:bCs/>
          <w:sz w:val="24"/>
          <w:lang w:val="en-US"/>
        </w:rPr>
        <w:t>Opel</w:t>
      </w:r>
      <w:r w:rsidRPr="00AD4427">
        <w:rPr>
          <w:rFonts w:ascii="Arial" w:hAnsi="Arial" w:cs="Arial"/>
          <w:sz w:val="24"/>
          <w:lang w:val="en-US"/>
        </w:rPr>
        <w:t xml:space="preserve"> and </w:t>
      </w:r>
      <w:r w:rsidRPr="00AD4427">
        <w:rPr>
          <w:rFonts w:ascii="Arial" w:hAnsi="Arial" w:cs="Arial"/>
          <w:b/>
          <w:bCs/>
          <w:sz w:val="24"/>
          <w:lang w:val="en-US"/>
        </w:rPr>
        <w:t>Fiat</w:t>
      </w:r>
      <w:r w:rsidRPr="00AD4427">
        <w:rPr>
          <w:rFonts w:ascii="Arial" w:hAnsi="Arial" w:cs="Arial"/>
          <w:sz w:val="24"/>
          <w:lang w:val="en-US"/>
        </w:rPr>
        <w:t>, Stellantis targets the urban "compact" segment. Opel maintained a steady rank in 2025, leveraging its heritage as a "local" German brand despite its multinational ownership (Best Selling Cars, 2026).</w:t>
      </w:r>
    </w:p>
    <w:p w14:paraId="2CE2100D" w14:textId="77777777" w:rsidR="008A5558" w:rsidRPr="00AD4427" w:rsidRDefault="008A5558" w:rsidP="008A5558">
      <w:pPr>
        <w:pStyle w:val="Heading1"/>
        <w:rPr>
          <w:rFonts w:ascii="Arial" w:hAnsi="Arial" w:cs="Arial"/>
          <w:color w:val="FF0000"/>
          <w:lang w:val="en-US"/>
        </w:rPr>
      </w:pPr>
      <w:bookmarkStart w:id="4" w:name="_Toc221779079"/>
      <w:r w:rsidRPr="00AD4427">
        <w:rPr>
          <w:rFonts w:ascii="Arial" w:hAnsi="Arial" w:cs="Arial"/>
          <w:lang w:val="en-US"/>
        </w:rPr>
        <w:t>3. Applying Porter’s Diamond Model to Vietnam’s Solar PV Industry</w:t>
      </w:r>
      <w:r w:rsidR="00483400" w:rsidRPr="00AD4427">
        <w:rPr>
          <w:rFonts w:ascii="Arial" w:hAnsi="Arial" w:cs="Arial"/>
          <w:lang w:val="en-US"/>
        </w:rPr>
        <w:t>-</w:t>
      </w:r>
      <w:bookmarkEnd w:id="4"/>
      <w:r w:rsidR="00483400" w:rsidRPr="00AD4427">
        <w:rPr>
          <w:rFonts w:ascii="Arial" w:hAnsi="Arial" w:cs="Arial"/>
          <w:color w:val="FF0000"/>
          <w:lang w:val="en-US"/>
        </w:rPr>
        <w:t xml:space="preserve"> </w:t>
      </w:r>
    </w:p>
    <w:p w14:paraId="2CE2100E" w14:textId="77777777" w:rsidR="00CC7121" w:rsidRPr="005027B3" w:rsidRDefault="00AA3C04" w:rsidP="00CC7121">
      <w:pPr>
        <w:spacing w:line="360" w:lineRule="auto"/>
        <w:jc w:val="both"/>
        <w:rPr>
          <w:rFonts w:ascii="Arial" w:hAnsi="Arial" w:cs="Arial"/>
          <w:sz w:val="24"/>
        </w:rPr>
      </w:pPr>
      <w:r w:rsidRPr="00AD4427">
        <w:rPr>
          <w:rFonts w:ascii="Arial" w:hAnsi="Arial" w:cs="Arial"/>
          <w:sz w:val="24"/>
        </w:rPr>
        <w:t xml:space="preserve">The Diamond Model of National Advantage provided by </w:t>
      </w:r>
      <w:r w:rsidRPr="005027B3">
        <w:rPr>
          <w:rFonts w:ascii="Arial" w:hAnsi="Arial" w:cs="Arial"/>
          <w:b/>
          <w:sz w:val="24"/>
        </w:rPr>
        <w:t>Michael Porter</w:t>
      </w:r>
      <w:r w:rsidRPr="00AD4427">
        <w:rPr>
          <w:rFonts w:ascii="Arial" w:hAnsi="Arial" w:cs="Arial"/>
          <w:sz w:val="24"/>
        </w:rPr>
        <w:t xml:space="preserve"> is a useful framework to critically assess the global competitiveness of the German electric vehicle (EV) industry. According to this model, the competitive advantage of a particular nation in a given sector is determined by four deter</w:t>
      </w:r>
      <w:r w:rsidR="005027B3">
        <w:rPr>
          <w:rFonts w:ascii="Arial" w:hAnsi="Arial" w:cs="Arial"/>
          <w:sz w:val="24"/>
        </w:rPr>
        <w:t>minants, which are interrelated which are below</w:t>
      </w:r>
      <w:r w:rsidR="003D009A">
        <w:rPr>
          <w:rFonts w:ascii="Arial" w:hAnsi="Arial" w:cs="Arial"/>
          <w:sz w:val="24"/>
        </w:rPr>
        <w:t>;</w:t>
      </w:r>
    </w:p>
    <w:p w14:paraId="2CE2100F" w14:textId="77777777" w:rsidR="00CC7121" w:rsidRPr="00AD4427" w:rsidRDefault="00CC7121" w:rsidP="00CC7121">
      <w:pPr>
        <w:spacing w:line="360" w:lineRule="auto"/>
        <w:jc w:val="both"/>
        <w:rPr>
          <w:rFonts w:ascii="Arial" w:hAnsi="Arial" w:cs="Arial"/>
          <w:b/>
          <w:bCs/>
          <w:sz w:val="24"/>
          <w:lang w:val="en-US"/>
        </w:rPr>
      </w:pPr>
      <w:r w:rsidRPr="00AD4427">
        <w:rPr>
          <w:rFonts w:ascii="Arial" w:hAnsi="Arial" w:cs="Arial"/>
          <w:b/>
          <w:bCs/>
          <w:sz w:val="24"/>
          <w:lang w:val="en-US"/>
        </w:rPr>
        <w:t>1. Factor Conditions</w:t>
      </w:r>
    </w:p>
    <w:p w14:paraId="2CE21010" w14:textId="77777777" w:rsidR="00CC7121" w:rsidRPr="00AD4427" w:rsidRDefault="00AA3C04" w:rsidP="00CC7121">
      <w:pPr>
        <w:spacing w:line="360" w:lineRule="auto"/>
        <w:jc w:val="both"/>
        <w:rPr>
          <w:rFonts w:ascii="Arial" w:hAnsi="Arial" w:cs="Arial"/>
          <w:sz w:val="24"/>
          <w:lang w:val="en-US"/>
        </w:rPr>
      </w:pPr>
      <w:r w:rsidRPr="00AD4427">
        <w:rPr>
          <w:rFonts w:ascii="Arial" w:hAnsi="Arial" w:cs="Arial"/>
          <w:sz w:val="24"/>
        </w:rPr>
        <w:t>Factor conditions involve the location of a country in production factors, especially the sophisticated factors like specialised technical expertise and facilities. Germany is also leading in the worldwide production of electric-vehicles as the second-largest producer of the vehicles, just after China (VDA, 2025; Clean Energy Wire, 2026)</w:t>
      </w:r>
      <w:r w:rsidR="00CC7121" w:rsidRPr="00AD4427">
        <w:rPr>
          <w:rFonts w:ascii="Arial" w:hAnsi="Arial" w:cs="Arial"/>
          <w:sz w:val="24"/>
          <w:lang w:val="en-US"/>
        </w:rPr>
        <w:t xml:space="preserve">. In 2025, Germany produced a record </w:t>
      </w:r>
      <w:r w:rsidR="00CC7121" w:rsidRPr="00AD4427">
        <w:rPr>
          <w:rFonts w:ascii="Arial" w:hAnsi="Arial" w:cs="Arial"/>
          <w:b/>
          <w:bCs/>
          <w:sz w:val="24"/>
          <w:lang w:val="en-US"/>
        </w:rPr>
        <w:t>1.67 million electric vehicles</w:t>
      </w:r>
      <w:r w:rsidR="00CC7121" w:rsidRPr="00AD4427">
        <w:rPr>
          <w:rFonts w:ascii="Arial" w:hAnsi="Arial" w:cs="Arial"/>
          <w:sz w:val="24"/>
          <w:lang w:val="en-US"/>
        </w:rPr>
        <w:t>, demonstrating an immense industrial capacity to scale battery-electric technology (VDA, 2026).</w:t>
      </w:r>
      <w:r w:rsidR="00474CBD" w:rsidRPr="00AD4427">
        <w:rPr>
          <w:rFonts w:ascii="Arial" w:hAnsi="Arial" w:cs="Arial"/>
          <w:sz w:val="24"/>
          <w:lang w:val="en-US"/>
        </w:rPr>
        <w:t xml:space="preserve"> </w:t>
      </w:r>
      <w:r w:rsidRPr="00AD4427">
        <w:rPr>
          <w:rFonts w:ascii="Arial" w:hAnsi="Arial" w:cs="Arial"/>
          <w:sz w:val="24"/>
        </w:rPr>
        <w:t xml:space="preserve">The most powerful competitive resources of the country consist of its advanced factors. German engineering talent, nurtured by the best technical universities and a vocational system of so-called dual education, offers a reliable source of engineers that can manage the tricky move toward the 21st-century vehicles that are defined </w:t>
      </w:r>
      <w:r w:rsidRPr="00AD4427">
        <w:rPr>
          <w:rFonts w:ascii="Arial" w:hAnsi="Arial" w:cs="Arial"/>
          <w:sz w:val="24"/>
        </w:rPr>
        <w:lastRenderedPageBreak/>
        <w:t xml:space="preserve">by software, rather than a mechanical system (RSIS International, 2025; ResearchGate, 2025). Additionally, the fiscal year 2026 observed an enormous infrastructure re-investment; the German government invested around to the tune of 3 billion Euros in a new EV incentive programme that shall be introduced in 2026 to guarantee a wide infrastructural coverage (Alternative Fuels Observatory, 2026). </w:t>
      </w:r>
    </w:p>
    <w:p w14:paraId="2CE21011" w14:textId="77777777" w:rsidR="00CC7121" w:rsidRPr="00AD4427" w:rsidRDefault="00CC7121" w:rsidP="00CC7121">
      <w:pPr>
        <w:spacing w:line="360" w:lineRule="auto"/>
        <w:jc w:val="both"/>
        <w:rPr>
          <w:rFonts w:ascii="Arial" w:hAnsi="Arial" w:cs="Arial"/>
          <w:b/>
          <w:bCs/>
          <w:sz w:val="24"/>
          <w:lang w:val="en-US"/>
        </w:rPr>
      </w:pPr>
      <w:r w:rsidRPr="00AD4427">
        <w:rPr>
          <w:rFonts w:ascii="Arial" w:hAnsi="Arial" w:cs="Arial"/>
          <w:b/>
          <w:bCs/>
          <w:sz w:val="24"/>
          <w:lang w:val="en-US"/>
        </w:rPr>
        <w:t>2. Demand Conditions</w:t>
      </w:r>
    </w:p>
    <w:p w14:paraId="2CE21012" w14:textId="77777777" w:rsidR="003D009A" w:rsidRDefault="00474CBD" w:rsidP="00CC7121">
      <w:pPr>
        <w:spacing w:line="360" w:lineRule="auto"/>
        <w:jc w:val="both"/>
        <w:rPr>
          <w:rFonts w:ascii="Arial" w:hAnsi="Arial" w:cs="Arial"/>
          <w:sz w:val="24"/>
        </w:rPr>
      </w:pPr>
      <w:r w:rsidRPr="00AD4427">
        <w:rPr>
          <w:rFonts w:ascii="Arial" w:hAnsi="Arial" w:cs="Arial"/>
          <w:sz w:val="24"/>
        </w:rPr>
        <w:t>Demand conditions are the level and advancement of home market. According to Porter (1990), a high population of domestic consumers who are demanding makes the firms to innovate at a faster rate and produce products of high quality. Germany has a well-known background of consumers who are extremely critical of performance, safety, and reliability (ResearchGate, 2025). This advanced requirement has necessitated the German manufacturers to come up with high-performance BEVs that satisfy the high standards of the Autobahn culture thus equipping them to compete in the luxury markets around the world (Scribd, 2025).</w:t>
      </w:r>
      <w:r w:rsidR="003D009A">
        <w:rPr>
          <w:rFonts w:ascii="Arial" w:hAnsi="Arial" w:cs="Arial"/>
          <w:sz w:val="24"/>
        </w:rPr>
        <w:t xml:space="preserve"> </w:t>
      </w:r>
      <w:r w:rsidR="00B27F96" w:rsidRPr="00AD4427">
        <w:rPr>
          <w:rFonts w:ascii="Arial" w:hAnsi="Arial" w:cs="Arial"/>
          <w:sz w:val="24"/>
        </w:rPr>
        <w:t xml:space="preserve">The domestic demand is managed to recover effectively as indicated by market data of 2025, following 2024 subsidy cuts. By December 2025, battery-electric vehicles (BEVs) will have a presence of 22 per cent of all new registrations, increasing yearly on average to 19 per cent (ifo Institute, 2026). Estimates indicate that there will be additional growth in BEV registrations to 693 000 units in 2026, which will be a 30% increment (VDA, 2025). </w:t>
      </w:r>
    </w:p>
    <w:p w14:paraId="2CE21013" w14:textId="77777777" w:rsidR="00CC7121" w:rsidRPr="00AD4427" w:rsidRDefault="00CC7121" w:rsidP="00CC7121">
      <w:pPr>
        <w:spacing w:line="360" w:lineRule="auto"/>
        <w:jc w:val="both"/>
        <w:rPr>
          <w:rFonts w:ascii="Arial" w:hAnsi="Arial" w:cs="Arial"/>
          <w:b/>
          <w:bCs/>
          <w:sz w:val="24"/>
          <w:lang w:val="en-US"/>
        </w:rPr>
      </w:pPr>
      <w:r w:rsidRPr="00AD4427">
        <w:rPr>
          <w:rFonts w:ascii="Arial" w:hAnsi="Arial" w:cs="Arial"/>
          <w:b/>
          <w:bCs/>
          <w:sz w:val="24"/>
          <w:lang w:val="en-US"/>
        </w:rPr>
        <w:t>3. Related and Supporting Industries</w:t>
      </w:r>
    </w:p>
    <w:p w14:paraId="2CE21014" w14:textId="77777777" w:rsidR="00CC7121" w:rsidRPr="00AD4427" w:rsidRDefault="00B27F96" w:rsidP="00CC7121">
      <w:pPr>
        <w:spacing w:line="360" w:lineRule="auto"/>
        <w:jc w:val="both"/>
        <w:rPr>
          <w:rFonts w:ascii="Arial" w:hAnsi="Arial" w:cs="Arial"/>
          <w:sz w:val="24"/>
          <w:lang w:val="en-US"/>
        </w:rPr>
      </w:pPr>
      <w:r w:rsidRPr="00AD4427">
        <w:rPr>
          <w:rFonts w:ascii="Arial" w:hAnsi="Arial" w:cs="Arial"/>
          <w:sz w:val="24"/>
        </w:rPr>
        <w:t xml:space="preserve">A cluster of global excellence suppliers and other industries tend to enhance the competitive edge of a nation. The automotive performance of Germany is highly inseparable with its Mittelstand and Tier-1 suppliers across the globe like Bosch, Continental, and ZF (Scribd, 2025; ResearchGate, 2025). These supporting industries can supply high quality components and cooperative research and development that hasten the process of innovation (Porter, 1990). This pillar has been extended to the power and IT sector in 2025 and 2026 respectively. An example of this is the cross-industrial cooperation that is a key to an EV ecosystem with the introduction of the first commercial Vehicle-to-Grid (V2G) solutions through the cooperation between BMW and E.ON at the end of 2025 (Statkraft, 2025; IEA, 2025). Moreover, the existence of </w:t>
      </w:r>
      <w:r w:rsidRPr="00AD4427">
        <w:rPr>
          <w:rFonts w:ascii="Arial" w:hAnsi="Arial" w:cs="Arial"/>
          <w:b/>
          <w:sz w:val="24"/>
        </w:rPr>
        <w:t>Tesla Giga factory Berlin-Brandenburg</w:t>
      </w:r>
      <w:r w:rsidRPr="00AD4427">
        <w:rPr>
          <w:rFonts w:ascii="Arial" w:hAnsi="Arial" w:cs="Arial"/>
          <w:sz w:val="24"/>
        </w:rPr>
        <w:t xml:space="preserve"> has </w:t>
      </w:r>
      <w:r w:rsidRPr="00AD4427">
        <w:rPr>
          <w:rFonts w:ascii="Arial" w:hAnsi="Arial" w:cs="Arial"/>
          <w:sz w:val="24"/>
        </w:rPr>
        <w:lastRenderedPageBreak/>
        <w:t>served as a catalyst and has increased the number of battery supply chain companies in the region and enhanced the resilience of the entire cluster globally (Statkraft, 2025).</w:t>
      </w:r>
    </w:p>
    <w:p w14:paraId="2CE21015" w14:textId="77777777" w:rsidR="00CC7121" w:rsidRPr="00AD4427" w:rsidRDefault="00CC7121" w:rsidP="00CC7121">
      <w:pPr>
        <w:spacing w:line="360" w:lineRule="auto"/>
        <w:jc w:val="both"/>
        <w:rPr>
          <w:rFonts w:ascii="Arial" w:hAnsi="Arial" w:cs="Arial"/>
          <w:b/>
          <w:bCs/>
          <w:sz w:val="24"/>
          <w:lang w:val="en-US"/>
        </w:rPr>
      </w:pPr>
      <w:r w:rsidRPr="00AD4427">
        <w:rPr>
          <w:rFonts w:ascii="Arial" w:hAnsi="Arial" w:cs="Arial"/>
          <w:b/>
          <w:bCs/>
          <w:sz w:val="24"/>
          <w:lang w:val="en-US"/>
        </w:rPr>
        <w:t>4. Firm Strategy, Structure, and Rivalry</w:t>
      </w:r>
    </w:p>
    <w:p w14:paraId="2CE21016" w14:textId="77777777" w:rsidR="00CC7121" w:rsidRPr="00AD4427" w:rsidRDefault="00B27F96" w:rsidP="00CC7121">
      <w:pPr>
        <w:spacing w:line="360" w:lineRule="auto"/>
        <w:jc w:val="both"/>
        <w:rPr>
          <w:rFonts w:ascii="Arial" w:hAnsi="Arial" w:cs="Arial"/>
          <w:sz w:val="24"/>
          <w:lang w:val="en-US"/>
        </w:rPr>
      </w:pPr>
      <w:r w:rsidRPr="00AD4427">
        <w:rPr>
          <w:rFonts w:ascii="Arial" w:hAnsi="Arial" w:cs="Arial"/>
          <w:sz w:val="24"/>
        </w:rPr>
        <w:t xml:space="preserve">The last determinant is the circumstances under which the companies are established, formed, and operated, and the level of local competition. The level of internal rivalry between </w:t>
      </w:r>
      <w:r w:rsidRPr="00AD4427">
        <w:rPr>
          <w:rFonts w:ascii="Arial" w:hAnsi="Arial" w:cs="Arial"/>
          <w:b/>
          <w:sz w:val="24"/>
        </w:rPr>
        <w:t xml:space="preserve">Volkswagen, BMW, </w:t>
      </w:r>
      <w:r w:rsidRPr="00AD4427">
        <w:rPr>
          <w:rFonts w:ascii="Arial" w:hAnsi="Arial" w:cs="Arial"/>
          <w:sz w:val="24"/>
        </w:rPr>
        <w:t>and</w:t>
      </w:r>
      <w:r w:rsidRPr="00AD4427">
        <w:rPr>
          <w:rFonts w:ascii="Arial" w:hAnsi="Arial" w:cs="Arial"/>
          <w:b/>
          <w:sz w:val="24"/>
        </w:rPr>
        <w:t xml:space="preserve"> Mercedes-Benz</w:t>
      </w:r>
      <w:r w:rsidRPr="00AD4427">
        <w:rPr>
          <w:rFonts w:ascii="Arial" w:hAnsi="Arial" w:cs="Arial"/>
          <w:sz w:val="24"/>
        </w:rPr>
        <w:t xml:space="preserve"> in Germany is exceptionally high (ResearchGate, 2025). This intense competition does not allow complacency and moves to keep advancing technologies (British Academy for Training and Development, 2025). By 2025, </w:t>
      </w:r>
      <w:r w:rsidRPr="00AD4427">
        <w:rPr>
          <w:rFonts w:ascii="Arial" w:hAnsi="Arial" w:cs="Arial"/>
          <w:b/>
          <w:sz w:val="24"/>
        </w:rPr>
        <w:t>Volkswagen</w:t>
      </w:r>
      <w:r w:rsidRPr="00AD4427">
        <w:rPr>
          <w:rFonts w:ascii="Arial" w:hAnsi="Arial" w:cs="Arial"/>
          <w:sz w:val="24"/>
        </w:rPr>
        <w:t xml:space="preserve"> retained its top positions thanks to an 18.8% market share in the BEV segment, and </w:t>
      </w:r>
      <w:r w:rsidRPr="00AD4427">
        <w:rPr>
          <w:rFonts w:ascii="Arial" w:hAnsi="Arial" w:cs="Arial"/>
          <w:b/>
          <w:sz w:val="24"/>
        </w:rPr>
        <w:t>BMW</w:t>
      </w:r>
      <w:r w:rsidRPr="00AD4427">
        <w:rPr>
          <w:rFonts w:ascii="Arial" w:hAnsi="Arial" w:cs="Arial"/>
          <w:sz w:val="24"/>
        </w:rPr>
        <w:t xml:space="preserve"> and Audi recorded record sales due to the use of a multi-powertrain strategy that attracts a wide variety of markets worldwide (Best Selling Cars, 2026). This competitive mode together with the hierarchical but engineering-oriented management approach enables German companies to maintain long-term R&amp;D investments which are critical to the capital intensive switch to electrification (RSIS International, 2025). Whereas in Germany, the Chinese brands BYD and Leapmotor had increased three-digit growth in 2025, the domestic rivalry already existing in the country has compelled the German leadership to react with cheaper models, including the VW ID.2, which will be produced in 2026 (ifo Institute, 2026; Xinhua, 2026).</w:t>
      </w:r>
    </w:p>
    <w:p w14:paraId="2CE21017" w14:textId="77777777" w:rsidR="00CC7121" w:rsidRPr="00AD4427" w:rsidRDefault="00CC7121" w:rsidP="00CC7121">
      <w:pPr>
        <w:spacing w:line="360" w:lineRule="auto"/>
        <w:jc w:val="both"/>
        <w:rPr>
          <w:rFonts w:ascii="Arial" w:hAnsi="Arial" w:cs="Arial"/>
          <w:b/>
          <w:bCs/>
          <w:sz w:val="24"/>
          <w:lang w:val="en-US"/>
        </w:rPr>
      </w:pPr>
      <w:r w:rsidRPr="00AD4427">
        <w:rPr>
          <w:rFonts w:ascii="Arial" w:hAnsi="Arial" w:cs="Arial"/>
          <w:b/>
          <w:bCs/>
          <w:sz w:val="24"/>
          <w:lang w:val="en-US"/>
        </w:rPr>
        <w:t>5. Role of Government and Chance</w:t>
      </w:r>
    </w:p>
    <w:p w14:paraId="2CE21018" w14:textId="77777777" w:rsidR="00CC7121" w:rsidRPr="00AD4427" w:rsidRDefault="00AD5992" w:rsidP="00CC7121">
      <w:pPr>
        <w:spacing w:line="360" w:lineRule="auto"/>
        <w:jc w:val="both"/>
        <w:rPr>
          <w:rFonts w:ascii="Arial" w:hAnsi="Arial" w:cs="Arial"/>
          <w:sz w:val="24"/>
          <w:lang w:val="en-US"/>
        </w:rPr>
      </w:pPr>
      <w:r w:rsidRPr="00AD4427">
        <w:rPr>
          <w:rFonts w:ascii="Arial" w:hAnsi="Arial" w:cs="Arial"/>
          <w:sz w:val="24"/>
        </w:rPr>
        <w:t xml:space="preserve">The external variables that affect the diamond are the government and chance events. The 2026 EV Incentive Programme of the German government, with its particular focus on households with lower and middle income, also has a catalyst effect on the market size (Alternative Fuels Observatory, 2026). </w:t>
      </w:r>
    </w:p>
    <w:p w14:paraId="2CE21019" w14:textId="77777777" w:rsidR="00FD3E4D" w:rsidRPr="00AD4427" w:rsidRDefault="00101F5D" w:rsidP="00FD3E4D">
      <w:pPr>
        <w:pStyle w:val="Heading1"/>
        <w:rPr>
          <w:lang w:val="en-US"/>
        </w:rPr>
      </w:pPr>
      <w:bookmarkStart w:id="5" w:name="_Toc221779080"/>
      <w:r w:rsidRPr="00AD4427">
        <w:rPr>
          <w:lang w:val="en-US"/>
        </w:rPr>
        <w:t xml:space="preserve">4. </w:t>
      </w:r>
      <w:r w:rsidR="00FD3E4D" w:rsidRPr="00AD4427">
        <w:rPr>
          <w:lang w:val="en-US"/>
        </w:rPr>
        <w:t>Strategic Evaluation of Tesla’s Operational Resilience and Market Attractiveness in Germany (2026)</w:t>
      </w:r>
      <w:bookmarkEnd w:id="5"/>
    </w:p>
    <w:p w14:paraId="2CE2101A" w14:textId="77777777" w:rsidR="00FD3E4D" w:rsidRPr="00AD4427" w:rsidRDefault="00295599" w:rsidP="00FD3E4D">
      <w:pPr>
        <w:spacing w:line="360" w:lineRule="auto"/>
        <w:jc w:val="both"/>
        <w:rPr>
          <w:rFonts w:ascii="Arial" w:hAnsi="Arial" w:cs="Arial"/>
          <w:bCs/>
          <w:sz w:val="24"/>
          <w:lang w:val="en-US"/>
        </w:rPr>
      </w:pPr>
      <w:r w:rsidRPr="00AD4427">
        <w:rPr>
          <w:rFonts w:ascii="Arial" w:hAnsi="Arial" w:cs="Arial"/>
          <w:bCs/>
          <w:sz w:val="24"/>
        </w:rPr>
        <w:t xml:space="preserve">The advent of the Tesla Inc. as a strong multinational corporation (MNC) in the European automotive industry has essentially broken the status quo in the previous dominance of the German original </w:t>
      </w:r>
      <w:r w:rsidR="00A56586">
        <w:rPr>
          <w:rFonts w:ascii="Arial" w:hAnsi="Arial" w:cs="Arial"/>
          <w:bCs/>
          <w:sz w:val="24"/>
        </w:rPr>
        <w:t xml:space="preserve">equipment manufacturers (OEMs). </w:t>
      </w:r>
      <w:r w:rsidRPr="00AD4427">
        <w:rPr>
          <w:rFonts w:ascii="Arial" w:hAnsi="Arial" w:cs="Arial"/>
          <w:bCs/>
          <w:sz w:val="24"/>
        </w:rPr>
        <w:t xml:space="preserve">This critique forms a critical review of the circumstances, which affect the success of Tesla in </w:t>
      </w:r>
      <w:r w:rsidRPr="00AD4427">
        <w:rPr>
          <w:rFonts w:ascii="Arial" w:hAnsi="Arial" w:cs="Arial"/>
          <w:bCs/>
          <w:sz w:val="24"/>
        </w:rPr>
        <w:lastRenderedPageBreak/>
        <w:t>Germany, where the PESTEL framework is used to analyse the suitability of the market and the barriers to operations based on the academic and industry data of 2025 and 2026.</w:t>
      </w:r>
    </w:p>
    <w:p w14:paraId="2CE2101B" w14:textId="77777777" w:rsidR="00FD3E4D" w:rsidRPr="00AD4427" w:rsidRDefault="00FD3E4D" w:rsidP="00FD3E4D">
      <w:pPr>
        <w:spacing w:line="360" w:lineRule="auto"/>
        <w:jc w:val="both"/>
        <w:rPr>
          <w:rFonts w:ascii="Arial" w:hAnsi="Arial" w:cs="Arial"/>
          <w:b/>
          <w:bCs/>
          <w:sz w:val="24"/>
          <w:lang w:val="en-US"/>
        </w:rPr>
      </w:pPr>
      <w:r w:rsidRPr="00AD4427">
        <w:rPr>
          <w:rFonts w:ascii="Arial" w:hAnsi="Arial" w:cs="Arial"/>
          <w:b/>
          <w:bCs/>
          <w:sz w:val="24"/>
          <w:lang w:val="en-US"/>
        </w:rPr>
        <w:t>1. Political Factors: Navigating a Shifting Policy Landscape</w:t>
      </w:r>
    </w:p>
    <w:p w14:paraId="2CE2101C" w14:textId="77777777" w:rsidR="00A56586" w:rsidRDefault="00295599" w:rsidP="00FD3E4D">
      <w:pPr>
        <w:spacing w:line="360" w:lineRule="auto"/>
        <w:jc w:val="both"/>
        <w:rPr>
          <w:rFonts w:ascii="Arial" w:hAnsi="Arial" w:cs="Arial"/>
          <w:bCs/>
          <w:sz w:val="24"/>
        </w:rPr>
      </w:pPr>
      <w:r w:rsidRPr="00AD4427">
        <w:rPr>
          <w:rFonts w:ascii="Arial" w:hAnsi="Arial" w:cs="Arial"/>
          <w:bCs/>
          <w:sz w:val="24"/>
        </w:rPr>
        <w:t xml:space="preserve">The German political landscape is a two-sided sword to the Tesla company since it offers the company the infrastructure support they require, and simultaneously, it comes at the cost of high policy volatility. In 2025 and the early 2026, German government focused on the Energiewende (energy transition), but due to fiscal limitations, subsidies were not predicted. The German demand of Tesla is highly responsive to the governmental incentives. The sudden discontinuation of the “Umweltbonus” towards the end of 2024 caused a significant decrease in Tesla market share as the price equality with internal combustion engine (ICE) models disappeared (MarkLines, 2026). In order to solve the following downturn, the German government unveiled a new EV Incentive Programme 2026 that provides a single social-level subsidy of 3 billion (Alternative Fuels Observatory, 2026). This political turn aims at lower-to-middle-income consumers, and Tesla will be compelled to launch less expensive vehicles, including the so-called Model 2, to be eligible to the top levels of the state subsidies (Nasdaq, 2026). </w:t>
      </w:r>
    </w:p>
    <w:p w14:paraId="2CE2101D" w14:textId="77777777" w:rsidR="00FD3E4D" w:rsidRPr="00AD4427" w:rsidRDefault="00FD3E4D" w:rsidP="00FD3E4D">
      <w:pPr>
        <w:spacing w:line="360" w:lineRule="auto"/>
        <w:jc w:val="both"/>
        <w:rPr>
          <w:rFonts w:ascii="Arial" w:hAnsi="Arial" w:cs="Arial"/>
          <w:b/>
          <w:bCs/>
          <w:sz w:val="24"/>
          <w:lang w:val="en-US"/>
        </w:rPr>
      </w:pPr>
      <w:r w:rsidRPr="00AD4427">
        <w:rPr>
          <w:rFonts w:ascii="Arial" w:hAnsi="Arial" w:cs="Arial"/>
          <w:b/>
          <w:bCs/>
          <w:sz w:val="24"/>
          <w:lang w:val="en-US"/>
        </w:rPr>
        <w:t>2. Economic Factors: Production Efficiency and the Energy Moat</w:t>
      </w:r>
    </w:p>
    <w:p w14:paraId="2CE2101E" w14:textId="77777777" w:rsidR="00FD3E4D" w:rsidRPr="00AD4427" w:rsidRDefault="00295599" w:rsidP="001C1479">
      <w:pPr>
        <w:spacing w:line="360" w:lineRule="auto"/>
        <w:jc w:val="both"/>
        <w:rPr>
          <w:rFonts w:ascii="Arial" w:hAnsi="Arial" w:cs="Arial"/>
          <w:bCs/>
          <w:sz w:val="24"/>
          <w:lang w:val="en-US"/>
        </w:rPr>
      </w:pPr>
      <w:r w:rsidRPr="00AD4427">
        <w:rPr>
          <w:rFonts w:ascii="Arial" w:hAnsi="Arial" w:cs="Arial"/>
          <w:bCs/>
          <w:sz w:val="24"/>
        </w:rPr>
        <w:t>The economic performance of Tesla in Germany is based on the principle of local production, but the high-cost sector of the country and the growing competition worldwide are the continuous challenges to the company. In 2025, Giga Berlin achieved a production capacity of 5000 units of Model Y per week, allowing Tesla to provide the European market without the logistic expenses or customs taxes of the Chinese Giga Shanghai or American Fremont factories (Teslarati, 2025). This localization is essential because the EU has a higher tariff on Chinese-made EVs and thus Tesla vehicles made in Germany have a potential cost edge over imports (BloombergNEF, 2025).</w:t>
      </w:r>
      <w:r w:rsidR="00FD3E4D" w:rsidRPr="00AD4427">
        <w:rPr>
          <w:rFonts w:ascii="Arial" w:hAnsi="Arial" w:cs="Arial"/>
          <w:bCs/>
          <w:sz w:val="24"/>
          <w:lang w:val="en-US"/>
        </w:rPr>
        <w:t xml:space="preserve"> </w:t>
      </w:r>
      <w:r w:rsidR="00394A79" w:rsidRPr="00AD4427">
        <w:rPr>
          <w:rFonts w:ascii="Arial" w:hAnsi="Arial" w:cs="Arial"/>
          <w:bCs/>
          <w:sz w:val="24"/>
        </w:rPr>
        <w:t xml:space="preserve">The producer prices in Germany fell by 2.2 percent in August 2025, and it shows that the cost of raw materials is falling, but the overhead cost of working with the high-wage environment is still putting pressure on the gross margins (Tset, 2025). Energy costs also remain as the key determinant in the viability of manufacturing in Germany especially in battery production which is very </w:t>
      </w:r>
      <w:r w:rsidR="00394A79" w:rsidRPr="00AD4427">
        <w:rPr>
          <w:rFonts w:ascii="Arial" w:hAnsi="Arial" w:cs="Arial"/>
          <w:bCs/>
          <w:sz w:val="24"/>
        </w:rPr>
        <w:lastRenderedPageBreak/>
        <w:t>energy consuming. The German government responded by introducing the Industrial Electricity Price, which would impose a fixed price of 5 0 -100 centimetres per kilowatt-hour as of 1 January 2026 and would be intended to cap 50 percent of the consumption of the eligible companies (Gleiss</w:t>
      </w:r>
      <w:r w:rsidR="00394A79" w:rsidRPr="00AD4427">
        <w:rPr>
          <w:rFonts w:ascii="Cambria Math" w:hAnsi="Cambria Math" w:cs="Cambria Math"/>
          <w:bCs/>
          <w:sz w:val="24"/>
        </w:rPr>
        <w:t>⁻</w:t>
      </w:r>
      <w:r w:rsidR="00394A79" w:rsidRPr="00AD4427">
        <w:rPr>
          <w:rFonts w:ascii="Arial" w:hAnsi="Arial" w:cs="Arial"/>
          <w:bCs/>
          <w:sz w:val="24"/>
        </w:rPr>
        <w:t xml:space="preserve"> Lutz,</w:t>
      </w:r>
      <w:r w:rsidR="00394A79" w:rsidRPr="00AD4427">
        <w:rPr>
          <w:rFonts w:ascii="Cambria Math" w:hAnsi="Cambria Math" w:cs="Cambria Math"/>
          <w:bCs/>
          <w:sz w:val="24"/>
        </w:rPr>
        <w:t>⁻</w:t>
      </w:r>
      <w:r w:rsidR="00394A79" w:rsidRPr="00AD4427">
        <w:rPr>
          <w:rFonts w:ascii="Arial" w:hAnsi="Arial" w:cs="Arial"/>
          <w:bCs/>
          <w:sz w:val="24"/>
        </w:rPr>
        <w:t xml:space="preserve"> 2025). This policy is a great relief to Tesla since the existing tariff is estimated to be 100 per MWh lower than 2024 rates thus increasing the competitiveness of battery-cell assembly upgrades (Deloitte, 2025). Within the terms of the state assistance, according to the law Tesla pays 50 percent of the subsidy on the projects that would lower the cost of electricity on a system-wide basis, including the large battery-storage projects that are in progress in Brandenburg (Gleiss Lutz, 2025). The radical change in the competitive environment happened in the end of 2025 when BYD and other Chinese transnational corporations started to develop their presence in Germany. The number of BYD registrations increased over 10 times in comparison to the previous year and it totalled 2,629 units, in comparison with 1,301 Tesla registrations registered at the same period in January 2026 (AAStocks, 2026; Business Times, 2026). </w:t>
      </w:r>
    </w:p>
    <w:p w14:paraId="2CE2101F" w14:textId="77777777" w:rsidR="00FD3E4D" w:rsidRPr="00AD4427" w:rsidRDefault="00FD3E4D" w:rsidP="00FD3E4D">
      <w:pPr>
        <w:spacing w:line="360" w:lineRule="auto"/>
        <w:jc w:val="both"/>
        <w:rPr>
          <w:rFonts w:ascii="Arial" w:hAnsi="Arial" w:cs="Arial"/>
          <w:b/>
          <w:bCs/>
          <w:sz w:val="24"/>
          <w:lang w:val="en-US"/>
        </w:rPr>
      </w:pPr>
      <w:r w:rsidRPr="00AD4427">
        <w:rPr>
          <w:rFonts w:ascii="Arial" w:hAnsi="Arial" w:cs="Arial"/>
          <w:b/>
          <w:bCs/>
          <w:sz w:val="24"/>
          <w:lang w:val="en-US"/>
        </w:rPr>
        <w:t>3. Social and Cultural Factors: The Crisis of Brand Persona</w:t>
      </w:r>
    </w:p>
    <w:p w14:paraId="2CE21020" w14:textId="77777777" w:rsidR="00FD3E4D" w:rsidRPr="00AD4427" w:rsidRDefault="001C1479" w:rsidP="00FD3E4D">
      <w:pPr>
        <w:spacing w:line="360" w:lineRule="auto"/>
        <w:jc w:val="both"/>
        <w:rPr>
          <w:rFonts w:ascii="Arial" w:hAnsi="Arial" w:cs="Arial"/>
          <w:bCs/>
          <w:sz w:val="24"/>
          <w:lang w:val="en-US"/>
        </w:rPr>
      </w:pPr>
      <w:r w:rsidRPr="00AD4427">
        <w:rPr>
          <w:rFonts w:ascii="Arial" w:hAnsi="Arial" w:cs="Arial"/>
          <w:bCs/>
          <w:sz w:val="24"/>
        </w:rPr>
        <w:t xml:space="preserve">It is, perhaps, the most important obstacle to the long-term success of Tesla in Germany, as the cultural mismatch between the ethos of the Silicon Valley and the German social values lies on the fundamental level. In early 2026 Tesla had an unprecedented low reputation in Germany. In terms of the reputation score, Tesla in Germany was ranked in the absolute last out of 30 surveyed companies in the study of Reputation 2025, with a reputation score of 2.48 on a scale of, -0.77 year-to-year drop (Electrek, 2026; Tesevo, 2026). This fall is explained, in large part, by the fact that people did not find responsible the leadership of the company and did not see much transparency in the interactions with the environment (ResearchGate, 2025). In 2025, a survey conducted found that 60 per cent of Germans had a negative opinion of the brand, and 94 per cent of Germans said they did not plan to buy a Tesla (Electrek, 2026; Latana, 2025). The industrial culture in Germany is developed on the principle of social partnership. The opposition to the collective bargaining of Tesla has initiated a long-term dispute with the largest European industrial union, called IGMetall (Yale Insights, 2024). Recently, the Tesla management has announced against a 35-hour workweek, which is one of the common standards in </w:t>
      </w:r>
      <w:r w:rsidRPr="00AD4427">
        <w:rPr>
          <w:rFonts w:ascii="Arial" w:hAnsi="Arial" w:cs="Arial"/>
          <w:bCs/>
          <w:sz w:val="24"/>
        </w:rPr>
        <w:lastRenderedPageBreak/>
        <w:t xml:space="preserve">the metal industry in Germany and has argued that this would hinder efficiency across the globe (Tesery, 2025). </w:t>
      </w:r>
    </w:p>
    <w:p w14:paraId="2CE21021" w14:textId="77777777" w:rsidR="00FD3E4D" w:rsidRPr="00AD4427" w:rsidRDefault="00FD3E4D" w:rsidP="00FD3E4D">
      <w:pPr>
        <w:spacing w:line="360" w:lineRule="auto"/>
        <w:jc w:val="both"/>
        <w:rPr>
          <w:rFonts w:ascii="Arial" w:hAnsi="Arial" w:cs="Arial"/>
          <w:b/>
          <w:bCs/>
          <w:sz w:val="24"/>
          <w:lang w:val="en-US"/>
        </w:rPr>
      </w:pPr>
      <w:r w:rsidRPr="00AD4427">
        <w:rPr>
          <w:rFonts w:ascii="Arial" w:hAnsi="Arial" w:cs="Arial"/>
          <w:b/>
          <w:bCs/>
          <w:sz w:val="24"/>
          <w:lang w:val="en-US"/>
        </w:rPr>
        <w:t>4. Technological Factors: Innovation and Infrastructure Resilience</w:t>
      </w:r>
    </w:p>
    <w:p w14:paraId="2CE21022" w14:textId="77777777" w:rsidR="00FD3E4D" w:rsidRPr="00AD4427" w:rsidRDefault="001C1479" w:rsidP="00FD3E4D">
      <w:pPr>
        <w:spacing w:line="360" w:lineRule="auto"/>
        <w:jc w:val="both"/>
        <w:rPr>
          <w:rFonts w:ascii="Arial" w:hAnsi="Arial" w:cs="Arial"/>
          <w:bCs/>
          <w:sz w:val="24"/>
          <w:lang w:val="en-US"/>
        </w:rPr>
      </w:pPr>
      <w:r w:rsidRPr="00AD4427">
        <w:rPr>
          <w:rFonts w:ascii="Arial" w:hAnsi="Arial" w:cs="Arial"/>
          <w:bCs/>
          <w:sz w:val="24"/>
        </w:rPr>
        <w:t xml:space="preserve">Tesla is still considered a technological leader of the German industry, but the difference is gradually decreasing due to the fact that domestic giants are catching up with Tesla in terms of software and battery density. The first technological strength that Tesla has is the software stack and Full Self-Driving (FSD). Although in a limited number of cases, German OEMs like Mercedes-Benz have reached Level 3 autonomy, Tesla offers fleet-wide data collection that offers a better learning loop (ResearchGate, 2025). Tesla is currently increasing six additional production lines devoted to vehicle robot and battery manufacturing, as well as striving to improve the integrated approach of its software with tangible equipment in 2026 (Tesla, 2026). Juniper is hoped to be the new name of a refresh of the Model Y in 2026, which will add new thermal control systems to increase its range by around 12% in chilly conditions in Europe (MarkLines, 2026). The prevalence of the Tesla Supercharger network is also a moat that can hardly be copied by the domestic rivals. Though the network was opened to other brands, Tesla customers have access to built-in so-called plug-and-charge convenience, which German clients consider as a top priority (IEA, 2025). The national grid of Germany is however, installing 12,000 high-power charging points per year by the Deutschlandnetz programme, which makes the Tesla network less exclusive (Expertenkreis, 2025). </w:t>
      </w:r>
    </w:p>
    <w:p w14:paraId="2CE21023" w14:textId="77777777" w:rsidR="00FD3E4D" w:rsidRPr="00AD4427" w:rsidRDefault="00FD3E4D" w:rsidP="00FD3E4D">
      <w:pPr>
        <w:spacing w:line="360" w:lineRule="auto"/>
        <w:jc w:val="both"/>
        <w:rPr>
          <w:rFonts w:ascii="Arial" w:hAnsi="Arial" w:cs="Arial"/>
          <w:b/>
          <w:bCs/>
          <w:sz w:val="24"/>
          <w:lang w:val="en-US"/>
        </w:rPr>
      </w:pPr>
      <w:r w:rsidRPr="00AD4427">
        <w:rPr>
          <w:rFonts w:ascii="Arial" w:hAnsi="Arial" w:cs="Arial"/>
          <w:b/>
          <w:bCs/>
          <w:sz w:val="24"/>
          <w:lang w:val="en-US"/>
        </w:rPr>
        <w:t>5. Environmental and Legal Factors: Resource and Labor Legitimacy</w:t>
      </w:r>
    </w:p>
    <w:p w14:paraId="2CE21024" w14:textId="77777777" w:rsidR="00ED734E" w:rsidRDefault="001C1479" w:rsidP="00FD3E4D">
      <w:pPr>
        <w:spacing w:line="360" w:lineRule="auto"/>
        <w:jc w:val="both"/>
        <w:rPr>
          <w:rFonts w:ascii="Arial" w:hAnsi="Arial" w:cs="Arial"/>
          <w:bCs/>
          <w:sz w:val="24"/>
          <w:lang w:val="en-US"/>
        </w:rPr>
      </w:pPr>
      <w:r w:rsidRPr="00AD4427">
        <w:rPr>
          <w:rFonts w:ascii="Arial" w:hAnsi="Arial" w:cs="Arial"/>
          <w:bCs/>
          <w:sz w:val="24"/>
        </w:rPr>
        <w:t xml:space="preserve">The business activities of Tesla in </w:t>
      </w:r>
      <w:r w:rsidR="00394A79" w:rsidRPr="00AD4427">
        <w:t xml:space="preserve">Grünheide </w:t>
      </w:r>
      <w:r w:rsidRPr="00AD4427">
        <w:rPr>
          <w:rFonts w:ascii="Arial" w:hAnsi="Arial" w:cs="Arial"/>
          <w:bCs/>
          <w:sz w:val="24"/>
        </w:rPr>
        <w:t>are constantly scrutinised in the legislative area in terms of sustainability and the management of resources. The growth of Giga Berlin is a controversial issue that is faced by the water crunch of the area. By citing the fact that the factory is supposed to consume 1.4mm 3 of water each year, environmental activists have managed to implement the Federal Emission Protection Law to suspend the permit on the grounds of negative impact on the local resources (TNFD, 2024; EJAtlas,  2025). To reduce this Tesla promised to have a circular water system by 2026, which recycles 90% of its process water (BNEF, 2024). Tesla is at risk in terms of occupational health in legal terms. The high levels of injury and the so-called ex</w:t>
      </w:r>
      <w:r w:rsidR="00A56586">
        <w:rPr>
          <w:rFonts w:ascii="Arial" w:hAnsi="Arial" w:cs="Arial"/>
          <w:bCs/>
          <w:sz w:val="24"/>
        </w:rPr>
        <w:t xml:space="preserve">treme workload resulted in a 17% </w:t>
      </w:r>
      <w:r w:rsidRPr="00AD4427">
        <w:rPr>
          <w:rFonts w:ascii="Arial" w:hAnsi="Arial" w:cs="Arial"/>
          <w:bCs/>
          <w:sz w:val="24"/>
        </w:rPr>
        <w:t xml:space="preserve">absenteeism </w:t>
      </w:r>
      <w:r w:rsidRPr="00AD4427">
        <w:rPr>
          <w:rFonts w:ascii="Arial" w:hAnsi="Arial" w:cs="Arial"/>
          <w:bCs/>
          <w:sz w:val="24"/>
        </w:rPr>
        <w:lastRenderedPageBreak/>
        <w:t>rate in late 2024, which initiated the research of the Brandenburg State Office of Occupational Safety (Glass Almanack, 2025). Under German law, the lack of action to deal with these endemic health dangers may lead to retroactive wage compensation and heavy legal fines in the 2026 bus</w:t>
      </w:r>
      <w:r w:rsidR="00A56586">
        <w:rPr>
          <w:rFonts w:ascii="Arial" w:hAnsi="Arial" w:cs="Arial"/>
          <w:bCs/>
          <w:sz w:val="24"/>
        </w:rPr>
        <w:t>iness year.</w:t>
      </w:r>
      <w:r w:rsidR="00A56586">
        <w:rPr>
          <w:rFonts w:ascii="Arial" w:hAnsi="Arial" w:cs="Arial"/>
          <w:bCs/>
          <w:sz w:val="24"/>
          <w:lang w:val="en-US"/>
        </w:rPr>
        <w:t xml:space="preserve"> </w:t>
      </w:r>
    </w:p>
    <w:p w14:paraId="2CE21025" w14:textId="77777777" w:rsidR="00A56586" w:rsidRPr="00A56586" w:rsidRDefault="00394A79" w:rsidP="00FD3E4D">
      <w:pPr>
        <w:spacing w:line="360" w:lineRule="auto"/>
        <w:jc w:val="both"/>
        <w:rPr>
          <w:rFonts w:ascii="Arial" w:hAnsi="Arial" w:cs="Arial"/>
          <w:bCs/>
          <w:sz w:val="24"/>
          <w:lang w:val="en-US"/>
        </w:rPr>
      </w:pPr>
      <w:r w:rsidRPr="00AD4427">
        <w:rPr>
          <w:rFonts w:ascii="Arial" w:hAnsi="Arial" w:cs="Arial"/>
          <w:sz w:val="24"/>
        </w:rPr>
        <w:t xml:space="preserve">Despite the fact that operations are mainly established on the basis of political and economic structures, the level under which Tesla operates in Germany is becoming dependent on unstable socio-technical and competitive pressures. </w:t>
      </w:r>
    </w:p>
    <w:p w14:paraId="2CE21026" w14:textId="77777777" w:rsidR="00FD3E4D" w:rsidRPr="00AD4427" w:rsidRDefault="00FD3E4D" w:rsidP="00FD3E4D">
      <w:pPr>
        <w:spacing w:line="360" w:lineRule="auto"/>
        <w:jc w:val="both"/>
        <w:rPr>
          <w:rFonts w:ascii="Arial" w:hAnsi="Arial" w:cs="Arial"/>
          <w:b/>
          <w:bCs/>
          <w:sz w:val="24"/>
          <w:lang w:val="en-US"/>
        </w:rPr>
      </w:pPr>
      <w:r w:rsidRPr="00AD4427">
        <w:rPr>
          <w:rFonts w:ascii="Arial" w:hAnsi="Arial" w:cs="Arial"/>
          <w:b/>
          <w:bCs/>
          <w:sz w:val="24"/>
          <w:lang w:val="en-US"/>
        </w:rPr>
        <w:t>1. Market Attractiveness: The "Sophisticated Crisis" of 2026</w:t>
      </w:r>
    </w:p>
    <w:p w14:paraId="2CE21027" w14:textId="77777777" w:rsidR="00FD3E4D" w:rsidRPr="00AD4427" w:rsidRDefault="00394A79" w:rsidP="00FD3E4D">
      <w:pPr>
        <w:spacing w:line="360" w:lineRule="auto"/>
        <w:jc w:val="both"/>
        <w:rPr>
          <w:rFonts w:ascii="Arial" w:hAnsi="Arial" w:cs="Arial"/>
          <w:sz w:val="24"/>
          <w:lang w:val="en-US"/>
        </w:rPr>
      </w:pPr>
      <w:r w:rsidRPr="00AD4427">
        <w:rPr>
          <w:rFonts w:ascii="Arial" w:hAnsi="Arial" w:cs="Arial"/>
          <w:sz w:val="24"/>
        </w:rPr>
        <w:t>High-stakes transition that regulatory requirements and changing consumer sentiment will contradict, characterises the attractiveness of the German market in 2026. After a disastrous 48 3 per cent drop in electricvehicle (EV) new registrations in the first half of 2025, the market has begun to recover, battery-electric vehicles (BEVs) registering a 22 3 per cent share in January 2026 (MarkLines, 2026). However, legacy OEMs, like Volkswagen (VW), have taken the lead in EVs through provision of a wide choice of models, both in number of models (the ID.3 to the ID.7) and range (portfolio breadth), whereas Tesla is still dependent on a narrowing line-up (CarbonCredits, ‛ 2026). In addition, the national grid is cannibalising the Tesla infrastructure moat by installing 12,000 high-power charging stations per year under the Deutschlandnetz programme, guaranteeing large-scale fast-paced charging on 1530 km along motorways and reducing the exclusivity of the Supercharger network (Expertenkreis,‛2025; Nationale‛2026).</w:t>
      </w:r>
    </w:p>
    <w:p w14:paraId="2CE21028" w14:textId="77777777" w:rsidR="00FD3E4D" w:rsidRPr="00AD4427" w:rsidRDefault="00FD3E4D" w:rsidP="00FD3E4D">
      <w:pPr>
        <w:spacing w:line="360" w:lineRule="auto"/>
        <w:jc w:val="both"/>
        <w:rPr>
          <w:rFonts w:ascii="Arial" w:hAnsi="Arial" w:cs="Arial"/>
          <w:b/>
          <w:bCs/>
          <w:sz w:val="24"/>
          <w:lang w:val="en-US"/>
        </w:rPr>
      </w:pPr>
      <w:r w:rsidRPr="00AD4427">
        <w:rPr>
          <w:rFonts w:ascii="Arial" w:hAnsi="Arial" w:cs="Arial"/>
          <w:b/>
          <w:bCs/>
          <w:sz w:val="24"/>
          <w:lang w:val="en-US"/>
        </w:rPr>
        <w:t>2. Operational Success: Insulation from Local Demand Shocks</w:t>
      </w:r>
    </w:p>
    <w:p w14:paraId="2CE21029" w14:textId="77777777" w:rsidR="00A56586" w:rsidRDefault="00394A79" w:rsidP="00FD3E4D">
      <w:pPr>
        <w:spacing w:line="360" w:lineRule="auto"/>
        <w:jc w:val="both"/>
        <w:rPr>
          <w:rFonts w:ascii="Arial" w:hAnsi="Arial" w:cs="Arial"/>
          <w:bCs/>
          <w:sz w:val="24"/>
        </w:rPr>
      </w:pPr>
      <w:r w:rsidRPr="00AD4427">
        <w:rPr>
          <w:rFonts w:ascii="Arial" w:hAnsi="Arial" w:cs="Arial"/>
          <w:bCs/>
          <w:sz w:val="24"/>
        </w:rPr>
        <w:t xml:space="preserve">One of the factors that contributed to the success of Tesla is its ability to isolate the production of Giga Berlin to the dynamism of the German domestic market by adopting an export-based resilience strategy. Although Tesla sales in Germany dropped by 72 per cent between April and December 2022 and 19,390 units in 2025, Giga Berlin achieved higher volume of production in all the quarters of 2025 (CleanTechnica, 2026; Tesery, 2025). Such success can be explained by the fact that Tesla can serve as a global logistic hub, as the plant can deliver more than 30 international markets to which German-made Model Ss are much more cost-efficient than their US counterparts (Tesery, 2025). </w:t>
      </w:r>
    </w:p>
    <w:p w14:paraId="2CE2102A" w14:textId="77777777" w:rsidR="00FD3E4D" w:rsidRPr="00AD4427" w:rsidRDefault="00FD3E4D" w:rsidP="00FD3E4D">
      <w:pPr>
        <w:spacing w:line="360" w:lineRule="auto"/>
        <w:jc w:val="both"/>
        <w:rPr>
          <w:rFonts w:ascii="Arial" w:hAnsi="Arial" w:cs="Arial"/>
          <w:b/>
          <w:bCs/>
          <w:sz w:val="24"/>
          <w:lang w:val="en-US"/>
        </w:rPr>
      </w:pPr>
      <w:r w:rsidRPr="00AD4427">
        <w:rPr>
          <w:rFonts w:ascii="Arial" w:hAnsi="Arial" w:cs="Arial"/>
          <w:b/>
          <w:bCs/>
          <w:sz w:val="24"/>
          <w:lang w:val="en-US"/>
        </w:rPr>
        <w:lastRenderedPageBreak/>
        <w:t>3. The "Industrial Electricity Price" and Energy Competitiveness</w:t>
      </w:r>
    </w:p>
    <w:p w14:paraId="2CE2102B" w14:textId="77777777" w:rsidR="00FD3E4D" w:rsidRPr="00AD4427" w:rsidRDefault="00394A79" w:rsidP="00FD3E4D">
      <w:pPr>
        <w:spacing w:line="360" w:lineRule="auto"/>
        <w:jc w:val="both"/>
        <w:rPr>
          <w:rFonts w:ascii="Arial" w:hAnsi="Arial" w:cs="Arial"/>
          <w:sz w:val="24"/>
          <w:lang w:val="en-US"/>
        </w:rPr>
      </w:pPr>
      <w:r w:rsidRPr="00AD4427">
        <w:rPr>
          <w:rFonts w:ascii="Arial" w:hAnsi="Arial" w:cs="Arial"/>
          <w:sz w:val="24"/>
        </w:rPr>
        <w:t>Energy prices remain one of the key factors that define the feasibility of manufacturing, especially those that consume a lot of electricity to produce batteries. In 2026, German government enacted an Industrial Electricity Price policy, which aimed at capping 50 per cent of appropriate corporate consumption to 5 cents per kilowatt-hour (Gleiss Lutz, 2025). This policy gives Tesla major relief, i.e. about EUR 100 per megawatt-hour in comparison with the 2024 exchange rates, that is to say, directly boosts the competitiveness of its in-house battery-cell assembly (Deloitte, 2025). In order to achieve this state subsidy, Tesla is obliged by law to invest 50 percent of the subsidy in the projects that will decrease the electricity cost of the system, which it is currently accomplishing by setting up massive battery storage projects in the Brandenburg area (Gleiss Lutz, 2025).</w:t>
      </w:r>
    </w:p>
    <w:p w14:paraId="2CE2102C" w14:textId="77777777" w:rsidR="00FD3E4D" w:rsidRPr="00AD4427" w:rsidRDefault="00FD3E4D" w:rsidP="00FD3E4D">
      <w:pPr>
        <w:spacing w:line="360" w:lineRule="auto"/>
        <w:jc w:val="both"/>
        <w:rPr>
          <w:rFonts w:ascii="Arial" w:hAnsi="Arial" w:cs="Arial"/>
          <w:b/>
          <w:bCs/>
          <w:sz w:val="24"/>
          <w:lang w:val="en-US"/>
        </w:rPr>
      </w:pPr>
      <w:r w:rsidRPr="00AD4427">
        <w:rPr>
          <w:rFonts w:ascii="Arial" w:hAnsi="Arial" w:cs="Arial"/>
          <w:b/>
          <w:bCs/>
          <w:sz w:val="24"/>
          <w:lang w:val="en-US"/>
        </w:rPr>
        <w:t>4. Socio-Cultural Crisis: The "Persona Liability" and Brand Decay</w:t>
      </w:r>
    </w:p>
    <w:p w14:paraId="2CE2102D" w14:textId="77777777" w:rsidR="00394A79" w:rsidRPr="00AD4427" w:rsidRDefault="00394A79" w:rsidP="00FD3E4D">
      <w:pPr>
        <w:spacing w:line="360" w:lineRule="auto"/>
        <w:jc w:val="both"/>
        <w:rPr>
          <w:rFonts w:ascii="Arial" w:hAnsi="Arial" w:cs="Arial"/>
          <w:sz w:val="24"/>
        </w:rPr>
      </w:pPr>
      <w:r w:rsidRPr="00AD4427">
        <w:rPr>
          <w:rFonts w:ascii="Arial" w:hAnsi="Arial" w:cs="Arial"/>
          <w:sz w:val="24"/>
        </w:rPr>
        <w:t xml:space="preserve">The erosion of brand trust between the German population and Tesla is, perhaps, the most volatile in influencing its performance, which can be described as a persona liability. By May 2025, net Tesla sentiment in Germany was determined at appalling -51% and 60% of the German population had a negative attitude to the brand (Latana, 2025). According to a study conducted by Electrify Research the brand desirability of Tesla among the homeowners across Germany decreased by 41 per cent between 2023 and 2025, the largest decrease of any major brand in the nation (Electrify Research, 2025). This cultural alienation is often credited to Elon Musk giving a vocal support to Alternative for Germany (AfD) a party, which is viewed as an extremist by most of the population, which has elicited a consumer backlash across generational and economic boundaries (CleanTechnica, 2026). </w:t>
      </w:r>
    </w:p>
    <w:p w14:paraId="2CE2102E" w14:textId="77777777" w:rsidR="00FD3E4D" w:rsidRPr="00AD4427" w:rsidRDefault="00FD3E4D" w:rsidP="00FD3E4D">
      <w:pPr>
        <w:spacing w:line="360" w:lineRule="auto"/>
        <w:jc w:val="both"/>
        <w:rPr>
          <w:rFonts w:ascii="Arial" w:hAnsi="Arial" w:cs="Arial"/>
          <w:b/>
          <w:bCs/>
          <w:sz w:val="24"/>
          <w:lang w:val="en-US"/>
        </w:rPr>
      </w:pPr>
      <w:r w:rsidRPr="00AD4427">
        <w:rPr>
          <w:rFonts w:ascii="Arial" w:hAnsi="Arial" w:cs="Arial"/>
          <w:b/>
          <w:bCs/>
          <w:sz w:val="24"/>
          <w:lang w:val="en-US"/>
        </w:rPr>
        <w:t>5. Competitive Dynamics: The "Chinese Surge" and Local Rebound</w:t>
      </w:r>
    </w:p>
    <w:p w14:paraId="2CE2102F" w14:textId="77777777" w:rsidR="00FD3E4D" w:rsidRPr="00AD4427" w:rsidRDefault="00394A79" w:rsidP="00FD3E4D">
      <w:pPr>
        <w:spacing w:line="360" w:lineRule="auto"/>
        <w:jc w:val="both"/>
        <w:rPr>
          <w:rFonts w:ascii="Arial" w:hAnsi="Arial" w:cs="Arial"/>
          <w:sz w:val="24"/>
          <w:lang w:val="en-US"/>
        </w:rPr>
      </w:pPr>
      <w:r w:rsidRPr="00AD4427">
        <w:rPr>
          <w:rFonts w:ascii="Arial" w:hAnsi="Arial" w:cs="Arial"/>
          <w:sz w:val="24"/>
        </w:rPr>
        <w:t xml:space="preserve">Lastly, the Tesla market in Germany has been threatened by the low-cost and luxury rivals. The BYD registered an increase of more than 1,000 in January 2026, to 2,629 units, the same month Tesla registered 1,301 (AAStocks, 2026). At the same time, VW showed an increase in sales of the European EV market in 2025, selling 274, 000 watches vs. 239,000 by Tesla, and the balance of power returned to 2:1, which Tesla had held no more than a year earlier (CarbonCredits,  2026). The broad portfolio approach of the German OEMs has been shown to be more resilient to </w:t>
      </w:r>
      <w:r w:rsidRPr="00AD4427">
        <w:rPr>
          <w:rFonts w:ascii="Arial" w:hAnsi="Arial" w:cs="Arial"/>
          <w:sz w:val="24"/>
        </w:rPr>
        <w:lastRenderedPageBreak/>
        <w:t>changing consumer tastes than the single-purpose approach of Tesla, implying that Tesla could only remain relevant in Germany once it is able to shift its strategy to disruption to local brand reconciliation.</w:t>
      </w:r>
    </w:p>
    <w:p w14:paraId="2CE21030" w14:textId="77777777" w:rsidR="005468AC" w:rsidRPr="00AD4427" w:rsidRDefault="00302FC3" w:rsidP="00302FC3">
      <w:pPr>
        <w:pStyle w:val="Heading1"/>
        <w:rPr>
          <w:rFonts w:ascii="Arial" w:hAnsi="Arial" w:cs="Arial"/>
        </w:rPr>
      </w:pPr>
      <w:bookmarkStart w:id="6" w:name="_Toc221779081"/>
      <w:r w:rsidRPr="00AD4427">
        <w:rPr>
          <w:rFonts w:ascii="Arial" w:hAnsi="Arial" w:cs="Arial"/>
        </w:rPr>
        <w:t xml:space="preserve">5.0 </w:t>
      </w:r>
      <w:r w:rsidR="005468AC" w:rsidRPr="00AD4427">
        <w:rPr>
          <w:rFonts w:ascii="Arial" w:hAnsi="Arial" w:cs="Arial"/>
        </w:rPr>
        <w:t>Conclusion</w:t>
      </w:r>
      <w:bookmarkEnd w:id="6"/>
      <w:r w:rsidR="005468AC" w:rsidRPr="00AD4427">
        <w:rPr>
          <w:rFonts w:ascii="Arial" w:hAnsi="Arial" w:cs="Arial"/>
        </w:rPr>
        <w:t xml:space="preserve"> </w:t>
      </w:r>
    </w:p>
    <w:p w14:paraId="2CE21031" w14:textId="77777777" w:rsidR="00E71548" w:rsidRPr="00AD4427" w:rsidRDefault="00394A79" w:rsidP="00E71548">
      <w:pPr>
        <w:spacing w:line="360" w:lineRule="auto"/>
        <w:jc w:val="both"/>
        <w:rPr>
          <w:rFonts w:ascii="Arial" w:hAnsi="Arial" w:cs="Arial"/>
          <w:sz w:val="24"/>
          <w:lang w:val="en-US"/>
        </w:rPr>
      </w:pPr>
      <w:r w:rsidRPr="00AD4427">
        <w:rPr>
          <w:rFonts w:ascii="Arial" w:hAnsi="Arial" w:cs="Arial"/>
          <w:sz w:val="24"/>
        </w:rPr>
        <w:t>The overall evaluation of the German electric-vehicle market and the operational stance of Tesla Inc. indicate that the market is at a decisive junction connecting the innovation and institutional resistance. Germany is a leading international centre of electromobility that is supported by a solid Porters Diamond. It bases its competitive edge on the world-leading factor conditions, which include specialised engineering know-how, and complex base of demand which would force continued technological improvement. An estimated growth of market to USD 63.04 million by 2032, as well as the trade-off of 22 percent share in BEV registration in early 2026, indicates the long-term appeal of this industry even without the presence of traditional subsidies (Credence Research, 2024; MarkLines, 2026). However, in the case of Tesla  Inc., the process of becoming a local embedded manufacturer continues to be a challenging one. Although Tesla has appropriately used GigaBerlin as an international export hub to avoid domestic demand shocks, it is facing a significant persona liability. The fact that the reputation index of Tesla dropped to 2.48 / 5 and the net sentiment of German consumers became negative (-51%), means that the technological leadership is not enough to achieve the long-term success (Electrek, / 2026; Latana, / 2025). In order to succeed, Tesla needs to align its Silicon Valley-style management with Germany social partnership-oriented labour culture and deal with the growing competition posed by the re-emerging domestic giants like Volkswagen and hyper efficient Chinese TNC like BYD</w:t>
      </w:r>
      <w:r w:rsidR="00E71548" w:rsidRPr="00AD4427">
        <w:rPr>
          <w:rFonts w:ascii="Arial" w:hAnsi="Arial" w:cs="Arial"/>
          <w:sz w:val="24"/>
          <w:lang w:val="en-US"/>
        </w:rPr>
        <w:t xml:space="preserve">. </w:t>
      </w:r>
      <w:r w:rsidR="000A093E" w:rsidRPr="00AD4427">
        <w:rPr>
          <w:rFonts w:ascii="Arial" w:hAnsi="Arial" w:cs="Arial"/>
          <w:sz w:val="24"/>
        </w:rPr>
        <w:t>A successful shift toward the German electric vehicle industry would be dependent on the ability of all stakeholders to address the interdependence of decarbonisation requirements, energy prices containment, and the European cultural acceptability in the most challenging industrial setting ever.</w:t>
      </w:r>
    </w:p>
    <w:p w14:paraId="2CE21032" w14:textId="77777777" w:rsidR="002E55AA" w:rsidRPr="00AD4427" w:rsidRDefault="009A30E5" w:rsidP="005468AC">
      <w:pPr>
        <w:spacing w:line="360" w:lineRule="auto"/>
        <w:jc w:val="both"/>
        <w:rPr>
          <w:rFonts w:ascii="Arial" w:hAnsi="Arial" w:cs="Arial"/>
          <w:sz w:val="24"/>
        </w:rPr>
      </w:pPr>
      <w:r w:rsidRPr="00AD4427">
        <w:rPr>
          <w:rFonts w:ascii="Arial" w:hAnsi="Arial" w:cs="Arial"/>
          <w:sz w:val="24"/>
        </w:rPr>
        <w:t>.</w:t>
      </w:r>
    </w:p>
    <w:p w14:paraId="2CE21033" w14:textId="77777777" w:rsidR="002E55AA" w:rsidRPr="00AD4427" w:rsidRDefault="002E55AA" w:rsidP="00DB3380">
      <w:pPr>
        <w:pStyle w:val="Heading1"/>
        <w:rPr>
          <w:rFonts w:ascii="Arial" w:hAnsi="Arial" w:cs="Arial"/>
          <w:lang w:val="en-US"/>
        </w:rPr>
      </w:pPr>
      <w:bookmarkStart w:id="7" w:name="_Toc221779082"/>
      <w:r w:rsidRPr="00AD4427">
        <w:rPr>
          <w:rFonts w:ascii="Arial" w:hAnsi="Arial" w:cs="Arial"/>
          <w:lang w:val="en-US"/>
        </w:rPr>
        <w:lastRenderedPageBreak/>
        <w:t>Section 2: Reflective Account of the Research and Analysis Process</w:t>
      </w:r>
      <w:bookmarkEnd w:id="7"/>
    </w:p>
    <w:p w14:paraId="2CE21034" w14:textId="77777777" w:rsidR="006E0C8C" w:rsidRPr="00AD4427" w:rsidRDefault="000A093E" w:rsidP="006E0C8C">
      <w:pPr>
        <w:spacing w:line="360" w:lineRule="auto"/>
        <w:jc w:val="both"/>
        <w:rPr>
          <w:rFonts w:ascii="Arial" w:hAnsi="Arial" w:cs="Arial"/>
          <w:sz w:val="24"/>
          <w:lang w:val="en-US"/>
        </w:rPr>
      </w:pPr>
      <w:r w:rsidRPr="00AD4427">
        <w:rPr>
          <w:rFonts w:ascii="Arial" w:hAnsi="Arial" w:cs="Arial"/>
          <w:sz w:val="24"/>
        </w:rPr>
        <w:t>This reflective report uses the Reflective Cycle (1988) by Gibbs in order to critically review the research, analysis, and preparation of a strategic assessment of the operations of Tesla in Germany. Through the six steps, which are description, feelings, evaluation, analysis, conclusion, and action plan, I hope to obtain substantive information to my scholarly practice and professional development.</w:t>
      </w:r>
    </w:p>
    <w:p w14:paraId="2CE21035" w14:textId="77777777" w:rsidR="006E0C8C" w:rsidRPr="00AD4427" w:rsidRDefault="006E0C8C" w:rsidP="006E0C8C">
      <w:pPr>
        <w:spacing w:line="360" w:lineRule="auto"/>
        <w:jc w:val="both"/>
        <w:rPr>
          <w:rFonts w:ascii="Arial" w:hAnsi="Arial" w:cs="Arial"/>
          <w:b/>
          <w:bCs/>
          <w:sz w:val="24"/>
          <w:lang w:val="en-US"/>
        </w:rPr>
      </w:pPr>
      <w:r w:rsidRPr="00AD4427">
        <w:rPr>
          <w:rFonts w:ascii="Arial" w:hAnsi="Arial" w:cs="Arial"/>
          <w:b/>
          <w:bCs/>
          <w:sz w:val="24"/>
          <w:lang w:val="en-US"/>
        </w:rPr>
        <w:t>1. Description: What Happened?</w:t>
      </w:r>
    </w:p>
    <w:p w14:paraId="2CE21036" w14:textId="77777777" w:rsidR="006E0C8C" w:rsidRPr="00AD4427" w:rsidRDefault="000A093E" w:rsidP="006E0C8C">
      <w:pPr>
        <w:spacing w:line="360" w:lineRule="auto"/>
        <w:jc w:val="both"/>
        <w:rPr>
          <w:rFonts w:ascii="Arial" w:hAnsi="Arial" w:cs="Arial"/>
          <w:sz w:val="24"/>
          <w:lang w:val="en-US"/>
        </w:rPr>
      </w:pPr>
      <w:r w:rsidRPr="00AD4427">
        <w:rPr>
          <w:rFonts w:ascii="Arial" w:hAnsi="Arial" w:cs="Arial"/>
          <w:sz w:val="24"/>
        </w:rPr>
        <w:t xml:space="preserve">The assignment was a multi-tiered research project based on the German electric vehicle (EV) industry and a particular multinational corporation (MNC), Tesla. I had to piece together industry data that was not that simple, use strategic frameworks (Porters Diamond Model and PESTEL) and assess the resiliency of Tesla in 2026 operations. I started with the secondary data gathering of various sources, such as industrial databases (MarkLines, Statista), law briefing (Gleiss </w:t>
      </w:r>
      <w:r w:rsidRPr="00AD4427">
        <w:rPr>
          <w:rFonts w:ascii="Cambria Math" w:hAnsi="Cambria Math" w:cs="Cambria Math"/>
          <w:sz w:val="24"/>
        </w:rPr>
        <w:t>⁻</w:t>
      </w:r>
      <w:r w:rsidRPr="00AD4427">
        <w:rPr>
          <w:rFonts w:ascii="Arial" w:hAnsi="Arial" w:cs="Arial"/>
          <w:sz w:val="24"/>
        </w:rPr>
        <w:t xml:space="preserve"> Lutz), and university journals. I then moved on towards the analytical stage where I plotted these results against theoretical frameworks to see the trends, e.g., the deviation between manufacturing output and social reputation of Tesla. Lastly, I summarised these findings into a well organised report that was a combination of technical information and a critical review of the narrative.</w:t>
      </w:r>
    </w:p>
    <w:p w14:paraId="2CE21037" w14:textId="77777777" w:rsidR="006E0C8C" w:rsidRPr="00AD4427" w:rsidRDefault="006E0C8C" w:rsidP="006E0C8C">
      <w:pPr>
        <w:spacing w:line="360" w:lineRule="auto"/>
        <w:jc w:val="both"/>
        <w:rPr>
          <w:rFonts w:ascii="Arial" w:hAnsi="Arial" w:cs="Arial"/>
          <w:sz w:val="24"/>
          <w:lang w:val="en-US"/>
        </w:rPr>
      </w:pPr>
      <w:r w:rsidRPr="00AD4427">
        <w:rPr>
          <w:noProof/>
          <w:lang w:val="en-US"/>
        </w:rPr>
        <w:lastRenderedPageBreak/>
        <w:drawing>
          <wp:inline distT="0" distB="0" distL="0" distR="0" wp14:anchorId="2CE21080" wp14:editId="2CE21081">
            <wp:extent cx="4933950" cy="4191000"/>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
                    <a:stretch>
                      <a:fillRect/>
                    </a:stretch>
                  </pic:blipFill>
                  <pic:spPr>
                    <a:xfrm>
                      <a:off x="0" y="0"/>
                      <a:ext cx="4933950" cy="4191000"/>
                    </a:xfrm>
                    <a:prstGeom prst="rect">
                      <a:avLst/>
                    </a:prstGeom>
                  </pic:spPr>
                </pic:pic>
              </a:graphicData>
            </a:graphic>
          </wp:inline>
        </w:drawing>
      </w:r>
    </w:p>
    <w:p w14:paraId="2CE21038" w14:textId="77777777" w:rsidR="006E0C8C" w:rsidRPr="00AD4427" w:rsidRDefault="006E0C8C" w:rsidP="006E0C8C">
      <w:pPr>
        <w:spacing w:line="360" w:lineRule="auto"/>
        <w:jc w:val="both"/>
        <w:rPr>
          <w:rFonts w:ascii="Arial" w:hAnsi="Arial" w:cs="Arial"/>
          <w:sz w:val="24"/>
          <w:lang w:val="en-US"/>
        </w:rPr>
      </w:pPr>
    </w:p>
    <w:p w14:paraId="2CE21039" w14:textId="77777777" w:rsidR="006E0C8C" w:rsidRPr="00AD4427" w:rsidRDefault="006E0C8C" w:rsidP="006E0C8C">
      <w:pPr>
        <w:spacing w:line="360" w:lineRule="auto"/>
        <w:jc w:val="both"/>
        <w:rPr>
          <w:rFonts w:ascii="Arial" w:hAnsi="Arial" w:cs="Arial"/>
          <w:b/>
          <w:bCs/>
          <w:sz w:val="24"/>
          <w:lang w:val="en-US"/>
        </w:rPr>
      </w:pPr>
      <w:r w:rsidRPr="00AD4427">
        <w:rPr>
          <w:rFonts w:ascii="Arial" w:hAnsi="Arial" w:cs="Arial"/>
          <w:b/>
          <w:bCs/>
          <w:sz w:val="24"/>
          <w:lang w:val="en-US"/>
        </w:rPr>
        <w:t>2. Feelings: What was I Thinking and Feeling?</w:t>
      </w:r>
    </w:p>
    <w:p w14:paraId="2CE2103A" w14:textId="77777777" w:rsidR="006E0C8C" w:rsidRPr="00AD4427" w:rsidRDefault="000A093E" w:rsidP="006E0C8C">
      <w:pPr>
        <w:spacing w:line="360" w:lineRule="auto"/>
        <w:jc w:val="both"/>
        <w:rPr>
          <w:rFonts w:ascii="Arial" w:hAnsi="Arial" w:cs="Arial"/>
          <w:sz w:val="24"/>
          <w:lang w:val="en-US"/>
        </w:rPr>
      </w:pPr>
      <w:r w:rsidRPr="00AD4427">
        <w:rPr>
          <w:rFonts w:ascii="Arial" w:hAnsi="Arial" w:cs="Arial"/>
          <w:sz w:val="24"/>
        </w:rPr>
        <w:t>Initially, I experienced some form of anxiety, concerning the nature of the report having a date (2025-2026) on its future. The need to balance the realms of the modern reality and the projected data demanded a more intensive thinking process in order to make sure the analysis is based on facts instead of assumptions. My eureka moment involved the research phase when I came across the 2026 industrial electricity price cap, which seemed to me like a key piece of the puzzle since it connected the government policy to the bottom line of Tesla. Nevertheless, I was frustrated in the process of researching the social reputation of Tesla. The information about the drop of the brand in Germany were very harsh, which led me to doubt the possibility of bias and to find several sources that prove the data such as Latana, Electrek, and ResearchGate to keep my objectivity.</w:t>
      </w:r>
    </w:p>
    <w:p w14:paraId="2CE2103B" w14:textId="77777777" w:rsidR="006E0C8C" w:rsidRPr="00AD4427" w:rsidRDefault="006E0C8C" w:rsidP="006E0C8C">
      <w:pPr>
        <w:spacing w:line="360" w:lineRule="auto"/>
        <w:jc w:val="both"/>
        <w:rPr>
          <w:rFonts w:ascii="Arial" w:hAnsi="Arial" w:cs="Arial"/>
          <w:b/>
          <w:bCs/>
          <w:sz w:val="24"/>
          <w:lang w:val="en-US"/>
        </w:rPr>
      </w:pPr>
      <w:r w:rsidRPr="00AD4427">
        <w:rPr>
          <w:rFonts w:ascii="Arial" w:hAnsi="Arial" w:cs="Arial"/>
          <w:b/>
          <w:bCs/>
          <w:sz w:val="24"/>
          <w:lang w:val="en-US"/>
        </w:rPr>
        <w:t>3. Evaluation: What was Good and Bad about the Experience?</w:t>
      </w:r>
    </w:p>
    <w:p w14:paraId="2CE2103C" w14:textId="77777777" w:rsidR="006E0C8C" w:rsidRPr="00AD4427" w:rsidRDefault="006E0C8C" w:rsidP="006E0C8C">
      <w:pPr>
        <w:spacing w:line="360" w:lineRule="auto"/>
        <w:jc w:val="both"/>
        <w:rPr>
          <w:rFonts w:ascii="Arial" w:hAnsi="Arial" w:cs="Arial"/>
          <w:sz w:val="24"/>
          <w:lang w:val="en-US"/>
        </w:rPr>
      </w:pPr>
      <w:r w:rsidRPr="00AD4427">
        <w:rPr>
          <w:rFonts w:ascii="Arial" w:hAnsi="Arial" w:cs="Arial"/>
          <w:b/>
          <w:bCs/>
          <w:sz w:val="24"/>
          <w:lang w:val="en-US"/>
        </w:rPr>
        <w:t>The Positives:</w:t>
      </w:r>
    </w:p>
    <w:p w14:paraId="2CE2103D" w14:textId="77777777" w:rsidR="006E0C8C" w:rsidRPr="00AD4427" w:rsidRDefault="006E0C8C" w:rsidP="006E0C8C">
      <w:pPr>
        <w:numPr>
          <w:ilvl w:val="0"/>
          <w:numId w:val="18"/>
        </w:numPr>
        <w:spacing w:line="360" w:lineRule="auto"/>
        <w:jc w:val="both"/>
        <w:rPr>
          <w:rFonts w:ascii="Arial" w:hAnsi="Arial" w:cs="Arial"/>
          <w:sz w:val="24"/>
          <w:lang w:val="en-US"/>
        </w:rPr>
      </w:pPr>
      <w:r w:rsidRPr="00AD4427">
        <w:rPr>
          <w:rFonts w:ascii="Arial" w:hAnsi="Arial" w:cs="Arial"/>
          <w:b/>
          <w:bCs/>
          <w:sz w:val="24"/>
          <w:lang w:val="en-US"/>
        </w:rPr>
        <w:lastRenderedPageBreak/>
        <w:t>Methodological Rigor:</w:t>
      </w:r>
      <w:r w:rsidRPr="00AD4427">
        <w:rPr>
          <w:rFonts w:ascii="Arial" w:hAnsi="Arial" w:cs="Arial"/>
          <w:sz w:val="24"/>
          <w:lang w:val="en-US"/>
        </w:rPr>
        <w:t xml:space="preserve"> </w:t>
      </w:r>
      <w:r w:rsidR="000A093E" w:rsidRPr="00AD4427">
        <w:rPr>
          <w:rFonts w:ascii="Arial" w:hAnsi="Arial" w:cs="Arial"/>
          <w:sz w:val="24"/>
        </w:rPr>
        <w:t>The use of the Diamond created by Porter to the German EV industry was very successful as it became clear that the competitive advantage of Germany is not exclusive to the automobiles sector but to the well-developed environment of factor conditions (skilled labour) and related industries (Mittelstand suppliers).</w:t>
      </w:r>
    </w:p>
    <w:p w14:paraId="2CE2103E" w14:textId="77777777" w:rsidR="006E0C8C" w:rsidRPr="00AD4427" w:rsidRDefault="006E0C8C" w:rsidP="006E0C8C">
      <w:pPr>
        <w:numPr>
          <w:ilvl w:val="0"/>
          <w:numId w:val="18"/>
        </w:numPr>
        <w:spacing w:line="360" w:lineRule="auto"/>
        <w:jc w:val="both"/>
        <w:rPr>
          <w:rFonts w:ascii="Arial" w:hAnsi="Arial" w:cs="Arial"/>
          <w:sz w:val="24"/>
          <w:lang w:val="en-US"/>
        </w:rPr>
      </w:pPr>
      <w:r w:rsidRPr="00AD4427">
        <w:rPr>
          <w:rFonts w:ascii="Arial" w:hAnsi="Arial" w:cs="Arial"/>
          <w:b/>
          <w:bCs/>
          <w:sz w:val="24"/>
          <w:lang w:val="en-US"/>
        </w:rPr>
        <w:t>Data Integration:</w:t>
      </w:r>
      <w:r w:rsidRPr="00AD4427">
        <w:rPr>
          <w:rFonts w:ascii="Arial" w:hAnsi="Arial" w:cs="Arial"/>
          <w:sz w:val="24"/>
          <w:lang w:val="en-US"/>
        </w:rPr>
        <w:t xml:space="preserve"> </w:t>
      </w:r>
      <w:r w:rsidR="000A093E" w:rsidRPr="00AD4427">
        <w:rPr>
          <w:rFonts w:ascii="Arial" w:hAnsi="Arial" w:cs="Arial"/>
          <w:sz w:val="24"/>
        </w:rPr>
        <w:t>The use of the Diamond created by Porter to the German EV industry was very successful as it became clear that the competitive advantage of Germany is not exclusive to the automobiles sector but to the well-developed environment of factor conditions (skilled labour) and related industries (Mittelstand suppliers).</w:t>
      </w:r>
    </w:p>
    <w:p w14:paraId="2CE2103F" w14:textId="77777777" w:rsidR="006E0C8C" w:rsidRPr="00AD4427" w:rsidRDefault="006E0C8C" w:rsidP="006E0C8C">
      <w:pPr>
        <w:spacing w:line="360" w:lineRule="auto"/>
        <w:jc w:val="both"/>
        <w:rPr>
          <w:rFonts w:ascii="Arial" w:hAnsi="Arial" w:cs="Arial"/>
          <w:sz w:val="24"/>
          <w:lang w:val="en-US"/>
        </w:rPr>
      </w:pPr>
      <w:r w:rsidRPr="00AD4427">
        <w:rPr>
          <w:rFonts w:ascii="Arial" w:hAnsi="Arial" w:cs="Arial"/>
          <w:b/>
          <w:bCs/>
          <w:sz w:val="24"/>
          <w:lang w:val="en-US"/>
        </w:rPr>
        <w:t>The Negatives:</w:t>
      </w:r>
    </w:p>
    <w:p w14:paraId="2CE21040" w14:textId="77777777" w:rsidR="006E0C8C" w:rsidRPr="00AD4427" w:rsidRDefault="006E0C8C" w:rsidP="006E0C8C">
      <w:pPr>
        <w:numPr>
          <w:ilvl w:val="0"/>
          <w:numId w:val="19"/>
        </w:numPr>
        <w:spacing w:line="360" w:lineRule="auto"/>
        <w:jc w:val="both"/>
        <w:rPr>
          <w:rFonts w:ascii="Arial" w:hAnsi="Arial" w:cs="Arial"/>
          <w:sz w:val="24"/>
          <w:lang w:val="en-US"/>
        </w:rPr>
      </w:pPr>
      <w:r w:rsidRPr="00AD4427">
        <w:rPr>
          <w:rFonts w:ascii="Arial" w:hAnsi="Arial" w:cs="Arial"/>
          <w:b/>
          <w:bCs/>
          <w:sz w:val="24"/>
          <w:lang w:val="en-US"/>
        </w:rPr>
        <w:t>Information Overload:</w:t>
      </w:r>
      <w:r w:rsidRPr="00AD4427">
        <w:rPr>
          <w:rFonts w:ascii="Arial" w:hAnsi="Arial" w:cs="Arial"/>
          <w:sz w:val="24"/>
          <w:lang w:val="en-US"/>
        </w:rPr>
        <w:t xml:space="preserve"> </w:t>
      </w:r>
      <w:r w:rsidR="000A093E" w:rsidRPr="00AD4427">
        <w:rPr>
          <w:rFonts w:ascii="Arial" w:hAnsi="Arial" w:cs="Arial"/>
          <w:sz w:val="24"/>
        </w:rPr>
        <w:t>Tesla has very abundant information available; I found it difficult to slaughter the noise (global stock price changes) and only analyze the operational resilience in Germany.</w:t>
      </w:r>
    </w:p>
    <w:p w14:paraId="2CE21041" w14:textId="77777777" w:rsidR="006E0C8C" w:rsidRPr="00AD4427" w:rsidRDefault="006E0C8C" w:rsidP="006E0C8C">
      <w:pPr>
        <w:numPr>
          <w:ilvl w:val="0"/>
          <w:numId w:val="19"/>
        </w:numPr>
        <w:spacing w:line="360" w:lineRule="auto"/>
        <w:jc w:val="both"/>
        <w:rPr>
          <w:rFonts w:ascii="Arial" w:hAnsi="Arial" w:cs="Arial"/>
          <w:sz w:val="24"/>
          <w:lang w:val="en-US"/>
        </w:rPr>
      </w:pPr>
      <w:r w:rsidRPr="00AD4427">
        <w:rPr>
          <w:rFonts w:ascii="Arial" w:hAnsi="Arial" w:cs="Arial"/>
          <w:b/>
          <w:bCs/>
          <w:sz w:val="24"/>
          <w:lang w:val="en-US"/>
        </w:rPr>
        <w:t>Time Management:</w:t>
      </w:r>
      <w:r w:rsidRPr="00AD4427">
        <w:rPr>
          <w:rFonts w:ascii="Arial" w:hAnsi="Arial" w:cs="Arial"/>
          <w:sz w:val="24"/>
          <w:lang w:val="en-US"/>
        </w:rPr>
        <w:t xml:space="preserve"> </w:t>
      </w:r>
      <w:r w:rsidR="000A093E" w:rsidRPr="00AD4427">
        <w:rPr>
          <w:rFonts w:ascii="Arial" w:hAnsi="Arial" w:cs="Arial"/>
          <w:sz w:val="24"/>
        </w:rPr>
        <w:t>I spent an unreasonable amount of time in the industry overview (Section 2), which left me with less time to dedicate to the in-depth persona-liability analysis in the Tesla-specific part.</w:t>
      </w:r>
    </w:p>
    <w:p w14:paraId="2CE21042" w14:textId="77777777" w:rsidR="006E0C8C" w:rsidRPr="00AD4427" w:rsidRDefault="006E0C8C" w:rsidP="006E0C8C">
      <w:pPr>
        <w:spacing w:line="360" w:lineRule="auto"/>
        <w:jc w:val="both"/>
        <w:rPr>
          <w:rFonts w:ascii="Arial" w:hAnsi="Arial" w:cs="Arial"/>
          <w:b/>
          <w:bCs/>
          <w:sz w:val="24"/>
          <w:lang w:val="en-US"/>
        </w:rPr>
      </w:pPr>
      <w:r w:rsidRPr="00AD4427">
        <w:rPr>
          <w:rFonts w:ascii="Arial" w:hAnsi="Arial" w:cs="Arial"/>
          <w:b/>
          <w:bCs/>
          <w:sz w:val="24"/>
          <w:lang w:val="en-US"/>
        </w:rPr>
        <w:t>4. Analysis: What Sense can I make of the Situation?</w:t>
      </w:r>
    </w:p>
    <w:p w14:paraId="2CE21043" w14:textId="77777777" w:rsidR="006E0C8C" w:rsidRPr="00AD4427" w:rsidRDefault="000A093E" w:rsidP="006E0C8C">
      <w:pPr>
        <w:spacing w:line="360" w:lineRule="auto"/>
        <w:jc w:val="both"/>
        <w:rPr>
          <w:rFonts w:ascii="Arial" w:hAnsi="Arial" w:cs="Arial"/>
          <w:sz w:val="24"/>
          <w:lang w:val="en-US"/>
        </w:rPr>
      </w:pPr>
      <w:r w:rsidRPr="00AD4427">
        <w:rPr>
          <w:rFonts w:ascii="Arial" w:hAnsi="Arial" w:cs="Arial"/>
          <w:sz w:val="24"/>
        </w:rPr>
        <w:t>The intricacy of this assignment was comparable to the business intelligence in the real world. The challenge I have had with the future-data makes me understand how trend analysis has an essential role in strategic management. In using 2025/2026 projections, I was in effect doing the act of strategic foresight, which does not involve data consumption but rather understanding of cause and effect relationship between a change in a policy (e.g. electricity cap) and the reaction of a firm. The liability of foreignness in the international business theory is portrayed by the difference between the success of Tesla operations (export hub) and its failure (brand decay). A strong MNC is able to collapse even when it fails to observe local social and legal pillars in the PESTEL framework. This discovery underscores the fact that the moat of a firm is not entirely technological, but also institutional and cultural.</w:t>
      </w:r>
    </w:p>
    <w:p w14:paraId="2CE21044" w14:textId="77777777" w:rsidR="006E0C8C" w:rsidRPr="00AD4427" w:rsidRDefault="006E0C8C" w:rsidP="006E0C8C">
      <w:pPr>
        <w:spacing w:line="360" w:lineRule="auto"/>
        <w:jc w:val="both"/>
        <w:rPr>
          <w:rFonts w:ascii="Arial" w:hAnsi="Arial" w:cs="Arial"/>
          <w:b/>
          <w:bCs/>
          <w:sz w:val="24"/>
          <w:lang w:val="en-US"/>
        </w:rPr>
      </w:pPr>
      <w:r w:rsidRPr="00AD4427">
        <w:rPr>
          <w:rFonts w:ascii="Arial" w:hAnsi="Arial" w:cs="Arial"/>
          <w:b/>
          <w:bCs/>
          <w:sz w:val="24"/>
          <w:lang w:val="en-US"/>
        </w:rPr>
        <w:t>5. Conclusion: What else could I have done?</w:t>
      </w:r>
    </w:p>
    <w:p w14:paraId="2CE21045" w14:textId="77777777" w:rsidR="006E0C8C" w:rsidRPr="00AD4427" w:rsidRDefault="000A093E" w:rsidP="006E0C8C">
      <w:pPr>
        <w:spacing w:line="360" w:lineRule="auto"/>
        <w:jc w:val="both"/>
        <w:rPr>
          <w:rFonts w:ascii="Arial" w:hAnsi="Arial" w:cs="Arial"/>
          <w:sz w:val="24"/>
          <w:lang w:val="en-US"/>
        </w:rPr>
      </w:pPr>
      <w:r w:rsidRPr="00AD4427">
        <w:rPr>
          <w:rFonts w:ascii="Arial" w:hAnsi="Arial" w:cs="Arial"/>
          <w:sz w:val="24"/>
        </w:rPr>
        <w:lastRenderedPageBreak/>
        <w:t>Reflectively, I ought to have filtered the hierarchical data at a further stage in the process. I would have saved some hours of research by setting strong conditions under which operational resilience was met. Also, the use of further visual data-mining tools in the analysis process would have been a more appropriate representation of the intersection between both Porters Diamond and PESTEL factors prior to the creation of the prose. I have also discovered that I can connect the policy with profit, and my weakness is I tend to get caught up in details that are not essential.</w:t>
      </w:r>
    </w:p>
    <w:p w14:paraId="2CE21046" w14:textId="77777777" w:rsidR="006E0C8C" w:rsidRPr="00AD4427" w:rsidRDefault="006E0C8C" w:rsidP="006E0C8C">
      <w:pPr>
        <w:spacing w:line="360" w:lineRule="auto"/>
        <w:jc w:val="both"/>
        <w:rPr>
          <w:rFonts w:ascii="Arial" w:hAnsi="Arial" w:cs="Arial"/>
          <w:b/>
          <w:bCs/>
          <w:sz w:val="24"/>
          <w:lang w:val="en-US"/>
        </w:rPr>
      </w:pPr>
      <w:r w:rsidRPr="00AD4427">
        <w:rPr>
          <w:rFonts w:ascii="Arial" w:hAnsi="Arial" w:cs="Arial"/>
          <w:b/>
          <w:bCs/>
          <w:sz w:val="24"/>
          <w:lang w:val="en-US"/>
        </w:rPr>
        <w:t>6. Action Plan: If it rose again, what would I do?</w:t>
      </w:r>
    </w:p>
    <w:p w14:paraId="2CE21047" w14:textId="77777777" w:rsidR="006E0C8C" w:rsidRPr="00AD4427" w:rsidRDefault="000A093E" w:rsidP="006E0C8C">
      <w:pPr>
        <w:spacing w:line="360" w:lineRule="auto"/>
        <w:jc w:val="both"/>
        <w:rPr>
          <w:rFonts w:ascii="Arial" w:hAnsi="Arial" w:cs="Arial"/>
          <w:sz w:val="24"/>
          <w:lang w:val="en-US"/>
        </w:rPr>
      </w:pPr>
      <w:r w:rsidRPr="00AD4427">
        <w:rPr>
          <w:rFonts w:ascii="Arial" w:hAnsi="Arial" w:cs="Arial"/>
          <w:sz w:val="24"/>
        </w:rPr>
        <w:t>To improve in later planning of strategic reports, I will use the following 3-step plan:</w:t>
      </w:r>
    </w:p>
    <w:p w14:paraId="2CE21048" w14:textId="77777777" w:rsidR="006E0C8C" w:rsidRPr="00AD4427" w:rsidRDefault="006E0C8C" w:rsidP="006E0C8C">
      <w:pPr>
        <w:numPr>
          <w:ilvl w:val="0"/>
          <w:numId w:val="20"/>
        </w:numPr>
        <w:spacing w:line="360" w:lineRule="auto"/>
        <w:jc w:val="both"/>
        <w:rPr>
          <w:rFonts w:ascii="Arial" w:hAnsi="Arial" w:cs="Arial"/>
          <w:sz w:val="24"/>
          <w:lang w:val="en-US"/>
        </w:rPr>
      </w:pPr>
      <w:r w:rsidRPr="00AD4427">
        <w:rPr>
          <w:rFonts w:ascii="Arial" w:hAnsi="Arial" w:cs="Arial"/>
          <w:b/>
          <w:bCs/>
          <w:sz w:val="24"/>
          <w:lang w:val="en-US"/>
        </w:rPr>
        <w:t>Define the 'Analytical Core' First:</w:t>
      </w:r>
      <w:r w:rsidRPr="00AD4427">
        <w:rPr>
          <w:rFonts w:ascii="Arial" w:hAnsi="Arial" w:cs="Arial"/>
          <w:sz w:val="24"/>
          <w:lang w:val="en-US"/>
        </w:rPr>
        <w:t xml:space="preserve"> </w:t>
      </w:r>
      <w:r w:rsidR="000A093E" w:rsidRPr="00AD4427">
        <w:rPr>
          <w:rFonts w:ascii="Arial" w:hAnsi="Arial" w:cs="Arial"/>
          <w:sz w:val="24"/>
        </w:rPr>
        <w:t>I will first define the sub-headings of the analysis section before researching to come up with a data bucket system that will not capture any information but the directly relevant information.</w:t>
      </w:r>
    </w:p>
    <w:p w14:paraId="2CE21049" w14:textId="77777777" w:rsidR="006E0C8C" w:rsidRPr="00AD4427" w:rsidRDefault="006E0C8C" w:rsidP="006E0C8C">
      <w:pPr>
        <w:numPr>
          <w:ilvl w:val="0"/>
          <w:numId w:val="20"/>
        </w:numPr>
        <w:spacing w:line="360" w:lineRule="auto"/>
        <w:jc w:val="both"/>
        <w:rPr>
          <w:rFonts w:ascii="Arial" w:hAnsi="Arial" w:cs="Arial"/>
          <w:sz w:val="24"/>
          <w:lang w:val="en-US"/>
        </w:rPr>
      </w:pPr>
      <w:r w:rsidRPr="00AD4427">
        <w:rPr>
          <w:rFonts w:ascii="Arial" w:hAnsi="Arial" w:cs="Arial"/>
          <w:b/>
          <w:bCs/>
          <w:sz w:val="24"/>
          <w:lang w:val="en-US"/>
        </w:rPr>
        <w:t>Iterative Synthesis:</w:t>
      </w:r>
      <w:r w:rsidRPr="00AD4427">
        <w:rPr>
          <w:rFonts w:ascii="Arial" w:hAnsi="Arial" w:cs="Arial"/>
          <w:sz w:val="24"/>
          <w:lang w:val="en-US"/>
        </w:rPr>
        <w:t xml:space="preserve"> </w:t>
      </w:r>
      <w:r w:rsidR="000A093E" w:rsidRPr="00AD4427">
        <w:rPr>
          <w:rFonts w:ascii="Arial" w:hAnsi="Arial" w:cs="Arial"/>
          <w:sz w:val="24"/>
        </w:rPr>
        <w:t>In order to curb information overload in a research, I will write reflective memos immediately after each significant finding of data in my research.</w:t>
      </w:r>
    </w:p>
    <w:p w14:paraId="2CE2104A" w14:textId="77777777" w:rsidR="006E0C8C" w:rsidRPr="00AD4427" w:rsidRDefault="006E0C8C" w:rsidP="002847F6">
      <w:pPr>
        <w:numPr>
          <w:ilvl w:val="0"/>
          <w:numId w:val="20"/>
        </w:numPr>
        <w:spacing w:line="360" w:lineRule="auto"/>
        <w:jc w:val="both"/>
        <w:rPr>
          <w:rFonts w:ascii="Arial" w:hAnsi="Arial" w:cs="Arial"/>
          <w:sz w:val="24"/>
          <w:lang w:val="en-US"/>
        </w:rPr>
      </w:pPr>
      <w:r w:rsidRPr="00AD4427">
        <w:rPr>
          <w:rFonts w:ascii="Arial" w:hAnsi="Arial" w:cs="Arial"/>
          <w:b/>
          <w:bCs/>
          <w:sz w:val="24"/>
          <w:lang w:val="en-US"/>
        </w:rPr>
        <w:t>Broaden Framework Application:</w:t>
      </w:r>
      <w:r w:rsidRPr="00AD4427">
        <w:rPr>
          <w:rFonts w:ascii="Arial" w:hAnsi="Arial" w:cs="Arial"/>
          <w:sz w:val="24"/>
          <w:lang w:val="en-US"/>
        </w:rPr>
        <w:t xml:space="preserve"> </w:t>
      </w:r>
      <w:r w:rsidR="000A093E" w:rsidRPr="00AD4427">
        <w:rPr>
          <w:rFonts w:ascii="Arial" w:hAnsi="Arial" w:cs="Arial"/>
          <w:sz w:val="24"/>
        </w:rPr>
        <w:t xml:space="preserve">To gain a better understanding of the environmental complexities that are inherent in the EV industry I will test the modern variants of these models, including the addition of the S (sustainability) to the </w:t>
      </w:r>
      <w:r w:rsidR="002847F6" w:rsidRPr="00AD4427">
        <w:rPr>
          <w:rFonts w:ascii="Arial" w:hAnsi="Arial" w:cs="Arial"/>
          <w:sz w:val="24"/>
        </w:rPr>
        <w:t xml:space="preserve">PESTEL-S </w:t>
      </w:r>
      <w:r w:rsidR="000A093E" w:rsidRPr="00AD4427">
        <w:rPr>
          <w:rFonts w:ascii="Arial" w:hAnsi="Arial" w:cs="Arial"/>
          <w:sz w:val="24"/>
        </w:rPr>
        <w:t>of the model.</w:t>
      </w:r>
    </w:p>
    <w:p w14:paraId="2CE2104B" w14:textId="77777777" w:rsidR="00513965" w:rsidRPr="00AD4427" w:rsidRDefault="00513965">
      <w:pPr>
        <w:rPr>
          <w:rFonts w:ascii="Arial" w:eastAsiaTheme="majorEastAsia" w:hAnsi="Arial" w:cs="Arial"/>
          <w:b/>
          <w:bCs/>
          <w:color w:val="2E74B5" w:themeColor="accent1" w:themeShade="BF"/>
          <w:sz w:val="28"/>
          <w:szCs w:val="28"/>
        </w:rPr>
      </w:pPr>
      <w:r w:rsidRPr="00AD4427">
        <w:rPr>
          <w:rFonts w:ascii="Arial" w:hAnsi="Arial" w:cs="Arial"/>
        </w:rPr>
        <w:br w:type="page"/>
      </w:r>
    </w:p>
    <w:p w14:paraId="2CE2104C" w14:textId="77777777" w:rsidR="008E3138" w:rsidRPr="00AD4427" w:rsidRDefault="004561EB" w:rsidP="000B5FFF">
      <w:pPr>
        <w:pStyle w:val="Heading1"/>
        <w:jc w:val="both"/>
        <w:rPr>
          <w:rFonts w:ascii="Arial" w:hAnsi="Arial" w:cs="Arial"/>
        </w:rPr>
      </w:pPr>
      <w:bookmarkStart w:id="8" w:name="_Toc221779083"/>
      <w:r w:rsidRPr="00AD4427">
        <w:rPr>
          <w:rFonts w:ascii="Arial" w:hAnsi="Arial" w:cs="Arial"/>
        </w:rPr>
        <w:lastRenderedPageBreak/>
        <w:t>References</w:t>
      </w:r>
      <w:bookmarkEnd w:id="8"/>
    </w:p>
    <w:p w14:paraId="2CE2104D" w14:textId="77777777" w:rsidR="00BA0FA5" w:rsidRPr="00325401" w:rsidRDefault="00A80DAA" w:rsidP="006E0C8C">
      <w:pPr>
        <w:pStyle w:val="NormalWeb"/>
        <w:tabs>
          <w:tab w:val="left" w:pos="1155"/>
          <w:tab w:val="left" w:pos="3450"/>
        </w:tabs>
        <w:spacing w:before="0" w:beforeAutospacing="0" w:line="360" w:lineRule="auto"/>
        <w:rPr>
          <w:rFonts w:ascii="Arial" w:hAnsi="Arial" w:cs="Arial"/>
          <w:color w:val="404040"/>
        </w:rPr>
      </w:pPr>
      <w:r w:rsidRPr="00AD4427">
        <w:rPr>
          <w:rFonts w:ascii="Arial" w:hAnsi="Arial" w:cs="Arial"/>
          <w:color w:val="404040"/>
        </w:rPr>
        <w:tab/>
      </w:r>
      <w:r w:rsidR="006E0C8C" w:rsidRPr="00325401">
        <w:rPr>
          <w:rFonts w:ascii="Arial" w:hAnsi="Arial" w:cs="Arial"/>
          <w:color w:val="404040"/>
        </w:rPr>
        <w:tab/>
      </w:r>
    </w:p>
    <w:p w14:paraId="2CE2104E" w14:textId="77777777" w:rsidR="00EA2504" w:rsidRPr="00A376E6" w:rsidRDefault="00EA2504" w:rsidP="00A376E6">
      <w:pPr>
        <w:pStyle w:val="NormalWeb"/>
        <w:numPr>
          <w:ilvl w:val="0"/>
          <w:numId w:val="9"/>
        </w:numPr>
        <w:spacing w:before="0" w:line="360" w:lineRule="auto"/>
        <w:rPr>
          <w:rFonts w:ascii="Arial" w:hAnsi="Arial" w:cs="Arial"/>
          <w:color w:val="0070C0"/>
          <w:sz w:val="22"/>
          <w:szCs w:val="22"/>
        </w:rPr>
      </w:pPr>
      <w:r w:rsidRPr="00A376E6">
        <w:rPr>
          <w:rFonts w:ascii="Arial" w:hAnsi="Arial" w:cs="Arial"/>
          <w:bCs/>
          <w:color w:val="0F1115"/>
          <w:sz w:val="22"/>
          <w:szCs w:val="22"/>
          <w:shd w:val="clear" w:color="auto" w:fill="FFFFFF"/>
          <w:lang w:val="en-GB"/>
        </w:rPr>
        <w:t>Alternative Fuels Observatory</w:t>
      </w:r>
      <w:r w:rsidRPr="00A376E6">
        <w:rPr>
          <w:rFonts w:ascii="Arial" w:hAnsi="Arial" w:cs="Arial"/>
          <w:color w:val="0F1115"/>
          <w:sz w:val="22"/>
          <w:szCs w:val="22"/>
          <w:shd w:val="clear" w:color="auto" w:fill="FFFFFF"/>
          <w:lang w:val="en-GB"/>
        </w:rPr>
        <w:t xml:space="preserve"> (2026) </w:t>
      </w:r>
      <w:r w:rsidRPr="00A376E6">
        <w:rPr>
          <w:rFonts w:ascii="Arial" w:hAnsi="Arial" w:cs="Arial"/>
          <w:i/>
          <w:iCs/>
          <w:color w:val="0F1115"/>
          <w:sz w:val="22"/>
          <w:szCs w:val="22"/>
          <w:shd w:val="clear" w:color="auto" w:fill="FFFFFF"/>
          <w:lang w:val="en-GB"/>
        </w:rPr>
        <w:t>Germany’s 2026 EV Incentive Programme: Supporting Socially Targeted EV Uptake</w:t>
      </w:r>
      <w:r w:rsidRPr="00A376E6">
        <w:rPr>
          <w:rFonts w:ascii="Arial" w:hAnsi="Arial" w:cs="Arial"/>
          <w:color w:val="0F1115"/>
          <w:sz w:val="22"/>
          <w:szCs w:val="22"/>
          <w:shd w:val="clear" w:color="auto" w:fill="FFFFFF"/>
          <w:lang w:val="en-GB"/>
        </w:rPr>
        <w:t xml:space="preserve">. European Commission. Available at: </w:t>
      </w:r>
      <w:hyperlink r:id="rId22" w:tgtFrame="_blank" w:history="1">
        <w:r w:rsidRPr="00A376E6">
          <w:rPr>
            <w:rStyle w:val="Hyperlink"/>
            <w:rFonts w:ascii="Arial" w:hAnsi="Arial" w:cs="Arial"/>
            <w:sz w:val="22"/>
            <w:szCs w:val="22"/>
            <w:shd w:val="clear" w:color="auto" w:fill="FFFFFF"/>
            <w:lang w:val="en-GB"/>
          </w:rPr>
          <w:t>https://alternative-fuels-observatory.ec.europa.eu/</w:t>
        </w:r>
      </w:hyperlink>
      <w:r w:rsidRPr="00A376E6">
        <w:rPr>
          <w:rFonts w:ascii="Arial" w:hAnsi="Arial" w:cs="Arial"/>
          <w:color w:val="0F1115"/>
          <w:sz w:val="22"/>
          <w:szCs w:val="22"/>
          <w:shd w:val="clear" w:color="auto" w:fill="FFFFFF"/>
          <w:lang w:val="en-GB"/>
        </w:rPr>
        <w:t xml:space="preserve"> (Accessed: 10 February 2026).</w:t>
      </w:r>
    </w:p>
    <w:p w14:paraId="2CE2104F" w14:textId="77777777" w:rsidR="00FD0D66" w:rsidRPr="00A376E6" w:rsidRDefault="00FD0D66" w:rsidP="00A376E6">
      <w:pPr>
        <w:pStyle w:val="NormalWeb"/>
        <w:numPr>
          <w:ilvl w:val="0"/>
          <w:numId w:val="9"/>
        </w:numPr>
        <w:spacing w:before="0" w:line="360" w:lineRule="auto"/>
        <w:rPr>
          <w:rFonts w:ascii="Arial" w:hAnsi="Arial" w:cs="Arial"/>
          <w:color w:val="0070C0"/>
          <w:sz w:val="22"/>
          <w:szCs w:val="22"/>
        </w:rPr>
      </w:pPr>
      <w:r w:rsidRPr="00A376E6">
        <w:rPr>
          <w:rFonts w:ascii="Arial" w:hAnsi="Arial" w:cs="Arial"/>
          <w:sz w:val="22"/>
          <w:szCs w:val="22"/>
          <w:lang w:val="en-GB"/>
        </w:rPr>
        <w:t>Bain. (2024). </w:t>
      </w:r>
      <w:r w:rsidRPr="00A376E6">
        <w:rPr>
          <w:rFonts w:ascii="Arial" w:hAnsi="Arial" w:cs="Arial"/>
          <w:i/>
          <w:iCs/>
          <w:sz w:val="22"/>
          <w:szCs w:val="22"/>
          <w:lang w:val="en-GB"/>
        </w:rPr>
        <w:t>M&amp;A in Automotive and Mobility: Deals to Secure a Place in the Industry’s Future</w:t>
      </w:r>
      <w:r w:rsidRPr="00A376E6">
        <w:rPr>
          <w:rFonts w:ascii="Arial" w:hAnsi="Arial" w:cs="Arial"/>
          <w:sz w:val="22"/>
          <w:szCs w:val="22"/>
          <w:lang w:val="en-GB"/>
        </w:rPr>
        <w:t xml:space="preserve">. [online] Available at: </w:t>
      </w:r>
      <w:hyperlink r:id="rId23" w:history="1">
        <w:r w:rsidRPr="00A376E6">
          <w:rPr>
            <w:rStyle w:val="Hyperlink"/>
            <w:rFonts w:ascii="Arial" w:hAnsi="Arial" w:cs="Arial"/>
            <w:sz w:val="22"/>
            <w:szCs w:val="22"/>
            <w:lang w:val="en-GB"/>
          </w:rPr>
          <w:t>https://www.bain.com/insights/automotive-and-mobility-m-and-a-report-2024/</w:t>
        </w:r>
      </w:hyperlink>
      <w:r w:rsidRPr="00A376E6">
        <w:rPr>
          <w:rFonts w:ascii="Arial" w:hAnsi="Arial" w:cs="Arial"/>
          <w:sz w:val="22"/>
          <w:szCs w:val="22"/>
          <w:lang w:val="en-GB"/>
        </w:rPr>
        <w:t>.</w:t>
      </w:r>
    </w:p>
    <w:p w14:paraId="2CE21050" w14:textId="77777777" w:rsidR="00293556" w:rsidRPr="00A376E6" w:rsidRDefault="00293556" w:rsidP="00A376E6">
      <w:pPr>
        <w:pStyle w:val="NormalWeb"/>
        <w:numPr>
          <w:ilvl w:val="0"/>
          <w:numId w:val="9"/>
        </w:numPr>
        <w:spacing w:before="0" w:line="360" w:lineRule="auto"/>
        <w:rPr>
          <w:rFonts w:ascii="Arial" w:hAnsi="Arial" w:cs="Arial"/>
          <w:color w:val="0070C0"/>
          <w:sz w:val="22"/>
          <w:szCs w:val="22"/>
        </w:rPr>
      </w:pPr>
      <w:r w:rsidRPr="00A376E6">
        <w:rPr>
          <w:rFonts w:ascii="Arial" w:hAnsi="Arial" w:cs="Arial"/>
          <w:bCs/>
          <w:sz w:val="22"/>
          <w:szCs w:val="22"/>
          <w:lang w:val="en-GB"/>
        </w:rPr>
        <w:t>Bundesregierung</w:t>
      </w:r>
      <w:r w:rsidRPr="00A376E6">
        <w:rPr>
          <w:rFonts w:ascii="Arial" w:hAnsi="Arial" w:cs="Arial"/>
          <w:sz w:val="22"/>
          <w:szCs w:val="22"/>
          <w:lang w:val="en-GB"/>
        </w:rPr>
        <w:t xml:space="preserve"> (2025) </w:t>
      </w:r>
      <w:r w:rsidRPr="00A376E6">
        <w:rPr>
          <w:rFonts w:ascii="Arial" w:hAnsi="Arial" w:cs="Arial"/>
          <w:i/>
          <w:iCs/>
          <w:sz w:val="22"/>
          <w:szCs w:val="22"/>
          <w:lang w:val="en-GB"/>
        </w:rPr>
        <w:t>Energy prices: Relief for all – The draft budget for 2026</w:t>
      </w:r>
      <w:r w:rsidRPr="00A376E6">
        <w:rPr>
          <w:rFonts w:ascii="Arial" w:hAnsi="Arial" w:cs="Arial"/>
          <w:sz w:val="22"/>
          <w:szCs w:val="22"/>
          <w:lang w:val="en-GB"/>
        </w:rPr>
        <w:t xml:space="preserve">. Federal Government of Germany. Available at: </w:t>
      </w:r>
      <w:hyperlink r:id="rId24" w:tgtFrame="_blank" w:history="1">
        <w:r w:rsidRPr="00A376E6">
          <w:rPr>
            <w:rStyle w:val="Hyperlink"/>
            <w:rFonts w:ascii="Arial" w:hAnsi="Arial" w:cs="Arial"/>
            <w:sz w:val="22"/>
            <w:szCs w:val="22"/>
            <w:lang w:val="en-GB"/>
          </w:rPr>
          <w:t>https://www.bundesregierung.de/</w:t>
        </w:r>
      </w:hyperlink>
      <w:r w:rsidRPr="00A376E6">
        <w:rPr>
          <w:rFonts w:ascii="Arial" w:hAnsi="Arial" w:cs="Arial"/>
          <w:sz w:val="22"/>
          <w:szCs w:val="22"/>
          <w:lang w:val="en-GB"/>
        </w:rPr>
        <w:t xml:space="preserve"> (Accessed: 10 February 2026).</w:t>
      </w:r>
    </w:p>
    <w:p w14:paraId="2CE21051" w14:textId="77777777" w:rsidR="001E5B71" w:rsidRPr="00A376E6" w:rsidRDefault="001E5B71" w:rsidP="00A376E6">
      <w:pPr>
        <w:pStyle w:val="NormalWeb"/>
        <w:numPr>
          <w:ilvl w:val="0"/>
          <w:numId w:val="9"/>
        </w:numPr>
        <w:spacing w:before="0" w:line="360" w:lineRule="auto"/>
        <w:rPr>
          <w:rFonts w:ascii="Arial" w:hAnsi="Arial" w:cs="Arial"/>
          <w:color w:val="0070C0"/>
          <w:sz w:val="22"/>
          <w:szCs w:val="22"/>
        </w:rPr>
      </w:pPr>
      <w:r w:rsidRPr="00A376E6">
        <w:rPr>
          <w:rFonts w:ascii="Arial" w:hAnsi="Arial" w:cs="Arial"/>
          <w:bCs/>
          <w:sz w:val="22"/>
          <w:szCs w:val="22"/>
          <w:lang w:val="en-GB"/>
        </w:rPr>
        <w:t>Credenceresearch.com. (2026). </w:t>
      </w:r>
      <w:r w:rsidRPr="00A376E6">
        <w:rPr>
          <w:rFonts w:ascii="Arial" w:hAnsi="Arial" w:cs="Arial"/>
          <w:bCs/>
          <w:i/>
          <w:iCs/>
          <w:sz w:val="22"/>
          <w:szCs w:val="22"/>
          <w:lang w:val="en-GB"/>
        </w:rPr>
        <w:t>Page Restricted</w:t>
      </w:r>
      <w:r w:rsidRPr="00A376E6">
        <w:rPr>
          <w:rFonts w:ascii="Arial" w:hAnsi="Arial" w:cs="Arial"/>
          <w:bCs/>
          <w:sz w:val="22"/>
          <w:szCs w:val="22"/>
          <w:lang w:val="en-GB"/>
        </w:rPr>
        <w:t xml:space="preserve">. [online] Available at: </w:t>
      </w:r>
      <w:hyperlink r:id="rId25" w:history="1">
        <w:r w:rsidRPr="00A376E6">
          <w:rPr>
            <w:rStyle w:val="Hyperlink"/>
            <w:rFonts w:ascii="Arial" w:hAnsi="Arial" w:cs="Arial"/>
            <w:bCs/>
            <w:sz w:val="22"/>
            <w:szCs w:val="22"/>
            <w:lang w:val="en-GB"/>
          </w:rPr>
          <w:t>https://www.credenceresearch.com/report/germany-electric-vehicle-ev-market</w:t>
        </w:r>
      </w:hyperlink>
      <w:r w:rsidRPr="00A376E6">
        <w:rPr>
          <w:rFonts w:ascii="Arial" w:hAnsi="Arial" w:cs="Arial"/>
          <w:bCs/>
          <w:sz w:val="22"/>
          <w:szCs w:val="22"/>
          <w:lang w:val="en-GB"/>
        </w:rPr>
        <w:t>.</w:t>
      </w:r>
    </w:p>
    <w:p w14:paraId="2CE21052" w14:textId="77777777" w:rsidR="00970D43" w:rsidRPr="00A376E6" w:rsidRDefault="00970D43" w:rsidP="00A376E6">
      <w:pPr>
        <w:pStyle w:val="NormalWeb"/>
        <w:numPr>
          <w:ilvl w:val="0"/>
          <w:numId w:val="9"/>
        </w:numPr>
        <w:spacing w:before="0" w:line="360" w:lineRule="auto"/>
        <w:rPr>
          <w:rFonts w:ascii="Arial" w:hAnsi="Arial" w:cs="Arial"/>
          <w:color w:val="0070C0"/>
          <w:sz w:val="22"/>
          <w:szCs w:val="22"/>
        </w:rPr>
      </w:pPr>
      <w:r w:rsidRPr="00A376E6">
        <w:rPr>
          <w:rFonts w:ascii="Arial" w:hAnsi="Arial" w:cs="Arial"/>
          <w:bCs/>
          <w:sz w:val="22"/>
          <w:szCs w:val="22"/>
          <w:lang w:val="en-GB"/>
        </w:rPr>
        <w:t>CarbonCredits</w:t>
      </w:r>
      <w:r w:rsidRPr="00A376E6">
        <w:rPr>
          <w:rFonts w:ascii="Arial" w:hAnsi="Arial" w:cs="Arial"/>
          <w:sz w:val="22"/>
          <w:szCs w:val="22"/>
          <w:lang w:val="en-GB"/>
        </w:rPr>
        <w:t xml:space="preserve"> (2026) </w:t>
      </w:r>
      <w:r w:rsidRPr="00A376E6">
        <w:rPr>
          <w:rFonts w:ascii="Arial" w:hAnsi="Arial" w:cs="Arial"/>
          <w:i/>
          <w:iCs/>
          <w:sz w:val="22"/>
          <w:szCs w:val="22"/>
          <w:lang w:val="en-GB"/>
        </w:rPr>
        <w:t>Volkswagen Overtakes Tesla in Europe's EV Market: A Turning Point for Clean Mobility</w:t>
      </w:r>
      <w:r w:rsidRPr="00A376E6">
        <w:rPr>
          <w:rFonts w:ascii="Arial" w:hAnsi="Arial" w:cs="Arial"/>
          <w:sz w:val="22"/>
          <w:szCs w:val="22"/>
          <w:lang w:val="en-GB"/>
        </w:rPr>
        <w:t xml:space="preserve">. Available at: </w:t>
      </w:r>
      <w:hyperlink r:id="rId26" w:tgtFrame="_blank" w:history="1">
        <w:r w:rsidRPr="00A376E6">
          <w:rPr>
            <w:rStyle w:val="Hyperlink"/>
            <w:rFonts w:ascii="Arial" w:hAnsi="Arial" w:cs="Arial"/>
            <w:sz w:val="22"/>
            <w:szCs w:val="22"/>
            <w:lang w:val="en-GB"/>
          </w:rPr>
          <w:t>https://carboncredits.com/</w:t>
        </w:r>
      </w:hyperlink>
      <w:r w:rsidRPr="00A376E6">
        <w:rPr>
          <w:rFonts w:ascii="Arial" w:hAnsi="Arial" w:cs="Arial"/>
          <w:sz w:val="22"/>
          <w:szCs w:val="22"/>
          <w:lang w:val="en-GB"/>
        </w:rPr>
        <w:t xml:space="preserve"> (Accessed: </w:t>
      </w:r>
      <w:r w:rsidR="008C5F08" w:rsidRPr="00A376E6">
        <w:rPr>
          <w:rFonts w:ascii="Arial" w:hAnsi="Arial" w:cs="Arial"/>
          <w:sz w:val="22"/>
          <w:szCs w:val="22"/>
          <w:lang w:val="en-GB"/>
        </w:rPr>
        <w:t>7</w:t>
      </w:r>
      <w:r w:rsidRPr="00A376E6">
        <w:rPr>
          <w:rFonts w:ascii="Arial" w:hAnsi="Arial" w:cs="Arial"/>
          <w:sz w:val="22"/>
          <w:szCs w:val="22"/>
          <w:lang w:val="en-GB"/>
        </w:rPr>
        <w:t xml:space="preserve"> February 2026).</w:t>
      </w:r>
    </w:p>
    <w:p w14:paraId="2CE21053" w14:textId="77777777" w:rsidR="000455A8" w:rsidRPr="00A376E6" w:rsidRDefault="000455A8" w:rsidP="00A376E6">
      <w:pPr>
        <w:pStyle w:val="NormalWeb"/>
        <w:numPr>
          <w:ilvl w:val="0"/>
          <w:numId w:val="9"/>
        </w:numPr>
        <w:spacing w:before="0" w:line="360" w:lineRule="auto"/>
        <w:rPr>
          <w:rFonts w:ascii="Arial" w:hAnsi="Arial" w:cs="Arial"/>
          <w:color w:val="0070C0"/>
          <w:sz w:val="22"/>
          <w:szCs w:val="22"/>
        </w:rPr>
      </w:pPr>
      <w:r w:rsidRPr="00A376E6">
        <w:rPr>
          <w:rFonts w:ascii="Arial" w:hAnsi="Arial" w:cs="Arial"/>
          <w:sz w:val="22"/>
          <w:szCs w:val="22"/>
          <w:lang w:val="en-GB"/>
        </w:rPr>
        <w:t>Credenceresearch.com. (2026). </w:t>
      </w:r>
      <w:r w:rsidRPr="00A376E6">
        <w:rPr>
          <w:rFonts w:ascii="Arial" w:hAnsi="Arial" w:cs="Arial"/>
          <w:i/>
          <w:iCs/>
          <w:sz w:val="22"/>
          <w:szCs w:val="22"/>
          <w:lang w:val="en-GB"/>
        </w:rPr>
        <w:t>Page Restricted</w:t>
      </w:r>
      <w:r w:rsidRPr="00A376E6">
        <w:rPr>
          <w:rFonts w:ascii="Arial" w:hAnsi="Arial" w:cs="Arial"/>
          <w:sz w:val="22"/>
          <w:szCs w:val="22"/>
          <w:lang w:val="en-GB"/>
        </w:rPr>
        <w:t xml:space="preserve">. [online] Available at: </w:t>
      </w:r>
      <w:hyperlink r:id="rId27" w:history="1">
        <w:r w:rsidR="00735194" w:rsidRPr="00A376E6">
          <w:rPr>
            <w:rStyle w:val="Hyperlink"/>
            <w:rFonts w:ascii="Arial" w:hAnsi="Arial" w:cs="Arial"/>
            <w:sz w:val="22"/>
            <w:szCs w:val="22"/>
            <w:lang w:val="en-GB"/>
          </w:rPr>
          <w:t>https://www.credenceresearch.com/report/germany-electric-vehicle-ev-market</w:t>
        </w:r>
      </w:hyperlink>
      <w:r w:rsidR="00735194" w:rsidRPr="00A376E6">
        <w:rPr>
          <w:rFonts w:ascii="Arial" w:hAnsi="Arial" w:cs="Arial"/>
          <w:color w:val="0070C0"/>
          <w:sz w:val="22"/>
          <w:szCs w:val="22"/>
        </w:rPr>
        <w:t xml:space="preserve"> </w:t>
      </w:r>
      <w:r w:rsidRPr="00A376E6">
        <w:rPr>
          <w:rFonts w:ascii="Arial" w:hAnsi="Arial" w:cs="Arial"/>
          <w:sz w:val="22"/>
          <w:szCs w:val="22"/>
          <w:lang w:val="en-GB"/>
        </w:rPr>
        <w:t xml:space="preserve">[Accessed </w:t>
      </w:r>
      <w:r w:rsidR="008C5F08" w:rsidRPr="00A376E6">
        <w:rPr>
          <w:rFonts w:ascii="Arial" w:hAnsi="Arial" w:cs="Arial"/>
          <w:sz w:val="22"/>
          <w:szCs w:val="22"/>
          <w:lang w:val="en-GB"/>
        </w:rPr>
        <w:t>9</w:t>
      </w:r>
      <w:r w:rsidRPr="00A376E6">
        <w:rPr>
          <w:rFonts w:ascii="Arial" w:hAnsi="Arial" w:cs="Arial"/>
          <w:sz w:val="22"/>
          <w:szCs w:val="22"/>
          <w:lang w:val="en-GB"/>
        </w:rPr>
        <w:t xml:space="preserve"> Feb. 2026].</w:t>
      </w:r>
    </w:p>
    <w:p w14:paraId="2CE21054" w14:textId="77777777" w:rsidR="00651B02" w:rsidRPr="00A376E6" w:rsidRDefault="00651B02" w:rsidP="00A376E6">
      <w:pPr>
        <w:pStyle w:val="NormalWeb"/>
        <w:numPr>
          <w:ilvl w:val="0"/>
          <w:numId w:val="9"/>
        </w:numPr>
        <w:spacing w:before="0" w:line="360" w:lineRule="auto"/>
        <w:rPr>
          <w:rFonts w:ascii="Arial" w:hAnsi="Arial" w:cs="Arial"/>
          <w:color w:val="0070C0"/>
          <w:sz w:val="22"/>
          <w:szCs w:val="22"/>
        </w:rPr>
      </w:pPr>
      <w:r w:rsidRPr="00A376E6">
        <w:rPr>
          <w:rFonts w:ascii="Arial" w:hAnsi="Arial" w:cs="Arial"/>
          <w:sz w:val="22"/>
          <w:szCs w:val="22"/>
          <w:lang w:val="en-GB"/>
        </w:rPr>
        <w:t>Evtcp.org. (2023). </w:t>
      </w:r>
      <w:r w:rsidRPr="00A376E6">
        <w:rPr>
          <w:rFonts w:ascii="Arial" w:hAnsi="Arial" w:cs="Arial"/>
          <w:i/>
          <w:iCs/>
          <w:sz w:val="22"/>
          <w:szCs w:val="22"/>
          <w:lang w:val="en-GB"/>
        </w:rPr>
        <w:t>Germany – EV TCP</w:t>
      </w:r>
      <w:r w:rsidRPr="00A376E6">
        <w:rPr>
          <w:rFonts w:ascii="Arial" w:hAnsi="Arial" w:cs="Arial"/>
          <w:sz w:val="22"/>
          <w:szCs w:val="22"/>
          <w:lang w:val="en-GB"/>
        </w:rPr>
        <w:t xml:space="preserve">. [online] Available at: </w:t>
      </w:r>
      <w:hyperlink r:id="rId28" w:history="1">
        <w:r w:rsidRPr="00A376E6">
          <w:rPr>
            <w:rStyle w:val="Hyperlink"/>
            <w:rFonts w:ascii="Arial" w:hAnsi="Arial" w:cs="Arial"/>
            <w:sz w:val="22"/>
            <w:szCs w:val="22"/>
            <w:lang w:val="en-GB"/>
          </w:rPr>
          <w:t>https://evtcp.org/country/germany/</w:t>
        </w:r>
      </w:hyperlink>
      <w:r w:rsidRPr="00A376E6">
        <w:rPr>
          <w:rFonts w:ascii="Arial" w:hAnsi="Arial" w:cs="Arial"/>
          <w:sz w:val="22"/>
          <w:szCs w:val="22"/>
          <w:lang w:val="en-GB"/>
        </w:rPr>
        <w:t>.</w:t>
      </w:r>
    </w:p>
    <w:p w14:paraId="2CE21055" w14:textId="77777777" w:rsidR="00B27FBD" w:rsidRPr="00A376E6" w:rsidRDefault="00B27FBD" w:rsidP="00A376E6">
      <w:pPr>
        <w:pStyle w:val="NormalWeb"/>
        <w:numPr>
          <w:ilvl w:val="0"/>
          <w:numId w:val="9"/>
        </w:numPr>
        <w:spacing w:before="0" w:line="360" w:lineRule="auto"/>
        <w:rPr>
          <w:rFonts w:ascii="Arial" w:hAnsi="Arial" w:cs="Arial"/>
          <w:color w:val="0070C0"/>
          <w:sz w:val="22"/>
          <w:szCs w:val="22"/>
        </w:rPr>
      </w:pPr>
      <w:r w:rsidRPr="00A376E6">
        <w:rPr>
          <w:rFonts w:ascii="Arial" w:hAnsi="Arial" w:cs="Arial"/>
          <w:sz w:val="22"/>
          <w:szCs w:val="22"/>
          <w:lang w:val="en-GB"/>
        </w:rPr>
        <w:t>Europa.eu. (2025). </w:t>
      </w:r>
      <w:r w:rsidRPr="00A376E6">
        <w:rPr>
          <w:rFonts w:ascii="Arial" w:hAnsi="Arial" w:cs="Arial"/>
          <w:i/>
          <w:iCs/>
          <w:sz w:val="22"/>
          <w:szCs w:val="22"/>
          <w:lang w:val="en-GB"/>
        </w:rPr>
        <w:t>Germany: BEV Registrations Surge by 54% in April 2025 | European Alternative Fuels Observatory</w:t>
      </w:r>
      <w:r w:rsidRPr="00A376E6">
        <w:rPr>
          <w:rFonts w:ascii="Arial" w:hAnsi="Arial" w:cs="Arial"/>
          <w:sz w:val="22"/>
          <w:szCs w:val="22"/>
          <w:lang w:val="en-GB"/>
        </w:rPr>
        <w:t xml:space="preserve">. [online] Available at: </w:t>
      </w:r>
      <w:hyperlink r:id="rId29" w:history="1">
        <w:r w:rsidRPr="00A376E6">
          <w:rPr>
            <w:rStyle w:val="Hyperlink"/>
            <w:rFonts w:ascii="Arial" w:hAnsi="Arial" w:cs="Arial"/>
            <w:sz w:val="22"/>
            <w:szCs w:val="22"/>
            <w:lang w:val="en-GB"/>
          </w:rPr>
          <w:t>https://alternative-fuels-observatory.ec.europa.eu/general-information/news/germany-bev-registrations-surge-54-april-2025</w:t>
        </w:r>
      </w:hyperlink>
      <w:r w:rsidRPr="00A376E6">
        <w:rPr>
          <w:rFonts w:ascii="Arial" w:hAnsi="Arial" w:cs="Arial"/>
          <w:sz w:val="22"/>
          <w:szCs w:val="22"/>
          <w:lang w:val="en-GB"/>
        </w:rPr>
        <w:t>.</w:t>
      </w:r>
    </w:p>
    <w:p w14:paraId="2CE21056" w14:textId="77777777" w:rsidR="00B27FBD" w:rsidRPr="00A376E6" w:rsidRDefault="00B27FBD" w:rsidP="00A376E6">
      <w:pPr>
        <w:pStyle w:val="NormalWeb"/>
        <w:numPr>
          <w:ilvl w:val="0"/>
          <w:numId w:val="9"/>
        </w:numPr>
        <w:spacing w:before="0" w:line="360" w:lineRule="auto"/>
        <w:rPr>
          <w:rFonts w:ascii="Arial" w:hAnsi="Arial" w:cs="Arial"/>
          <w:color w:val="0070C0"/>
          <w:sz w:val="22"/>
          <w:szCs w:val="22"/>
        </w:rPr>
      </w:pPr>
      <w:r w:rsidRPr="00A376E6">
        <w:rPr>
          <w:rFonts w:ascii="Arial" w:hAnsi="Arial" w:cs="Arial"/>
          <w:sz w:val="22"/>
          <w:szCs w:val="22"/>
          <w:lang w:val="en-GB"/>
        </w:rPr>
        <w:t>Europa.eu. (2026). </w:t>
      </w:r>
      <w:r w:rsidRPr="00A376E6">
        <w:rPr>
          <w:rFonts w:ascii="Arial" w:hAnsi="Arial" w:cs="Arial"/>
          <w:i/>
          <w:iCs/>
          <w:sz w:val="22"/>
          <w:szCs w:val="22"/>
          <w:lang w:val="en-GB"/>
        </w:rPr>
        <w:t>Croatia completes funding round for 206 electric buses, advancing clean public transport | European Alternative Fuels Observatory</w:t>
      </w:r>
      <w:r w:rsidRPr="00A376E6">
        <w:rPr>
          <w:rFonts w:ascii="Arial" w:hAnsi="Arial" w:cs="Arial"/>
          <w:sz w:val="22"/>
          <w:szCs w:val="22"/>
          <w:lang w:val="en-GB"/>
        </w:rPr>
        <w:t xml:space="preserve">. [online] Available at: </w:t>
      </w:r>
      <w:hyperlink r:id="rId30" w:history="1">
        <w:r w:rsidR="004F5A75" w:rsidRPr="00A376E6">
          <w:rPr>
            <w:rStyle w:val="Hyperlink"/>
            <w:rFonts w:ascii="Arial" w:hAnsi="Arial" w:cs="Arial"/>
            <w:sz w:val="22"/>
            <w:szCs w:val="22"/>
            <w:lang w:val="en-GB"/>
          </w:rPr>
          <w:t>https://alternative-fuels-observatory.ec.europa.eu/general-information/news/croatia-completes-funding-round-206-electric-buses-advancing-clean-public</w:t>
        </w:r>
      </w:hyperlink>
      <w:r w:rsidR="004F5A75" w:rsidRPr="00A376E6">
        <w:rPr>
          <w:rFonts w:ascii="Arial" w:hAnsi="Arial" w:cs="Arial"/>
          <w:color w:val="0070C0"/>
          <w:sz w:val="22"/>
          <w:szCs w:val="22"/>
        </w:rPr>
        <w:t xml:space="preserve"> </w:t>
      </w:r>
      <w:r w:rsidRPr="00A376E6">
        <w:rPr>
          <w:rFonts w:ascii="Arial" w:hAnsi="Arial" w:cs="Arial"/>
          <w:sz w:val="22"/>
          <w:szCs w:val="22"/>
          <w:lang w:val="en-GB"/>
        </w:rPr>
        <w:t>[Accessed 12 Feb. 2026].</w:t>
      </w:r>
    </w:p>
    <w:p w14:paraId="2CE21057" w14:textId="77777777" w:rsidR="0046288F" w:rsidRPr="00A376E6" w:rsidRDefault="0046288F" w:rsidP="00A376E6">
      <w:pPr>
        <w:pStyle w:val="NormalWeb"/>
        <w:numPr>
          <w:ilvl w:val="0"/>
          <w:numId w:val="9"/>
        </w:numPr>
        <w:spacing w:before="0" w:line="360" w:lineRule="auto"/>
        <w:rPr>
          <w:rFonts w:ascii="Arial" w:hAnsi="Arial" w:cs="Arial"/>
          <w:color w:val="0070C0"/>
          <w:sz w:val="22"/>
          <w:szCs w:val="22"/>
        </w:rPr>
      </w:pPr>
      <w:r w:rsidRPr="00A376E6">
        <w:rPr>
          <w:rFonts w:ascii="Arial" w:hAnsi="Arial" w:cs="Arial"/>
          <w:sz w:val="22"/>
          <w:szCs w:val="22"/>
          <w:lang w:val="en-GB"/>
        </w:rPr>
        <w:t>Europa.eu. (2026). </w:t>
      </w:r>
      <w:r w:rsidRPr="00A376E6">
        <w:rPr>
          <w:rFonts w:ascii="Arial" w:hAnsi="Arial" w:cs="Arial"/>
          <w:i/>
          <w:iCs/>
          <w:sz w:val="22"/>
          <w:szCs w:val="22"/>
          <w:lang w:val="en-GB"/>
        </w:rPr>
        <w:t>Czechia: PHEVs dominate growth in the electrified segment in 2025 | European Alternative Fuels Observatory</w:t>
      </w:r>
      <w:r w:rsidRPr="00A376E6">
        <w:rPr>
          <w:rFonts w:ascii="Arial" w:hAnsi="Arial" w:cs="Arial"/>
          <w:sz w:val="22"/>
          <w:szCs w:val="22"/>
          <w:lang w:val="en-GB"/>
        </w:rPr>
        <w:t xml:space="preserve">. [online] Available at: </w:t>
      </w:r>
      <w:hyperlink r:id="rId31" w:history="1">
        <w:r w:rsidRPr="00A376E6">
          <w:rPr>
            <w:rStyle w:val="Hyperlink"/>
            <w:rFonts w:ascii="Arial" w:hAnsi="Arial" w:cs="Arial"/>
            <w:sz w:val="22"/>
            <w:szCs w:val="22"/>
            <w:lang w:val="en-GB"/>
          </w:rPr>
          <w:t>https://alternative-fuels-observatory.ec.europa.eu/general-information/news/czechia-phevs-dominate-growth-electrified-segment-2025</w:t>
        </w:r>
      </w:hyperlink>
      <w:r w:rsidRPr="00A376E6">
        <w:rPr>
          <w:rFonts w:ascii="Arial" w:hAnsi="Arial" w:cs="Arial"/>
          <w:color w:val="0070C0"/>
          <w:sz w:val="22"/>
          <w:szCs w:val="22"/>
        </w:rPr>
        <w:t xml:space="preserve"> </w:t>
      </w:r>
      <w:r w:rsidRPr="00A376E6">
        <w:rPr>
          <w:rFonts w:ascii="Arial" w:hAnsi="Arial" w:cs="Arial"/>
          <w:sz w:val="22"/>
          <w:szCs w:val="22"/>
          <w:lang w:val="en-GB"/>
        </w:rPr>
        <w:t xml:space="preserve">[Accessed </w:t>
      </w:r>
      <w:r w:rsidR="008C5F08" w:rsidRPr="00A376E6">
        <w:rPr>
          <w:rFonts w:ascii="Arial" w:hAnsi="Arial" w:cs="Arial"/>
          <w:sz w:val="22"/>
          <w:szCs w:val="22"/>
          <w:lang w:val="en-GB"/>
        </w:rPr>
        <w:t>04</w:t>
      </w:r>
      <w:r w:rsidRPr="00A376E6">
        <w:rPr>
          <w:rFonts w:ascii="Arial" w:hAnsi="Arial" w:cs="Arial"/>
          <w:sz w:val="22"/>
          <w:szCs w:val="22"/>
          <w:lang w:val="en-GB"/>
        </w:rPr>
        <w:t xml:space="preserve"> Feb. 2026].</w:t>
      </w:r>
    </w:p>
    <w:p w14:paraId="2CE21058" w14:textId="77777777" w:rsidR="00356E2F" w:rsidRPr="00A376E6" w:rsidRDefault="00356E2F" w:rsidP="00A376E6">
      <w:pPr>
        <w:pStyle w:val="NormalWeb"/>
        <w:numPr>
          <w:ilvl w:val="0"/>
          <w:numId w:val="9"/>
        </w:numPr>
        <w:spacing w:before="0" w:line="360" w:lineRule="auto"/>
        <w:rPr>
          <w:rFonts w:ascii="Arial" w:hAnsi="Arial" w:cs="Arial"/>
          <w:color w:val="0070C0"/>
          <w:sz w:val="22"/>
          <w:szCs w:val="22"/>
        </w:rPr>
      </w:pPr>
      <w:r w:rsidRPr="00A376E6">
        <w:rPr>
          <w:rFonts w:ascii="Arial" w:hAnsi="Arial" w:cs="Arial"/>
          <w:sz w:val="22"/>
          <w:szCs w:val="22"/>
          <w:lang w:val="en-GB"/>
        </w:rPr>
        <w:t>Electrek (2019). </w:t>
      </w:r>
      <w:r w:rsidRPr="00A376E6">
        <w:rPr>
          <w:rFonts w:ascii="Arial" w:hAnsi="Arial" w:cs="Arial"/>
          <w:i/>
          <w:iCs/>
          <w:sz w:val="22"/>
          <w:szCs w:val="22"/>
          <w:lang w:val="en-GB"/>
        </w:rPr>
        <w:t>Electrek - EV and Tesla News, Green Energy, Ebikes, and more</w:t>
      </w:r>
      <w:r w:rsidRPr="00A376E6">
        <w:rPr>
          <w:rFonts w:ascii="Arial" w:hAnsi="Arial" w:cs="Arial"/>
          <w:sz w:val="22"/>
          <w:szCs w:val="22"/>
          <w:lang w:val="en-GB"/>
        </w:rPr>
        <w:t xml:space="preserve">. [online] Electrek. Available at: </w:t>
      </w:r>
      <w:hyperlink r:id="rId32" w:history="1">
        <w:r w:rsidRPr="00A376E6">
          <w:rPr>
            <w:rStyle w:val="Hyperlink"/>
            <w:rFonts w:ascii="Arial" w:hAnsi="Arial" w:cs="Arial"/>
            <w:sz w:val="22"/>
            <w:szCs w:val="22"/>
            <w:lang w:val="en-GB"/>
          </w:rPr>
          <w:t>https://electrek.co/</w:t>
        </w:r>
      </w:hyperlink>
      <w:r w:rsidRPr="00A376E6">
        <w:rPr>
          <w:rFonts w:ascii="Arial" w:hAnsi="Arial" w:cs="Arial"/>
          <w:sz w:val="22"/>
          <w:szCs w:val="22"/>
          <w:lang w:val="en-GB"/>
        </w:rPr>
        <w:t>.</w:t>
      </w:r>
    </w:p>
    <w:p w14:paraId="2CE21059" w14:textId="77777777" w:rsidR="00884F0B" w:rsidRPr="00A376E6" w:rsidRDefault="00884F0B" w:rsidP="00A376E6">
      <w:pPr>
        <w:pStyle w:val="NormalWeb"/>
        <w:numPr>
          <w:ilvl w:val="0"/>
          <w:numId w:val="9"/>
        </w:numPr>
        <w:spacing w:before="0" w:line="360" w:lineRule="auto"/>
        <w:rPr>
          <w:rFonts w:ascii="Arial" w:hAnsi="Arial" w:cs="Arial"/>
          <w:color w:val="0070C0"/>
          <w:sz w:val="22"/>
          <w:szCs w:val="22"/>
        </w:rPr>
      </w:pPr>
      <w:r w:rsidRPr="00A376E6">
        <w:rPr>
          <w:rFonts w:ascii="Arial" w:hAnsi="Arial" w:cs="Arial"/>
          <w:sz w:val="22"/>
          <w:szCs w:val="22"/>
          <w:lang w:val="en-GB"/>
        </w:rPr>
        <w:lastRenderedPageBreak/>
        <w:t>Ganesh Chandwade (2025). </w:t>
      </w:r>
      <w:r w:rsidRPr="00A376E6">
        <w:rPr>
          <w:rFonts w:ascii="Arial" w:hAnsi="Arial" w:cs="Arial"/>
          <w:i/>
          <w:iCs/>
          <w:sz w:val="22"/>
          <w:szCs w:val="22"/>
          <w:lang w:val="en-GB"/>
        </w:rPr>
        <w:t>Germany Electric Vehicle (EV) Market</w:t>
      </w:r>
      <w:r w:rsidRPr="00A376E6">
        <w:rPr>
          <w:rFonts w:ascii="Arial" w:hAnsi="Arial" w:cs="Arial"/>
          <w:sz w:val="22"/>
          <w:szCs w:val="22"/>
          <w:lang w:val="en-GB"/>
        </w:rPr>
        <w:t xml:space="preserve">. [online] Credence Research Inc. Available at: </w:t>
      </w:r>
      <w:hyperlink r:id="rId33" w:anchor="report_summary" w:history="1">
        <w:r w:rsidRPr="00A376E6">
          <w:rPr>
            <w:rStyle w:val="Hyperlink"/>
            <w:rFonts w:ascii="Arial" w:hAnsi="Arial" w:cs="Arial"/>
            <w:sz w:val="22"/>
            <w:szCs w:val="22"/>
            <w:lang w:val="en-GB"/>
          </w:rPr>
          <w:t>https://www.credenceresearch.com/report/germany-electric-vehicle-ev-market#report_summary</w:t>
        </w:r>
      </w:hyperlink>
      <w:r w:rsidRPr="00A376E6">
        <w:rPr>
          <w:rFonts w:ascii="Arial" w:hAnsi="Arial" w:cs="Arial"/>
          <w:color w:val="0070C0"/>
          <w:sz w:val="22"/>
          <w:szCs w:val="22"/>
        </w:rPr>
        <w:t xml:space="preserve"> </w:t>
      </w:r>
      <w:r w:rsidRPr="00A376E6">
        <w:rPr>
          <w:rFonts w:ascii="Arial" w:hAnsi="Arial" w:cs="Arial"/>
          <w:sz w:val="22"/>
          <w:szCs w:val="22"/>
          <w:lang w:val="en-GB"/>
        </w:rPr>
        <w:t xml:space="preserve">[Accessed </w:t>
      </w:r>
      <w:r w:rsidR="009976A6" w:rsidRPr="00A376E6">
        <w:rPr>
          <w:rFonts w:ascii="Arial" w:hAnsi="Arial" w:cs="Arial"/>
          <w:sz w:val="22"/>
          <w:szCs w:val="22"/>
          <w:lang w:val="en-GB"/>
        </w:rPr>
        <w:t>01</w:t>
      </w:r>
      <w:r w:rsidRPr="00A376E6">
        <w:rPr>
          <w:rFonts w:ascii="Arial" w:hAnsi="Arial" w:cs="Arial"/>
          <w:sz w:val="22"/>
          <w:szCs w:val="22"/>
          <w:lang w:val="en-GB"/>
        </w:rPr>
        <w:t xml:space="preserve"> Feb. 2026].</w:t>
      </w:r>
    </w:p>
    <w:p w14:paraId="2CE2105A" w14:textId="77777777" w:rsidR="00AA6340" w:rsidRPr="00A376E6" w:rsidRDefault="00AA6340" w:rsidP="00A376E6">
      <w:pPr>
        <w:pStyle w:val="NormalWeb"/>
        <w:numPr>
          <w:ilvl w:val="0"/>
          <w:numId w:val="9"/>
        </w:numPr>
        <w:spacing w:before="0" w:line="360" w:lineRule="auto"/>
        <w:rPr>
          <w:rFonts w:ascii="Arial" w:hAnsi="Arial" w:cs="Arial"/>
          <w:color w:val="0070C0"/>
          <w:sz w:val="22"/>
          <w:szCs w:val="22"/>
        </w:rPr>
      </w:pPr>
      <w:r w:rsidRPr="00A376E6">
        <w:rPr>
          <w:rFonts w:ascii="Arial" w:hAnsi="Arial" w:cs="Arial"/>
          <w:bCs/>
          <w:sz w:val="22"/>
          <w:szCs w:val="22"/>
          <w:lang w:val="en-GB"/>
        </w:rPr>
        <w:t>Gleiss Lutz</w:t>
      </w:r>
      <w:r w:rsidRPr="00A376E6">
        <w:rPr>
          <w:rFonts w:ascii="Arial" w:hAnsi="Arial" w:cs="Arial"/>
          <w:sz w:val="22"/>
          <w:szCs w:val="22"/>
          <w:lang w:val="en-GB"/>
        </w:rPr>
        <w:t xml:space="preserve"> (2025) </w:t>
      </w:r>
      <w:r w:rsidRPr="00A376E6">
        <w:rPr>
          <w:rFonts w:ascii="Arial" w:hAnsi="Arial" w:cs="Arial"/>
          <w:i/>
          <w:iCs/>
          <w:sz w:val="22"/>
          <w:szCs w:val="22"/>
          <w:lang w:val="en-GB"/>
        </w:rPr>
        <w:t>Germany cuts costs for electricity-intensive companies from 1 January 2026: the new industrial electricity price</w:t>
      </w:r>
      <w:r w:rsidRPr="00A376E6">
        <w:rPr>
          <w:rFonts w:ascii="Arial" w:hAnsi="Arial" w:cs="Arial"/>
          <w:sz w:val="22"/>
          <w:szCs w:val="22"/>
          <w:lang w:val="en-GB"/>
        </w:rPr>
        <w:t>. Legal Intelligence Brief.</w:t>
      </w:r>
    </w:p>
    <w:p w14:paraId="2CE2105B" w14:textId="77777777" w:rsidR="00FB7329" w:rsidRPr="00A376E6" w:rsidRDefault="00FB7329" w:rsidP="00A376E6">
      <w:pPr>
        <w:pStyle w:val="NormalWeb"/>
        <w:numPr>
          <w:ilvl w:val="0"/>
          <w:numId w:val="9"/>
        </w:numPr>
        <w:spacing w:before="0" w:line="360" w:lineRule="auto"/>
        <w:rPr>
          <w:rFonts w:ascii="Arial" w:hAnsi="Arial" w:cs="Arial"/>
          <w:color w:val="0070C0"/>
          <w:sz w:val="22"/>
          <w:szCs w:val="22"/>
        </w:rPr>
      </w:pPr>
      <w:r w:rsidRPr="00A376E6">
        <w:rPr>
          <w:rFonts w:ascii="Arial" w:hAnsi="Arial" w:cs="Arial"/>
          <w:sz w:val="22"/>
          <w:szCs w:val="22"/>
          <w:lang w:val="en-GB"/>
        </w:rPr>
        <w:t>International Trade Administration (2024). </w:t>
      </w:r>
      <w:r w:rsidRPr="00A376E6">
        <w:rPr>
          <w:rFonts w:ascii="Arial" w:hAnsi="Arial" w:cs="Arial"/>
          <w:i/>
          <w:iCs/>
          <w:sz w:val="22"/>
          <w:szCs w:val="22"/>
          <w:lang w:val="en-GB"/>
        </w:rPr>
        <w:t>Germany Electric Vehicles and Charging Infrastructure</w:t>
      </w:r>
      <w:r w:rsidRPr="00A376E6">
        <w:rPr>
          <w:rFonts w:ascii="Arial" w:hAnsi="Arial" w:cs="Arial"/>
          <w:sz w:val="22"/>
          <w:szCs w:val="22"/>
          <w:lang w:val="en-GB"/>
        </w:rPr>
        <w:t xml:space="preserve">. [online] International Trade Administration | Trade.gov. Available at: </w:t>
      </w:r>
      <w:hyperlink r:id="rId34" w:history="1">
        <w:r w:rsidRPr="00A376E6">
          <w:rPr>
            <w:rStyle w:val="Hyperlink"/>
            <w:rFonts w:ascii="Arial" w:hAnsi="Arial" w:cs="Arial"/>
            <w:sz w:val="22"/>
            <w:szCs w:val="22"/>
            <w:lang w:val="en-GB"/>
          </w:rPr>
          <w:t>https://www.trade.gov/market-intelligence/germany-electric-vehicles-and-charging-infrastructure</w:t>
        </w:r>
      </w:hyperlink>
      <w:r w:rsidRPr="00A376E6">
        <w:rPr>
          <w:rFonts w:ascii="Arial" w:hAnsi="Arial" w:cs="Arial"/>
          <w:sz w:val="22"/>
          <w:szCs w:val="22"/>
          <w:lang w:val="en-GB"/>
        </w:rPr>
        <w:t>.</w:t>
      </w:r>
    </w:p>
    <w:p w14:paraId="2CE2105C" w14:textId="77777777" w:rsidR="00AA6340" w:rsidRPr="00A376E6" w:rsidRDefault="00AA6340" w:rsidP="00A376E6">
      <w:pPr>
        <w:pStyle w:val="NormalWeb"/>
        <w:numPr>
          <w:ilvl w:val="0"/>
          <w:numId w:val="9"/>
        </w:numPr>
        <w:spacing w:before="0" w:line="360" w:lineRule="auto"/>
        <w:rPr>
          <w:rFonts w:ascii="Arial" w:hAnsi="Arial" w:cs="Arial"/>
          <w:color w:val="0070C0"/>
          <w:sz w:val="22"/>
          <w:szCs w:val="22"/>
        </w:rPr>
      </w:pPr>
      <w:r w:rsidRPr="00A376E6">
        <w:rPr>
          <w:rFonts w:ascii="Arial" w:hAnsi="Arial" w:cs="Arial"/>
          <w:bCs/>
          <w:sz w:val="22"/>
          <w:szCs w:val="22"/>
          <w:lang w:val="en-GB"/>
        </w:rPr>
        <w:t>IEA (International Energy Agency)</w:t>
      </w:r>
      <w:r w:rsidRPr="00A376E6">
        <w:rPr>
          <w:rFonts w:ascii="Arial" w:hAnsi="Arial" w:cs="Arial"/>
          <w:sz w:val="22"/>
          <w:szCs w:val="22"/>
          <w:lang w:val="en-GB"/>
        </w:rPr>
        <w:t xml:space="preserve"> (2024) </w:t>
      </w:r>
      <w:r w:rsidRPr="00A376E6">
        <w:rPr>
          <w:rFonts w:ascii="Arial" w:hAnsi="Arial" w:cs="Arial"/>
          <w:i/>
          <w:iCs/>
          <w:sz w:val="22"/>
          <w:szCs w:val="22"/>
          <w:lang w:val="en-GB"/>
        </w:rPr>
        <w:t>Global EV Outlook 2024: Moving towards increased affordability</w:t>
      </w:r>
      <w:r w:rsidRPr="00A376E6">
        <w:rPr>
          <w:rFonts w:ascii="Arial" w:hAnsi="Arial" w:cs="Arial"/>
          <w:sz w:val="22"/>
          <w:szCs w:val="22"/>
          <w:lang w:val="en-GB"/>
        </w:rPr>
        <w:t>. Technology Collaboration Programme (EVTCP).</w:t>
      </w:r>
    </w:p>
    <w:p w14:paraId="2CE2105D" w14:textId="77777777" w:rsidR="00AE69E4" w:rsidRPr="00A376E6" w:rsidRDefault="00AE69E4" w:rsidP="00A376E6">
      <w:pPr>
        <w:pStyle w:val="NormalWeb"/>
        <w:numPr>
          <w:ilvl w:val="0"/>
          <w:numId w:val="9"/>
        </w:numPr>
        <w:spacing w:before="0" w:line="360" w:lineRule="auto"/>
        <w:rPr>
          <w:rFonts w:ascii="Arial" w:hAnsi="Arial" w:cs="Arial"/>
          <w:color w:val="0070C0"/>
          <w:sz w:val="22"/>
          <w:szCs w:val="22"/>
        </w:rPr>
      </w:pPr>
      <w:r w:rsidRPr="00A376E6">
        <w:rPr>
          <w:rFonts w:ascii="Arial" w:hAnsi="Arial" w:cs="Arial"/>
          <w:sz w:val="22"/>
          <w:szCs w:val="22"/>
          <w:lang w:val="en-GB"/>
        </w:rPr>
        <w:t>Kendall, M. (2021). </w:t>
      </w:r>
      <w:r w:rsidRPr="00A376E6">
        <w:rPr>
          <w:rFonts w:ascii="Arial" w:hAnsi="Arial" w:cs="Arial"/>
          <w:i/>
          <w:iCs/>
          <w:sz w:val="22"/>
          <w:szCs w:val="22"/>
          <w:lang w:val="en-GB"/>
        </w:rPr>
        <w:t>72 Top Electric Vehicle Startups and Companies in Germany</w:t>
      </w:r>
      <w:r w:rsidRPr="00A376E6">
        <w:rPr>
          <w:rFonts w:ascii="Arial" w:hAnsi="Arial" w:cs="Arial"/>
          <w:sz w:val="22"/>
          <w:szCs w:val="22"/>
          <w:lang w:val="en-GB"/>
        </w:rPr>
        <w:t>. [online] EU-Startups. Available at</w:t>
      </w:r>
      <w:r w:rsidRPr="00A376E6">
        <w:rPr>
          <w:rFonts w:ascii="Arial" w:hAnsi="Arial" w:cs="Arial"/>
          <w:color w:val="0070C0"/>
          <w:sz w:val="22"/>
          <w:szCs w:val="22"/>
          <w:lang w:val="en-GB"/>
        </w:rPr>
        <w:t xml:space="preserve">: </w:t>
      </w:r>
      <w:hyperlink r:id="rId35" w:history="1">
        <w:r w:rsidRPr="00A376E6">
          <w:rPr>
            <w:rStyle w:val="Hyperlink"/>
            <w:rFonts w:ascii="Arial" w:hAnsi="Arial" w:cs="Arial"/>
            <w:sz w:val="22"/>
            <w:szCs w:val="22"/>
            <w:lang w:val="en-GB"/>
          </w:rPr>
          <w:t>https://www.eu-startups.com/83-top-electric-vehicle-startups-and-companies-in-germany/</w:t>
        </w:r>
      </w:hyperlink>
      <w:r w:rsidRPr="00A376E6">
        <w:rPr>
          <w:rFonts w:ascii="Arial" w:hAnsi="Arial" w:cs="Arial"/>
          <w:color w:val="0070C0"/>
          <w:sz w:val="22"/>
          <w:szCs w:val="22"/>
          <w:lang w:val="en-GB"/>
        </w:rPr>
        <w:t>.</w:t>
      </w:r>
    </w:p>
    <w:p w14:paraId="2CE2105E" w14:textId="77777777" w:rsidR="00DA1E8D" w:rsidRPr="00A376E6" w:rsidRDefault="00DA1E8D" w:rsidP="00A376E6">
      <w:pPr>
        <w:pStyle w:val="NormalWeb"/>
        <w:numPr>
          <w:ilvl w:val="0"/>
          <w:numId w:val="9"/>
        </w:numPr>
        <w:spacing w:before="0" w:line="360" w:lineRule="auto"/>
        <w:rPr>
          <w:rFonts w:ascii="Arial" w:hAnsi="Arial" w:cs="Arial"/>
          <w:sz w:val="22"/>
          <w:szCs w:val="22"/>
        </w:rPr>
      </w:pPr>
      <w:r w:rsidRPr="00A376E6">
        <w:rPr>
          <w:rFonts w:ascii="Arial" w:hAnsi="Arial" w:cs="Arial"/>
          <w:bCs/>
          <w:sz w:val="22"/>
          <w:szCs w:val="22"/>
          <w:lang w:val="en-GB"/>
        </w:rPr>
        <w:t>Latana</w:t>
      </w:r>
      <w:r w:rsidRPr="00A376E6">
        <w:rPr>
          <w:rFonts w:ascii="Arial" w:hAnsi="Arial" w:cs="Arial"/>
          <w:sz w:val="22"/>
          <w:szCs w:val="22"/>
          <w:lang w:val="en-GB"/>
        </w:rPr>
        <w:t xml:space="preserve"> (2025) </w:t>
      </w:r>
      <w:r w:rsidRPr="00A376E6">
        <w:rPr>
          <w:rFonts w:ascii="Arial" w:hAnsi="Arial" w:cs="Arial"/>
          <w:i/>
          <w:iCs/>
          <w:sz w:val="22"/>
          <w:szCs w:val="22"/>
          <w:lang w:val="en-GB"/>
        </w:rPr>
        <w:t>Tesla Brand Tracking Report Germany: 2025 Sentiment Analysis</w:t>
      </w:r>
      <w:r w:rsidRPr="00A376E6">
        <w:rPr>
          <w:rFonts w:ascii="Arial" w:hAnsi="Arial" w:cs="Arial"/>
          <w:sz w:val="22"/>
          <w:szCs w:val="22"/>
          <w:lang w:val="en-GB"/>
        </w:rPr>
        <w:t>. Berlin: Latana Insights.</w:t>
      </w:r>
    </w:p>
    <w:p w14:paraId="2CE2105F" w14:textId="77777777" w:rsidR="00AE69E4" w:rsidRPr="00A376E6" w:rsidRDefault="00AE69E4" w:rsidP="00A376E6">
      <w:pPr>
        <w:pStyle w:val="NormalWeb"/>
        <w:numPr>
          <w:ilvl w:val="0"/>
          <w:numId w:val="9"/>
        </w:numPr>
        <w:spacing w:before="0" w:line="360" w:lineRule="auto"/>
        <w:rPr>
          <w:rFonts w:ascii="Arial" w:hAnsi="Arial" w:cs="Arial"/>
          <w:sz w:val="22"/>
          <w:szCs w:val="22"/>
        </w:rPr>
      </w:pPr>
      <w:r w:rsidRPr="00A376E6">
        <w:rPr>
          <w:rFonts w:ascii="Arial" w:hAnsi="Arial" w:cs="Arial"/>
          <w:sz w:val="22"/>
          <w:szCs w:val="22"/>
          <w:lang w:val="en-GB"/>
        </w:rPr>
        <w:t>Mordor Intelligence. (2023). </w:t>
      </w:r>
      <w:r w:rsidRPr="00A376E6">
        <w:rPr>
          <w:rFonts w:ascii="Arial" w:hAnsi="Arial" w:cs="Arial"/>
          <w:i/>
          <w:iCs/>
          <w:sz w:val="22"/>
          <w:szCs w:val="22"/>
          <w:lang w:val="en-GB"/>
        </w:rPr>
        <w:t>Top Germany EV Charging Infrastructure Companies - Key Players &amp; More</w:t>
      </w:r>
      <w:r w:rsidRPr="00A376E6">
        <w:rPr>
          <w:rFonts w:ascii="Arial" w:hAnsi="Arial" w:cs="Arial"/>
          <w:sz w:val="22"/>
          <w:szCs w:val="22"/>
          <w:lang w:val="en-GB"/>
        </w:rPr>
        <w:t xml:space="preserve">. [online] Available at: </w:t>
      </w:r>
      <w:hyperlink r:id="rId36" w:history="1">
        <w:r w:rsidR="00DB3958" w:rsidRPr="00A376E6">
          <w:rPr>
            <w:rStyle w:val="Hyperlink"/>
            <w:rFonts w:ascii="Arial" w:hAnsi="Arial" w:cs="Arial"/>
            <w:sz w:val="22"/>
            <w:szCs w:val="22"/>
            <w:lang w:val="en-GB"/>
          </w:rPr>
          <w:t>https://www.mordorintelligence.com/industry-reports/germany-ev-charging-infrastructure-market/companies</w:t>
        </w:r>
      </w:hyperlink>
      <w:r w:rsidR="00DB3958" w:rsidRPr="00A376E6">
        <w:rPr>
          <w:rFonts w:ascii="Arial" w:hAnsi="Arial" w:cs="Arial"/>
          <w:sz w:val="22"/>
          <w:szCs w:val="22"/>
        </w:rPr>
        <w:t xml:space="preserve"> </w:t>
      </w:r>
      <w:r w:rsidRPr="00A376E6">
        <w:rPr>
          <w:rFonts w:ascii="Arial" w:hAnsi="Arial" w:cs="Arial"/>
          <w:sz w:val="22"/>
          <w:szCs w:val="22"/>
          <w:lang w:val="en-GB"/>
        </w:rPr>
        <w:t xml:space="preserve">[Accessed </w:t>
      </w:r>
      <w:r w:rsidR="009976A6" w:rsidRPr="00A376E6">
        <w:rPr>
          <w:rFonts w:ascii="Arial" w:hAnsi="Arial" w:cs="Arial"/>
          <w:sz w:val="22"/>
          <w:szCs w:val="22"/>
          <w:lang w:val="en-GB"/>
        </w:rPr>
        <w:t>13</w:t>
      </w:r>
      <w:r w:rsidRPr="00A376E6">
        <w:rPr>
          <w:rFonts w:ascii="Arial" w:hAnsi="Arial" w:cs="Arial"/>
          <w:sz w:val="22"/>
          <w:szCs w:val="22"/>
          <w:lang w:val="en-GB"/>
        </w:rPr>
        <w:t xml:space="preserve"> Feb. 2026].</w:t>
      </w:r>
    </w:p>
    <w:p w14:paraId="2CE21060" w14:textId="77777777" w:rsidR="00DB3958" w:rsidRPr="00A376E6" w:rsidRDefault="00DB3958" w:rsidP="00A376E6">
      <w:pPr>
        <w:pStyle w:val="NormalWeb"/>
        <w:numPr>
          <w:ilvl w:val="0"/>
          <w:numId w:val="9"/>
        </w:numPr>
        <w:spacing w:before="0" w:line="360" w:lineRule="auto"/>
        <w:rPr>
          <w:rFonts w:ascii="Arial" w:hAnsi="Arial" w:cs="Arial"/>
          <w:sz w:val="22"/>
          <w:szCs w:val="22"/>
        </w:rPr>
      </w:pPr>
      <w:r w:rsidRPr="00A376E6">
        <w:rPr>
          <w:rFonts w:ascii="Arial" w:hAnsi="Arial" w:cs="Arial"/>
          <w:sz w:val="22"/>
          <w:szCs w:val="22"/>
          <w:lang w:val="en-GB"/>
        </w:rPr>
        <w:t>Mordor Intelligence. (2023). </w:t>
      </w:r>
      <w:r w:rsidRPr="00A376E6">
        <w:rPr>
          <w:rFonts w:ascii="Arial" w:hAnsi="Arial" w:cs="Arial"/>
          <w:i/>
          <w:iCs/>
          <w:sz w:val="22"/>
          <w:szCs w:val="22"/>
          <w:lang w:val="en-GB"/>
        </w:rPr>
        <w:t>Top Germany EV Charging Infrastructure Companies - Key Players &amp; More</w:t>
      </w:r>
      <w:r w:rsidRPr="00A376E6">
        <w:rPr>
          <w:rFonts w:ascii="Arial" w:hAnsi="Arial" w:cs="Arial"/>
          <w:sz w:val="22"/>
          <w:szCs w:val="22"/>
          <w:lang w:val="en-GB"/>
        </w:rPr>
        <w:t xml:space="preserve">. [online] Available at: </w:t>
      </w:r>
      <w:hyperlink r:id="rId37" w:history="1">
        <w:r w:rsidRPr="00A376E6">
          <w:rPr>
            <w:rStyle w:val="Hyperlink"/>
            <w:rFonts w:ascii="Arial" w:hAnsi="Arial" w:cs="Arial"/>
            <w:sz w:val="22"/>
            <w:szCs w:val="22"/>
            <w:lang w:val="en-GB"/>
          </w:rPr>
          <w:t>https://www.mordorintelligence.com/industry-reports/germany-ev-charging-infrastructure-market/companies</w:t>
        </w:r>
      </w:hyperlink>
      <w:r w:rsidRPr="00A376E6">
        <w:rPr>
          <w:rFonts w:ascii="Arial" w:hAnsi="Arial" w:cs="Arial"/>
          <w:sz w:val="22"/>
          <w:szCs w:val="22"/>
        </w:rPr>
        <w:t xml:space="preserve"> </w:t>
      </w:r>
      <w:r w:rsidR="009976A6" w:rsidRPr="00A376E6">
        <w:rPr>
          <w:rFonts w:ascii="Arial" w:hAnsi="Arial" w:cs="Arial"/>
          <w:sz w:val="22"/>
          <w:szCs w:val="22"/>
          <w:lang w:val="en-GB"/>
        </w:rPr>
        <w:t>[Accessed 11</w:t>
      </w:r>
      <w:r w:rsidRPr="00A376E6">
        <w:rPr>
          <w:rFonts w:ascii="Arial" w:hAnsi="Arial" w:cs="Arial"/>
          <w:sz w:val="22"/>
          <w:szCs w:val="22"/>
          <w:lang w:val="en-GB"/>
        </w:rPr>
        <w:t xml:space="preserve"> Feb. 2026].</w:t>
      </w:r>
    </w:p>
    <w:p w14:paraId="2CE21061" w14:textId="77777777" w:rsidR="005311AF" w:rsidRPr="00A376E6" w:rsidRDefault="005311AF" w:rsidP="00A376E6">
      <w:pPr>
        <w:pStyle w:val="NormalWeb"/>
        <w:numPr>
          <w:ilvl w:val="0"/>
          <w:numId w:val="9"/>
        </w:numPr>
        <w:spacing w:before="0" w:line="360" w:lineRule="auto"/>
        <w:rPr>
          <w:rFonts w:ascii="Arial" w:hAnsi="Arial" w:cs="Arial"/>
          <w:sz w:val="22"/>
          <w:szCs w:val="22"/>
        </w:rPr>
      </w:pPr>
      <w:r w:rsidRPr="00A376E6">
        <w:rPr>
          <w:rFonts w:ascii="Arial" w:hAnsi="Arial" w:cs="Arial"/>
          <w:sz w:val="22"/>
          <w:szCs w:val="22"/>
          <w:lang w:val="en-GB"/>
        </w:rPr>
        <w:t>mmpi.gov.hr. (2024). </w:t>
      </w:r>
      <w:r w:rsidRPr="00A376E6">
        <w:rPr>
          <w:rFonts w:ascii="Arial" w:hAnsi="Arial" w:cs="Arial"/>
          <w:i/>
          <w:iCs/>
          <w:sz w:val="22"/>
          <w:szCs w:val="22"/>
          <w:lang w:val="en-GB"/>
        </w:rPr>
        <w:t>Home</w:t>
      </w:r>
      <w:r w:rsidRPr="00A376E6">
        <w:rPr>
          <w:rFonts w:ascii="Arial" w:hAnsi="Arial" w:cs="Arial"/>
          <w:sz w:val="22"/>
          <w:szCs w:val="22"/>
          <w:lang w:val="en-GB"/>
        </w:rPr>
        <w:t>. [online] Available at: https://mmpi.gov.hr/en [Accessed 12 Feb. 2026].</w:t>
      </w:r>
    </w:p>
    <w:p w14:paraId="2CE21062" w14:textId="77777777" w:rsidR="00DA1E8D" w:rsidRPr="00A376E6" w:rsidRDefault="00DA1E8D" w:rsidP="00A376E6">
      <w:pPr>
        <w:pStyle w:val="NormalWeb"/>
        <w:numPr>
          <w:ilvl w:val="0"/>
          <w:numId w:val="9"/>
        </w:numPr>
        <w:spacing w:before="0" w:line="360" w:lineRule="auto"/>
        <w:rPr>
          <w:rFonts w:ascii="Arial" w:hAnsi="Arial" w:cs="Arial"/>
          <w:sz w:val="22"/>
          <w:szCs w:val="22"/>
        </w:rPr>
      </w:pPr>
      <w:r w:rsidRPr="00A376E6">
        <w:rPr>
          <w:rFonts w:ascii="Arial" w:hAnsi="Arial" w:cs="Arial"/>
          <w:bCs/>
          <w:sz w:val="22"/>
          <w:szCs w:val="22"/>
          <w:lang w:val="en-GB"/>
        </w:rPr>
        <w:t>MarkLines</w:t>
      </w:r>
      <w:r w:rsidRPr="00A376E6">
        <w:rPr>
          <w:rFonts w:ascii="Arial" w:hAnsi="Arial" w:cs="Arial"/>
          <w:sz w:val="22"/>
          <w:szCs w:val="22"/>
          <w:lang w:val="en-GB"/>
        </w:rPr>
        <w:t xml:space="preserve"> (2026) </w:t>
      </w:r>
      <w:r w:rsidRPr="00A376E6">
        <w:rPr>
          <w:rFonts w:ascii="Arial" w:hAnsi="Arial" w:cs="Arial"/>
          <w:i/>
          <w:iCs/>
          <w:sz w:val="22"/>
          <w:szCs w:val="22"/>
          <w:lang w:val="en-GB"/>
        </w:rPr>
        <w:t>Germany – Flash report on New Car Registrations, January 2026</w:t>
      </w:r>
      <w:r w:rsidRPr="00A376E6">
        <w:rPr>
          <w:rFonts w:ascii="Arial" w:hAnsi="Arial" w:cs="Arial"/>
          <w:sz w:val="22"/>
          <w:szCs w:val="22"/>
          <w:lang w:val="en-GB"/>
        </w:rPr>
        <w:t xml:space="preserve">. Available at: </w:t>
      </w:r>
      <w:hyperlink r:id="rId38" w:tgtFrame="_blank" w:history="1">
        <w:r w:rsidRPr="00A376E6">
          <w:rPr>
            <w:rStyle w:val="Hyperlink"/>
            <w:rFonts w:ascii="Arial" w:hAnsi="Arial" w:cs="Arial"/>
            <w:sz w:val="22"/>
            <w:szCs w:val="22"/>
            <w:lang w:val="en-GB"/>
          </w:rPr>
          <w:t>https://www.marklines.com/</w:t>
        </w:r>
      </w:hyperlink>
      <w:r w:rsidRPr="00A376E6">
        <w:rPr>
          <w:rFonts w:ascii="Arial" w:hAnsi="Arial" w:cs="Arial"/>
          <w:sz w:val="22"/>
          <w:szCs w:val="22"/>
          <w:lang w:val="en-GB"/>
        </w:rPr>
        <w:t xml:space="preserve"> (Accessed: 10 February 2026).</w:t>
      </w:r>
    </w:p>
    <w:p w14:paraId="2CE21063" w14:textId="77777777" w:rsidR="00B419DA" w:rsidRPr="00A376E6" w:rsidRDefault="00B419DA" w:rsidP="00A376E6">
      <w:pPr>
        <w:pStyle w:val="NormalWeb"/>
        <w:numPr>
          <w:ilvl w:val="0"/>
          <w:numId w:val="9"/>
        </w:numPr>
        <w:spacing w:line="360" w:lineRule="auto"/>
        <w:rPr>
          <w:rFonts w:ascii="Arial" w:hAnsi="Arial" w:cs="Arial"/>
          <w:sz w:val="22"/>
          <w:szCs w:val="22"/>
          <w:lang w:val="en-GB"/>
        </w:rPr>
      </w:pPr>
      <w:r w:rsidRPr="00A376E6">
        <w:rPr>
          <w:rFonts w:ascii="Arial" w:hAnsi="Arial" w:cs="Arial"/>
          <w:sz w:val="22"/>
          <w:szCs w:val="22"/>
          <w:lang w:val="en-GB"/>
        </w:rPr>
        <w:t>Pandaily (2026) BYD's Germany Sales Surge Over 1,000% in January, More Than Double Tesla's. Available at: https://pandaily.com/ (Accessed: 10 February 2026).</w:t>
      </w:r>
    </w:p>
    <w:p w14:paraId="2CE21064" w14:textId="77777777" w:rsidR="00B419DA" w:rsidRPr="00A376E6" w:rsidRDefault="00B419DA" w:rsidP="00A376E6">
      <w:pPr>
        <w:pStyle w:val="NormalWeb"/>
        <w:numPr>
          <w:ilvl w:val="0"/>
          <w:numId w:val="9"/>
        </w:numPr>
        <w:spacing w:line="360" w:lineRule="auto"/>
        <w:rPr>
          <w:rFonts w:ascii="Arial" w:hAnsi="Arial" w:cs="Arial"/>
          <w:sz w:val="22"/>
          <w:szCs w:val="22"/>
          <w:lang w:val="en-GB"/>
        </w:rPr>
      </w:pPr>
      <w:r w:rsidRPr="00A376E6">
        <w:rPr>
          <w:rFonts w:ascii="Arial" w:hAnsi="Arial" w:cs="Arial"/>
          <w:sz w:val="22"/>
          <w:szCs w:val="22"/>
          <w:lang w:val="en-GB"/>
        </w:rPr>
        <w:t>Porter, M. E. (1990) The Competitive Advantage of Nations. New York: Free Press.</w:t>
      </w:r>
    </w:p>
    <w:p w14:paraId="2CE21065" w14:textId="77777777" w:rsidR="00B419DA" w:rsidRPr="00A376E6" w:rsidRDefault="00B419DA" w:rsidP="00A376E6">
      <w:pPr>
        <w:pStyle w:val="NormalWeb"/>
        <w:numPr>
          <w:ilvl w:val="0"/>
          <w:numId w:val="9"/>
        </w:numPr>
        <w:spacing w:before="0" w:line="360" w:lineRule="auto"/>
        <w:rPr>
          <w:rFonts w:ascii="Arial" w:hAnsi="Arial" w:cs="Arial"/>
          <w:sz w:val="22"/>
          <w:szCs w:val="22"/>
        </w:rPr>
      </w:pPr>
      <w:r w:rsidRPr="00A376E6">
        <w:rPr>
          <w:rFonts w:ascii="Arial" w:hAnsi="Arial" w:cs="Arial"/>
          <w:sz w:val="22"/>
          <w:szCs w:val="22"/>
          <w:lang w:val="en-GB"/>
        </w:rPr>
        <w:t>Reputation and Trust Analytics (2026) Reputation&amp;Trust 2025 Study: Corporate Reputation in Germany. Helsinki</w:t>
      </w:r>
    </w:p>
    <w:p w14:paraId="2CE21066" w14:textId="77777777" w:rsidR="004767B8" w:rsidRPr="00A376E6" w:rsidRDefault="004767B8" w:rsidP="00A376E6">
      <w:pPr>
        <w:pStyle w:val="NormalWeb"/>
        <w:numPr>
          <w:ilvl w:val="0"/>
          <w:numId w:val="9"/>
        </w:numPr>
        <w:spacing w:line="360" w:lineRule="auto"/>
        <w:rPr>
          <w:rFonts w:ascii="Arial" w:hAnsi="Arial" w:cs="Arial"/>
          <w:sz w:val="22"/>
          <w:szCs w:val="22"/>
          <w:lang w:val="en-GB"/>
        </w:rPr>
      </w:pPr>
      <w:r w:rsidRPr="00A376E6">
        <w:rPr>
          <w:rFonts w:ascii="Arial" w:hAnsi="Arial" w:cs="Arial"/>
          <w:sz w:val="22"/>
          <w:szCs w:val="22"/>
          <w:lang w:val="en-GB"/>
        </w:rPr>
        <w:t>RSIS International (2025) ‘Porter’s Diamond Model: A framework for national advantage’, International Journal of Research and Innovation in Applied Science (IJRIAS), X(VI).</w:t>
      </w:r>
    </w:p>
    <w:p w14:paraId="2CE21067" w14:textId="77777777" w:rsidR="004767B8" w:rsidRPr="00A376E6" w:rsidRDefault="004767B8" w:rsidP="00A376E6">
      <w:pPr>
        <w:pStyle w:val="NormalWeb"/>
        <w:numPr>
          <w:ilvl w:val="0"/>
          <w:numId w:val="9"/>
        </w:numPr>
        <w:spacing w:before="0" w:line="360" w:lineRule="auto"/>
        <w:rPr>
          <w:rFonts w:ascii="Arial" w:hAnsi="Arial" w:cs="Arial"/>
          <w:sz w:val="22"/>
          <w:szCs w:val="22"/>
        </w:rPr>
      </w:pPr>
      <w:r w:rsidRPr="00A376E6">
        <w:rPr>
          <w:rFonts w:ascii="Arial" w:hAnsi="Arial" w:cs="Arial"/>
          <w:sz w:val="22"/>
          <w:szCs w:val="22"/>
          <w:lang w:val="en-GB"/>
        </w:rPr>
        <w:lastRenderedPageBreak/>
        <w:t>Tesla (2026) Q4 and Full Year 2025 Financial Results and Operational Update. Austin: Tesla Investor Relations.</w:t>
      </w:r>
    </w:p>
    <w:p w14:paraId="2CE21068" w14:textId="77777777" w:rsidR="004767B8" w:rsidRPr="00A376E6" w:rsidRDefault="004767B8" w:rsidP="00A376E6">
      <w:pPr>
        <w:pStyle w:val="NormalWeb"/>
        <w:numPr>
          <w:ilvl w:val="0"/>
          <w:numId w:val="9"/>
        </w:numPr>
        <w:spacing w:line="360" w:lineRule="auto"/>
        <w:rPr>
          <w:rFonts w:ascii="Arial" w:hAnsi="Arial" w:cs="Arial"/>
          <w:sz w:val="22"/>
          <w:szCs w:val="22"/>
          <w:lang w:val="en-GB"/>
        </w:rPr>
      </w:pPr>
      <w:r w:rsidRPr="00A376E6">
        <w:rPr>
          <w:rFonts w:ascii="Arial" w:hAnsi="Arial" w:cs="Arial"/>
          <w:sz w:val="22"/>
          <w:szCs w:val="22"/>
          <w:lang w:val="en-GB"/>
        </w:rPr>
        <w:t>Scribd (2025) Porter's Diamond Model Analysis: Germany and the Automotive Sector. Business Intelligence Document.</w:t>
      </w:r>
    </w:p>
    <w:p w14:paraId="2CE21069" w14:textId="77777777" w:rsidR="00473216" w:rsidRPr="00A376E6" w:rsidRDefault="00473216" w:rsidP="00A376E6">
      <w:pPr>
        <w:pStyle w:val="NormalWeb"/>
        <w:numPr>
          <w:ilvl w:val="0"/>
          <w:numId w:val="9"/>
        </w:numPr>
        <w:spacing w:before="0" w:line="360" w:lineRule="auto"/>
        <w:rPr>
          <w:rFonts w:ascii="Arial" w:hAnsi="Arial" w:cs="Arial"/>
          <w:sz w:val="22"/>
          <w:szCs w:val="22"/>
        </w:rPr>
      </w:pPr>
      <w:r w:rsidRPr="00A376E6">
        <w:rPr>
          <w:rFonts w:ascii="Arial" w:hAnsi="Arial" w:cs="Arial"/>
          <w:sz w:val="22"/>
          <w:szCs w:val="22"/>
          <w:lang w:val="en-GB"/>
        </w:rPr>
        <w:t xml:space="preserve">Statista.com. (2024). Available at: </w:t>
      </w:r>
      <w:hyperlink r:id="rId39" w:anchor="analyst-opinion" w:history="1">
        <w:r w:rsidRPr="00A376E6">
          <w:rPr>
            <w:rStyle w:val="Hyperlink"/>
            <w:rFonts w:ascii="Arial" w:hAnsi="Arial" w:cs="Arial"/>
            <w:sz w:val="22"/>
            <w:szCs w:val="22"/>
            <w:lang w:val="en-GB"/>
          </w:rPr>
          <w:t>https://www.statista.com/sso/login-error?error-code=access_denied#analyst-opinion</w:t>
        </w:r>
      </w:hyperlink>
      <w:r w:rsidRPr="00A376E6">
        <w:rPr>
          <w:rFonts w:ascii="Arial" w:hAnsi="Arial" w:cs="Arial"/>
          <w:sz w:val="22"/>
          <w:szCs w:val="22"/>
        </w:rPr>
        <w:t xml:space="preserve"> </w:t>
      </w:r>
      <w:r w:rsidR="009976A6" w:rsidRPr="00A376E6">
        <w:rPr>
          <w:rFonts w:ascii="Arial" w:hAnsi="Arial" w:cs="Arial"/>
          <w:sz w:val="22"/>
          <w:szCs w:val="22"/>
          <w:lang w:val="en-GB"/>
        </w:rPr>
        <w:t xml:space="preserve">[Accessed 10 </w:t>
      </w:r>
      <w:r w:rsidRPr="00A376E6">
        <w:rPr>
          <w:rFonts w:ascii="Arial" w:hAnsi="Arial" w:cs="Arial"/>
          <w:sz w:val="22"/>
          <w:szCs w:val="22"/>
          <w:lang w:val="en-GB"/>
        </w:rPr>
        <w:t>Feb. 2026].</w:t>
      </w:r>
    </w:p>
    <w:p w14:paraId="2CE2106A" w14:textId="77777777" w:rsidR="00325401" w:rsidRPr="00A376E6" w:rsidRDefault="00325401" w:rsidP="00A376E6">
      <w:pPr>
        <w:pStyle w:val="NormalWeb"/>
        <w:numPr>
          <w:ilvl w:val="0"/>
          <w:numId w:val="9"/>
        </w:numPr>
        <w:spacing w:before="0" w:line="360" w:lineRule="auto"/>
        <w:rPr>
          <w:rFonts w:ascii="Arial" w:hAnsi="Arial" w:cs="Arial"/>
          <w:sz w:val="22"/>
          <w:szCs w:val="22"/>
        </w:rPr>
      </w:pPr>
      <w:r w:rsidRPr="00A376E6">
        <w:rPr>
          <w:rFonts w:ascii="Arial" w:hAnsi="Arial" w:cs="Arial"/>
          <w:bCs/>
          <w:sz w:val="22"/>
          <w:szCs w:val="22"/>
          <w:lang w:val="en-GB"/>
        </w:rPr>
        <w:t>Spherical Insights. (2025). </w:t>
      </w:r>
      <w:r w:rsidRPr="00A376E6">
        <w:rPr>
          <w:rFonts w:ascii="Arial" w:hAnsi="Arial" w:cs="Arial"/>
          <w:bCs/>
          <w:i/>
          <w:iCs/>
          <w:sz w:val="22"/>
          <w:szCs w:val="22"/>
          <w:lang w:val="en-GB"/>
        </w:rPr>
        <w:t>Germany Electric Vehicle Market Size Forecast, Price to 2035</w:t>
      </w:r>
      <w:r w:rsidRPr="00A376E6">
        <w:rPr>
          <w:rFonts w:ascii="Arial" w:hAnsi="Arial" w:cs="Arial"/>
          <w:bCs/>
          <w:sz w:val="22"/>
          <w:szCs w:val="22"/>
          <w:lang w:val="en-GB"/>
        </w:rPr>
        <w:t xml:space="preserve">. [online] Available at: </w:t>
      </w:r>
      <w:hyperlink r:id="rId40" w:history="1">
        <w:r w:rsidRPr="00A376E6">
          <w:rPr>
            <w:rStyle w:val="Hyperlink"/>
            <w:rFonts w:ascii="Arial" w:hAnsi="Arial" w:cs="Arial"/>
            <w:bCs/>
            <w:sz w:val="22"/>
            <w:szCs w:val="22"/>
            <w:lang w:val="en-GB"/>
          </w:rPr>
          <w:t>https://www.sphericalinsights.com/reports/germany-electric-vehicle-market</w:t>
        </w:r>
      </w:hyperlink>
      <w:r w:rsidRPr="00A376E6">
        <w:rPr>
          <w:rFonts w:ascii="Arial" w:hAnsi="Arial" w:cs="Arial"/>
          <w:bCs/>
          <w:sz w:val="22"/>
          <w:szCs w:val="22"/>
          <w:lang w:val="en-GB"/>
        </w:rPr>
        <w:t>.</w:t>
      </w:r>
    </w:p>
    <w:p w14:paraId="2CE2106B" w14:textId="77777777" w:rsidR="00ED25D3" w:rsidRPr="00A376E6" w:rsidRDefault="00ED25D3" w:rsidP="00A376E6">
      <w:pPr>
        <w:pStyle w:val="NormalWeb"/>
        <w:numPr>
          <w:ilvl w:val="0"/>
          <w:numId w:val="9"/>
        </w:numPr>
        <w:spacing w:before="0" w:line="360" w:lineRule="auto"/>
        <w:rPr>
          <w:rFonts w:ascii="Arial" w:hAnsi="Arial" w:cs="Arial"/>
          <w:sz w:val="22"/>
          <w:szCs w:val="22"/>
        </w:rPr>
      </w:pPr>
      <w:r w:rsidRPr="00A376E6">
        <w:rPr>
          <w:rFonts w:ascii="Arial" w:hAnsi="Arial" w:cs="Arial"/>
          <w:bCs/>
          <w:sz w:val="22"/>
          <w:szCs w:val="22"/>
          <w:lang w:val="en-GB"/>
        </w:rPr>
        <w:t>Tesery</w:t>
      </w:r>
      <w:r w:rsidRPr="00A376E6">
        <w:rPr>
          <w:rFonts w:ascii="Arial" w:hAnsi="Arial" w:cs="Arial"/>
          <w:sz w:val="22"/>
          <w:szCs w:val="22"/>
          <w:lang w:val="en-GB"/>
        </w:rPr>
        <w:t xml:space="preserve"> (2025) </w:t>
      </w:r>
      <w:r w:rsidRPr="00A376E6">
        <w:rPr>
          <w:rFonts w:ascii="Arial" w:hAnsi="Arial" w:cs="Arial"/>
          <w:i/>
          <w:iCs/>
          <w:sz w:val="22"/>
          <w:szCs w:val="22"/>
          <w:lang w:val="en-GB"/>
        </w:rPr>
        <w:t>Tesla Targets Production Increase at Giga Berlin in 2026: Resilience Amidst a Volatile Market</w:t>
      </w:r>
      <w:r w:rsidRPr="00A376E6">
        <w:rPr>
          <w:rFonts w:ascii="Arial" w:hAnsi="Arial" w:cs="Arial"/>
          <w:sz w:val="22"/>
          <w:szCs w:val="22"/>
          <w:lang w:val="en-GB"/>
        </w:rPr>
        <w:t xml:space="preserve">. Available at: </w:t>
      </w:r>
      <w:hyperlink r:id="rId41" w:tgtFrame="_blank" w:history="1">
        <w:r w:rsidRPr="00A376E6">
          <w:rPr>
            <w:rStyle w:val="Hyperlink"/>
            <w:rFonts w:ascii="Arial" w:hAnsi="Arial" w:cs="Arial"/>
            <w:sz w:val="22"/>
            <w:szCs w:val="22"/>
            <w:lang w:val="en-GB"/>
          </w:rPr>
          <w:t>https://www.tesery.com/</w:t>
        </w:r>
      </w:hyperlink>
      <w:r w:rsidRPr="00A376E6">
        <w:rPr>
          <w:rFonts w:ascii="Arial" w:hAnsi="Arial" w:cs="Arial"/>
          <w:sz w:val="22"/>
          <w:szCs w:val="22"/>
          <w:lang w:val="en-GB"/>
        </w:rPr>
        <w:t xml:space="preserve"> (Accessed: 10 February 2026).</w:t>
      </w:r>
    </w:p>
    <w:p w14:paraId="2CE2106C" w14:textId="77777777" w:rsidR="00ED25D3" w:rsidRPr="00A376E6" w:rsidRDefault="00ED25D3" w:rsidP="00A376E6">
      <w:pPr>
        <w:pStyle w:val="NormalWeb"/>
        <w:numPr>
          <w:ilvl w:val="0"/>
          <w:numId w:val="9"/>
        </w:numPr>
        <w:spacing w:line="360" w:lineRule="auto"/>
        <w:rPr>
          <w:rFonts w:ascii="Arial" w:hAnsi="Arial" w:cs="Arial"/>
          <w:sz w:val="22"/>
          <w:szCs w:val="22"/>
          <w:lang w:val="en-GB"/>
        </w:rPr>
      </w:pPr>
      <w:r w:rsidRPr="00A376E6">
        <w:rPr>
          <w:rFonts w:ascii="Arial" w:hAnsi="Arial" w:cs="Arial"/>
          <w:sz w:val="22"/>
          <w:szCs w:val="22"/>
          <w:lang w:val="en-GB"/>
        </w:rPr>
        <w:t>VDA (Verband der Automobilindustrie) (2026) The German Automotive Industry: Facts and Figures 2025/2026. Berlin.</w:t>
      </w:r>
    </w:p>
    <w:p w14:paraId="2CE2106D" w14:textId="77777777" w:rsidR="00ED25D3" w:rsidRPr="00A376E6" w:rsidRDefault="00ED25D3" w:rsidP="00A376E6">
      <w:pPr>
        <w:pStyle w:val="NormalWeb"/>
        <w:numPr>
          <w:ilvl w:val="0"/>
          <w:numId w:val="9"/>
        </w:numPr>
        <w:spacing w:before="0" w:line="360" w:lineRule="auto"/>
        <w:rPr>
          <w:rFonts w:ascii="Arial" w:hAnsi="Arial" w:cs="Arial"/>
          <w:sz w:val="22"/>
          <w:szCs w:val="22"/>
        </w:rPr>
      </w:pPr>
      <w:r w:rsidRPr="00A376E6">
        <w:rPr>
          <w:rFonts w:ascii="Arial" w:hAnsi="Arial" w:cs="Arial"/>
          <w:sz w:val="22"/>
          <w:szCs w:val="22"/>
          <w:lang w:val="en-GB"/>
        </w:rPr>
        <w:t>Volkswagen Group (2026) Volkswagen Group deliveries remain stable in 2025: Press Release. Wolfsburg.</w:t>
      </w:r>
    </w:p>
    <w:p w14:paraId="2CE2106E" w14:textId="77777777" w:rsidR="00884F0B" w:rsidRPr="00A376E6" w:rsidRDefault="00473216" w:rsidP="00A376E6">
      <w:pPr>
        <w:pStyle w:val="NormalWeb"/>
        <w:numPr>
          <w:ilvl w:val="0"/>
          <w:numId w:val="9"/>
        </w:numPr>
        <w:spacing w:before="0" w:line="360" w:lineRule="auto"/>
        <w:rPr>
          <w:rFonts w:ascii="Arial" w:hAnsi="Arial" w:cs="Arial"/>
          <w:sz w:val="22"/>
          <w:szCs w:val="22"/>
        </w:rPr>
      </w:pPr>
      <w:r w:rsidRPr="00A376E6">
        <w:rPr>
          <w:rFonts w:ascii="Arial" w:hAnsi="Arial" w:cs="Arial"/>
          <w:sz w:val="22"/>
          <w:szCs w:val="22"/>
          <w:lang w:val="en-GB"/>
        </w:rPr>
        <w:t>www.mordorintelligence.com. (n.d.). </w:t>
      </w:r>
      <w:r w:rsidRPr="00A376E6">
        <w:rPr>
          <w:rFonts w:ascii="Arial" w:hAnsi="Arial" w:cs="Arial"/>
          <w:i/>
          <w:iCs/>
          <w:sz w:val="22"/>
          <w:szCs w:val="22"/>
          <w:lang w:val="en-GB"/>
        </w:rPr>
        <w:t>Germany Automotive High Performance Electric Vehicles Market | 2020-2027 | Industry Report | Covid Insights</w:t>
      </w:r>
      <w:r w:rsidRPr="00A376E6">
        <w:rPr>
          <w:rFonts w:ascii="Arial" w:hAnsi="Arial" w:cs="Arial"/>
          <w:sz w:val="22"/>
          <w:szCs w:val="22"/>
          <w:lang w:val="en-GB"/>
        </w:rPr>
        <w:t xml:space="preserve">. [online] Available at: </w:t>
      </w:r>
      <w:hyperlink r:id="rId42" w:history="1">
        <w:r w:rsidRPr="00A376E6">
          <w:rPr>
            <w:rStyle w:val="Hyperlink"/>
            <w:rFonts w:ascii="Arial" w:hAnsi="Arial" w:cs="Arial"/>
            <w:sz w:val="22"/>
            <w:szCs w:val="22"/>
            <w:lang w:val="en-GB"/>
          </w:rPr>
          <w:t>https://www.mordorintelligence.com/industry-reports/germany-automotive-high-performance-electric-vehicles-market</w:t>
        </w:r>
      </w:hyperlink>
      <w:r w:rsidRPr="00A376E6">
        <w:rPr>
          <w:rFonts w:ascii="Arial" w:hAnsi="Arial" w:cs="Arial"/>
          <w:sz w:val="22"/>
          <w:szCs w:val="22"/>
          <w:lang w:val="en-GB"/>
        </w:rPr>
        <w:t>.</w:t>
      </w:r>
    </w:p>
    <w:p w14:paraId="2CE2106F" w14:textId="77777777" w:rsidR="00473216" w:rsidRPr="00A376E6" w:rsidRDefault="00952B35" w:rsidP="00A376E6">
      <w:pPr>
        <w:pStyle w:val="NormalWeb"/>
        <w:numPr>
          <w:ilvl w:val="0"/>
          <w:numId w:val="9"/>
        </w:numPr>
        <w:spacing w:before="0" w:line="360" w:lineRule="auto"/>
        <w:rPr>
          <w:rFonts w:ascii="Arial" w:hAnsi="Arial" w:cs="Arial"/>
          <w:sz w:val="22"/>
          <w:szCs w:val="22"/>
        </w:rPr>
      </w:pPr>
      <w:r w:rsidRPr="00A376E6">
        <w:rPr>
          <w:rFonts w:ascii="Arial" w:hAnsi="Arial" w:cs="Arial"/>
          <w:sz w:val="22"/>
          <w:szCs w:val="22"/>
          <w:lang w:val="en-GB"/>
        </w:rPr>
        <w:t>Zayer, E., Stein, I., Stricker, K. and Mariia Nykytiuk (2025). </w:t>
      </w:r>
      <w:r w:rsidRPr="00A376E6">
        <w:rPr>
          <w:rFonts w:ascii="Arial" w:hAnsi="Arial" w:cs="Arial"/>
          <w:i/>
          <w:iCs/>
          <w:sz w:val="22"/>
          <w:szCs w:val="22"/>
          <w:lang w:val="en-GB"/>
        </w:rPr>
        <w:t>Inside Germany’s Evolving Electric Vehicle Market</w:t>
      </w:r>
      <w:r w:rsidRPr="00A376E6">
        <w:rPr>
          <w:rFonts w:ascii="Arial" w:hAnsi="Arial" w:cs="Arial"/>
          <w:sz w:val="22"/>
          <w:szCs w:val="22"/>
          <w:lang w:val="en-GB"/>
        </w:rPr>
        <w:t xml:space="preserve">. [online] Bain. Available at: </w:t>
      </w:r>
      <w:hyperlink r:id="rId43" w:history="1">
        <w:r w:rsidRPr="00A376E6">
          <w:rPr>
            <w:rStyle w:val="Hyperlink"/>
            <w:rFonts w:ascii="Arial" w:hAnsi="Arial" w:cs="Arial"/>
            <w:sz w:val="22"/>
            <w:szCs w:val="22"/>
            <w:lang w:val="en-GB"/>
          </w:rPr>
          <w:t>https://www.bain.com/insights/germany-electric-vehicle-market/</w:t>
        </w:r>
      </w:hyperlink>
      <w:r w:rsidRPr="00A376E6">
        <w:rPr>
          <w:rFonts w:ascii="Arial" w:hAnsi="Arial" w:cs="Arial"/>
          <w:sz w:val="22"/>
          <w:szCs w:val="22"/>
          <w:lang w:val="en-GB"/>
        </w:rPr>
        <w:t>.</w:t>
      </w:r>
    </w:p>
    <w:p w14:paraId="2CE21070" w14:textId="77777777" w:rsidR="00864CE3" w:rsidRPr="00A376E6" w:rsidRDefault="00864CE3" w:rsidP="00A376E6">
      <w:pPr>
        <w:pStyle w:val="ds-markdown-paragraph"/>
        <w:shd w:val="clear" w:color="auto" w:fill="FFFFFF"/>
        <w:spacing w:before="240" w:beforeAutospacing="0" w:after="240" w:afterAutospacing="0" w:line="360" w:lineRule="auto"/>
        <w:ind w:left="720"/>
        <w:rPr>
          <w:rFonts w:ascii="Arial" w:hAnsi="Arial" w:cs="Arial"/>
          <w:color w:val="0F1115"/>
          <w:sz w:val="22"/>
          <w:szCs w:val="22"/>
        </w:rPr>
      </w:pPr>
    </w:p>
    <w:p w14:paraId="2CE21071" w14:textId="77777777" w:rsidR="00334782" w:rsidRPr="00A376E6" w:rsidRDefault="00334782" w:rsidP="00A376E6">
      <w:pPr>
        <w:spacing w:line="360" w:lineRule="auto"/>
        <w:rPr>
          <w:rFonts w:ascii="Arial" w:eastAsia="Times New Roman" w:hAnsi="Arial" w:cs="Arial"/>
          <w:lang w:val="en-US"/>
        </w:rPr>
      </w:pPr>
    </w:p>
    <w:sectPr w:rsidR="00334782" w:rsidRPr="00A376E6" w:rsidSect="00987360">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37BD77" w14:textId="77777777" w:rsidR="004122BF" w:rsidRDefault="004122BF" w:rsidP="008C45E0">
      <w:pPr>
        <w:spacing w:after="0" w:line="240" w:lineRule="auto"/>
      </w:pPr>
      <w:r>
        <w:separator/>
      </w:r>
    </w:p>
  </w:endnote>
  <w:endnote w:type="continuationSeparator" w:id="0">
    <w:p w14:paraId="603EF36A" w14:textId="77777777" w:rsidR="004122BF" w:rsidRDefault="004122BF" w:rsidP="008C45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E21088" w14:textId="77777777" w:rsidR="002A0AF7" w:rsidRDefault="002A0AF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8559981"/>
      <w:docPartObj>
        <w:docPartGallery w:val="Page Numbers (Bottom of Page)"/>
        <w:docPartUnique/>
      </w:docPartObj>
    </w:sdtPr>
    <w:sdtEndPr>
      <w:rPr>
        <w:noProof/>
      </w:rPr>
    </w:sdtEndPr>
    <w:sdtContent>
      <w:p w14:paraId="2CE21089" w14:textId="77777777" w:rsidR="002A0AF7" w:rsidRDefault="002A0AF7">
        <w:pPr>
          <w:pStyle w:val="Footer"/>
          <w:jc w:val="center"/>
        </w:pPr>
        <w:r>
          <w:fldChar w:fldCharType="begin"/>
        </w:r>
        <w:r>
          <w:instrText xml:space="preserve"> PAGE   \* MERGEFORMAT </w:instrText>
        </w:r>
        <w:r>
          <w:fldChar w:fldCharType="separate"/>
        </w:r>
        <w:r w:rsidR="00A376E6">
          <w:rPr>
            <w:noProof/>
          </w:rPr>
          <w:t>20</w:t>
        </w:r>
        <w:r>
          <w:rPr>
            <w:noProof/>
          </w:rPr>
          <w:fldChar w:fldCharType="end"/>
        </w:r>
      </w:p>
    </w:sdtContent>
  </w:sdt>
  <w:p w14:paraId="2CE2108A" w14:textId="77777777" w:rsidR="002A0AF7" w:rsidRDefault="002A0AF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E2108C" w14:textId="77777777" w:rsidR="002A0AF7" w:rsidRDefault="002A0AF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E05B23" w14:textId="77777777" w:rsidR="004122BF" w:rsidRDefault="004122BF" w:rsidP="008C45E0">
      <w:pPr>
        <w:spacing w:after="0" w:line="240" w:lineRule="auto"/>
      </w:pPr>
      <w:r>
        <w:separator/>
      </w:r>
    </w:p>
  </w:footnote>
  <w:footnote w:type="continuationSeparator" w:id="0">
    <w:p w14:paraId="5FBB655D" w14:textId="77777777" w:rsidR="004122BF" w:rsidRDefault="004122BF" w:rsidP="008C45E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E21086" w14:textId="77777777" w:rsidR="002A0AF7" w:rsidRDefault="002A0AF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E21087" w14:textId="77777777" w:rsidR="002A0AF7" w:rsidRDefault="002A0AF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E2108B" w14:textId="77777777" w:rsidR="002A0AF7" w:rsidRDefault="002A0AF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87281E"/>
    <w:multiLevelType w:val="multilevel"/>
    <w:tmpl w:val="5E96F4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F392EBB"/>
    <w:multiLevelType w:val="multilevel"/>
    <w:tmpl w:val="027CBD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B320EAE"/>
    <w:multiLevelType w:val="multilevel"/>
    <w:tmpl w:val="ADC023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C3C61D7"/>
    <w:multiLevelType w:val="hybridMultilevel"/>
    <w:tmpl w:val="D86C2BC4"/>
    <w:lvl w:ilvl="0" w:tplc="86F007BA">
      <w:start w:val="5"/>
      <w:numFmt w:val="decimal"/>
      <w:lvlText w:val="%1."/>
      <w:lvlJc w:val="left"/>
      <w:pPr>
        <w:ind w:left="720" w:hanging="360"/>
      </w:pPr>
      <w:rPr>
        <w:rFonts w:eastAsiaTheme="minorHAnsi" w:hint="default"/>
        <w:b w:val="0"/>
        <w:color w:val="auto"/>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35C4271"/>
    <w:multiLevelType w:val="multilevel"/>
    <w:tmpl w:val="68366F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7702564"/>
    <w:multiLevelType w:val="multilevel"/>
    <w:tmpl w:val="54A0D4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02A04BA"/>
    <w:multiLevelType w:val="multilevel"/>
    <w:tmpl w:val="1C6CE2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2B87E78"/>
    <w:multiLevelType w:val="multilevel"/>
    <w:tmpl w:val="19AC5D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CF11720"/>
    <w:multiLevelType w:val="multilevel"/>
    <w:tmpl w:val="A34635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0001100"/>
    <w:multiLevelType w:val="multilevel"/>
    <w:tmpl w:val="D47AFD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42544D72"/>
    <w:multiLevelType w:val="hybridMultilevel"/>
    <w:tmpl w:val="BE0A007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50B7C17"/>
    <w:multiLevelType w:val="hybridMultilevel"/>
    <w:tmpl w:val="224C2BF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B8B5DAD"/>
    <w:multiLevelType w:val="multilevel"/>
    <w:tmpl w:val="E95884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A4378DD"/>
    <w:multiLevelType w:val="multilevel"/>
    <w:tmpl w:val="2AA69B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D2C33FC"/>
    <w:multiLevelType w:val="hybridMultilevel"/>
    <w:tmpl w:val="5204DBB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D5D02AF"/>
    <w:multiLevelType w:val="multilevel"/>
    <w:tmpl w:val="6786FF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5633A57"/>
    <w:multiLevelType w:val="multilevel"/>
    <w:tmpl w:val="B36CAE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68652C7"/>
    <w:multiLevelType w:val="multilevel"/>
    <w:tmpl w:val="B40CBB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7C790111"/>
    <w:multiLevelType w:val="multilevel"/>
    <w:tmpl w:val="1EEEF4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E3E6D4F"/>
    <w:multiLevelType w:val="multilevel"/>
    <w:tmpl w:val="15EA326A"/>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6"/>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num w:numId="1" w16cid:durableId="1713264548">
    <w:abstractNumId w:val="10"/>
  </w:num>
  <w:num w:numId="2" w16cid:durableId="1618171339">
    <w:abstractNumId w:val="6"/>
  </w:num>
  <w:num w:numId="3" w16cid:durableId="942423289">
    <w:abstractNumId w:val="18"/>
  </w:num>
  <w:num w:numId="4" w16cid:durableId="1273317568">
    <w:abstractNumId w:val="17"/>
  </w:num>
  <w:num w:numId="5" w16cid:durableId="1201087283">
    <w:abstractNumId w:val="5"/>
  </w:num>
  <w:num w:numId="6" w16cid:durableId="760369602">
    <w:abstractNumId w:val="15"/>
  </w:num>
  <w:num w:numId="7" w16cid:durableId="1106191609">
    <w:abstractNumId w:val="19"/>
  </w:num>
  <w:num w:numId="8" w16cid:durableId="1624573018">
    <w:abstractNumId w:val="14"/>
  </w:num>
  <w:num w:numId="9" w16cid:durableId="1975452511">
    <w:abstractNumId w:val="11"/>
  </w:num>
  <w:num w:numId="10" w16cid:durableId="746919804">
    <w:abstractNumId w:val="3"/>
  </w:num>
  <w:num w:numId="11" w16cid:durableId="790052226">
    <w:abstractNumId w:val="12"/>
  </w:num>
  <w:num w:numId="12" w16cid:durableId="135951590">
    <w:abstractNumId w:val="16"/>
  </w:num>
  <w:num w:numId="13" w16cid:durableId="718013830">
    <w:abstractNumId w:val="13"/>
  </w:num>
  <w:num w:numId="14" w16cid:durableId="1223177318">
    <w:abstractNumId w:val="7"/>
  </w:num>
  <w:num w:numId="15" w16cid:durableId="1537085066">
    <w:abstractNumId w:val="4"/>
  </w:num>
  <w:num w:numId="16" w16cid:durableId="1605190057">
    <w:abstractNumId w:val="1"/>
  </w:num>
  <w:num w:numId="17" w16cid:durableId="33966923">
    <w:abstractNumId w:val="2"/>
  </w:num>
  <w:num w:numId="18" w16cid:durableId="1933926489">
    <w:abstractNumId w:val="8"/>
  </w:num>
  <w:num w:numId="19" w16cid:durableId="884876362">
    <w:abstractNumId w:val="0"/>
  </w:num>
  <w:num w:numId="20" w16cid:durableId="1756855003">
    <w:abstractNumId w:val="9"/>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561EB"/>
    <w:rsid w:val="000067B3"/>
    <w:rsid w:val="00010A2E"/>
    <w:rsid w:val="000115F5"/>
    <w:rsid w:val="00013BC8"/>
    <w:rsid w:val="00015806"/>
    <w:rsid w:val="00015AA7"/>
    <w:rsid w:val="00023282"/>
    <w:rsid w:val="00023AE7"/>
    <w:rsid w:val="00024BBE"/>
    <w:rsid w:val="0002538B"/>
    <w:rsid w:val="00042399"/>
    <w:rsid w:val="000446D0"/>
    <w:rsid w:val="00044D56"/>
    <w:rsid w:val="000455A8"/>
    <w:rsid w:val="00047F90"/>
    <w:rsid w:val="00050C1A"/>
    <w:rsid w:val="00051666"/>
    <w:rsid w:val="00061153"/>
    <w:rsid w:val="00065F4C"/>
    <w:rsid w:val="00065F6B"/>
    <w:rsid w:val="0006768A"/>
    <w:rsid w:val="000707C9"/>
    <w:rsid w:val="00070DC8"/>
    <w:rsid w:val="000738BD"/>
    <w:rsid w:val="000836EA"/>
    <w:rsid w:val="000837F8"/>
    <w:rsid w:val="00090580"/>
    <w:rsid w:val="00094F2D"/>
    <w:rsid w:val="000A093E"/>
    <w:rsid w:val="000A0A3E"/>
    <w:rsid w:val="000B16C8"/>
    <w:rsid w:val="000B5FFF"/>
    <w:rsid w:val="000C03CF"/>
    <w:rsid w:val="000C1E6B"/>
    <w:rsid w:val="000C3CE7"/>
    <w:rsid w:val="000D18AA"/>
    <w:rsid w:val="000D50D9"/>
    <w:rsid w:val="000E3733"/>
    <w:rsid w:val="000F0181"/>
    <w:rsid w:val="000F4B59"/>
    <w:rsid w:val="000F5921"/>
    <w:rsid w:val="00101359"/>
    <w:rsid w:val="00101F5D"/>
    <w:rsid w:val="001026D9"/>
    <w:rsid w:val="0011172B"/>
    <w:rsid w:val="00111B4C"/>
    <w:rsid w:val="001137B7"/>
    <w:rsid w:val="00113DE1"/>
    <w:rsid w:val="00113FB0"/>
    <w:rsid w:val="0011570E"/>
    <w:rsid w:val="001172BC"/>
    <w:rsid w:val="001231DE"/>
    <w:rsid w:val="00126C9B"/>
    <w:rsid w:val="00134DCD"/>
    <w:rsid w:val="00135C1B"/>
    <w:rsid w:val="00137A10"/>
    <w:rsid w:val="001438E9"/>
    <w:rsid w:val="00145784"/>
    <w:rsid w:val="00146B8F"/>
    <w:rsid w:val="00152BB6"/>
    <w:rsid w:val="001616EB"/>
    <w:rsid w:val="00162D7C"/>
    <w:rsid w:val="001668A8"/>
    <w:rsid w:val="0016791D"/>
    <w:rsid w:val="0017159B"/>
    <w:rsid w:val="00174256"/>
    <w:rsid w:val="0017554C"/>
    <w:rsid w:val="0018283B"/>
    <w:rsid w:val="00183449"/>
    <w:rsid w:val="00185692"/>
    <w:rsid w:val="001875CD"/>
    <w:rsid w:val="001A0528"/>
    <w:rsid w:val="001A08B8"/>
    <w:rsid w:val="001A1120"/>
    <w:rsid w:val="001A1789"/>
    <w:rsid w:val="001A6536"/>
    <w:rsid w:val="001B071D"/>
    <w:rsid w:val="001B6D55"/>
    <w:rsid w:val="001B761E"/>
    <w:rsid w:val="001B7879"/>
    <w:rsid w:val="001C0F9F"/>
    <w:rsid w:val="001C1479"/>
    <w:rsid w:val="001C5851"/>
    <w:rsid w:val="001C76E3"/>
    <w:rsid w:val="001D55E9"/>
    <w:rsid w:val="001E0D5D"/>
    <w:rsid w:val="001E0DB9"/>
    <w:rsid w:val="001E10B2"/>
    <w:rsid w:val="001E370F"/>
    <w:rsid w:val="001E5B71"/>
    <w:rsid w:val="001E658B"/>
    <w:rsid w:val="001E70BD"/>
    <w:rsid w:val="001F0F74"/>
    <w:rsid w:val="001F0FB5"/>
    <w:rsid w:val="001F2D01"/>
    <w:rsid w:val="001F57A7"/>
    <w:rsid w:val="001F675A"/>
    <w:rsid w:val="001F7B4F"/>
    <w:rsid w:val="00200562"/>
    <w:rsid w:val="00200A86"/>
    <w:rsid w:val="00201345"/>
    <w:rsid w:val="002064F3"/>
    <w:rsid w:val="00206E11"/>
    <w:rsid w:val="002075BB"/>
    <w:rsid w:val="00216AC4"/>
    <w:rsid w:val="00216B03"/>
    <w:rsid w:val="002200B0"/>
    <w:rsid w:val="002225A3"/>
    <w:rsid w:val="00222FEF"/>
    <w:rsid w:val="00226CC9"/>
    <w:rsid w:val="0023111D"/>
    <w:rsid w:val="00235D59"/>
    <w:rsid w:val="00240227"/>
    <w:rsid w:val="002423B1"/>
    <w:rsid w:val="00244898"/>
    <w:rsid w:val="002452FE"/>
    <w:rsid w:val="00245313"/>
    <w:rsid w:val="00250EE7"/>
    <w:rsid w:val="00251ED2"/>
    <w:rsid w:val="00252494"/>
    <w:rsid w:val="00252D1C"/>
    <w:rsid w:val="0025338C"/>
    <w:rsid w:val="00270BEB"/>
    <w:rsid w:val="002713B0"/>
    <w:rsid w:val="00271961"/>
    <w:rsid w:val="00272F0A"/>
    <w:rsid w:val="00275324"/>
    <w:rsid w:val="002771FC"/>
    <w:rsid w:val="002811FC"/>
    <w:rsid w:val="002828A3"/>
    <w:rsid w:val="002847F6"/>
    <w:rsid w:val="00286811"/>
    <w:rsid w:val="00286EBD"/>
    <w:rsid w:val="00293556"/>
    <w:rsid w:val="0029431B"/>
    <w:rsid w:val="00295599"/>
    <w:rsid w:val="002A079B"/>
    <w:rsid w:val="002A0AF7"/>
    <w:rsid w:val="002A589B"/>
    <w:rsid w:val="002A6CE8"/>
    <w:rsid w:val="002B184C"/>
    <w:rsid w:val="002C0340"/>
    <w:rsid w:val="002C15B8"/>
    <w:rsid w:val="002C2DF7"/>
    <w:rsid w:val="002D08F2"/>
    <w:rsid w:val="002D1264"/>
    <w:rsid w:val="002E55AA"/>
    <w:rsid w:val="002E7359"/>
    <w:rsid w:val="002E7D36"/>
    <w:rsid w:val="002E7D83"/>
    <w:rsid w:val="002F114C"/>
    <w:rsid w:val="002F3B04"/>
    <w:rsid w:val="002F71C6"/>
    <w:rsid w:val="00302FC3"/>
    <w:rsid w:val="00311EA2"/>
    <w:rsid w:val="00311F23"/>
    <w:rsid w:val="0031560D"/>
    <w:rsid w:val="00315BE1"/>
    <w:rsid w:val="0032516B"/>
    <w:rsid w:val="00325401"/>
    <w:rsid w:val="003304E1"/>
    <w:rsid w:val="003335F7"/>
    <w:rsid w:val="00334782"/>
    <w:rsid w:val="0034272E"/>
    <w:rsid w:val="00344644"/>
    <w:rsid w:val="00344D8F"/>
    <w:rsid w:val="0035184B"/>
    <w:rsid w:val="003558CF"/>
    <w:rsid w:val="00356E2F"/>
    <w:rsid w:val="00362EE2"/>
    <w:rsid w:val="00364B06"/>
    <w:rsid w:val="00364EB6"/>
    <w:rsid w:val="00372870"/>
    <w:rsid w:val="00373773"/>
    <w:rsid w:val="00377078"/>
    <w:rsid w:val="003856FF"/>
    <w:rsid w:val="00385E67"/>
    <w:rsid w:val="003900AC"/>
    <w:rsid w:val="00394A79"/>
    <w:rsid w:val="003967E5"/>
    <w:rsid w:val="003B2E2E"/>
    <w:rsid w:val="003B5634"/>
    <w:rsid w:val="003C0F29"/>
    <w:rsid w:val="003D009A"/>
    <w:rsid w:val="003D5C94"/>
    <w:rsid w:val="003E0AFE"/>
    <w:rsid w:val="003E10FB"/>
    <w:rsid w:val="003F0C8D"/>
    <w:rsid w:val="003F170D"/>
    <w:rsid w:val="003F1C2D"/>
    <w:rsid w:val="003F333C"/>
    <w:rsid w:val="003F6A32"/>
    <w:rsid w:val="003F75D3"/>
    <w:rsid w:val="0040503C"/>
    <w:rsid w:val="00406ADA"/>
    <w:rsid w:val="004122BF"/>
    <w:rsid w:val="00412D6B"/>
    <w:rsid w:val="00413BB3"/>
    <w:rsid w:val="00417405"/>
    <w:rsid w:val="00421BD1"/>
    <w:rsid w:val="0042328F"/>
    <w:rsid w:val="004257CB"/>
    <w:rsid w:val="00430DB7"/>
    <w:rsid w:val="00431551"/>
    <w:rsid w:val="00433681"/>
    <w:rsid w:val="004428B6"/>
    <w:rsid w:val="004437DA"/>
    <w:rsid w:val="00443979"/>
    <w:rsid w:val="00445781"/>
    <w:rsid w:val="00450A5D"/>
    <w:rsid w:val="0045483F"/>
    <w:rsid w:val="004561EB"/>
    <w:rsid w:val="00462414"/>
    <w:rsid w:val="00462770"/>
    <w:rsid w:val="0046288F"/>
    <w:rsid w:val="00462ED2"/>
    <w:rsid w:val="00463EB2"/>
    <w:rsid w:val="00464CDB"/>
    <w:rsid w:val="00466373"/>
    <w:rsid w:val="0047085A"/>
    <w:rsid w:val="00472AB5"/>
    <w:rsid w:val="00473216"/>
    <w:rsid w:val="0047499A"/>
    <w:rsid w:val="00474CBD"/>
    <w:rsid w:val="004767B8"/>
    <w:rsid w:val="0047767D"/>
    <w:rsid w:val="004808A5"/>
    <w:rsid w:val="00482006"/>
    <w:rsid w:val="00483400"/>
    <w:rsid w:val="00483A69"/>
    <w:rsid w:val="0048417B"/>
    <w:rsid w:val="0048503A"/>
    <w:rsid w:val="004959ED"/>
    <w:rsid w:val="004978C1"/>
    <w:rsid w:val="004A4694"/>
    <w:rsid w:val="004B1B7A"/>
    <w:rsid w:val="004B1F81"/>
    <w:rsid w:val="004B23DF"/>
    <w:rsid w:val="004B60DD"/>
    <w:rsid w:val="004C0549"/>
    <w:rsid w:val="004C2C49"/>
    <w:rsid w:val="004C618D"/>
    <w:rsid w:val="004C7CE4"/>
    <w:rsid w:val="004D1F88"/>
    <w:rsid w:val="004D2A05"/>
    <w:rsid w:val="004E0449"/>
    <w:rsid w:val="004E1F5C"/>
    <w:rsid w:val="004F015E"/>
    <w:rsid w:val="004F1C2C"/>
    <w:rsid w:val="004F23E3"/>
    <w:rsid w:val="004F405B"/>
    <w:rsid w:val="004F5A75"/>
    <w:rsid w:val="005027B3"/>
    <w:rsid w:val="00510BE5"/>
    <w:rsid w:val="00510EC0"/>
    <w:rsid w:val="0051180C"/>
    <w:rsid w:val="00513965"/>
    <w:rsid w:val="00516A6C"/>
    <w:rsid w:val="005229A8"/>
    <w:rsid w:val="00524469"/>
    <w:rsid w:val="00525B46"/>
    <w:rsid w:val="005311AF"/>
    <w:rsid w:val="005347DF"/>
    <w:rsid w:val="005407E1"/>
    <w:rsid w:val="005468AC"/>
    <w:rsid w:val="00546C8D"/>
    <w:rsid w:val="00554698"/>
    <w:rsid w:val="00556320"/>
    <w:rsid w:val="0055746C"/>
    <w:rsid w:val="00562BE4"/>
    <w:rsid w:val="005672CD"/>
    <w:rsid w:val="00567BA3"/>
    <w:rsid w:val="005701B2"/>
    <w:rsid w:val="005707AB"/>
    <w:rsid w:val="005730E8"/>
    <w:rsid w:val="00573B66"/>
    <w:rsid w:val="005915CF"/>
    <w:rsid w:val="00592522"/>
    <w:rsid w:val="0059332F"/>
    <w:rsid w:val="00593E97"/>
    <w:rsid w:val="005945D9"/>
    <w:rsid w:val="005A055E"/>
    <w:rsid w:val="005A1A0E"/>
    <w:rsid w:val="005A1F09"/>
    <w:rsid w:val="005A2F2D"/>
    <w:rsid w:val="005A3B2A"/>
    <w:rsid w:val="005A4A93"/>
    <w:rsid w:val="005C0DB9"/>
    <w:rsid w:val="005C462C"/>
    <w:rsid w:val="005C59BC"/>
    <w:rsid w:val="005C7088"/>
    <w:rsid w:val="005C7AA1"/>
    <w:rsid w:val="005D06FA"/>
    <w:rsid w:val="005D139E"/>
    <w:rsid w:val="005D5232"/>
    <w:rsid w:val="005E3769"/>
    <w:rsid w:val="005E4072"/>
    <w:rsid w:val="005E69E8"/>
    <w:rsid w:val="005E7B3B"/>
    <w:rsid w:val="005F4213"/>
    <w:rsid w:val="005F6357"/>
    <w:rsid w:val="005F639F"/>
    <w:rsid w:val="005F69B8"/>
    <w:rsid w:val="005F7C87"/>
    <w:rsid w:val="006016A5"/>
    <w:rsid w:val="00602A5A"/>
    <w:rsid w:val="0061143F"/>
    <w:rsid w:val="00616EBD"/>
    <w:rsid w:val="006174DF"/>
    <w:rsid w:val="00622C32"/>
    <w:rsid w:val="00626C3F"/>
    <w:rsid w:val="00630929"/>
    <w:rsid w:val="00632B42"/>
    <w:rsid w:val="00635148"/>
    <w:rsid w:val="0064559B"/>
    <w:rsid w:val="0065001D"/>
    <w:rsid w:val="00651B02"/>
    <w:rsid w:val="006521D2"/>
    <w:rsid w:val="0065412B"/>
    <w:rsid w:val="00657C64"/>
    <w:rsid w:val="00662AC8"/>
    <w:rsid w:val="0067005C"/>
    <w:rsid w:val="006738CC"/>
    <w:rsid w:val="0068086E"/>
    <w:rsid w:val="0068320C"/>
    <w:rsid w:val="00685A46"/>
    <w:rsid w:val="00687C1E"/>
    <w:rsid w:val="00693C55"/>
    <w:rsid w:val="00697ACF"/>
    <w:rsid w:val="00697DA1"/>
    <w:rsid w:val="006B0ADC"/>
    <w:rsid w:val="006B5938"/>
    <w:rsid w:val="006B5BB7"/>
    <w:rsid w:val="006C1901"/>
    <w:rsid w:val="006C4AF8"/>
    <w:rsid w:val="006D24E1"/>
    <w:rsid w:val="006D5224"/>
    <w:rsid w:val="006D7E5C"/>
    <w:rsid w:val="006D7F47"/>
    <w:rsid w:val="006E0C8C"/>
    <w:rsid w:val="006E0F18"/>
    <w:rsid w:val="006E1C0E"/>
    <w:rsid w:val="006E6670"/>
    <w:rsid w:val="006F5EBA"/>
    <w:rsid w:val="00703CAB"/>
    <w:rsid w:val="00703FBE"/>
    <w:rsid w:val="00706432"/>
    <w:rsid w:val="00712F8D"/>
    <w:rsid w:val="00717A2B"/>
    <w:rsid w:val="0072476B"/>
    <w:rsid w:val="007259D9"/>
    <w:rsid w:val="00726C31"/>
    <w:rsid w:val="0073108C"/>
    <w:rsid w:val="007321E8"/>
    <w:rsid w:val="00735194"/>
    <w:rsid w:val="00743D10"/>
    <w:rsid w:val="00752F27"/>
    <w:rsid w:val="00760D82"/>
    <w:rsid w:val="00766E15"/>
    <w:rsid w:val="0076741B"/>
    <w:rsid w:val="00767458"/>
    <w:rsid w:val="00773C1D"/>
    <w:rsid w:val="00774F26"/>
    <w:rsid w:val="0079103C"/>
    <w:rsid w:val="0079304A"/>
    <w:rsid w:val="007A0E92"/>
    <w:rsid w:val="007A2B94"/>
    <w:rsid w:val="007A3152"/>
    <w:rsid w:val="007B0174"/>
    <w:rsid w:val="007B2D6D"/>
    <w:rsid w:val="007C36EF"/>
    <w:rsid w:val="007C7AFC"/>
    <w:rsid w:val="007E5784"/>
    <w:rsid w:val="007F7024"/>
    <w:rsid w:val="007F77C7"/>
    <w:rsid w:val="008011DB"/>
    <w:rsid w:val="00807818"/>
    <w:rsid w:val="00807E6F"/>
    <w:rsid w:val="0081282D"/>
    <w:rsid w:val="00813C4B"/>
    <w:rsid w:val="00816D70"/>
    <w:rsid w:val="008221D7"/>
    <w:rsid w:val="008222E5"/>
    <w:rsid w:val="00827A8B"/>
    <w:rsid w:val="00832CAE"/>
    <w:rsid w:val="00840C3C"/>
    <w:rsid w:val="00841E46"/>
    <w:rsid w:val="0084437D"/>
    <w:rsid w:val="0084609C"/>
    <w:rsid w:val="00846808"/>
    <w:rsid w:val="008474D3"/>
    <w:rsid w:val="0085082C"/>
    <w:rsid w:val="00850BF3"/>
    <w:rsid w:val="008572FA"/>
    <w:rsid w:val="00864CE3"/>
    <w:rsid w:val="00866CEF"/>
    <w:rsid w:val="00867BE0"/>
    <w:rsid w:val="00871EA0"/>
    <w:rsid w:val="00874A0E"/>
    <w:rsid w:val="00874BF6"/>
    <w:rsid w:val="00875A3E"/>
    <w:rsid w:val="00875DD6"/>
    <w:rsid w:val="0087707D"/>
    <w:rsid w:val="00884F0B"/>
    <w:rsid w:val="00885692"/>
    <w:rsid w:val="00886D5D"/>
    <w:rsid w:val="00890DBF"/>
    <w:rsid w:val="00896CEB"/>
    <w:rsid w:val="00896E68"/>
    <w:rsid w:val="008A5558"/>
    <w:rsid w:val="008A624C"/>
    <w:rsid w:val="008A768E"/>
    <w:rsid w:val="008B3A44"/>
    <w:rsid w:val="008B5C1D"/>
    <w:rsid w:val="008B7A4C"/>
    <w:rsid w:val="008C30E9"/>
    <w:rsid w:val="008C3ABE"/>
    <w:rsid w:val="008C45E0"/>
    <w:rsid w:val="008C57F7"/>
    <w:rsid w:val="008C5F08"/>
    <w:rsid w:val="008D51E5"/>
    <w:rsid w:val="008D65B9"/>
    <w:rsid w:val="008E3138"/>
    <w:rsid w:val="008E37D8"/>
    <w:rsid w:val="008F4830"/>
    <w:rsid w:val="008F4B10"/>
    <w:rsid w:val="008F5347"/>
    <w:rsid w:val="008F5FEF"/>
    <w:rsid w:val="00901B64"/>
    <w:rsid w:val="00903072"/>
    <w:rsid w:val="00905574"/>
    <w:rsid w:val="00907A70"/>
    <w:rsid w:val="0091655C"/>
    <w:rsid w:val="009225E6"/>
    <w:rsid w:val="00923033"/>
    <w:rsid w:val="009249CC"/>
    <w:rsid w:val="00925978"/>
    <w:rsid w:val="00926EEA"/>
    <w:rsid w:val="00927831"/>
    <w:rsid w:val="00927D62"/>
    <w:rsid w:val="00931C38"/>
    <w:rsid w:val="00932A91"/>
    <w:rsid w:val="0093634F"/>
    <w:rsid w:val="0094364A"/>
    <w:rsid w:val="00943C93"/>
    <w:rsid w:val="009448CE"/>
    <w:rsid w:val="0094554C"/>
    <w:rsid w:val="0095002B"/>
    <w:rsid w:val="00952B35"/>
    <w:rsid w:val="00954D4E"/>
    <w:rsid w:val="00960CDF"/>
    <w:rsid w:val="00962CC2"/>
    <w:rsid w:val="00962D25"/>
    <w:rsid w:val="009656A3"/>
    <w:rsid w:val="0096725B"/>
    <w:rsid w:val="009675B1"/>
    <w:rsid w:val="00970D43"/>
    <w:rsid w:val="00972288"/>
    <w:rsid w:val="009726AD"/>
    <w:rsid w:val="009804BC"/>
    <w:rsid w:val="00987360"/>
    <w:rsid w:val="00990467"/>
    <w:rsid w:val="009922AE"/>
    <w:rsid w:val="00994108"/>
    <w:rsid w:val="009944F3"/>
    <w:rsid w:val="00996859"/>
    <w:rsid w:val="009976A6"/>
    <w:rsid w:val="009A15B9"/>
    <w:rsid w:val="009A2C32"/>
    <w:rsid w:val="009A30E5"/>
    <w:rsid w:val="009A50B4"/>
    <w:rsid w:val="009B52CA"/>
    <w:rsid w:val="009C1AAD"/>
    <w:rsid w:val="009C7B70"/>
    <w:rsid w:val="009D1380"/>
    <w:rsid w:val="009D1E5B"/>
    <w:rsid w:val="009D2BB4"/>
    <w:rsid w:val="009D39A1"/>
    <w:rsid w:val="009D534D"/>
    <w:rsid w:val="009D5E52"/>
    <w:rsid w:val="009D7A3D"/>
    <w:rsid w:val="009E2F95"/>
    <w:rsid w:val="009E3B34"/>
    <w:rsid w:val="009E5ECC"/>
    <w:rsid w:val="009E7D78"/>
    <w:rsid w:val="009E7F8E"/>
    <w:rsid w:val="009F186C"/>
    <w:rsid w:val="009F73C2"/>
    <w:rsid w:val="00A00654"/>
    <w:rsid w:val="00A078B7"/>
    <w:rsid w:val="00A10060"/>
    <w:rsid w:val="00A11BC3"/>
    <w:rsid w:val="00A14057"/>
    <w:rsid w:val="00A15BCD"/>
    <w:rsid w:val="00A2454B"/>
    <w:rsid w:val="00A25093"/>
    <w:rsid w:val="00A3264A"/>
    <w:rsid w:val="00A32FC9"/>
    <w:rsid w:val="00A348DA"/>
    <w:rsid w:val="00A376E6"/>
    <w:rsid w:val="00A414D3"/>
    <w:rsid w:val="00A4304F"/>
    <w:rsid w:val="00A46928"/>
    <w:rsid w:val="00A5151D"/>
    <w:rsid w:val="00A537DC"/>
    <w:rsid w:val="00A54462"/>
    <w:rsid w:val="00A56586"/>
    <w:rsid w:val="00A5671F"/>
    <w:rsid w:val="00A600E1"/>
    <w:rsid w:val="00A61461"/>
    <w:rsid w:val="00A62234"/>
    <w:rsid w:val="00A65E7B"/>
    <w:rsid w:val="00A67994"/>
    <w:rsid w:val="00A733CD"/>
    <w:rsid w:val="00A7770E"/>
    <w:rsid w:val="00A8018F"/>
    <w:rsid w:val="00A80DAA"/>
    <w:rsid w:val="00A87AB7"/>
    <w:rsid w:val="00A90321"/>
    <w:rsid w:val="00A91D23"/>
    <w:rsid w:val="00AA0038"/>
    <w:rsid w:val="00AA01FB"/>
    <w:rsid w:val="00AA2744"/>
    <w:rsid w:val="00AA3C04"/>
    <w:rsid w:val="00AA6340"/>
    <w:rsid w:val="00AB050A"/>
    <w:rsid w:val="00AB3FE6"/>
    <w:rsid w:val="00AC03B2"/>
    <w:rsid w:val="00AC3EC9"/>
    <w:rsid w:val="00AD35FD"/>
    <w:rsid w:val="00AD4427"/>
    <w:rsid w:val="00AD5992"/>
    <w:rsid w:val="00AD7B87"/>
    <w:rsid w:val="00AE27D8"/>
    <w:rsid w:val="00AE4FC9"/>
    <w:rsid w:val="00AE5C3B"/>
    <w:rsid w:val="00AE69E4"/>
    <w:rsid w:val="00AF5D0F"/>
    <w:rsid w:val="00AF5E2E"/>
    <w:rsid w:val="00AF6EB0"/>
    <w:rsid w:val="00B014F4"/>
    <w:rsid w:val="00B048C8"/>
    <w:rsid w:val="00B04BA5"/>
    <w:rsid w:val="00B11005"/>
    <w:rsid w:val="00B140EC"/>
    <w:rsid w:val="00B15CC0"/>
    <w:rsid w:val="00B20268"/>
    <w:rsid w:val="00B27F96"/>
    <w:rsid w:val="00B27FBD"/>
    <w:rsid w:val="00B35992"/>
    <w:rsid w:val="00B35BF8"/>
    <w:rsid w:val="00B419DA"/>
    <w:rsid w:val="00B41DCC"/>
    <w:rsid w:val="00B42DF3"/>
    <w:rsid w:val="00B474EC"/>
    <w:rsid w:val="00B47F79"/>
    <w:rsid w:val="00B51529"/>
    <w:rsid w:val="00B51C81"/>
    <w:rsid w:val="00B5394E"/>
    <w:rsid w:val="00B54A9D"/>
    <w:rsid w:val="00B54E04"/>
    <w:rsid w:val="00B56ACE"/>
    <w:rsid w:val="00B61DCF"/>
    <w:rsid w:val="00B623EB"/>
    <w:rsid w:val="00B6514D"/>
    <w:rsid w:val="00B6718A"/>
    <w:rsid w:val="00B73858"/>
    <w:rsid w:val="00B74D7F"/>
    <w:rsid w:val="00B8090E"/>
    <w:rsid w:val="00B818F5"/>
    <w:rsid w:val="00B81AEB"/>
    <w:rsid w:val="00B81C7C"/>
    <w:rsid w:val="00B8447E"/>
    <w:rsid w:val="00B866ED"/>
    <w:rsid w:val="00B87CB1"/>
    <w:rsid w:val="00B93327"/>
    <w:rsid w:val="00B9458B"/>
    <w:rsid w:val="00B9612E"/>
    <w:rsid w:val="00BA0FA5"/>
    <w:rsid w:val="00BA14A9"/>
    <w:rsid w:val="00BA6DE9"/>
    <w:rsid w:val="00BB1814"/>
    <w:rsid w:val="00BB2A47"/>
    <w:rsid w:val="00BB53F2"/>
    <w:rsid w:val="00BC2CB0"/>
    <w:rsid w:val="00BC3EE6"/>
    <w:rsid w:val="00BC64C0"/>
    <w:rsid w:val="00BC7482"/>
    <w:rsid w:val="00BD023E"/>
    <w:rsid w:val="00BE126F"/>
    <w:rsid w:val="00BE4437"/>
    <w:rsid w:val="00BE4DD3"/>
    <w:rsid w:val="00BE618B"/>
    <w:rsid w:val="00BF3EED"/>
    <w:rsid w:val="00BF4D56"/>
    <w:rsid w:val="00C00A42"/>
    <w:rsid w:val="00C0332A"/>
    <w:rsid w:val="00C0462C"/>
    <w:rsid w:val="00C072ED"/>
    <w:rsid w:val="00C07F3E"/>
    <w:rsid w:val="00C12A38"/>
    <w:rsid w:val="00C20598"/>
    <w:rsid w:val="00C241CD"/>
    <w:rsid w:val="00C256A7"/>
    <w:rsid w:val="00C26DD5"/>
    <w:rsid w:val="00C3038A"/>
    <w:rsid w:val="00C30CFA"/>
    <w:rsid w:val="00C32E0A"/>
    <w:rsid w:val="00C35C95"/>
    <w:rsid w:val="00C37550"/>
    <w:rsid w:val="00C45884"/>
    <w:rsid w:val="00C47568"/>
    <w:rsid w:val="00C51641"/>
    <w:rsid w:val="00C53BAC"/>
    <w:rsid w:val="00C61C08"/>
    <w:rsid w:val="00C636E0"/>
    <w:rsid w:val="00C70FE2"/>
    <w:rsid w:val="00C7208C"/>
    <w:rsid w:val="00C818C1"/>
    <w:rsid w:val="00C851FC"/>
    <w:rsid w:val="00C87706"/>
    <w:rsid w:val="00C91CA4"/>
    <w:rsid w:val="00C921A5"/>
    <w:rsid w:val="00CA6A3A"/>
    <w:rsid w:val="00CA7B8E"/>
    <w:rsid w:val="00CB4A9B"/>
    <w:rsid w:val="00CB7A8A"/>
    <w:rsid w:val="00CB7D55"/>
    <w:rsid w:val="00CC313A"/>
    <w:rsid w:val="00CC66D8"/>
    <w:rsid w:val="00CC6BA8"/>
    <w:rsid w:val="00CC7121"/>
    <w:rsid w:val="00CC793E"/>
    <w:rsid w:val="00CE1036"/>
    <w:rsid w:val="00CE2CA0"/>
    <w:rsid w:val="00CE7101"/>
    <w:rsid w:val="00CF16CD"/>
    <w:rsid w:val="00CF7650"/>
    <w:rsid w:val="00D0049E"/>
    <w:rsid w:val="00D00A93"/>
    <w:rsid w:val="00D023F9"/>
    <w:rsid w:val="00D03692"/>
    <w:rsid w:val="00D036DD"/>
    <w:rsid w:val="00D07C8E"/>
    <w:rsid w:val="00D11135"/>
    <w:rsid w:val="00D1417F"/>
    <w:rsid w:val="00D14D96"/>
    <w:rsid w:val="00D1655B"/>
    <w:rsid w:val="00D16AB1"/>
    <w:rsid w:val="00D20FA4"/>
    <w:rsid w:val="00D268BF"/>
    <w:rsid w:val="00D27F7C"/>
    <w:rsid w:val="00D31978"/>
    <w:rsid w:val="00D337FB"/>
    <w:rsid w:val="00D376CA"/>
    <w:rsid w:val="00D4162B"/>
    <w:rsid w:val="00D42844"/>
    <w:rsid w:val="00D42D18"/>
    <w:rsid w:val="00D43FFB"/>
    <w:rsid w:val="00D44D99"/>
    <w:rsid w:val="00D53A70"/>
    <w:rsid w:val="00D54BED"/>
    <w:rsid w:val="00D55FDC"/>
    <w:rsid w:val="00D57482"/>
    <w:rsid w:val="00D6620F"/>
    <w:rsid w:val="00D73387"/>
    <w:rsid w:val="00D745FF"/>
    <w:rsid w:val="00D80516"/>
    <w:rsid w:val="00D82788"/>
    <w:rsid w:val="00D923B3"/>
    <w:rsid w:val="00D933D3"/>
    <w:rsid w:val="00D95ABF"/>
    <w:rsid w:val="00D97D17"/>
    <w:rsid w:val="00DA16F8"/>
    <w:rsid w:val="00DA1E8D"/>
    <w:rsid w:val="00DA34DB"/>
    <w:rsid w:val="00DA4536"/>
    <w:rsid w:val="00DA6156"/>
    <w:rsid w:val="00DA6403"/>
    <w:rsid w:val="00DA78EE"/>
    <w:rsid w:val="00DB1DA5"/>
    <w:rsid w:val="00DB3380"/>
    <w:rsid w:val="00DB3958"/>
    <w:rsid w:val="00DB48B0"/>
    <w:rsid w:val="00DB5711"/>
    <w:rsid w:val="00DC1A5B"/>
    <w:rsid w:val="00DC39DB"/>
    <w:rsid w:val="00DC5367"/>
    <w:rsid w:val="00DC78A3"/>
    <w:rsid w:val="00DD115C"/>
    <w:rsid w:val="00DD1FEE"/>
    <w:rsid w:val="00DD2586"/>
    <w:rsid w:val="00DD391E"/>
    <w:rsid w:val="00DD4BA8"/>
    <w:rsid w:val="00DD6FD0"/>
    <w:rsid w:val="00DD7700"/>
    <w:rsid w:val="00DD7F6B"/>
    <w:rsid w:val="00DF01CA"/>
    <w:rsid w:val="00DF02AB"/>
    <w:rsid w:val="00DF2902"/>
    <w:rsid w:val="00DF2E8C"/>
    <w:rsid w:val="00DF2F72"/>
    <w:rsid w:val="00E0039F"/>
    <w:rsid w:val="00E068F4"/>
    <w:rsid w:val="00E07823"/>
    <w:rsid w:val="00E1241F"/>
    <w:rsid w:val="00E1244E"/>
    <w:rsid w:val="00E140ED"/>
    <w:rsid w:val="00E148B4"/>
    <w:rsid w:val="00E1602C"/>
    <w:rsid w:val="00E3000E"/>
    <w:rsid w:val="00E30F9C"/>
    <w:rsid w:val="00E31D5C"/>
    <w:rsid w:val="00E34CF4"/>
    <w:rsid w:val="00E439FF"/>
    <w:rsid w:val="00E44D02"/>
    <w:rsid w:val="00E46A8F"/>
    <w:rsid w:val="00E46E14"/>
    <w:rsid w:val="00E54A66"/>
    <w:rsid w:val="00E54A6B"/>
    <w:rsid w:val="00E570DE"/>
    <w:rsid w:val="00E57139"/>
    <w:rsid w:val="00E71548"/>
    <w:rsid w:val="00E85C4A"/>
    <w:rsid w:val="00E914E4"/>
    <w:rsid w:val="00E95538"/>
    <w:rsid w:val="00EA2504"/>
    <w:rsid w:val="00EA2BCD"/>
    <w:rsid w:val="00EA723B"/>
    <w:rsid w:val="00EB121A"/>
    <w:rsid w:val="00EB1D0C"/>
    <w:rsid w:val="00EB53DD"/>
    <w:rsid w:val="00EB76DB"/>
    <w:rsid w:val="00EC03CF"/>
    <w:rsid w:val="00EC53F4"/>
    <w:rsid w:val="00EC59AB"/>
    <w:rsid w:val="00EC77D6"/>
    <w:rsid w:val="00ED04CC"/>
    <w:rsid w:val="00ED1D1E"/>
    <w:rsid w:val="00ED25D3"/>
    <w:rsid w:val="00ED6502"/>
    <w:rsid w:val="00ED734E"/>
    <w:rsid w:val="00EE0D2D"/>
    <w:rsid w:val="00EE160F"/>
    <w:rsid w:val="00EE784F"/>
    <w:rsid w:val="00EF0E2B"/>
    <w:rsid w:val="00EF6A41"/>
    <w:rsid w:val="00F015A9"/>
    <w:rsid w:val="00F03544"/>
    <w:rsid w:val="00F045BC"/>
    <w:rsid w:val="00F047AD"/>
    <w:rsid w:val="00F060A9"/>
    <w:rsid w:val="00F10445"/>
    <w:rsid w:val="00F21D4F"/>
    <w:rsid w:val="00F23201"/>
    <w:rsid w:val="00F30E26"/>
    <w:rsid w:val="00F31753"/>
    <w:rsid w:val="00F34854"/>
    <w:rsid w:val="00F349CF"/>
    <w:rsid w:val="00F34EBC"/>
    <w:rsid w:val="00F35E07"/>
    <w:rsid w:val="00F446A4"/>
    <w:rsid w:val="00F47019"/>
    <w:rsid w:val="00F47AE4"/>
    <w:rsid w:val="00F51CB6"/>
    <w:rsid w:val="00F54653"/>
    <w:rsid w:val="00F54B6C"/>
    <w:rsid w:val="00F55F08"/>
    <w:rsid w:val="00F648F9"/>
    <w:rsid w:val="00F716F0"/>
    <w:rsid w:val="00F75D10"/>
    <w:rsid w:val="00F770B5"/>
    <w:rsid w:val="00F87DB6"/>
    <w:rsid w:val="00F94D07"/>
    <w:rsid w:val="00FA2217"/>
    <w:rsid w:val="00FA2FDD"/>
    <w:rsid w:val="00FA372B"/>
    <w:rsid w:val="00FB327D"/>
    <w:rsid w:val="00FB49F4"/>
    <w:rsid w:val="00FB57F0"/>
    <w:rsid w:val="00FB7329"/>
    <w:rsid w:val="00FB771B"/>
    <w:rsid w:val="00FB798F"/>
    <w:rsid w:val="00FC223F"/>
    <w:rsid w:val="00FC34E6"/>
    <w:rsid w:val="00FD0388"/>
    <w:rsid w:val="00FD0D66"/>
    <w:rsid w:val="00FD0FF6"/>
    <w:rsid w:val="00FD3E4D"/>
    <w:rsid w:val="00FD7843"/>
    <w:rsid w:val="00FE005A"/>
    <w:rsid w:val="00FE5D9D"/>
    <w:rsid w:val="00FF1045"/>
    <w:rsid w:val="00FF2C39"/>
    <w:rsid w:val="00FF4535"/>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E20F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D0388"/>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paragraph" w:styleId="Heading2">
    <w:name w:val="heading 2"/>
    <w:basedOn w:val="Normal"/>
    <w:next w:val="Normal"/>
    <w:link w:val="Heading2Char"/>
    <w:uiPriority w:val="9"/>
    <w:unhideWhenUsed/>
    <w:qFormat/>
    <w:rsid w:val="00D54BED"/>
    <w:pPr>
      <w:keepNext/>
      <w:keepLines/>
      <w:spacing w:before="200" w:after="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iPriority w:val="9"/>
    <w:unhideWhenUsed/>
    <w:qFormat/>
    <w:rsid w:val="002075BB"/>
    <w:pPr>
      <w:keepNext/>
      <w:keepLines/>
      <w:spacing w:before="200" w:after="0"/>
      <w:outlineLvl w:val="2"/>
    </w:pPr>
    <w:rPr>
      <w:rFonts w:asciiTheme="majorHAnsi" w:eastAsiaTheme="majorEastAsia" w:hAnsiTheme="majorHAnsi" w:cstheme="majorBidi"/>
      <w:b/>
      <w:bCs/>
      <w:color w:val="5B9BD5" w:themeColor="accent1"/>
    </w:rPr>
  </w:style>
  <w:style w:type="paragraph" w:styleId="Heading4">
    <w:name w:val="heading 4"/>
    <w:basedOn w:val="Normal"/>
    <w:next w:val="Normal"/>
    <w:link w:val="Heading4Char"/>
    <w:uiPriority w:val="9"/>
    <w:unhideWhenUsed/>
    <w:qFormat/>
    <w:rsid w:val="00EF0E2B"/>
    <w:pPr>
      <w:keepNext/>
      <w:keepLines/>
      <w:spacing w:before="200" w:after="0"/>
      <w:outlineLvl w:val="3"/>
    </w:pPr>
    <w:rPr>
      <w:rFonts w:asciiTheme="majorHAnsi" w:eastAsiaTheme="majorEastAsia" w:hAnsiTheme="majorHAnsi" w:cstheme="majorBidi"/>
      <w:b/>
      <w:bCs/>
      <w:i/>
      <w:iCs/>
      <w:color w:val="5B9BD5"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561EB"/>
    <w:rPr>
      <w:color w:val="0563C1" w:themeColor="hyperlink"/>
      <w:u w:val="single"/>
    </w:rPr>
  </w:style>
  <w:style w:type="table" w:styleId="TableGrid">
    <w:name w:val="Table Grid"/>
    <w:basedOn w:val="TableNormal"/>
    <w:uiPriority w:val="59"/>
    <w:rsid w:val="00FD0388"/>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FD0388"/>
    <w:rPr>
      <w:rFonts w:asciiTheme="majorHAnsi" w:eastAsiaTheme="majorEastAsia" w:hAnsiTheme="majorHAnsi" w:cstheme="majorBidi"/>
      <w:b/>
      <w:bCs/>
      <w:color w:val="2E74B5" w:themeColor="accent1" w:themeShade="BF"/>
      <w:sz w:val="28"/>
      <w:szCs w:val="28"/>
    </w:rPr>
  </w:style>
  <w:style w:type="paragraph" w:styleId="TOCHeading">
    <w:name w:val="TOC Heading"/>
    <w:basedOn w:val="Heading1"/>
    <w:next w:val="Normal"/>
    <w:uiPriority w:val="39"/>
    <w:semiHidden/>
    <w:unhideWhenUsed/>
    <w:qFormat/>
    <w:rsid w:val="00FD0388"/>
    <w:pPr>
      <w:spacing w:line="276" w:lineRule="auto"/>
      <w:outlineLvl w:val="9"/>
    </w:pPr>
    <w:rPr>
      <w:lang w:val="en-US" w:eastAsia="ja-JP"/>
    </w:rPr>
  </w:style>
  <w:style w:type="paragraph" w:styleId="BalloonText">
    <w:name w:val="Balloon Text"/>
    <w:basedOn w:val="Normal"/>
    <w:link w:val="BalloonTextChar"/>
    <w:uiPriority w:val="99"/>
    <w:semiHidden/>
    <w:unhideWhenUsed/>
    <w:rsid w:val="00FD038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D0388"/>
    <w:rPr>
      <w:rFonts w:ascii="Tahoma" w:hAnsi="Tahoma" w:cs="Tahoma"/>
      <w:sz w:val="16"/>
      <w:szCs w:val="16"/>
    </w:rPr>
  </w:style>
  <w:style w:type="paragraph" w:styleId="TOC1">
    <w:name w:val="toc 1"/>
    <w:basedOn w:val="Normal"/>
    <w:next w:val="Normal"/>
    <w:autoRedefine/>
    <w:uiPriority w:val="39"/>
    <w:unhideWhenUsed/>
    <w:rsid w:val="008C45E0"/>
    <w:pPr>
      <w:spacing w:after="100"/>
    </w:pPr>
  </w:style>
  <w:style w:type="paragraph" w:styleId="Header">
    <w:name w:val="header"/>
    <w:basedOn w:val="Normal"/>
    <w:link w:val="HeaderChar"/>
    <w:uiPriority w:val="99"/>
    <w:unhideWhenUsed/>
    <w:rsid w:val="008C45E0"/>
    <w:pPr>
      <w:tabs>
        <w:tab w:val="center" w:pos="4680"/>
        <w:tab w:val="right" w:pos="9360"/>
      </w:tabs>
      <w:spacing w:after="0" w:line="240" w:lineRule="auto"/>
    </w:pPr>
  </w:style>
  <w:style w:type="character" w:customStyle="1" w:styleId="HeaderChar">
    <w:name w:val="Header Char"/>
    <w:basedOn w:val="DefaultParagraphFont"/>
    <w:link w:val="Header"/>
    <w:uiPriority w:val="99"/>
    <w:rsid w:val="008C45E0"/>
  </w:style>
  <w:style w:type="paragraph" w:styleId="Footer">
    <w:name w:val="footer"/>
    <w:basedOn w:val="Normal"/>
    <w:link w:val="FooterChar"/>
    <w:uiPriority w:val="99"/>
    <w:unhideWhenUsed/>
    <w:rsid w:val="008C45E0"/>
    <w:pPr>
      <w:tabs>
        <w:tab w:val="center" w:pos="4680"/>
        <w:tab w:val="right" w:pos="9360"/>
      </w:tabs>
      <w:spacing w:after="0" w:line="240" w:lineRule="auto"/>
    </w:pPr>
  </w:style>
  <w:style w:type="character" w:customStyle="1" w:styleId="FooterChar">
    <w:name w:val="Footer Char"/>
    <w:basedOn w:val="DefaultParagraphFont"/>
    <w:link w:val="Footer"/>
    <w:uiPriority w:val="99"/>
    <w:rsid w:val="008C45E0"/>
  </w:style>
  <w:style w:type="paragraph" w:styleId="ListParagraph">
    <w:name w:val="List Paragraph"/>
    <w:basedOn w:val="Normal"/>
    <w:uiPriority w:val="34"/>
    <w:qFormat/>
    <w:rsid w:val="00622C32"/>
    <w:pPr>
      <w:ind w:left="720"/>
      <w:contextualSpacing/>
    </w:pPr>
  </w:style>
  <w:style w:type="character" w:customStyle="1" w:styleId="Heading3Char">
    <w:name w:val="Heading 3 Char"/>
    <w:basedOn w:val="DefaultParagraphFont"/>
    <w:link w:val="Heading3"/>
    <w:uiPriority w:val="9"/>
    <w:rsid w:val="002075BB"/>
    <w:rPr>
      <w:rFonts w:asciiTheme="majorHAnsi" w:eastAsiaTheme="majorEastAsia" w:hAnsiTheme="majorHAnsi" w:cstheme="majorBidi"/>
      <w:b/>
      <w:bCs/>
      <w:color w:val="5B9BD5" w:themeColor="accent1"/>
    </w:rPr>
  </w:style>
  <w:style w:type="character" w:customStyle="1" w:styleId="Heading4Char">
    <w:name w:val="Heading 4 Char"/>
    <w:basedOn w:val="DefaultParagraphFont"/>
    <w:link w:val="Heading4"/>
    <w:uiPriority w:val="9"/>
    <w:rsid w:val="00EF0E2B"/>
    <w:rPr>
      <w:rFonts w:asciiTheme="majorHAnsi" w:eastAsiaTheme="majorEastAsia" w:hAnsiTheme="majorHAnsi" w:cstheme="majorBidi"/>
      <w:b/>
      <w:bCs/>
      <w:i/>
      <w:iCs/>
      <w:color w:val="5B9BD5" w:themeColor="accent1"/>
    </w:rPr>
  </w:style>
  <w:style w:type="table" w:styleId="MediumShading2-Accent3">
    <w:name w:val="Medium Shading 2 Accent 3"/>
    <w:basedOn w:val="TableNormal"/>
    <w:uiPriority w:val="64"/>
    <w:rsid w:val="00417405"/>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5A5A5"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5A5A5" w:themeFill="accent3"/>
      </w:tcPr>
    </w:tblStylePr>
    <w:tblStylePr w:type="lastCol">
      <w:rPr>
        <w:b/>
        <w:bCs/>
        <w:color w:val="FFFFFF" w:themeColor="background1"/>
      </w:rPr>
      <w:tblPr/>
      <w:tcPr>
        <w:tcBorders>
          <w:left w:val="nil"/>
          <w:right w:val="nil"/>
          <w:insideH w:val="nil"/>
          <w:insideV w:val="nil"/>
        </w:tcBorders>
        <w:shd w:val="clear" w:color="auto" w:fill="A5A5A5"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B818F5"/>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FC000"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FC000" w:themeFill="accent4"/>
      </w:tcPr>
    </w:tblStylePr>
    <w:tblStylePr w:type="lastCol">
      <w:rPr>
        <w:b/>
        <w:bCs/>
        <w:color w:val="FFFFFF" w:themeColor="background1"/>
      </w:rPr>
      <w:tblPr/>
      <w:tcPr>
        <w:tcBorders>
          <w:left w:val="nil"/>
          <w:right w:val="nil"/>
          <w:insideH w:val="nil"/>
          <w:insideV w:val="nil"/>
        </w:tcBorders>
        <w:shd w:val="clear" w:color="auto" w:fill="FFC000"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character" w:styleId="Strong">
    <w:name w:val="Strong"/>
    <w:basedOn w:val="DefaultParagraphFont"/>
    <w:uiPriority w:val="22"/>
    <w:qFormat/>
    <w:rsid w:val="00B818F5"/>
    <w:rPr>
      <w:b/>
      <w:bCs/>
    </w:rPr>
  </w:style>
  <w:style w:type="character" w:styleId="Emphasis">
    <w:name w:val="Emphasis"/>
    <w:basedOn w:val="DefaultParagraphFont"/>
    <w:uiPriority w:val="20"/>
    <w:qFormat/>
    <w:rsid w:val="00A4304F"/>
    <w:rPr>
      <w:i/>
      <w:iCs/>
    </w:rPr>
  </w:style>
  <w:style w:type="table" w:styleId="LightShading-Accent3">
    <w:name w:val="Light Shading Accent 3"/>
    <w:basedOn w:val="TableNormal"/>
    <w:uiPriority w:val="60"/>
    <w:rsid w:val="00A4304F"/>
    <w:pPr>
      <w:spacing w:after="0" w:line="240" w:lineRule="auto"/>
    </w:pPr>
    <w:rPr>
      <w:color w:val="7B7B7B" w:themeColor="accent3" w:themeShade="BF"/>
    </w:rPr>
    <w:tblPr>
      <w:tblStyleRowBandSize w:val="1"/>
      <w:tblStyleColBandSize w:val="1"/>
      <w:tblBorders>
        <w:top w:val="single" w:sz="8" w:space="0" w:color="A5A5A5" w:themeColor="accent3"/>
        <w:bottom w:val="single" w:sz="8" w:space="0" w:color="A5A5A5" w:themeColor="accent3"/>
      </w:tblBorders>
    </w:tblPr>
    <w:tblStylePr w:type="firstRow">
      <w:pPr>
        <w:spacing w:before="0" w:after="0"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lastRow">
      <w:pPr>
        <w:spacing w:before="0" w:after="0"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8E8E8" w:themeFill="accent3" w:themeFillTint="3F"/>
      </w:tcPr>
    </w:tblStylePr>
    <w:tblStylePr w:type="band1Horz">
      <w:tblPr/>
      <w:tcPr>
        <w:tcBorders>
          <w:left w:val="nil"/>
          <w:right w:val="nil"/>
          <w:insideH w:val="nil"/>
          <w:insideV w:val="nil"/>
        </w:tcBorders>
        <w:shd w:val="clear" w:color="auto" w:fill="E8E8E8" w:themeFill="accent3" w:themeFillTint="3F"/>
      </w:tcPr>
    </w:tblStylePr>
  </w:style>
  <w:style w:type="paragraph" w:styleId="NormalWeb">
    <w:name w:val="Normal (Web)"/>
    <w:basedOn w:val="Normal"/>
    <w:uiPriority w:val="99"/>
    <w:unhideWhenUsed/>
    <w:rsid w:val="00E54A66"/>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NoSpacing">
    <w:name w:val="No Spacing"/>
    <w:uiPriority w:val="1"/>
    <w:qFormat/>
    <w:rsid w:val="00385E67"/>
    <w:pPr>
      <w:spacing w:after="0" w:line="240" w:lineRule="auto"/>
    </w:pPr>
  </w:style>
  <w:style w:type="character" w:styleId="FollowedHyperlink">
    <w:name w:val="FollowedHyperlink"/>
    <w:basedOn w:val="DefaultParagraphFont"/>
    <w:uiPriority w:val="99"/>
    <w:semiHidden/>
    <w:unhideWhenUsed/>
    <w:rsid w:val="0034272E"/>
    <w:rPr>
      <w:color w:val="954F72" w:themeColor="followedHyperlink"/>
      <w:u w:val="single"/>
    </w:rPr>
  </w:style>
  <w:style w:type="character" w:customStyle="1" w:styleId="Heading2Char">
    <w:name w:val="Heading 2 Char"/>
    <w:basedOn w:val="DefaultParagraphFont"/>
    <w:link w:val="Heading2"/>
    <w:uiPriority w:val="9"/>
    <w:rsid w:val="00D54BED"/>
    <w:rPr>
      <w:rFonts w:asciiTheme="majorHAnsi" w:eastAsiaTheme="majorEastAsia" w:hAnsiTheme="majorHAnsi" w:cstheme="majorBidi"/>
      <w:b/>
      <w:bCs/>
      <w:color w:val="5B9BD5" w:themeColor="accent1"/>
      <w:sz w:val="26"/>
      <w:szCs w:val="26"/>
    </w:rPr>
  </w:style>
  <w:style w:type="paragraph" w:styleId="TOC2">
    <w:name w:val="toc 2"/>
    <w:basedOn w:val="Normal"/>
    <w:next w:val="Normal"/>
    <w:autoRedefine/>
    <w:uiPriority w:val="39"/>
    <w:unhideWhenUsed/>
    <w:rsid w:val="00712F8D"/>
    <w:pPr>
      <w:spacing w:after="100"/>
      <w:ind w:left="220"/>
    </w:pPr>
  </w:style>
  <w:style w:type="paragraph" w:styleId="TOC3">
    <w:name w:val="toc 3"/>
    <w:basedOn w:val="Normal"/>
    <w:next w:val="Normal"/>
    <w:autoRedefine/>
    <w:uiPriority w:val="39"/>
    <w:unhideWhenUsed/>
    <w:rsid w:val="001875CD"/>
    <w:pPr>
      <w:spacing w:after="100"/>
      <w:ind w:left="440"/>
    </w:pPr>
  </w:style>
  <w:style w:type="paragraph" w:styleId="Caption">
    <w:name w:val="caption"/>
    <w:basedOn w:val="Normal"/>
    <w:next w:val="Normal"/>
    <w:uiPriority w:val="35"/>
    <w:unhideWhenUsed/>
    <w:qFormat/>
    <w:rsid w:val="005229A8"/>
    <w:pPr>
      <w:spacing w:after="200" w:line="240" w:lineRule="auto"/>
    </w:pPr>
    <w:rPr>
      <w:b/>
      <w:bCs/>
      <w:color w:val="5B9BD5" w:themeColor="accent1"/>
      <w:sz w:val="18"/>
      <w:szCs w:val="18"/>
    </w:rPr>
  </w:style>
  <w:style w:type="paragraph" w:styleId="TableofFigures">
    <w:name w:val="table of figures"/>
    <w:basedOn w:val="Normal"/>
    <w:next w:val="Normal"/>
    <w:uiPriority w:val="99"/>
    <w:unhideWhenUsed/>
    <w:rsid w:val="009922AE"/>
    <w:pPr>
      <w:spacing w:after="0"/>
    </w:pPr>
  </w:style>
  <w:style w:type="table" w:styleId="MediumShading1-Accent6">
    <w:name w:val="Medium Shading 1 Accent 6"/>
    <w:basedOn w:val="TableNormal"/>
    <w:uiPriority w:val="63"/>
    <w:rsid w:val="000D50D9"/>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character" w:styleId="PlaceholderText">
    <w:name w:val="Placeholder Text"/>
    <w:basedOn w:val="DefaultParagraphFont"/>
    <w:uiPriority w:val="99"/>
    <w:semiHidden/>
    <w:rsid w:val="0096725B"/>
    <w:rPr>
      <w:color w:val="808080"/>
    </w:rPr>
  </w:style>
  <w:style w:type="paragraph" w:customStyle="1" w:styleId="ds-markdown-paragraph">
    <w:name w:val="ds-markdown-paragraph"/>
    <w:basedOn w:val="Normal"/>
    <w:rsid w:val="00697DA1"/>
    <w:pPr>
      <w:spacing w:before="100" w:beforeAutospacing="1" w:after="100" w:afterAutospacing="1" w:line="240" w:lineRule="auto"/>
    </w:pPr>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792012">
      <w:bodyDiv w:val="1"/>
      <w:marLeft w:val="0"/>
      <w:marRight w:val="0"/>
      <w:marTop w:val="0"/>
      <w:marBottom w:val="0"/>
      <w:divBdr>
        <w:top w:val="none" w:sz="0" w:space="0" w:color="auto"/>
        <w:left w:val="none" w:sz="0" w:space="0" w:color="auto"/>
        <w:bottom w:val="none" w:sz="0" w:space="0" w:color="auto"/>
        <w:right w:val="none" w:sz="0" w:space="0" w:color="auto"/>
      </w:divBdr>
    </w:div>
    <w:div w:id="59523654">
      <w:bodyDiv w:val="1"/>
      <w:marLeft w:val="0"/>
      <w:marRight w:val="0"/>
      <w:marTop w:val="0"/>
      <w:marBottom w:val="0"/>
      <w:divBdr>
        <w:top w:val="none" w:sz="0" w:space="0" w:color="auto"/>
        <w:left w:val="none" w:sz="0" w:space="0" w:color="auto"/>
        <w:bottom w:val="none" w:sz="0" w:space="0" w:color="auto"/>
        <w:right w:val="none" w:sz="0" w:space="0" w:color="auto"/>
      </w:divBdr>
    </w:div>
    <w:div w:id="90318221">
      <w:bodyDiv w:val="1"/>
      <w:marLeft w:val="0"/>
      <w:marRight w:val="0"/>
      <w:marTop w:val="0"/>
      <w:marBottom w:val="0"/>
      <w:divBdr>
        <w:top w:val="none" w:sz="0" w:space="0" w:color="auto"/>
        <w:left w:val="none" w:sz="0" w:space="0" w:color="auto"/>
        <w:bottom w:val="none" w:sz="0" w:space="0" w:color="auto"/>
        <w:right w:val="none" w:sz="0" w:space="0" w:color="auto"/>
      </w:divBdr>
    </w:div>
    <w:div w:id="98380608">
      <w:bodyDiv w:val="1"/>
      <w:marLeft w:val="0"/>
      <w:marRight w:val="0"/>
      <w:marTop w:val="0"/>
      <w:marBottom w:val="0"/>
      <w:divBdr>
        <w:top w:val="none" w:sz="0" w:space="0" w:color="auto"/>
        <w:left w:val="none" w:sz="0" w:space="0" w:color="auto"/>
        <w:bottom w:val="none" w:sz="0" w:space="0" w:color="auto"/>
        <w:right w:val="none" w:sz="0" w:space="0" w:color="auto"/>
      </w:divBdr>
    </w:div>
    <w:div w:id="111822946">
      <w:bodyDiv w:val="1"/>
      <w:marLeft w:val="0"/>
      <w:marRight w:val="0"/>
      <w:marTop w:val="0"/>
      <w:marBottom w:val="0"/>
      <w:divBdr>
        <w:top w:val="none" w:sz="0" w:space="0" w:color="auto"/>
        <w:left w:val="none" w:sz="0" w:space="0" w:color="auto"/>
        <w:bottom w:val="none" w:sz="0" w:space="0" w:color="auto"/>
        <w:right w:val="none" w:sz="0" w:space="0" w:color="auto"/>
      </w:divBdr>
    </w:div>
    <w:div w:id="214515268">
      <w:bodyDiv w:val="1"/>
      <w:marLeft w:val="0"/>
      <w:marRight w:val="0"/>
      <w:marTop w:val="0"/>
      <w:marBottom w:val="0"/>
      <w:divBdr>
        <w:top w:val="none" w:sz="0" w:space="0" w:color="auto"/>
        <w:left w:val="none" w:sz="0" w:space="0" w:color="auto"/>
        <w:bottom w:val="none" w:sz="0" w:space="0" w:color="auto"/>
        <w:right w:val="none" w:sz="0" w:space="0" w:color="auto"/>
      </w:divBdr>
    </w:div>
    <w:div w:id="311566375">
      <w:bodyDiv w:val="1"/>
      <w:marLeft w:val="0"/>
      <w:marRight w:val="0"/>
      <w:marTop w:val="0"/>
      <w:marBottom w:val="0"/>
      <w:divBdr>
        <w:top w:val="none" w:sz="0" w:space="0" w:color="auto"/>
        <w:left w:val="none" w:sz="0" w:space="0" w:color="auto"/>
        <w:bottom w:val="none" w:sz="0" w:space="0" w:color="auto"/>
        <w:right w:val="none" w:sz="0" w:space="0" w:color="auto"/>
      </w:divBdr>
    </w:div>
    <w:div w:id="313408992">
      <w:bodyDiv w:val="1"/>
      <w:marLeft w:val="0"/>
      <w:marRight w:val="0"/>
      <w:marTop w:val="0"/>
      <w:marBottom w:val="0"/>
      <w:divBdr>
        <w:top w:val="none" w:sz="0" w:space="0" w:color="auto"/>
        <w:left w:val="none" w:sz="0" w:space="0" w:color="auto"/>
        <w:bottom w:val="none" w:sz="0" w:space="0" w:color="auto"/>
        <w:right w:val="none" w:sz="0" w:space="0" w:color="auto"/>
      </w:divBdr>
    </w:div>
    <w:div w:id="340402135">
      <w:bodyDiv w:val="1"/>
      <w:marLeft w:val="0"/>
      <w:marRight w:val="0"/>
      <w:marTop w:val="0"/>
      <w:marBottom w:val="0"/>
      <w:divBdr>
        <w:top w:val="none" w:sz="0" w:space="0" w:color="auto"/>
        <w:left w:val="none" w:sz="0" w:space="0" w:color="auto"/>
        <w:bottom w:val="none" w:sz="0" w:space="0" w:color="auto"/>
        <w:right w:val="none" w:sz="0" w:space="0" w:color="auto"/>
      </w:divBdr>
    </w:div>
    <w:div w:id="347877120">
      <w:bodyDiv w:val="1"/>
      <w:marLeft w:val="0"/>
      <w:marRight w:val="0"/>
      <w:marTop w:val="0"/>
      <w:marBottom w:val="0"/>
      <w:divBdr>
        <w:top w:val="none" w:sz="0" w:space="0" w:color="auto"/>
        <w:left w:val="none" w:sz="0" w:space="0" w:color="auto"/>
        <w:bottom w:val="none" w:sz="0" w:space="0" w:color="auto"/>
        <w:right w:val="none" w:sz="0" w:space="0" w:color="auto"/>
      </w:divBdr>
    </w:div>
    <w:div w:id="370805813">
      <w:bodyDiv w:val="1"/>
      <w:marLeft w:val="0"/>
      <w:marRight w:val="0"/>
      <w:marTop w:val="0"/>
      <w:marBottom w:val="0"/>
      <w:divBdr>
        <w:top w:val="none" w:sz="0" w:space="0" w:color="auto"/>
        <w:left w:val="none" w:sz="0" w:space="0" w:color="auto"/>
        <w:bottom w:val="none" w:sz="0" w:space="0" w:color="auto"/>
        <w:right w:val="none" w:sz="0" w:space="0" w:color="auto"/>
      </w:divBdr>
      <w:divsChild>
        <w:div w:id="351033574">
          <w:marLeft w:val="0"/>
          <w:marRight w:val="0"/>
          <w:marTop w:val="0"/>
          <w:marBottom w:val="0"/>
          <w:divBdr>
            <w:top w:val="none" w:sz="0" w:space="0" w:color="auto"/>
            <w:left w:val="none" w:sz="0" w:space="0" w:color="auto"/>
            <w:bottom w:val="none" w:sz="0" w:space="0" w:color="auto"/>
            <w:right w:val="none" w:sz="0" w:space="0" w:color="auto"/>
          </w:divBdr>
        </w:div>
      </w:divsChild>
    </w:div>
    <w:div w:id="381247111">
      <w:bodyDiv w:val="1"/>
      <w:marLeft w:val="0"/>
      <w:marRight w:val="0"/>
      <w:marTop w:val="0"/>
      <w:marBottom w:val="0"/>
      <w:divBdr>
        <w:top w:val="none" w:sz="0" w:space="0" w:color="auto"/>
        <w:left w:val="none" w:sz="0" w:space="0" w:color="auto"/>
        <w:bottom w:val="none" w:sz="0" w:space="0" w:color="auto"/>
        <w:right w:val="none" w:sz="0" w:space="0" w:color="auto"/>
      </w:divBdr>
    </w:div>
    <w:div w:id="403263154">
      <w:bodyDiv w:val="1"/>
      <w:marLeft w:val="0"/>
      <w:marRight w:val="0"/>
      <w:marTop w:val="0"/>
      <w:marBottom w:val="0"/>
      <w:divBdr>
        <w:top w:val="none" w:sz="0" w:space="0" w:color="auto"/>
        <w:left w:val="none" w:sz="0" w:space="0" w:color="auto"/>
        <w:bottom w:val="none" w:sz="0" w:space="0" w:color="auto"/>
        <w:right w:val="none" w:sz="0" w:space="0" w:color="auto"/>
      </w:divBdr>
    </w:div>
    <w:div w:id="415060301">
      <w:bodyDiv w:val="1"/>
      <w:marLeft w:val="0"/>
      <w:marRight w:val="0"/>
      <w:marTop w:val="0"/>
      <w:marBottom w:val="0"/>
      <w:divBdr>
        <w:top w:val="none" w:sz="0" w:space="0" w:color="auto"/>
        <w:left w:val="none" w:sz="0" w:space="0" w:color="auto"/>
        <w:bottom w:val="none" w:sz="0" w:space="0" w:color="auto"/>
        <w:right w:val="none" w:sz="0" w:space="0" w:color="auto"/>
      </w:divBdr>
    </w:div>
    <w:div w:id="457531322">
      <w:bodyDiv w:val="1"/>
      <w:marLeft w:val="0"/>
      <w:marRight w:val="0"/>
      <w:marTop w:val="0"/>
      <w:marBottom w:val="0"/>
      <w:divBdr>
        <w:top w:val="none" w:sz="0" w:space="0" w:color="auto"/>
        <w:left w:val="none" w:sz="0" w:space="0" w:color="auto"/>
        <w:bottom w:val="none" w:sz="0" w:space="0" w:color="auto"/>
        <w:right w:val="none" w:sz="0" w:space="0" w:color="auto"/>
      </w:divBdr>
    </w:div>
    <w:div w:id="458451906">
      <w:bodyDiv w:val="1"/>
      <w:marLeft w:val="0"/>
      <w:marRight w:val="0"/>
      <w:marTop w:val="0"/>
      <w:marBottom w:val="0"/>
      <w:divBdr>
        <w:top w:val="none" w:sz="0" w:space="0" w:color="auto"/>
        <w:left w:val="none" w:sz="0" w:space="0" w:color="auto"/>
        <w:bottom w:val="none" w:sz="0" w:space="0" w:color="auto"/>
        <w:right w:val="none" w:sz="0" w:space="0" w:color="auto"/>
      </w:divBdr>
    </w:div>
    <w:div w:id="478309294">
      <w:bodyDiv w:val="1"/>
      <w:marLeft w:val="0"/>
      <w:marRight w:val="0"/>
      <w:marTop w:val="0"/>
      <w:marBottom w:val="0"/>
      <w:divBdr>
        <w:top w:val="none" w:sz="0" w:space="0" w:color="auto"/>
        <w:left w:val="none" w:sz="0" w:space="0" w:color="auto"/>
        <w:bottom w:val="none" w:sz="0" w:space="0" w:color="auto"/>
        <w:right w:val="none" w:sz="0" w:space="0" w:color="auto"/>
      </w:divBdr>
    </w:div>
    <w:div w:id="480732523">
      <w:bodyDiv w:val="1"/>
      <w:marLeft w:val="0"/>
      <w:marRight w:val="0"/>
      <w:marTop w:val="0"/>
      <w:marBottom w:val="0"/>
      <w:divBdr>
        <w:top w:val="none" w:sz="0" w:space="0" w:color="auto"/>
        <w:left w:val="none" w:sz="0" w:space="0" w:color="auto"/>
        <w:bottom w:val="none" w:sz="0" w:space="0" w:color="auto"/>
        <w:right w:val="none" w:sz="0" w:space="0" w:color="auto"/>
      </w:divBdr>
    </w:div>
    <w:div w:id="533151557">
      <w:bodyDiv w:val="1"/>
      <w:marLeft w:val="0"/>
      <w:marRight w:val="0"/>
      <w:marTop w:val="0"/>
      <w:marBottom w:val="0"/>
      <w:divBdr>
        <w:top w:val="none" w:sz="0" w:space="0" w:color="auto"/>
        <w:left w:val="none" w:sz="0" w:space="0" w:color="auto"/>
        <w:bottom w:val="none" w:sz="0" w:space="0" w:color="auto"/>
        <w:right w:val="none" w:sz="0" w:space="0" w:color="auto"/>
      </w:divBdr>
    </w:div>
    <w:div w:id="539165870">
      <w:bodyDiv w:val="1"/>
      <w:marLeft w:val="0"/>
      <w:marRight w:val="0"/>
      <w:marTop w:val="0"/>
      <w:marBottom w:val="0"/>
      <w:divBdr>
        <w:top w:val="none" w:sz="0" w:space="0" w:color="auto"/>
        <w:left w:val="none" w:sz="0" w:space="0" w:color="auto"/>
        <w:bottom w:val="none" w:sz="0" w:space="0" w:color="auto"/>
        <w:right w:val="none" w:sz="0" w:space="0" w:color="auto"/>
      </w:divBdr>
    </w:div>
    <w:div w:id="569968011">
      <w:bodyDiv w:val="1"/>
      <w:marLeft w:val="0"/>
      <w:marRight w:val="0"/>
      <w:marTop w:val="0"/>
      <w:marBottom w:val="0"/>
      <w:divBdr>
        <w:top w:val="none" w:sz="0" w:space="0" w:color="auto"/>
        <w:left w:val="none" w:sz="0" w:space="0" w:color="auto"/>
        <w:bottom w:val="none" w:sz="0" w:space="0" w:color="auto"/>
        <w:right w:val="none" w:sz="0" w:space="0" w:color="auto"/>
      </w:divBdr>
    </w:div>
    <w:div w:id="573466461">
      <w:bodyDiv w:val="1"/>
      <w:marLeft w:val="0"/>
      <w:marRight w:val="0"/>
      <w:marTop w:val="0"/>
      <w:marBottom w:val="0"/>
      <w:divBdr>
        <w:top w:val="none" w:sz="0" w:space="0" w:color="auto"/>
        <w:left w:val="none" w:sz="0" w:space="0" w:color="auto"/>
        <w:bottom w:val="none" w:sz="0" w:space="0" w:color="auto"/>
        <w:right w:val="none" w:sz="0" w:space="0" w:color="auto"/>
      </w:divBdr>
    </w:div>
    <w:div w:id="595096465">
      <w:bodyDiv w:val="1"/>
      <w:marLeft w:val="0"/>
      <w:marRight w:val="0"/>
      <w:marTop w:val="0"/>
      <w:marBottom w:val="0"/>
      <w:divBdr>
        <w:top w:val="none" w:sz="0" w:space="0" w:color="auto"/>
        <w:left w:val="none" w:sz="0" w:space="0" w:color="auto"/>
        <w:bottom w:val="none" w:sz="0" w:space="0" w:color="auto"/>
        <w:right w:val="none" w:sz="0" w:space="0" w:color="auto"/>
      </w:divBdr>
    </w:div>
    <w:div w:id="605499831">
      <w:bodyDiv w:val="1"/>
      <w:marLeft w:val="0"/>
      <w:marRight w:val="0"/>
      <w:marTop w:val="0"/>
      <w:marBottom w:val="0"/>
      <w:divBdr>
        <w:top w:val="none" w:sz="0" w:space="0" w:color="auto"/>
        <w:left w:val="none" w:sz="0" w:space="0" w:color="auto"/>
        <w:bottom w:val="none" w:sz="0" w:space="0" w:color="auto"/>
        <w:right w:val="none" w:sz="0" w:space="0" w:color="auto"/>
      </w:divBdr>
    </w:div>
    <w:div w:id="612176120">
      <w:bodyDiv w:val="1"/>
      <w:marLeft w:val="0"/>
      <w:marRight w:val="0"/>
      <w:marTop w:val="0"/>
      <w:marBottom w:val="0"/>
      <w:divBdr>
        <w:top w:val="none" w:sz="0" w:space="0" w:color="auto"/>
        <w:left w:val="none" w:sz="0" w:space="0" w:color="auto"/>
        <w:bottom w:val="none" w:sz="0" w:space="0" w:color="auto"/>
        <w:right w:val="none" w:sz="0" w:space="0" w:color="auto"/>
      </w:divBdr>
    </w:div>
    <w:div w:id="624039472">
      <w:bodyDiv w:val="1"/>
      <w:marLeft w:val="0"/>
      <w:marRight w:val="0"/>
      <w:marTop w:val="0"/>
      <w:marBottom w:val="0"/>
      <w:divBdr>
        <w:top w:val="none" w:sz="0" w:space="0" w:color="auto"/>
        <w:left w:val="none" w:sz="0" w:space="0" w:color="auto"/>
        <w:bottom w:val="none" w:sz="0" w:space="0" w:color="auto"/>
        <w:right w:val="none" w:sz="0" w:space="0" w:color="auto"/>
      </w:divBdr>
    </w:div>
    <w:div w:id="633680027">
      <w:bodyDiv w:val="1"/>
      <w:marLeft w:val="0"/>
      <w:marRight w:val="0"/>
      <w:marTop w:val="0"/>
      <w:marBottom w:val="0"/>
      <w:divBdr>
        <w:top w:val="none" w:sz="0" w:space="0" w:color="auto"/>
        <w:left w:val="none" w:sz="0" w:space="0" w:color="auto"/>
        <w:bottom w:val="none" w:sz="0" w:space="0" w:color="auto"/>
        <w:right w:val="none" w:sz="0" w:space="0" w:color="auto"/>
      </w:divBdr>
    </w:div>
    <w:div w:id="659768673">
      <w:bodyDiv w:val="1"/>
      <w:marLeft w:val="0"/>
      <w:marRight w:val="0"/>
      <w:marTop w:val="0"/>
      <w:marBottom w:val="0"/>
      <w:divBdr>
        <w:top w:val="none" w:sz="0" w:space="0" w:color="auto"/>
        <w:left w:val="none" w:sz="0" w:space="0" w:color="auto"/>
        <w:bottom w:val="none" w:sz="0" w:space="0" w:color="auto"/>
        <w:right w:val="none" w:sz="0" w:space="0" w:color="auto"/>
      </w:divBdr>
    </w:div>
    <w:div w:id="673067162">
      <w:bodyDiv w:val="1"/>
      <w:marLeft w:val="0"/>
      <w:marRight w:val="0"/>
      <w:marTop w:val="0"/>
      <w:marBottom w:val="0"/>
      <w:divBdr>
        <w:top w:val="none" w:sz="0" w:space="0" w:color="auto"/>
        <w:left w:val="none" w:sz="0" w:space="0" w:color="auto"/>
        <w:bottom w:val="none" w:sz="0" w:space="0" w:color="auto"/>
        <w:right w:val="none" w:sz="0" w:space="0" w:color="auto"/>
      </w:divBdr>
    </w:div>
    <w:div w:id="690037121">
      <w:bodyDiv w:val="1"/>
      <w:marLeft w:val="0"/>
      <w:marRight w:val="0"/>
      <w:marTop w:val="0"/>
      <w:marBottom w:val="0"/>
      <w:divBdr>
        <w:top w:val="none" w:sz="0" w:space="0" w:color="auto"/>
        <w:left w:val="none" w:sz="0" w:space="0" w:color="auto"/>
        <w:bottom w:val="none" w:sz="0" w:space="0" w:color="auto"/>
        <w:right w:val="none" w:sz="0" w:space="0" w:color="auto"/>
      </w:divBdr>
      <w:divsChild>
        <w:div w:id="1684743548">
          <w:marLeft w:val="300"/>
          <w:marRight w:val="0"/>
          <w:marTop w:val="0"/>
          <w:marBottom w:val="300"/>
          <w:divBdr>
            <w:top w:val="none" w:sz="0" w:space="0" w:color="auto"/>
            <w:left w:val="none" w:sz="0" w:space="0" w:color="auto"/>
            <w:bottom w:val="none" w:sz="0" w:space="0" w:color="auto"/>
            <w:right w:val="none" w:sz="0" w:space="0" w:color="auto"/>
          </w:divBdr>
        </w:div>
      </w:divsChild>
    </w:div>
    <w:div w:id="706762954">
      <w:bodyDiv w:val="1"/>
      <w:marLeft w:val="0"/>
      <w:marRight w:val="0"/>
      <w:marTop w:val="0"/>
      <w:marBottom w:val="0"/>
      <w:divBdr>
        <w:top w:val="none" w:sz="0" w:space="0" w:color="auto"/>
        <w:left w:val="none" w:sz="0" w:space="0" w:color="auto"/>
        <w:bottom w:val="none" w:sz="0" w:space="0" w:color="auto"/>
        <w:right w:val="none" w:sz="0" w:space="0" w:color="auto"/>
      </w:divBdr>
    </w:div>
    <w:div w:id="725841722">
      <w:bodyDiv w:val="1"/>
      <w:marLeft w:val="0"/>
      <w:marRight w:val="0"/>
      <w:marTop w:val="0"/>
      <w:marBottom w:val="0"/>
      <w:divBdr>
        <w:top w:val="none" w:sz="0" w:space="0" w:color="auto"/>
        <w:left w:val="none" w:sz="0" w:space="0" w:color="auto"/>
        <w:bottom w:val="none" w:sz="0" w:space="0" w:color="auto"/>
        <w:right w:val="none" w:sz="0" w:space="0" w:color="auto"/>
      </w:divBdr>
    </w:div>
    <w:div w:id="729622213">
      <w:bodyDiv w:val="1"/>
      <w:marLeft w:val="0"/>
      <w:marRight w:val="0"/>
      <w:marTop w:val="0"/>
      <w:marBottom w:val="0"/>
      <w:divBdr>
        <w:top w:val="none" w:sz="0" w:space="0" w:color="auto"/>
        <w:left w:val="none" w:sz="0" w:space="0" w:color="auto"/>
        <w:bottom w:val="none" w:sz="0" w:space="0" w:color="auto"/>
        <w:right w:val="none" w:sz="0" w:space="0" w:color="auto"/>
      </w:divBdr>
    </w:div>
    <w:div w:id="744109784">
      <w:bodyDiv w:val="1"/>
      <w:marLeft w:val="0"/>
      <w:marRight w:val="0"/>
      <w:marTop w:val="0"/>
      <w:marBottom w:val="0"/>
      <w:divBdr>
        <w:top w:val="none" w:sz="0" w:space="0" w:color="auto"/>
        <w:left w:val="none" w:sz="0" w:space="0" w:color="auto"/>
        <w:bottom w:val="none" w:sz="0" w:space="0" w:color="auto"/>
        <w:right w:val="none" w:sz="0" w:space="0" w:color="auto"/>
      </w:divBdr>
    </w:div>
    <w:div w:id="749809331">
      <w:bodyDiv w:val="1"/>
      <w:marLeft w:val="0"/>
      <w:marRight w:val="0"/>
      <w:marTop w:val="0"/>
      <w:marBottom w:val="0"/>
      <w:divBdr>
        <w:top w:val="none" w:sz="0" w:space="0" w:color="auto"/>
        <w:left w:val="none" w:sz="0" w:space="0" w:color="auto"/>
        <w:bottom w:val="none" w:sz="0" w:space="0" w:color="auto"/>
        <w:right w:val="none" w:sz="0" w:space="0" w:color="auto"/>
      </w:divBdr>
    </w:div>
    <w:div w:id="757672867">
      <w:bodyDiv w:val="1"/>
      <w:marLeft w:val="0"/>
      <w:marRight w:val="0"/>
      <w:marTop w:val="0"/>
      <w:marBottom w:val="0"/>
      <w:divBdr>
        <w:top w:val="none" w:sz="0" w:space="0" w:color="auto"/>
        <w:left w:val="none" w:sz="0" w:space="0" w:color="auto"/>
        <w:bottom w:val="none" w:sz="0" w:space="0" w:color="auto"/>
        <w:right w:val="none" w:sz="0" w:space="0" w:color="auto"/>
      </w:divBdr>
    </w:div>
    <w:div w:id="801920708">
      <w:bodyDiv w:val="1"/>
      <w:marLeft w:val="0"/>
      <w:marRight w:val="0"/>
      <w:marTop w:val="0"/>
      <w:marBottom w:val="0"/>
      <w:divBdr>
        <w:top w:val="none" w:sz="0" w:space="0" w:color="auto"/>
        <w:left w:val="none" w:sz="0" w:space="0" w:color="auto"/>
        <w:bottom w:val="none" w:sz="0" w:space="0" w:color="auto"/>
        <w:right w:val="none" w:sz="0" w:space="0" w:color="auto"/>
      </w:divBdr>
    </w:div>
    <w:div w:id="803889110">
      <w:bodyDiv w:val="1"/>
      <w:marLeft w:val="0"/>
      <w:marRight w:val="0"/>
      <w:marTop w:val="0"/>
      <w:marBottom w:val="0"/>
      <w:divBdr>
        <w:top w:val="none" w:sz="0" w:space="0" w:color="auto"/>
        <w:left w:val="none" w:sz="0" w:space="0" w:color="auto"/>
        <w:bottom w:val="none" w:sz="0" w:space="0" w:color="auto"/>
        <w:right w:val="none" w:sz="0" w:space="0" w:color="auto"/>
      </w:divBdr>
    </w:div>
    <w:div w:id="830874301">
      <w:bodyDiv w:val="1"/>
      <w:marLeft w:val="0"/>
      <w:marRight w:val="0"/>
      <w:marTop w:val="0"/>
      <w:marBottom w:val="0"/>
      <w:divBdr>
        <w:top w:val="none" w:sz="0" w:space="0" w:color="auto"/>
        <w:left w:val="none" w:sz="0" w:space="0" w:color="auto"/>
        <w:bottom w:val="none" w:sz="0" w:space="0" w:color="auto"/>
        <w:right w:val="none" w:sz="0" w:space="0" w:color="auto"/>
      </w:divBdr>
      <w:divsChild>
        <w:div w:id="1672367784">
          <w:marLeft w:val="547"/>
          <w:marRight w:val="0"/>
          <w:marTop w:val="0"/>
          <w:marBottom w:val="0"/>
          <w:divBdr>
            <w:top w:val="none" w:sz="0" w:space="0" w:color="auto"/>
            <w:left w:val="none" w:sz="0" w:space="0" w:color="auto"/>
            <w:bottom w:val="none" w:sz="0" w:space="0" w:color="auto"/>
            <w:right w:val="none" w:sz="0" w:space="0" w:color="auto"/>
          </w:divBdr>
        </w:div>
      </w:divsChild>
    </w:div>
    <w:div w:id="886138088">
      <w:bodyDiv w:val="1"/>
      <w:marLeft w:val="0"/>
      <w:marRight w:val="0"/>
      <w:marTop w:val="0"/>
      <w:marBottom w:val="0"/>
      <w:divBdr>
        <w:top w:val="none" w:sz="0" w:space="0" w:color="auto"/>
        <w:left w:val="none" w:sz="0" w:space="0" w:color="auto"/>
        <w:bottom w:val="none" w:sz="0" w:space="0" w:color="auto"/>
        <w:right w:val="none" w:sz="0" w:space="0" w:color="auto"/>
      </w:divBdr>
    </w:div>
    <w:div w:id="923606229">
      <w:bodyDiv w:val="1"/>
      <w:marLeft w:val="0"/>
      <w:marRight w:val="0"/>
      <w:marTop w:val="0"/>
      <w:marBottom w:val="0"/>
      <w:divBdr>
        <w:top w:val="none" w:sz="0" w:space="0" w:color="auto"/>
        <w:left w:val="none" w:sz="0" w:space="0" w:color="auto"/>
        <w:bottom w:val="none" w:sz="0" w:space="0" w:color="auto"/>
        <w:right w:val="none" w:sz="0" w:space="0" w:color="auto"/>
      </w:divBdr>
    </w:div>
    <w:div w:id="958336031">
      <w:bodyDiv w:val="1"/>
      <w:marLeft w:val="0"/>
      <w:marRight w:val="0"/>
      <w:marTop w:val="0"/>
      <w:marBottom w:val="0"/>
      <w:divBdr>
        <w:top w:val="none" w:sz="0" w:space="0" w:color="auto"/>
        <w:left w:val="none" w:sz="0" w:space="0" w:color="auto"/>
        <w:bottom w:val="none" w:sz="0" w:space="0" w:color="auto"/>
        <w:right w:val="none" w:sz="0" w:space="0" w:color="auto"/>
      </w:divBdr>
    </w:div>
    <w:div w:id="971325640">
      <w:bodyDiv w:val="1"/>
      <w:marLeft w:val="0"/>
      <w:marRight w:val="0"/>
      <w:marTop w:val="0"/>
      <w:marBottom w:val="0"/>
      <w:divBdr>
        <w:top w:val="none" w:sz="0" w:space="0" w:color="auto"/>
        <w:left w:val="none" w:sz="0" w:space="0" w:color="auto"/>
        <w:bottom w:val="none" w:sz="0" w:space="0" w:color="auto"/>
        <w:right w:val="none" w:sz="0" w:space="0" w:color="auto"/>
      </w:divBdr>
    </w:div>
    <w:div w:id="972715605">
      <w:bodyDiv w:val="1"/>
      <w:marLeft w:val="0"/>
      <w:marRight w:val="0"/>
      <w:marTop w:val="0"/>
      <w:marBottom w:val="0"/>
      <w:divBdr>
        <w:top w:val="none" w:sz="0" w:space="0" w:color="auto"/>
        <w:left w:val="none" w:sz="0" w:space="0" w:color="auto"/>
        <w:bottom w:val="none" w:sz="0" w:space="0" w:color="auto"/>
        <w:right w:val="none" w:sz="0" w:space="0" w:color="auto"/>
      </w:divBdr>
    </w:div>
    <w:div w:id="1017735818">
      <w:bodyDiv w:val="1"/>
      <w:marLeft w:val="0"/>
      <w:marRight w:val="0"/>
      <w:marTop w:val="0"/>
      <w:marBottom w:val="0"/>
      <w:divBdr>
        <w:top w:val="none" w:sz="0" w:space="0" w:color="auto"/>
        <w:left w:val="none" w:sz="0" w:space="0" w:color="auto"/>
        <w:bottom w:val="none" w:sz="0" w:space="0" w:color="auto"/>
        <w:right w:val="none" w:sz="0" w:space="0" w:color="auto"/>
      </w:divBdr>
    </w:div>
    <w:div w:id="1030685858">
      <w:bodyDiv w:val="1"/>
      <w:marLeft w:val="0"/>
      <w:marRight w:val="0"/>
      <w:marTop w:val="0"/>
      <w:marBottom w:val="0"/>
      <w:divBdr>
        <w:top w:val="none" w:sz="0" w:space="0" w:color="auto"/>
        <w:left w:val="none" w:sz="0" w:space="0" w:color="auto"/>
        <w:bottom w:val="none" w:sz="0" w:space="0" w:color="auto"/>
        <w:right w:val="none" w:sz="0" w:space="0" w:color="auto"/>
      </w:divBdr>
    </w:div>
    <w:div w:id="1031146426">
      <w:bodyDiv w:val="1"/>
      <w:marLeft w:val="0"/>
      <w:marRight w:val="0"/>
      <w:marTop w:val="0"/>
      <w:marBottom w:val="0"/>
      <w:divBdr>
        <w:top w:val="none" w:sz="0" w:space="0" w:color="auto"/>
        <w:left w:val="none" w:sz="0" w:space="0" w:color="auto"/>
        <w:bottom w:val="none" w:sz="0" w:space="0" w:color="auto"/>
        <w:right w:val="none" w:sz="0" w:space="0" w:color="auto"/>
      </w:divBdr>
    </w:div>
    <w:div w:id="1037043318">
      <w:bodyDiv w:val="1"/>
      <w:marLeft w:val="0"/>
      <w:marRight w:val="0"/>
      <w:marTop w:val="0"/>
      <w:marBottom w:val="0"/>
      <w:divBdr>
        <w:top w:val="none" w:sz="0" w:space="0" w:color="auto"/>
        <w:left w:val="none" w:sz="0" w:space="0" w:color="auto"/>
        <w:bottom w:val="none" w:sz="0" w:space="0" w:color="auto"/>
        <w:right w:val="none" w:sz="0" w:space="0" w:color="auto"/>
      </w:divBdr>
    </w:div>
    <w:div w:id="1067458841">
      <w:bodyDiv w:val="1"/>
      <w:marLeft w:val="0"/>
      <w:marRight w:val="0"/>
      <w:marTop w:val="0"/>
      <w:marBottom w:val="0"/>
      <w:divBdr>
        <w:top w:val="none" w:sz="0" w:space="0" w:color="auto"/>
        <w:left w:val="none" w:sz="0" w:space="0" w:color="auto"/>
        <w:bottom w:val="none" w:sz="0" w:space="0" w:color="auto"/>
        <w:right w:val="none" w:sz="0" w:space="0" w:color="auto"/>
      </w:divBdr>
    </w:div>
    <w:div w:id="1089883757">
      <w:bodyDiv w:val="1"/>
      <w:marLeft w:val="0"/>
      <w:marRight w:val="0"/>
      <w:marTop w:val="0"/>
      <w:marBottom w:val="0"/>
      <w:divBdr>
        <w:top w:val="none" w:sz="0" w:space="0" w:color="auto"/>
        <w:left w:val="none" w:sz="0" w:space="0" w:color="auto"/>
        <w:bottom w:val="none" w:sz="0" w:space="0" w:color="auto"/>
        <w:right w:val="none" w:sz="0" w:space="0" w:color="auto"/>
      </w:divBdr>
    </w:div>
    <w:div w:id="1114984950">
      <w:bodyDiv w:val="1"/>
      <w:marLeft w:val="0"/>
      <w:marRight w:val="0"/>
      <w:marTop w:val="0"/>
      <w:marBottom w:val="0"/>
      <w:divBdr>
        <w:top w:val="none" w:sz="0" w:space="0" w:color="auto"/>
        <w:left w:val="none" w:sz="0" w:space="0" w:color="auto"/>
        <w:bottom w:val="none" w:sz="0" w:space="0" w:color="auto"/>
        <w:right w:val="none" w:sz="0" w:space="0" w:color="auto"/>
      </w:divBdr>
    </w:div>
    <w:div w:id="1127895909">
      <w:bodyDiv w:val="1"/>
      <w:marLeft w:val="0"/>
      <w:marRight w:val="0"/>
      <w:marTop w:val="0"/>
      <w:marBottom w:val="0"/>
      <w:divBdr>
        <w:top w:val="none" w:sz="0" w:space="0" w:color="auto"/>
        <w:left w:val="none" w:sz="0" w:space="0" w:color="auto"/>
        <w:bottom w:val="none" w:sz="0" w:space="0" w:color="auto"/>
        <w:right w:val="none" w:sz="0" w:space="0" w:color="auto"/>
      </w:divBdr>
    </w:div>
    <w:div w:id="1178274921">
      <w:bodyDiv w:val="1"/>
      <w:marLeft w:val="0"/>
      <w:marRight w:val="0"/>
      <w:marTop w:val="0"/>
      <w:marBottom w:val="0"/>
      <w:divBdr>
        <w:top w:val="none" w:sz="0" w:space="0" w:color="auto"/>
        <w:left w:val="none" w:sz="0" w:space="0" w:color="auto"/>
        <w:bottom w:val="none" w:sz="0" w:space="0" w:color="auto"/>
        <w:right w:val="none" w:sz="0" w:space="0" w:color="auto"/>
      </w:divBdr>
      <w:divsChild>
        <w:div w:id="499539349">
          <w:marLeft w:val="0"/>
          <w:marRight w:val="0"/>
          <w:marTop w:val="0"/>
          <w:marBottom w:val="0"/>
          <w:divBdr>
            <w:top w:val="none" w:sz="0" w:space="0" w:color="auto"/>
            <w:left w:val="none" w:sz="0" w:space="0" w:color="auto"/>
            <w:bottom w:val="none" w:sz="0" w:space="0" w:color="auto"/>
            <w:right w:val="none" w:sz="0" w:space="0" w:color="auto"/>
          </w:divBdr>
          <w:divsChild>
            <w:div w:id="1716196180">
              <w:marLeft w:val="0"/>
              <w:marRight w:val="0"/>
              <w:marTop w:val="0"/>
              <w:marBottom w:val="0"/>
              <w:divBdr>
                <w:top w:val="none" w:sz="0" w:space="0" w:color="auto"/>
                <w:left w:val="none" w:sz="0" w:space="0" w:color="auto"/>
                <w:bottom w:val="none" w:sz="0" w:space="0" w:color="auto"/>
                <w:right w:val="none" w:sz="0" w:space="0" w:color="auto"/>
              </w:divBdr>
              <w:divsChild>
                <w:div w:id="404380894">
                  <w:marLeft w:val="0"/>
                  <w:marRight w:val="0"/>
                  <w:marTop w:val="0"/>
                  <w:marBottom w:val="0"/>
                  <w:divBdr>
                    <w:top w:val="none" w:sz="0" w:space="0" w:color="auto"/>
                    <w:left w:val="none" w:sz="0" w:space="0" w:color="auto"/>
                    <w:bottom w:val="none" w:sz="0" w:space="0" w:color="auto"/>
                    <w:right w:val="none" w:sz="0" w:space="0" w:color="auto"/>
                  </w:divBdr>
                  <w:divsChild>
                    <w:div w:id="20323683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3562761">
      <w:bodyDiv w:val="1"/>
      <w:marLeft w:val="0"/>
      <w:marRight w:val="0"/>
      <w:marTop w:val="0"/>
      <w:marBottom w:val="0"/>
      <w:divBdr>
        <w:top w:val="none" w:sz="0" w:space="0" w:color="auto"/>
        <w:left w:val="none" w:sz="0" w:space="0" w:color="auto"/>
        <w:bottom w:val="none" w:sz="0" w:space="0" w:color="auto"/>
        <w:right w:val="none" w:sz="0" w:space="0" w:color="auto"/>
      </w:divBdr>
    </w:div>
    <w:div w:id="1242374820">
      <w:bodyDiv w:val="1"/>
      <w:marLeft w:val="0"/>
      <w:marRight w:val="0"/>
      <w:marTop w:val="0"/>
      <w:marBottom w:val="0"/>
      <w:divBdr>
        <w:top w:val="none" w:sz="0" w:space="0" w:color="auto"/>
        <w:left w:val="none" w:sz="0" w:space="0" w:color="auto"/>
        <w:bottom w:val="none" w:sz="0" w:space="0" w:color="auto"/>
        <w:right w:val="none" w:sz="0" w:space="0" w:color="auto"/>
      </w:divBdr>
    </w:div>
    <w:div w:id="1248540401">
      <w:bodyDiv w:val="1"/>
      <w:marLeft w:val="0"/>
      <w:marRight w:val="0"/>
      <w:marTop w:val="0"/>
      <w:marBottom w:val="0"/>
      <w:divBdr>
        <w:top w:val="none" w:sz="0" w:space="0" w:color="auto"/>
        <w:left w:val="none" w:sz="0" w:space="0" w:color="auto"/>
        <w:bottom w:val="none" w:sz="0" w:space="0" w:color="auto"/>
        <w:right w:val="none" w:sz="0" w:space="0" w:color="auto"/>
      </w:divBdr>
    </w:div>
    <w:div w:id="1276139721">
      <w:bodyDiv w:val="1"/>
      <w:marLeft w:val="0"/>
      <w:marRight w:val="0"/>
      <w:marTop w:val="0"/>
      <w:marBottom w:val="0"/>
      <w:divBdr>
        <w:top w:val="none" w:sz="0" w:space="0" w:color="auto"/>
        <w:left w:val="none" w:sz="0" w:space="0" w:color="auto"/>
        <w:bottom w:val="none" w:sz="0" w:space="0" w:color="auto"/>
        <w:right w:val="none" w:sz="0" w:space="0" w:color="auto"/>
      </w:divBdr>
    </w:div>
    <w:div w:id="1277786135">
      <w:bodyDiv w:val="1"/>
      <w:marLeft w:val="0"/>
      <w:marRight w:val="0"/>
      <w:marTop w:val="0"/>
      <w:marBottom w:val="0"/>
      <w:divBdr>
        <w:top w:val="none" w:sz="0" w:space="0" w:color="auto"/>
        <w:left w:val="none" w:sz="0" w:space="0" w:color="auto"/>
        <w:bottom w:val="none" w:sz="0" w:space="0" w:color="auto"/>
        <w:right w:val="none" w:sz="0" w:space="0" w:color="auto"/>
      </w:divBdr>
    </w:div>
    <w:div w:id="1286738052">
      <w:bodyDiv w:val="1"/>
      <w:marLeft w:val="0"/>
      <w:marRight w:val="0"/>
      <w:marTop w:val="0"/>
      <w:marBottom w:val="0"/>
      <w:divBdr>
        <w:top w:val="none" w:sz="0" w:space="0" w:color="auto"/>
        <w:left w:val="none" w:sz="0" w:space="0" w:color="auto"/>
        <w:bottom w:val="none" w:sz="0" w:space="0" w:color="auto"/>
        <w:right w:val="none" w:sz="0" w:space="0" w:color="auto"/>
      </w:divBdr>
    </w:div>
    <w:div w:id="1306474586">
      <w:bodyDiv w:val="1"/>
      <w:marLeft w:val="0"/>
      <w:marRight w:val="0"/>
      <w:marTop w:val="0"/>
      <w:marBottom w:val="0"/>
      <w:divBdr>
        <w:top w:val="none" w:sz="0" w:space="0" w:color="auto"/>
        <w:left w:val="none" w:sz="0" w:space="0" w:color="auto"/>
        <w:bottom w:val="none" w:sz="0" w:space="0" w:color="auto"/>
        <w:right w:val="none" w:sz="0" w:space="0" w:color="auto"/>
      </w:divBdr>
    </w:div>
    <w:div w:id="1319764614">
      <w:bodyDiv w:val="1"/>
      <w:marLeft w:val="0"/>
      <w:marRight w:val="0"/>
      <w:marTop w:val="0"/>
      <w:marBottom w:val="0"/>
      <w:divBdr>
        <w:top w:val="none" w:sz="0" w:space="0" w:color="auto"/>
        <w:left w:val="none" w:sz="0" w:space="0" w:color="auto"/>
        <w:bottom w:val="none" w:sz="0" w:space="0" w:color="auto"/>
        <w:right w:val="none" w:sz="0" w:space="0" w:color="auto"/>
      </w:divBdr>
    </w:div>
    <w:div w:id="1333869975">
      <w:bodyDiv w:val="1"/>
      <w:marLeft w:val="0"/>
      <w:marRight w:val="0"/>
      <w:marTop w:val="0"/>
      <w:marBottom w:val="0"/>
      <w:divBdr>
        <w:top w:val="none" w:sz="0" w:space="0" w:color="auto"/>
        <w:left w:val="none" w:sz="0" w:space="0" w:color="auto"/>
        <w:bottom w:val="none" w:sz="0" w:space="0" w:color="auto"/>
        <w:right w:val="none" w:sz="0" w:space="0" w:color="auto"/>
      </w:divBdr>
    </w:div>
    <w:div w:id="1335301405">
      <w:bodyDiv w:val="1"/>
      <w:marLeft w:val="0"/>
      <w:marRight w:val="0"/>
      <w:marTop w:val="0"/>
      <w:marBottom w:val="0"/>
      <w:divBdr>
        <w:top w:val="none" w:sz="0" w:space="0" w:color="auto"/>
        <w:left w:val="none" w:sz="0" w:space="0" w:color="auto"/>
        <w:bottom w:val="none" w:sz="0" w:space="0" w:color="auto"/>
        <w:right w:val="none" w:sz="0" w:space="0" w:color="auto"/>
      </w:divBdr>
    </w:div>
    <w:div w:id="1336608566">
      <w:bodyDiv w:val="1"/>
      <w:marLeft w:val="0"/>
      <w:marRight w:val="0"/>
      <w:marTop w:val="0"/>
      <w:marBottom w:val="0"/>
      <w:divBdr>
        <w:top w:val="none" w:sz="0" w:space="0" w:color="auto"/>
        <w:left w:val="none" w:sz="0" w:space="0" w:color="auto"/>
        <w:bottom w:val="none" w:sz="0" w:space="0" w:color="auto"/>
        <w:right w:val="none" w:sz="0" w:space="0" w:color="auto"/>
      </w:divBdr>
    </w:div>
    <w:div w:id="1357387453">
      <w:bodyDiv w:val="1"/>
      <w:marLeft w:val="0"/>
      <w:marRight w:val="0"/>
      <w:marTop w:val="0"/>
      <w:marBottom w:val="0"/>
      <w:divBdr>
        <w:top w:val="none" w:sz="0" w:space="0" w:color="auto"/>
        <w:left w:val="none" w:sz="0" w:space="0" w:color="auto"/>
        <w:bottom w:val="none" w:sz="0" w:space="0" w:color="auto"/>
        <w:right w:val="none" w:sz="0" w:space="0" w:color="auto"/>
      </w:divBdr>
    </w:div>
    <w:div w:id="1376462109">
      <w:bodyDiv w:val="1"/>
      <w:marLeft w:val="0"/>
      <w:marRight w:val="0"/>
      <w:marTop w:val="0"/>
      <w:marBottom w:val="0"/>
      <w:divBdr>
        <w:top w:val="none" w:sz="0" w:space="0" w:color="auto"/>
        <w:left w:val="none" w:sz="0" w:space="0" w:color="auto"/>
        <w:bottom w:val="none" w:sz="0" w:space="0" w:color="auto"/>
        <w:right w:val="none" w:sz="0" w:space="0" w:color="auto"/>
      </w:divBdr>
    </w:div>
    <w:div w:id="1379361189">
      <w:bodyDiv w:val="1"/>
      <w:marLeft w:val="0"/>
      <w:marRight w:val="0"/>
      <w:marTop w:val="0"/>
      <w:marBottom w:val="0"/>
      <w:divBdr>
        <w:top w:val="none" w:sz="0" w:space="0" w:color="auto"/>
        <w:left w:val="none" w:sz="0" w:space="0" w:color="auto"/>
        <w:bottom w:val="none" w:sz="0" w:space="0" w:color="auto"/>
        <w:right w:val="none" w:sz="0" w:space="0" w:color="auto"/>
      </w:divBdr>
    </w:div>
    <w:div w:id="1389721151">
      <w:bodyDiv w:val="1"/>
      <w:marLeft w:val="0"/>
      <w:marRight w:val="0"/>
      <w:marTop w:val="0"/>
      <w:marBottom w:val="0"/>
      <w:divBdr>
        <w:top w:val="none" w:sz="0" w:space="0" w:color="auto"/>
        <w:left w:val="none" w:sz="0" w:space="0" w:color="auto"/>
        <w:bottom w:val="none" w:sz="0" w:space="0" w:color="auto"/>
        <w:right w:val="none" w:sz="0" w:space="0" w:color="auto"/>
      </w:divBdr>
    </w:div>
    <w:div w:id="1429422746">
      <w:bodyDiv w:val="1"/>
      <w:marLeft w:val="0"/>
      <w:marRight w:val="0"/>
      <w:marTop w:val="0"/>
      <w:marBottom w:val="0"/>
      <w:divBdr>
        <w:top w:val="none" w:sz="0" w:space="0" w:color="auto"/>
        <w:left w:val="none" w:sz="0" w:space="0" w:color="auto"/>
        <w:bottom w:val="none" w:sz="0" w:space="0" w:color="auto"/>
        <w:right w:val="none" w:sz="0" w:space="0" w:color="auto"/>
      </w:divBdr>
    </w:div>
    <w:div w:id="1445929188">
      <w:bodyDiv w:val="1"/>
      <w:marLeft w:val="0"/>
      <w:marRight w:val="0"/>
      <w:marTop w:val="0"/>
      <w:marBottom w:val="0"/>
      <w:divBdr>
        <w:top w:val="none" w:sz="0" w:space="0" w:color="auto"/>
        <w:left w:val="none" w:sz="0" w:space="0" w:color="auto"/>
        <w:bottom w:val="none" w:sz="0" w:space="0" w:color="auto"/>
        <w:right w:val="none" w:sz="0" w:space="0" w:color="auto"/>
      </w:divBdr>
    </w:div>
    <w:div w:id="1450509859">
      <w:bodyDiv w:val="1"/>
      <w:marLeft w:val="0"/>
      <w:marRight w:val="0"/>
      <w:marTop w:val="0"/>
      <w:marBottom w:val="0"/>
      <w:divBdr>
        <w:top w:val="none" w:sz="0" w:space="0" w:color="auto"/>
        <w:left w:val="none" w:sz="0" w:space="0" w:color="auto"/>
        <w:bottom w:val="none" w:sz="0" w:space="0" w:color="auto"/>
        <w:right w:val="none" w:sz="0" w:space="0" w:color="auto"/>
      </w:divBdr>
    </w:div>
    <w:div w:id="1470974296">
      <w:bodyDiv w:val="1"/>
      <w:marLeft w:val="0"/>
      <w:marRight w:val="0"/>
      <w:marTop w:val="0"/>
      <w:marBottom w:val="0"/>
      <w:divBdr>
        <w:top w:val="none" w:sz="0" w:space="0" w:color="auto"/>
        <w:left w:val="none" w:sz="0" w:space="0" w:color="auto"/>
        <w:bottom w:val="none" w:sz="0" w:space="0" w:color="auto"/>
        <w:right w:val="none" w:sz="0" w:space="0" w:color="auto"/>
      </w:divBdr>
    </w:div>
    <w:div w:id="1473712376">
      <w:bodyDiv w:val="1"/>
      <w:marLeft w:val="0"/>
      <w:marRight w:val="0"/>
      <w:marTop w:val="0"/>
      <w:marBottom w:val="0"/>
      <w:divBdr>
        <w:top w:val="none" w:sz="0" w:space="0" w:color="auto"/>
        <w:left w:val="none" w:sz="0" w:space="0" w:color="auto"/>
        <w:bottom w:val="none" w:sz="0" w:space="0" w:color="auto"/>
        <w:right w:val="none" w:sz="0" w:space="0" w:color="auto"/>
      </w:divBdr>
    </w:div>
    <w:div w:id="1487044322">
      <w:bodyDiv w:val="1"/>
      <w:marLeft w:val="0"/>
      <w:marRight w:val="0"/>
      <w:marTop w:val="0"/>
      <w:marBottom w:val="0"/>
      <w:divBdr>
        <w:top w:val="none" w:sz="0" w:space="0" w:color="auto"/>
        <w:left w:val="none" w:sz="0" w:space="0" w:color="auto"/>
        <w:bottom w:val="none" w:sz="0" w:space="0" w:color="auto"/>
        <w:right w:val="none" w:sz="0" w:space="0" w:color="auto"/>
      </w:divBdr>
    </w:div>
    <w:div w:id="1519924392">
      <w:bodyDiv w:val="1"/>
      <w:marLeft w:val="0"/>
      <w:marRight w:val="0"/>
      <w:marTop w:val="0"/>
      <w:marBottom w:val="0"/>
      <w:divBdr>
        <w:top w:val="none" w:sz="0" w:space="0" w:color="auto"/>
        <w:left w:val="none" w:sz="0" w:space="0" w:color="auto"/>
        <w:bottom w:val="none" w:sz="0" w:space="0" w:color="auto"/>
        <w:right w:val="none" w:sz="0" w:space="0" w:color="auto"/>
      </w:divBdr>
    </w:div>
    <w:div w:id="1526403703">
      <w:bodyDiv w:val="1"/>
      <w:marLeft w:val="0"/>
      <w:marRight w:val="0"/>
      <w:marTop w:val="0"/>
      <w:marBottom w:val="0"/>
      <w:divBdr>
        <w:top w:val="none" w:sz="0" w:space="0" w:color="auto"/>
        <w:left w:val="none" w:sz="0" w:space="0" w:color="auto"/>
        <w:bottom w:val="none" w:sz="0" w:space="0" w:color="auto"/>
        <w:right w:val="none" w:sz="0" w:space="0" w:color="auto"/>
      </w:divBdr>
    </w:div>
    <w:div w:id="1568342831">
      <w:bodyDiv w:val="1"/>
      <w:marLeft w:val="0"/>
      <w:marRight w:val="0"/>
      <w:marTop w:val="0"/>
      <w:marBottom w:val="0"/>
      <w:divBdr>
        <w:top w:val="none" w:sz="0" w:space="0" w:color="auto"/>
        <w:left w:val="none" w:sz="0" w:space="0" w:color="auto"/>
        <w:bottom w:val="none" w:sz="0" w:space="0" w:color="auto"/>
        <w:right w:val="none" w:sz="0" w:space="0" w:color="auto"/>
      </w:divBdr>
    </w:div>
    <w:div w:id="1596940858">
      <w:bodyDiv w:val="1"/>
      <w:marLeft w:val="0"/>
      <w:marRight w:val="0"/>
      <w:marTop w:val="0"/>
      <w:marBottom w:val="0"/>
      <w:divBdr>
        <w:top w:val="none" w:sz="0" w:space="0" w:color="auto"/>
        <w:left w:val="none" w:sz="0" w:space="0" w:color="auto"/>
        <w:bottom w:val="none" w:sz="0" w:space="0" w:color="auto"/>
        <w:right w:val="none" w:sz="0" w:space="0" w:color="auto"/>
      </w:divBdr>
    </w:div>
    <w:div w:id="1606617072">
      <w:bodyDiv w:val="1"/>
      <w:marLeft w:val="0"/>
      <w:marRight w:val="0"/>
      <w:marTop w:val="0"/>
      <w:marBottom w:val="0"/>
      <w:divBdr>
        <w:top w:val="none" w:sz="0" w:space="0" w:color="auto"/>
        <w:left w:val="none" w:sz="0" w:space="0" w:color="auto"/>
        <w:bottom w:val="none" w:sz="0" w:space="0" w:color="auto"/>
        <w:right w:val="none" w:sz="0" w:space="0" w:color="auto"/>
      </w:divBdr>
    </w:div>
    <w:div w:id="1611932966">
      <w:bodyDiv w:val="1"/>
      <w:marLeft w:val="0"/>
      <w:marRight w:val="0"/>
      <w:marTop w:val="0"/>
      <w:marBottom w:val="0"/>
      <w:divBdr>
        <w:top w:val="none" w:sz="0" w:space="0" w:color="auto"/>
        <w:left w:val="none" w:sz="0" w:space="0" w:color="auto"/>
        <w:bottom w:val="none" w:sz="0" w:space="0" w:color="auto"/>
        <w:right w:val="none" w:sz="0" w:space="0" w:color="auto"/>
      </w:divBdr>
    </w:div>
    <w:div w:id="1689453452">
      <w:bodyDiv w:val="1"/>
      <w:marLeft w:val="0"/>
      <w:marRight w:val="0"/>
      <w:marTop w:val="0"/>
      <w:marBottom w:val="0"/>
      <w:divBdr>
        <w:top w:val="none" w:sz="0" w:space="0" w:color="auto"/>
        <w:left w:val="none" w:sz="0" w:space="0" w:color="auto"/>
        <w:bottom w:val="none" w:sz="0" w:space="0" w:color="auto"/>
        <w:right w:val="none" w:sz="0" w:space="0" w:color="auto"/>
      </w:divBdr>
    </w:div>
    <w:div w:id="1689746922">
      <w:bodyDiv w:val="1"/>
      <w:marLeft w:val="0"/>
      <w:marRight w:val="0"/>
      <w:marTop w:val="0"/>
      <w:marBottom w:val="0"/>
      <w:divBdr>
        <w:top w:val="none" w:sz="0" w:space="0" w:color="auto"/>
        <w:left w:val="none" w:sz="0" w:space="0" w:color="auto"/>
        <w:bottom w:val="none" w:sz="0" w:space="0" w:color="auto"/>
        <w:right w:val="none" w:sz="0" w:space="0" w:color="auto"/>
      </w:divBdr>
    </w:div>
    <w:div w:id="1699547252">
      <w:bodyDiv w:val="1"/>
      <w:marLeft w:val="0"/>
      <w:marRight w:val="0"/>
      <w:marTop w:val="0"/>
      <w:marBottom w:val="0"/>
      <w:divBdr>
        <w:top w:val="none" w:sz="0" w:space="0" w:color="auto"/>
        <w:left w:val="none" w:sz="0" w:space="0" w:color="auto"/>
        <w:bottom w:val="none" w:sz="0" w:space="0" w:color="auto"/>
        <w:right w:val="none" w:sz="0" w:space="0" w:color="auto"/>
      </w:divBdr>
    </w:div>
    <w:div w:id="1700082208">
      <w:bodyDiv w:val="1"/>
      <w:marLeft w:val="0"/>
      <w:marRight w:val="0"/>
      <w:marTop w:val="0"/>
      <w:marBottom w:val="0"/>
      <w:divBdr>
        <w:top w:val="none" w:sz="0" w:space="0" w:color="auto"/>
        <w:left w:val="none" w:sz="0" w:space="0" w:color="auto"/>
        <w:bottom w:val="none" w:sz="0" w:space="0" w:color="auto"/>
        <w:right w:val="none" w:sz="0" w:space="0" w:color="auto"/>
      </w:divBdr>
      <w:divsChild>
        <w:div w:id="585649078">
          <w:marLeft w:val="0"/>
          <w:marRight w:val="0"/>
          <w:marTop w:val="0"/>
          <w:marBottom w:val="0"/>
          <w:divBdr>
            <w:top w:val="none" w:sz="0" w:space="0" w:color="auto"/>
            <w:left w:val="none" w:sz="0" w:space="0" w:color="auto"/>
            <w:bottom w:val="none" w:sz="0" w:space="0" w:color="auto"/>
            <w:right w:val="none" w:sz="0" w:space="0" w:color="auto"/>
          </w:divBdr>
        </w:div>
      </w:divsChild>
    </w:div>
    <w:div w:id="1702631857">
      <w:bodyDiv w:val="1"/>
      <w:marLeft w:val="0"/>
      <w:marRight w:val="0"/>
      <w:marTop w:val="0"/>
      <w:marBottom w:val="0"/>
      <w:divBdr>
        <w:top w:val="none" w:sz="0" w:space="0" w:color="auto"/>
        <w:left w:val="none" w:sz="0" w:space="0" w:color="auto"/>
        <w:bottom w:val="none" w:sz="0" w:space="0" w:color="auto"/>
        <w:right w:val="none" w:sz="0" w:space="0" w:color="auto"/>
      </w:divBdr>
    </w:div>
    <w:div w:id="1712416992">
      <w:bodyDiv w:val="1"/>
      <w:marLeft w:val="0"/>
      <w:marRight w:val="0"/>
      <w:marTop w:val="0"/>
      <w:marBottom w:val="0"/>
      <w:divBdr>
        <w:top w:val="none" w:sz="0" w:space="0" w:color="auto"/>
        <w:left w:val="none" w:sz="0" w:space="0" w:color="auto"/>
        <w:bottom w:val="none" w:sz="0" w:space="0" w:color="auto"/>
        <w:right w:val="none" w:sz="0" w:space="0" w:color="auto"/>
      </w:divBdr>
    </w:div>
    <w:div w:id="1722900223">
      <w:bodyDiv w:val="1"/>
      <w:marLeft w:val="0"/>
      <w:marRight w:val="0"/>
      <w:marTop w:val="0"/>
      <w:marBottom w:val="0"/>
      <w:divBdr>
        <w:top w:val="none" w:sz="0" w:space="0" w:color="auto"/>
        <w:left w:val="none" w:sz="0" w:space="0" w:color="auto"/>
        <w:bottom w:val="none" w:sz="0" w:space="0" w:color="auto"/>
        <w:right w:val="none" w:sz="0" w:space="0" w:color="auto"/>
      </w:divBdr>
    </w:div>
    <w:div w:id="1730109648">
      <w:bodyDiv w:val="1"/>
      <w:marLeft w:val="0"/>
      <w:marRight w:val="0"/>
      <w:marTop w:val="0"/>
      <w:marBottom w:val="0"/>
      <w:divBdr>
        <w:top w:val="none" w:sz="0" w:space="0" w:color="auto"/>
        <w:left w:val="none" w:sz="0" w:space="0" w:color="auto"/>
        <w:bottom w:val="none" w:sz="0" w:space="0" w:color="auto"/>
        <w:right w:val="none" w:sz="0" w:space="0" w:color="auto"/>
      </w:divBdr>
    </w:div>
    <w:div w:id="1750541587">
      <w:bodyDiv w:val="1"/>
      <w:marLeft w:val="0"/>
      <w:marRight w:val="0"/>
      <w:marTop w:val="0"/>
      <w:marBottom w:val="0"/>
      <w:divBdr>
        <w:top w:val="none" w:sz="0" w:space="0" w:color="auto"/>
        <w:left w:val="none" w:sz="0" w:space="0" w:color="auto"/>
        <w:bottom w:val="none" w:sz="0" w:space="0" w:color="auto"/>
        <w:right w:val="none" w:sz="0" w:space="0" w:color="auto"/>
      </w:divBdr>
    </w:div>
    <w:div w:id="1769888031">
      <w:bodyDiv w:val="1"/>
      <w:marLeft w:val="0"/>
      <w:marRight w:val="0"/>
      <w:marTop w:val="0"/>
      <w:marBottom w:val="0"/>
      <w:divBdr>
        <w:top w:val="none" w:sz="0" w:space="0" w:color="auto"/>
        <w:left w:val="none" w:sz="0" w:space="0" w:color="auto"/>
        <w:bottom w:val="none" w:sz="0" w:space="0" w:color="auto"/>
        <w:right w:val="none" w:sz="0" w:space="0" w:color="auto"/>
      </w:divBdr>
    </w:div>
    <w:div w:id="1773236853">
      <w:bodyDiv w:val="1"/>
      <w:marLeft w:val="0"/>
      <w:marRight w:val="0"/>
      <w:marTop w:val="0"/>
      <w:marBottom w:val="0"/>
      <w:divBdr>
        <w:top w:val="none" w:sz="0" w:space="0" w:color="auto"/>
        <w:left w:val="none" w:sz="0" w:space="0" w:color="auto"/>
        <w:bottom w:val="none" w:sz="0" w:space="0" w:color="auto"/>
        <w:right w:val="none" w:sz="0" w:space="0" w:color="auto"/>
      </w:divBdr>
    </w:div>
    <w:div w:id="1797094170">
      <w:bodyDiv w:val="1"/>
      <w:marLeft w:val="0"/>
      <w:marRight w:val="0"/>
      <w:marTop w:val="0"/>
      <w:marBottom w:val="0"/>
      <w:divBdr>
        <w:top w:val="none" w:sz="0" w:space="0" w:color="auto"/>
        <w:left w:val="none" w:sz="0" w:space="0" w:color="auto"/>
        <w:bottom w:val="none" w:sz="0" w:space="0" w:color="auto"/>
        <w:right w:val="none" w:sz="0" w:space="0" w:color="auto"/>
      </w:divBdr>
    </w:div>
    <w:div w:id="1800801017">
      <w:bodyDiv w:val="1"/>
      <w:marLeft w:val="0"/>
      <w:marRight w:val="0"/>
      <w:marTop w:val="0"/>
      <w:marBottom w:val="0"/>
      <w:divBdr>
        <w:top w:val="none" w:sz="0" w:space="0" w:color="auto"/>
        <w:left w:val="none" w:sz="0" w:space="0" w:color="auto"/>
        <w:bottom w:val="none" w:sz="0" w:space="0" w:color="auto"/>
        <w:right w:val="none" w:sz="0" w:space="0" w:color="auto"/>
      </w:divBdr>
    </w:div>
    <w:div w:id="1816800720">
      <w:bodyDiv w:val="1"/>
      <w:marLeft w:val="0"/>
      <w:marRight w:val="0"/>
      <w:marTop w:val="0"/>
      <w:marBottom w:val="0"/>
      <w:divBdr>
        <w:top w:val="none" w:sz="0" w:space="0" w:color="auto"/>
        <w:left w:val="none" w:sz="0" w:space="0" w:color="auto"/>
        <w:bottom w:val="none" w:sz="0" w:space="0" w:color="auto"/>
        <w:right w:val="none" w:sz="0" w:space="0" w:color="auto"/>
      </w:divBdr>
    </w:div>
    <w:div w:id="1822387826">
      <w:bodyDiv w:val="1"/>
      <w:marLeft w:val="0"/>
      <w:marRight w:val="0"/>
      <w:marTop w:val="0"/>
      <w:marBottom w:val="0"/>
      <w:divBdr>
        <w:top w:val="none" w:sz="0" w:space="0" w:color="auto"/>
        <w:left w:val="none" w:sz="0" w:space="0" w:color="auto"/>
        <w:bottom w:val="none" w:sz="0" w:space="0" w:color="auto"/>
        <w:right w:val="none" w:sz="0" w:space="0" w:color="auto"/>
      </w:divBdr>
    </w:div>
    <w:div w:id="1823354629">
      <w:bodyDiv w:val="1"/>
      <w:marLeft w:val="0"/>
      <w:marRight w:val="0"/>
      <w:marTop w:val="0"/>
      <w:marBottom w:val="0"/>
      <w:divBdr>
        <w:top w:val="none" w:sz="0" w:space="0" w:color="auto"/>
        <w:left w:val="none" w:sz="0" w:space="0" w:color="auto"/>
        <w:bottom w:val="none" w:sz="0" w:space="0" w:color="auto"/>
        <w:right w:val="none" w:sz="0" w:space="0" w:color="auto"/>
      </w:divBdr>
    </w:div>
    <w:div w:id="1826775345">
      <w:bodyDiv w:val="1"/>
      <w:marLeft w:val="0"/>
      <w:marRight w:val="0"/>
      <w:marTop w:val="0"/>
      <w:marBottom w:val="0"/>
      <w:divBdr>
        <w:top w:val="none" w:sz="0" w:space="0" w:color="auto"/>
        <w:left w:val="none" w:sz="0" w:space="0" w:color="auto"/>
        <w:bottom w:val="none" w:sz="0" w:space="0" w:color="auto"/>
        <w:right w:val="none" w:sz="0" w:space="0" w:color="auto"/>
      </w:divBdr>
    </w:div>
    <w:div w:id="1838300233">
      <w:bodyDiv w:val="1"/>
      <w:marLeft w:val="0"/>
      <w:marRight w:val="0"/>
      <w:marTop w:val="0"/>
      <w:marBottom w:val="0"/>
      <w:divBdr>
        <w:top w:val="none" w:sz="0" w:space="0" w:color="auto"/>
        <w:left w:val="none" w:sz="0" w:space="0" w:color="auto"/>
        <w:bottom w:val="none" w:sz="0" w:space="0" w:color="auto"/>
        <w:right w:val="none" w:sz="0" w:space="0" w:color="auto"/>
      </w:divBdr>
    </w:div>
    <w:div w:id="1853295899">
      <w:bodyDiv w:val="1"/>
      <w:marLeft w:val="0"/>
      <w:marRight w:val="0"/>
      <w:marTop w:val="0"/>
      <w:marBottom w:val="0"/>
      <w:divBdr>
        <w:top w:val="none" w:sz="0" w:space="0" w:color="auto"/>
        <w:left w:val="none" w:sz="0" w:space="0" w:color="auto"/>
        <w:bottom w:val="none" w:sz="0" w:space="0" w:color="auto"/>
        <w:right w:val="none" w:sz="0" w:space="0" w:color="auto"/>
      </w:divBdr>
    </w:div>
    <w:div w:id="1877616462">
      <w:bodyDiv w:val="1"/>
      <w:marLeft w:val="0"/>
      <w:marRight w:val="0"/>
      <w:marTop w:val="0"/>
      <w:marBottom w:val="0"/>
      <w:divBdr>
        <w:top w:val="none" w:sz="0" w:space="0" w:color="auto"/>
        <w:left w:val="none" w:sz="0" w:space="0" w:color="auto"/>
        <w:bottom w:val="none" w:sz="0" w:space="0" w:color="auto"/>
        <w:right w:val="none" w:sz="0" w:space="0" w:color="auto"/>
      </w:divBdr>
    </w:div>
    <w:div w:id="1889367414">
      <w:bodyDiv w:val="1"/>
      <w:marLeft w:val="0"/>
      <w:marRight w:val="0"/>
      <w:marTop w:val="0"/>
      <w:marBottom w:val="0"/>
      <w:divBdr>
        <w:top w:val="none" w:sz="0" w:space="0" w:color="auto"/>
        <w:left w:val="none" w:sz="0" w:space="0" w:color="auto"/>
        <w:bottom w:val="none" w:sz="0" w:space="0" w:color="auto"/>
        <w:right w:val="none" w:sz="0" w:space="0" w:color="auto"/>
      </w:divBdr>
    </w:div>
    <w:div w:id="1903175493">
      <w:bodyDiv w:val="1"/>
      <w:marLeft w:val="0"/>
      <w:marRight w:val="0"/>
      <w:marTop w:val="0"/>
      <w:marBottom w:val="0"/>
      <w:divBdr>
        <w:top w:val="none" w:sz="0" w:space="0" w:color="auto"/>
        <w:left w:val="none" w:sz="0" w:space="0" w:color="auto"/>
        <w:bottom w:val="none" w:sz="0" w:space="0" w:color="auto"/>
        <w:right w:val="none" w:sz="0" w:space="0" w:color="auto"/>
      </w:divBdr>
      <w:divsChild>
        <w:div w:id="1940478133">
          <w:marLeft w:val="0"/>
          <w:marRight w:val="0"/>
          <w:marTop w:val="0"/>
          <w:marBottom w:val="0"/>
          <w:divBdr>
            <w:top w:val="none" w:sz="0" w:space="0" w:color="auto"/>
            <w:left w:val="none" w:sz="0" w:space="0" w:color="auto"/>
            <w:bottom w:val="none" w:sz="0" w:space="0" w:color="auto"/>
            <w:right w:val="none" w:sz="0" w:space="0" w:color="auto"/>
          </w:divBdr>
        </w:div>
        <w:div w:id="566500248">
          <w:marLeft w:val="0"/>
          <w:marRight w:val="0"/>
          <w:marTop w:val="0"/>
          <w:marBottom w:val="0"/>
          <w:divBdr>
            <w:top w:val="none" w:sz="0" w:space="0" w:color="auto"/>
            <w:left w:val="none" w:sz="0" w:space="0" w:color="auto"/>
            <w:bottom w:val="none" w:sz="0" w:space="0" w:color="auto"/>
            <w:right w:val="none" w:sz="0" w:space="0" w:color="auto"/>
          </w:divBdr>
        </w:div>
      </w:divsChild>
    </w:div>
    <w:div w:id="1936204561">
      <w:bodyDiv w:val="1"/>
      <w:marLeft w:val="0"/>
      <w:marRight w:val="0"/>
      <w:marTop w:val="0"/>
      <w:marBottom w:val="0"/>
      <w:divBdr>
        <w:top w:val="none" w:sz="0" w:space="0" w:color="auto"/>
        <w:left w:val="none" w:sz="0" w:space="0" w:color="auto"/>
        <w:bottom w:val="none" w:sz="0" w:space="0" w:color="auto"/>
        <w:right w:val="none" w:sz="0" w:space="0" w:color="auto"/>
      </w:divBdr>
    </w:div>
    <w:div w:id="1936356069">
      <w:bodyDiv w:val="1"/>
      <w:marLeft w:val="0"/>
      <w:marRight w:val="0"/>
      <w:marTop w:val="0"/>
      <w:marBottom w:val="0"/>
      <w:divBdr>
        <w:top w:val="none" w:sz="0" w:space="0" w:color="auto"/>
        <w:left w:val="none" w:sz="0" w:space="0" w:color="auto"/>
        <w:bottom w:val="none" w:sz="0" w:space="0" w:color="auto"/>
        <w:right w:val="none" w:sz="0" w:space="0" w:color="auto"/>
      </w:divBdr>
    </w:div>
    <w:div w:id="1945961224">
      <w:bodyDiv w:val="1"/>
      <w:marLeft w:val="0"/>
      <w:marRight w:val="0"/>
      <w:marTop w:val="0"/>
      <w:marBottom w:val="0"/>
      <w:divBdr>
        <w:top w:val="none" w:sz="0" w:space="0" w:color="auto"/>
        <w:left w:val="none" w:sz="0" w:space="0" w:color="auto"/>
        <w:bottom w:val="none" w:sz="0" w:space="0" w:color="auto"/>
        <w:right w:val="none" w:sz="0" w:space="0" w:color="auto"/>
      </w:divBdr>
    </w:div>
    <w:div w:id="1954746082">
      <w:bodyDiv w:val="1"/>
      <w:marLeft w:val="0"/>
      <w:marRight w:val="0"/>
      <w:marTop w:val="0"/>
      <w:marBottom w:val="0"/>
      <w:divBdr>
        <w:top w:val="none" w:sz="0" w:space="0" w:color="auto"/>
        <w:left w:val="none" w:sz="0" w:space="0" w:color="auto"/>
        <w:bottom w:val="none" w:sz="0" w:space="0" w:color="auto"/>
        <w:right w:val="none" w:sz="0" w:space="0" w:color="auto"/>
      </w:divBdr>
    </w:div>
    <w:div w:id="1956860376">
      <w:bodyDiv w:val="1"/>
      <w:marLeft w:val="0"/>
      <w:marRight w:val="0"/>
      <w:marTop w:val="0"/>
      <w:marBottom w:val="0"/>
      <w:divBdr>
        <w:top w:val="none" w:sz="0" w:space="0" w:color="auto"/>
        <w:left w:val="none" w:sz="0" w:space="0" w:color="auto"/>
        <w:bottom w:val="none" w:sz="0" w:space="0" w:color="auto"/>
        <w:right w:val="none" w:sz="0" w:space="0" w:color="auto"/>
      </w:divBdr>
    </w:div>
    <w:div w:id="1970745571">
      <w:bodyDiv w:val="1"/>
      <w:marLeft w:val="0"/>
      <w:marRight w:val="0"/>
      <w:marTop w:val="0"/>
      <w:marBottom w:val="0"/>
      <w:divBdr>
        <w:top w:val="none" w:sz="0" w:space="0" w:color="auto"/>
        <w:left w:val="none" w:sz="0" w:space="0" w:color="auto"/>
        <w:bottom w:val="none" w:sz="0" w:space="0" w:color="auto"/>
        <w:right w:val="none" w:sz="0" w:space="0" w:color="auto"/>
      </w:divBdr>
    </w:div>
    <w:div w:id="1984122088">
      <w:bodyDiv w:val="1"/>
      <w:marLeft w:val="0"/>
      <w:marRight w:val="0"/>
      <w:marTop w:val="0"/>
      <w:marBottom w:val="0"/>
      <w:divBdr>
        <w:top w:val="none" w:sz="0" w:space="0" w:color="auto"/>
        <w:left w:val="none" w:sz="0" w:space="0" w:color="auto"/>
        <w:bottom w:val="none" w:sz="0" w:space="0" w:color="auto"/>
        <w:right w:val="none" w:sz="0" w:space="0" w:color="auto"/>
      </w:divBdr>
    </w:div>
    <w:div w:id="1988898710">
      <w:bodyDiv w:val="1"/>
      <w:marLeft w:val="0"/>
      <w:marRight w:val="0"/>
      <w:marTop w:val="0"/>
      <w:marBottom w:val="0"/>
      <w:divBdr>
        <w:top w:val="none" w:sz="0" w:space="0" w:color="auto"/>
        <w:left w:val="none" w:sz="0" w:space="0" w:color="auto"/>
        <w:bottom w:val="none" w:sz="0" w:space="0" w:color="auto"/>
        <w:right w:val="none" w:sz="0" w:space="0" w:color="auto"/>
      </w:divBdr>
    </w:div>
    <w:div w:id="1989476372">
      <w:bodyDiv w:val="1"/>
      <w:marLeft w:val="0"/>
      <w:marRight w:val="0"/>
      <w:marTop w:val="0"/>
      <w:marBottom w:val="0"/>
      <w:divBdr>
        <w:top w:val="none" w:sz="0" w:space="0" w:color="auto"/>
        <w:left w:val="none" w:sz="0" w:space="0" w:color="auto"/>
        <w:bottom w:val="none" w:sz="0" w:space="0" w:color="auto"/>
        <w:right w:val="none" w:sz="0" w:space="0" w:color="auto"/>
      </w:divBdr>
      <w:divsChild>
        <w:div w:id="338696109">
          <w:marLeft w:val="300"/>
          <w:marRight w:val="0"/>
          <w:marTop w:val="0"/>
          <w:marBottom w:val="300"/>
          <w:divBdr>
            <w:top w:val="none" w:sz="0" w:space="0" w:color="auto"/>
            <w:left w:val="none" w:sz="0" w:space="0" w:color="auto"/>
            <w:bottom w:val="none" w:sz="0" w:space="0" w:color="auto"/>
            <w:right w:val="none" w:sz="0" w:space="0" w:color="auto"/>
          </w:divBdr>
        </w:div>
      </w:divsChild>
    </w:div>
    <w:div w:id="2040815620">
      <w:bodyDiv w:val="1"/>
      <w:marLeft w:val="0"/>
      <w:marRight w:val="0"/>
      <w:marTop w:val="0"/>
      <w:marBottom w:val="0"/>
      <w:divBdr>
        <w:top w:val="none" w:sz="0" w:space="0" w:color="auto"/>
        <w:left w:val="none" w:sz="0" w:space="0" w:color="auto"/>
        <w:bottom w:val="none" w:sz="0" w:space="0" w:color="auto"/>
        <w:right w:val="none" w:sz="0" w:space="0" w:color="auto"/>
      </w:divBdr>
    </w:div>
    <w:div w:id="2064329140">
      <w:bodyDiv w:val="1"/>
      <w:marLeft w:val="0"/>
      <w:marRight w:val="0"/>
      <w:marTop w:val="0"/>
      <w:marBottom w:val="0"/>
      <w:divBdr>
        <w:top w:val="none" w:sz="0" w:space="0" w:color="auto"/>
        <w:left w:val="none" w:sz="0" w:space="0" w:color="auto"/>
        <w:bottom w:val="none" w:sz="0" w:space="0" w:color="auto"/>
        <w:right w:val="none" w:sz="0" w:space="0" w:color="auto"/>
      </w:divBdr>
    </w:div>
    <w:div w:id="2084376086">
      <w:bodyDiv w:val="1"/>
      <w:marLeft w:val="0"/>
      <w:marRight w:val="0"/>
      <w:marTop w:val="0"/>
      <w:marBottom w:val="0"/>
      <w:divBdr>
        <w:top w:val="none" w:sz="0" w:space="0" w:color="auto"/>
        <w:left w:val="none" w:sz="0" w:space="0" w:color="auto"/>
        <w:bottom w:val="none" w:sz="0" w:space="0" w:color="auto"/>
        <w:right w:val="none" w:sz="0" w:space="0" w:color="auto"/>
      </w:divBdr>
    </w:div>
    <w:div w:id="2106342535">
      <w:bodyDiv w:val="1"/>
      <w:marLeft w:val="0"/>
      <w:marRight w:val="0"/>
      <w:marTop w:val="0"/>
      <w:marBottom w:val="0"/>
      <w:divBdr>
        <w:top w:val="none" w:sz="0" w:space="0" w:color="auto"/>
        <w:left w:val="none" w:sz="0" w:space="0" w:color="auto"/>
        <w:bottom w:val="none" w:sz="0" w:space="0" w:color="auto"/>
        <w:right w:val="none" w:sz="0" w:space="0" w:color="auto"/>
      </w:divBdr>
    </w:div>
    <w:div w:id="2114470935">
      <w:bodyDiv w:val="1"/>
      <w:marLeft w:val="0"/>
      <w:marRight w:val="0"/>
      <w:marTop w:val="0"/>
      <w:marBottom w:val="0"/>
      <w:divBdr>
        <w:top w:val="none" w:sz="0" w:space="0" w:color="auto"/>
        <w:left w:val="none" w:sz="0" w:space="0" w:color="auto"/>
        <w:bottom w:val="none" w:sz="0" w:space="0" w:color="auto"/>
        <w:right w:val="none" w:sz="0" w:space="0" w:color="auto"/>
      </w:divBdr>
    </w:div>
    <w:div w:id="2133473194">
      <w:bodyDiv w:val="1"/>
      <w:marLeft w:val="0"/>
      <w:marRight w:val="0"/>
      <w:marTop w:val="0"/>
      <w:marBottom w:val="0"/>
      <w:divBdr>
        <w:top w:val="none" w:sz="0" w:space="0" w:color="auto"/>
        <w:left w:val="none" w:sz="0" w:space="0" w:color="auto"/>
        <w:bottom w:val="none" w:sz="0" w:space="0" w:color="auto"/>
        <w:right w:val="none" w:sz="0" w:space="0" w:color="auto"/>
      </w:divBdr>
    </w:div>
    <w:div w:id="21409559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18" Type="http://schemas.openxmlformats.org/officeDocument/2006/relationships/image" Target="media/image5.png"/><Relationship Id="rId26" Type="http://schemas.openxmlformats.org/officeDocument/2006/relationships/hyperlink" Target="https://carboncredits.com/" TargetMode="External"/><Relationship Id="rId39" Type="http://schemas.openxmlformats.org/officeDocument/2006/relationships/hyperlink" Target="https://www.statista.com/sso/login-error?error-code=access_denied" TargetMode="External"/><Relationship Id="rId3" Type="http://schemas.openxmlformats.org/officeDocument/2006/relationships/styles" Target="styles.xml"/><Relationship Id="rId21" Type="http://schemas.openxmlformats.org/officeDocument/2006/relationships/image" Target="media/image8.png"/><Relationship Id="rId34" Type="http://schemas.openxmlformats.org/officeDocument/2006/relationships/hyperlink" Target="https://www.trade.gov/market-intelligence/germany-electric-vehicles-and-charging-infrastructure" TargetMode="External"/><Relationship Id="rId42" Type="http://schemas.openxmlformats.org/officeDocument/2006/relationships/hyperlink" Target="https://www.mordorintelligence.com/industry-reports/germany-automotive-high-performance-electric-vehicles-market" TargetMode="Externa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image" Target="media/image4.png"/><Relationship Id="rId25" Type="http://schemas.openxmlformats.org/officeDocument/2006/relationships/hyperlink" Target="https://www.credenceresearch.com/report/germany-electric-vehicle-ev-market" TargetMode="External"/><Relationship Id="rId33" Type="http://schemas.openxmlformats.org/officeDocument/2006/relationships/hyperlink" Target="https://www.credenceresearch.com/report/germany-electric-vehicle-ev-market" TargetMode="External"/><Relationship Id="rId38" Type="http://schemas.openxmlformats.org/officeDocument/2006/relationships/hyperlink" Target="https://www.marklines.com/" TargetMode="Externa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image" Target="media/image7.png"/><Relationship Id="rId29" Type="http://schemas.openxmlformats.org/officeDocument/2006/relationships/hyperlink" Target="https://alternative-fuels-observatory.ec.europa.eu/general-information/news/germany-bev-registrations-surge-54-april-2025" TargetMode="External"/><Relationship Id="rId41" Type="http://schemas.openxmlformats.org/officeDocument/2006/relationships/hyperlink" Target="https://www.tesery.co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hyperlink" Target="https://www.bundesregierung.de/" TargetMode="External"/><Relationship Id="rId32" Type="http://schemas.openxmlformats.org/officeDocument/2006/relationships/hyperlink" Target="https://electrek.co/" TargetMode="External"/><Relationship Id="rId37" Type="http://schemas.openxmlformats.org/officeDocument/2006/relationships/hyperlink" Target="https://www.mordorintelligence.com/industry-reports/germany-ev-charging-infrastructure-market/companies" TargetMode="External"/><Relationship Id="rId40" Type="http://schemas.openxmlformats.org/officeDocument/2006/relationships/hyperlink" Target="https://www.sphericalinsights.com/reports/germany-electric-vehicle-market" TargetMode="External"/><Relationship Id="rId45"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eader" Target="header3.xml"/><Relationship Id="rId23" Type="http://schemas.openxmlformats.org/officeDocument/2006/relationships/hyperlink" Target="https://www.bain.com/insights/automotive-and-mobility-m-and-a-report-2024/" TargetMode="External"/><Relationship Id="rId28" Type="http://schemas.openxmlformats.org/officeDocument/2006/relationships/hyperlink" Target="https://evtcp.org/country/germany/" TargetMode="External"/><Relationship Id="rId36" Type="http://schemas.openxmlformats.org/officeDocument/2006/relationships/hyperlink" Target="https://www.mordorintelligence.com/industry-reports/germany-ev-charging-infrastructure-market/companies" TargetMode="External"/><Relationship Id="rId10" Type="http://schemas.openxmlformats.org/officeDocument/2006/relationships/image" Target="media/image3.png"/><Relationship Id="rId19" Type="http://schemas.openxmlformats.org/officeDocument/2006/relationships/image" Target="media/image6.png"/><Relationship Id="rId31" Type="http://schemas.openxmlformats.org/officeDocument/2006/relationships/hyperlink" Target="https://alternative-fuels-observatory.ec.europa.eu/general-information/news/czechia-phevs-dominate-growth-electrified-segment-2025" TargetMode="External"/><Relationship Id="rId44"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2.xml"/><Relationship Id="rId22" Type="http://schemas.openxmlformats.org/officeDocument/2006/relationships/hyperlink" Target="https://alternative-fuels-observatory.ec.europa.eu/" TargetMode="External"/><Relationship Id="rId27" Type="http://schemas.openxmlformats.org/officeDocument/2006/relationships/hyperlink" Target="https://www.credenceresearch.com/report/germany-electric-vehicle-ev-market" TargetMode="External"/><Relationship Id="rId30" Type="http://schemas.openxmlformats.org/officeDocument/2006/relationships/hyperlink" Target="https://alternative-fuels-observatory.ec.europa.eu/general-information/news/croatia-completes-funding-round-206-electric-buses-advancing-clean-public" TargetMode="External"/><Relationship Id="rId35" Type="http://schemas.openxmlformats.org/officeDocument/2006/relationships/hyperlink" Target="https://www.eu-startups.com/83-top-electric-vehicle-startups-and-companies-in-germany/" TargetMode="External"/><Relationship Id="rId43" Type="http://schemas.openxmlformats.org/officeDocument/2006/relationships/hyperlink" Target="https://www.bain.com/insights/germany-electric-vehicle-marke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8EA22B6-E084-44DC-AB4A-27057F1FF6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23</Pages>
  <Words>6195</Words>
  <Characters>36427</Characters>
  <Application>Microsoft Office Word</Application>
  <DocSecurity>0</DocSecurity>
  <Lines>639</Lines>
  <Paragraphs>185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42437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2025-11-19T21:00:00Z</dcterms:created>
  <dcterms:modified xsi:type="dcterms:W3CDTF">2026-03-19T17:59:00Z</dcterms:modified>
</cp:coreProperties>
</file>