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25837808"/>
        <w:docPartObj>
          <w:docPartGallery w:val="Cover Pages"/>
          <w:docPartUnique/>
        </w:docPartObj>
      </w:sdtPr>
      <w:sdtEndPr>
        <w:rPr>
          <w:b/>
          <w:bCs/>
          <w:color w:val="000000" w:themeColor="text1"/>
        </w:rPr>
      </w:sdtEndPr>
      <w:sdtContent>
        <w:p w14:paraId="02EDD4CB" w14:textId="5961955D" w:rsidR="00EA236B" w:rsidRDefault="00EA236B">
          <w:r>
            <w:rPr>
              <w:noProof/>
            </w:rPr>
            <mc:AlternateContent>
              <mc:Choice Requires="wps">
                <w:drawing>
                  <wp:anchor distT="0" distB="0" distL="114300" distR="114300" simplePos="0" relativeHeight="251661312" behindDoc="0" locked="0" layoutInCell="1" allowOverlap="1" wp14:anchorId="7909228B" wp14:editId="6E7F348B">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D6B9E3B" w14:textId="0166DC1E" w:rsidR="00EA236B" w:rsidRPr="007B7F1E" w:rsidRDefault="00EA236B">
                                    <w:pPr>
                                      <w:pStyle w:val="NoSpacing"/>
                                      <w:spacing w:after="480"/>
                                      <w:rPr>
                                        <w:rFonts w:ascii="Arial" w:hAnsi="Arial" w:cs="Arial"/>
                                        <w:iCs/>
                                        <w:color w:val="262626" w:themeColor="text1" w:themeTint="D9"/>
                                        <w:sz w:val="32"/>
                                        <w:szCs w:val="32"/>
                                      </w:rPr>
                                    </w:pPr>
                                    <w:r w:rsidRPr="007B7F1E">
                                      <w:rPr>
                                        <w:rFonts w:ascii="Arial" w:hAnsi="Arial" w:cs="Arial"/>
                                        <w:iCs/>
                                        <w:color w:val="262626" w:themeColor="text1" w:themeTint="D9"/>
                                        <w:sz w:val="32"/>
                                        <w:szCs w:val="32"/>
                                      </w:rPr>
                                      <w:t xml:space="preserve">Rohan </w:t>
                                    </w:r>
                                    <w:r w:rsidR="007B7F1E" w:rsidRPr="007B7F1E">
                                      <w:rPr>
                                        <w:rFonts w:ascii="Arial" w:hAnsi="Arial" w:cs="Arial"/>
                                        <w:iCs/>
                                        <w:color w:val="262626" w:themeColor="text1" w:themeTint="D9"/>
                                        <w:sz w:val="32"/>
                                        <w:szCs w:val="32"/>
                                      </w:rPr>
                                      <w:t xml:space="preserve">St Lawrence </w:t>
                                    </w:r>
                                    <w:r w:rsidRPr="007B7F1E">
                                      <w:rPr>
                                        <w:rFonts w:ascii="Arial" w:hAnsi="Arial" w:cs="Arial"/>
                                        <w:iCs/>
                                        <w:color w:val="262626" w:themeColor="text1" w:themeTint="D9"/>
                                        <w:sz w:val="32"/>
                                        <w:szCs w:val="32"/>
                                      </w:rPr>
                                      <w:t>Dubrey (1905715)</w:t>
                                    </w:r>
                                  </w:p>
                                </w:sdtContent>
                              </w:sdt>
                              <w:p w14:paraId="19BBEA6F" w14:textId="4D12D8A6" w:rsidR="007B7F1E" w:rsidRDefault="00EA236B">
                                <w:pPr>
                                  <w:pStyle w:val="NoSpacing"/>
                                  <w:rPr>
                                    <w:rFonts w:ascii="Arial" w:hAnsi="Arial" w:cs="Arial"/>
                                    <w:iCs/>
                                    <w:color w:val="262626" w:themeColor="text1" w:themeTint="D9"/>
                                    <w:sz w:val="26"/>
                                    <w:szCs w:val="26"/>
                                  </w:rPr>
                                </w:pPr>
                                <w:sdt>
                                  <w:sdtPr>
                                    <w:rPr>
                                      <w:rFonts w:ascii="Arial" w:hAnsi="Arial" w:cs="Arial"/>
                                      <w:iCs/>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7B7F1E" w:rsidRPr="007B7F1E">
                                      <w:rPr>
                                        <w:rFonts w:ascii="Arial" w:hAnsi="Arial" w:cs="Arial"/>
                                        <w:iCs/>
                                        <w:color w:val="262626" w:themeColor="text1" w:themeTint="D9"/>
                                        <w:sz w:val="26"/>
                                        <w:szCs w:val="26"/>
                                      </w:rPr>
                                      <w:t>Module Lecturer: Dr Emma Roberts</w:t>
                                    </w:r>
                                  </w:sdtContent>
                                </w:sdt>
                                <w:r w:rsidRPr="007B7F1E">
                                  <w:rPr>
                                    <w:rFonts w:ascii="Arial" w:hAnsi="Arial" w:cs="Arial"/>
                                    <w:iCs/>
                                    <w:color w:val="262626" w:themeColor="text1" w:themeTint="D9"/>
                                    <w:sz w:val="26"/>
                                    <w:szCs w:val="26"/>
                                  </w:rPr>
                                  <w:t xml:space="preserve"> </w:t>
                                </w:r>
                              </w:p>
                              <w:p w14:paraId="670E4818" w14:textId="77777777" w:rsidR="007B7F1E" w:rsidRPr="007B7F1E" w:rsidRDefault="007B7F1E">
                                <w:pPr>
                                  <w:pStyle w:val="NoSpacing"/>
                                  <w:rPr>
                                    <w:rFonts w:ascii="Arial" w:hAnsi="Arial" w:cs="Arial"/>
                                    <w:iCs/>
                                    <w:color w:val="262626" w:themeColor="text1" w:themeTint="D9"/>
                                    <w:sz w:val="26"/>
                                    <w:szCs w:val="26"/>
                                  </w:rPr>
                                </w:pPr>
                              </w:p>
                              <w:p w14:paraId="64A211CD" w14:textId="5A42A17B" w:rsidR="00EA236B" w:rsidRPr="007B7F1E" w:rsidRDefault="00EA236B">
                                <w:pPr>
                                  <w:pStyle w:val="NoSpacing"/>
                                  <w:rPr>
                                    <w:rFonts w:ascii="Arial" w:hAnsi="Arial" w:cs="Arial"/>
                                    <w:iCs/>
                                    <w:color w:val="262626" w:themeColor="text1" w:themeTint="D9"/>
                                    <w:sz w:val="26"/>
                                    <w:szCs w:val="26"/>
                                  </w:rPr>
                                </w:pPr>
                                <w:r w:rsidRPr="007B7F1E">
                                  <w:rPr>
                                    <w:rFonts w:ascii="Arial" w:hAnsi="Arial" w:cs="Arial"/>
                                    <w:iCs/>
                                    <w:color w:val="262626" w:themeColor="text1" w:themeTint="D9"/>
                                    <w:sz w:val="26"/>
                                    <w:szCs w:val="26"/>
                                  </w:rPr>
                                  <w:t xml:space="preserve"> </w:t>
                                </w:r>
                                <w:sdt>
                                  <w:sdtPr>
                                    <w:rPr>
                                      <w:rFonts w:ascii="Arial" w:hAnsi="Arial" w:cs="Arial"/>
                                      <w:iCs/>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007B7F1E" w:rsidRPr="007B7F1E">
                                      <w:rPr>
                                        <w:rFonts w:ascii="Arial" w:hAnsi="Arial" w:cs="Arial"/>
                                        <w:iCs/>
                                        <w:color w:val="262626" w:themeColor="text1" w:themeTint="D9"/>
                                        <w:sz w:val="26"/>
                                        <w:szCs w:val="26"/>
                                      </w:rPr>
                                      <w:t>Doctor of Business Administration (UWTSD)</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909228B"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rFonts w:ascii="Arial" w:hAnsi="Arial" w:cs="Arial"/>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D6B9E3B" w14:textId="0166DC1E" w:rsidR="00EA236B" w:rsidRPr="007B7F1E" w:rsidRDefault="00EA236B">
                              <w:pPr>
                                <w:pStyle w:val="NoSpacing"/>
                                <w:spacing w:after="480"/>
                                <w:rPr>
                                  <w:rFonts w:ascii="Arial" w:hAnsi="Arial" w:cs="Arial"/>
                                  <w:iCs/>
                                  <w:color w:val="262626" w:themeColor="text1" w:themeTint="D9"/>
                                  <w:sz w:val="32"/>
                                  <w:szCs w:val="32"/>
                                </w:rPr>
                              </w:pPr>
                              <w:r w:rsidRPr="007B7F1E">
                                <w:rPr>
                                  <w:rFonts w:ascii="Arial" w:hAnsi="Arial" w:cs="Arial"/>
                                  <w:iCs/>
                                  <w:color w:val="262626" w:themeColor="text1" w:themeTint="D9"/>
                                  <w:sz w:val="32"/>
                                  <w:szCs w:val="32"/>
                                </w:rPr>
                                <w:t xml:space="preserve">Rohan </w:t>
                              </w:r>
                              <w:r w:rsidR="007B7F1E" w:rsidRPr="007B7F1E">
                                <w:rPr>
                                  <w:rFonts w:ascii="Arial" w:hAnsi="Arial" w:cs="Arial"/>
                                  <w:iCs/>
                                  <w:color w:val="262626" w:themeColor="text1" w:themeTint="D9"/>
                                  <w:sz w:val="32"/>
                                  <w:szCs w:val="32"/>
                                </w:rPr>
                                <w:t xml:space="preserve">St Lawrence </w:t>
                              </w:r>
                              <w:r w:rsidRPr="007B7F1E">
                                <w:rPr>
                                  <w:rFonts w:ascii="Arial" w:hAnsi="Arial" w:cs="Arial"/>
                                  <w:iCs/>
                                  <w:color w:val="262626" w:themeColor="text1" w:themeTint="D9"/>
                                  <w:sz w:val="32"/>
                                  <w:szCs w:val="32"/>
                                </w:rPr>
                                <w:t>Dubrey (1905715)</w:t>
                              </w:r>
                            </w:p>
                          </w:sdtContent>
                        </w:sdt>
                        <w:p w14:paraId="19BBEA6F" w14:textId="4D12D8A6" w:rsidR="007B7F1E" w:rsidRDefault="00EA236B">
                          <w:pPr>
                            <w:pStyle w:val="NoSpacing"/>
                            <w:rPr>
                              <w:rFonts w:ascii="Arial" w:hAnsi="Arial" w:cs="Arial"/>
                              <w:iCs/>
                              <w:color w:val="262626" w:themeColor="text1" w:themeTint="D9"/>
                              <w:sz w:val="26"/>
                              <w:szCs w:val="26"/>
                            </w:rPr>
                          </w:pPr>
                          <w:sdt>
                            <w:sdtPr>
                              <w:rPr>
                                <w:rFonts w:ascii="Arial" w:hAnsi="Arial" w:cs="Arial"/>
                                <w:iCs/>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7B7F1E" w:rsidRPr="007B7F1E">
                                <w:rPr>
                                  <w:rFonts w:ascii="Arial" w:hAnsi="Arial" w:cs="Arial"/>
                                  <w:iCs/>
                                  <w:color w:val="262626" w:themeColor="text1" w:themeTint="D9"/>
                                  <w:sz w:val="26"/>
                                  <w:szCs w:val="26"/>
                                </w:rPr>
                                <w:t>Module Lecturer: Dr Emma Roberts</w:t>
                              </w:r>
                            </w:sdtContent>
                          </w:sdt>
                          <w:r w:rsidRPr="007B7F1E">
                            <w:rPr>
                              <w:rFonts w:ascii="Arial" w:hAnsi="Arial" w:cs="Arial"/>
                              <w:iCs/>
                              <w:color w:val="262626" w:themeColor="text1" w:themeTint="D9"/>
                              <w:sz w:val="26"/>
                              <w:szCs w:val="26"/>
                            </w:rPr>
                            <w:t xml:space="preserve"> </w:t>
                          </w:r>
                        </w:p>
                        <w:p w14:paraId="670E4818" w14:textId="77777777" w:rsidR="007B7F1E" w:rsidRPr="007B7F1E" w:rsidRDefault="007B7F1E">
                          <w:pPr>
                            <w:pStyle w:val="NoSpacing"/>
                            <w:rPr>
                              <w:rFonts w:ascii="Arial" w:hAnsi="Arial" w:cs="Arial"/>
                              <w:iCs/>
                              <w:color w:val="262626" w:themeColor="text1" w:themeTint="D9"/>
                              <w:sz w:val="26"/>
                              <w:szCs w:val="26"/>
                            </w:rPr>
                          </w:pPr>
                        </w:p>
                        <w:p w14:paraId="64A211CD" w14:textId="5A42A17B" w:rsidR="00EA236B" w:rsidRPr="007B7F1E" w:rsidRDefault="00EA236B">
                          <w:pPr>
                            <w:pStyle w:val="NoSpacing"/>
                            <w:rPr>
                              <w:rFonts w:ascii="Arial" w:hAnsi="Arial" w:cs="Arial"/>
                              <w:iCs/>
                              <w:color w:val="262626" w:themeColor="text1" w:themeTint="D9"/>
                              <w:sz w:val="26"/>
                              <w:szCs w:val="26"/>
                            </w:rPr>
                          </w:pPr>
                          <w:r w:rsidRPr="007B7F1E">
                            <w:rPr>
                              <w:rFonts w:ascii="Arial" w:hAnsi="Arial" w:cs="Arial"/>
                              <w:iCs/>
                              <w:color w:val="262626" w:themeColor="text1" w:themeTint="D9"/>
                              <w:sz w:val="26"/>
                              <w:szCs w:val="26"/>
                            </w:rPr>
                            <w:t xml:space="preserve"> </w:t>
                          </w:r>
                          <w:sdt>
                            <w:sdtPr>
                              <w:rPr>
                                <w:rFonts w:ascii="Arial" w:hAnsi="Arial" w:cs="Arial"/>
                                <w:iCs/>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007B7F1E" w:rsidRPr="007B7F1E">
                                <w:rPr>
                                  <w:rFonts w:ascii="Arial" w:hAnsi="Arial" w:cs="Arial"/>
                                  <w:iCs/>
                                  <w:color w:val="262626" w:themeColor="text1" w:themeTint="D9"/>
                                  <w:sz w:val="26"/>
                                  <w:szCs w:val="26"/>
                                </w:rPr>
                                <w:t>Doctor of Business Administration (UWTSD)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210FA79E" wp14:editId="709E1A42">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67C1AE8"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7C624937" wp14:editId="619FAAE7">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D6D4ED1" w14:textId="1E2E5A17" w:rsidR="00EA236B" w:rsidRPr="00EA236B" w:rsidRDefault="00EA236B" w:rsidP="00EA236B">
                                    <w:pPr>
                                      <w:pStyle w:val="NoSpacing"/>
                                      <w:spacing w:after="900"/>
                                      <w:jc w:val="center"/>
                                      <w:rPr>
                                        <w:rFonts w:ascii="Arial" w:hAnsi="Arial" w:cs="Arial"/>
                                        <w:i/>
                                        <w:caps/>
                                        <w:color w:val="262626" w:themeColor="text1" w:themeTint="D9"/>
                                        <w:sz w:val="56"/>
                                        <w:szCs w:val="56"/>
                                      </w:rPr>
                                    </w:pPr>
                                    <w:r w:rsidRPr="00EA236B">
                                      <w:rPr>
                                        <w:rFonts w:ascii="Arial" w:hAnsi="Arial" w:cs="Arial"/>
                                        <w:i/>
                                        <w:caps/>
                                        <w:color w:val="262626" w:themeColor="text1" w:themeTint="D9"/>
                                        <w:sz w:val="56"/>
                                        <w:szCs w:val="56"/>
                                      </w:rPr>
                                      <w:t>VISION FOR THE FUTURE THEORETICAL PERSPECTIVES ON MANAGEMENT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575812A" w14:textId="78BAD009" w:rsidR="00EA236B" w:rsidRDefault="00EA236B">
                                    <w:pPr>
                                      <w:pStyle w:val="NoSpacing"/>
                                      <w:rPr>
                                        <w:i/>
                                        <w:color w:val="262626" w:themeColor="text1" w:themeTint="D9"/>
                                        <w:sz w:val="36"/>
                                        <w:szCs w:val="36"/>
                                      </w:rPr>
                                    </w:pPr>
                                    <w:r>
                                      <w:rPr>
                                        <w:color w:val="262626" w:themeColor="text1" w:themeTint="D9"/>
                                        <w:sz w:val="36"/>
                                        <w:szCs w:val="36"/>
                                      </w:rPr>
                                      <w:t>M</w:t>
                                    </w:r>
                                    <w:r w:rsidR="007B7F1E">
                                      <w:rPr>
                                        <w:color w:val="262626" w:themeColor="text1" w:themeTint="D9"/>
                                        <w:sz w:val="36"/>
                                        <w:szCs w:val="36"/>
                                      </w:rPr>
                                      <w:t>odule code: LCDB7008</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7C624937"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Arial" w:hAnsi="Arial" w:cs="Arial"/>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D6D4ED1" w14:textId="1E2E5A17" w:rsidR="00EA236B" w:rsidRPr="00EA236B" w:rsidRDefault="00EA236B" w:rsidP="00EA236B">
                              <w:pPr>
                                <w:pStyle w:val="NoSpacing"/>
                                <w:spacing w:after="900"/>
                                <w:jc w:val="center"/>
                                <w:rPr>
                                  <w:rFonts w:ascii="Arial" w:hAnsi="Arial" w:cs="Arial"/>
                                  <w:i/>
                                  <w:caps/>
                                  <w:color w:val="262626" w:themeColor="text1" w:themeTint="D9"/>
                                  <w:sz w:val="56"/>
                                  <w:szCs w:val="56"/>
                                </w:rPr>
                              </w:pPr>
                              <w:r w:rsidRPr="00EA236B">
                                <w:rPr>
                                  <w:rFonts w:ascii="Arial" w:hAnsi="Arial" w:cs="Arial"/>
                                  <w:i/>
                                  <w:caps/>
                                  <w:color w:val="262626" w:themeColor="text1" w:themeTint="D9"/>
                                  <w:sz w:val="56"/>
                                  <w:szCs w:val="56"/>
                                </w:rPr>
                                <w:t>VISION FOR THE FUTURE THEORETICAL PERSPECTIVES ON MANAGEMENT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575812A" w14:textId="78BAD009" w:rsidR="00EA236B" w:rsidRDefault="00EA236B">
                              <w:pPr>
                                <w:pStyle w:val="NoSpacing"/>
                                <w:rPr>
                                  <w:i/>
                                  <w:color w:val="262626" w:themeColor="text1" w:themeTint="D9"/>
                                  <w:sz w:val="36"/>
                                  <w:szCs w:val="36"/>
                                </w:rPr>
                              </w:pPr>
                              <w:r>
                                <w:rPr>
                                  <w:color w:val="262626" w:themeColor="text1" w:themeTint="D9"/>
                                  <w:sz w:val="36"/>
                                  <w:szCs w:val="36"/>
                                </w:rPr>
                                <w:t>M</w:t>
                              </w:r>
                              <w:r w:rsidR="007B7F1E">
                                <w:rPr>
                                  <w:color w:val="262626" w:themeColor="text1" w:themeTint="D9"/>
                                  <w:sz w:val="36"/>
                                  <w:szCs w:val="36"/>
                                </w:rPr>
                                <w:t>odule code: LCDB7008</w:t>
                              </w:r>
                            </w:p>
                          </w:sdtContent>
                        </w:sdt>
                      </w:txbxContent>
                    </v:textbox>
                    <w10:wrap anchorx="page" anchory="page"/>
                  </v:shape>
                </w:pict>
              </mc:Fallback>
            </mc:AlternateContent>
          </w:r>
        </w:p>
        <w:p w14:paraId="746FD3CE" w14:textId="0AB69DBB" w:rsidR="007B7F1E" w:rsidRPr="00FA2E1B" w:rsidRDefault="00EA236B" w:rsidP="001272C5">
          <w:pPr>
            <w:rPr>
              <w:b/>
              <w:bCs/>
              <w:color w:val="000000" w:themeColor="text1"/>
            </w:rPr>
          </w:pPr>
          <w:r>
            <w:rPr>
              <w:b/>
              <w:bCs/>
              <w:color w:val="000000" w:themeColor="text1"/>
            </w:rPr>
            <w:br w:type="page"/>
          </w:r>
        </w:p>
      </w:sdtContent>
    </w:sdt>
    <w:p w14:paraId="6389AC84" w14:textId="47BB083D" w:rsidR="007B7F1E" w:rsidRDefault="00FA2E1B" w:rsidP="00A9331D">
      <w:pPr>
        <w:jc w:val="center"/>
        <w:rPr>
          <w:rFonts w:ascii="Arial" w:hAnsi="Arial" w:cs="Arial"/>
          <w:b/>
          <w:bCs/>
          <w:color w:val="000000" w:themeColor="text1"/>
        </w:rPr>
      </w:pPr>
      <w:r>
        <w:rPr>
          <w:rFonts w:ascii="Arial" w:hAnsi="Arial" w:cs="Arial"/>
          <w:b/>
          <w:bCs/>
          <w:color w:val="000000" w:themeColor="text1"/>
        </w:rPr>
        <w:lastRenderedPageBreak/>
        <w:t>Table of Contents</w:t>
      </w:r>
    </w:p>
    <w:sdt>
      <w:sdtPr>
        <w:id w:val="-202546751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6DF526C" w14:textId="6D37DDAE" w:rsidR="00FA2E1B" w:rsidRPr="00FA2E1B" w:rsidRDefault="00FA2E1B" w:rsidP="00FA2E1B">
          <w:pPr>
            <w:pStyle w:val="TOCHeading"/>
            <w:rPr>
              <w:rFonts w:ascii="Arial" w:hAnsi="Arial" w:cs="Arial"/>
              <w:color w:val="000000" w:themeColor="text1"/>
            </w:rPr>
          </w:pPr>
        </w:p>
        <w:p w14:paraId="270E4885" w14:textId="79A39107" w:rsidR="00FA2E1B" w:rsidRDefault="00FA2E1B" w:rsidP="00FA2E1B">
          <w:pPr>
            <w:pStyle w:val="TOC1"/>
            <w:tabs>
              <w:tab w:val="right" w:leader="dot" w:pos="10450"/>
            </w:tabs>
            <w:spacing w:line="276" w:lineRule="auto"/>
            <w:rPr>
              <w:rFonts w:eastAsiaTheme="minorEastAsia" w:cstheme="minorBidi"/>
              <w:b w:val="0"/>
              <w:bCs w:val="0"/>
              <w:caps w:val="0"/>
              <w:noProof/>
              <w:kern w:val="0"/>
              <w:sz w:val="24"/>
              <w:szCs w:val="24"/>
              <w:lang w:eastAsia="en-GB"/>
              <w14:ligatures w14:val="none"/>
            </w:rPr>
          </w:pPr>
          <w:r>
            <w:rPr>
              <w:b w:val="0"/>
              <w:bCs w:val="0"/>
            </w:rPr>
            <w:fldChar w:fldCharType="begin"/>
          </w:r>
          <w:r>
            <w:instrText xml:space="preserve"> TOC \o "1-3" \h \z \u </w:instrText>
          </w:r>
          <w:r>
            <w:rPr>
              <w:b w:val="0"/>
              <w:bCs w:val="0"/>
            </w:rPr>
            <w:fldChar w:fldCharType="separate"/>
          </w:r>
          <w:hyperlink w:anchor="_Toc126667546" w:history="1">
            <w:r w:rsidRPr="00497AE9">
              <w:rPr>
                <w:rStyle w:val="Hyperlink"/>
                <w:rFonts w:ascii="Arial" w:hAnsi="Arial" w:cs="Arial"/>
                <w:noProof/>
              </w:rPr>
              <w:t>Chapter 1.0 Theorist Varying Pe</w:t>
            </w:r>
            <w:r w:rsidRPr="00497AE9">
              <w:rPr>
                <w:rStyle w:val="Hyperlink"/>
                <w:rFonts w:ascii="Arial" w:hAnsi="Arial" w:cs="Arial"/>
                <w:noProof/>
              </w:rPr>
              <w:t>r</w:t>
            </w:r>
            <w:r w:rsidRPr="00497AE9">
              <w:rPr>
                <w:rStyle w:val="Hyperlink"/>
                <w:rFonts w:ascii="Arial" w:hAnsi="Arial" w:cs="Arial"/>
                <w:noProof/>
              </w:rPr>
              <w:t>spectives</w:t>
            </w:r>
            <w:r>
              <w:rPr>
                <w:noProof/>
                <w:webHidden/>
              </w:rPr>
              <w:tab/>
            </w:r>
            <w:r>
              <w:rPr>
                <w:noProof/>
                <w:webHidden/>
              </w:rPr>
              <w:fldChar w:fldCharType="begin"/>
            </w:r>
            <w:r>
              <w:rPr>
                <w:noProof/>
                <w:webHidden/>
              </w:rPr>
              <w:instrText xml:space="preserve"> PAGEREF _Toc126667546 \h </w:instrText>
            </w:r>
            <w:r>
              <w:rPr>
                <w:noProof/>
                <w:webHidden/>
              </w:rPr>
            </w:r>
            <w:r>
              <w:rPr>
                <w:noProof/>
                <w:webHidden/>
              </w:rPr>
              <w:fldChar w:fldCharType="separate"/>
            </w:r>
            <w:r>
              <w:rPr>
                <w:noProof/>
                <w:webHidden/>
              </w:rPr>
              <w:t>1</w:t>
            </w:r>
            <w:r>
              <w:rPr>
                <w:noProof/>
                <w:webHidden/>
              </w:rPr>
              <w:fldChar w:fldCharType="end"/>
            </w:r>
          </w:hyperlink>
        </w:p>
        <w:p w14:paraId="6A00EAE9" w14:textId="6AD1BD5E"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47" w:history="1">
            <w:r w:rsidRPr="00497AE9">
              <w:rPr>
                <w:rStyle w:val="Hyperlink"/>
                <w:rFonts w:ascii="Arial" w:hAnsi="Arial" w:cs="Arial"/>
                <w:b/>
                <w:bCs/>
                <w:noProof/>
                <w:shd w:val="clear" w:color="auto" w:fill="FFFFFF"/>
              </w:rPr>
              <w:t>1.1 Introduction</w:t>
            </w:r>
            <w:r>
              <w:rPr>
                <w:noProof/>
                <w:webHidden/>
              </w:rPr>
              <w:tab/>
            </w:r>
            <w:r>
              <w:rPr>
                <w:noProof/>
                <w:webHidden/>
              </w:rPr>
              <w:fldChar w:fldCharType="begin"/>
            </w:r>
            <w:r>
              <w:rPr>
                <w:noProof/>
                <w:webHidden/>
              </w:rPr>
              <w:instrText xml:space="preserve"> PAGEREF _Toc126667547 \h </w:instrText>
            </w:r>
            <w:r>
              <w:rPr>
                <w:noProof/>
                <w:webHidden/>
              </w:rPr>
            </w:r>
            <w:r>
              <w:rPr>
                <w:noProof/>
                <w:webHidden/>
              </w:rPr>
              <w:fldChar w:fldCharType="separate"/>
            </w:r>
            <w:r>
              <w:rPr>
                <w:noProof/>
                <w:webHidden/>
              </w:rPr>
              <w:t>1</w:t>
            </w:r>
            <w:r>
              <w:rPr>
                <w:noProof/>
                <w:webHidden/>
              </w:rPr>
              <w:fldChar w:fldCharType="end"/>
            </w:r>
          </w:hyperlink>
        </w:p>
        <w:p w14:paraId="4040C942" w14:textId="06B4C8A8"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48" w:history="1">
            <w:r w:rsidRPr="00497AE9">
              <w:rPr>
                <w:rStyle w:val="Hyperlink"/>
                <w:rFonts w:ascii="Arial" w:eastAsia="Times New Roman" w:hAnsi="Arial" w:cs="Arial"/>
                <w:b/>
                <w:bCs/>
                <w:noProof/>
                <w:lang w:eastAsia="en-GB"/>
              </w:rPr>
              <w:t>1.2 Overview of Peter Drucker’s Perspectives</w:t>
            </w:r>
            <w:r>
              <w:rPr>
                <w:noProof/>
                <w:webHidden/>
              </w:rPr>
              <w:tab/>
            </w:r>
            <w:r>
              <w:rPr>
                <w:noProof/>
                <w:webHidden/>
              </w:rPr>
              <w:fldChar w:fldCharType="begin"/>
            </w:r>
            <w:r>
              <w:rPr>
                <w:noProof/>
                <w:webHidden/>
              </w:rPr>
              <w:instrText xml:space="preserve"> PAGEREF _Toc126667548 \h </w:instrText>
            </w:r>
            <w:r>
              <w:rPr>
                <w:noProof/>
                <w:webHidden/>
              </w:rPr>
            </w:r>
            <w:r>
              <w:rPr>
                <w:noProof/>
                <w:webHidden/>
              </w:rPr>
              <w:fldChar w:fldCharType="separate"/>
            </w:r>
            <w:r>
              <w:rPr>
                <w:noProof/>
                <w:webHidden/>
              </w:rPr>
              <w:t>1</w:t>
            </w:r>
            <w:r>
              <w:rPr>
                <w:noProof/>
                <w:webHidden/>
              </w:rPr>
              <w:fldChar w:fldCharType="end"/>
            </w:r>
          </w:hyperlink>
        </w:p>
        <w:p w14:paraId="1075AFF0" w14:textId="47F4C52C"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49" w:history="1">
            <w:r w:rsidRPr="00497AE9">
              <w:rPr>
                <w:rStyle w:val="Hyperlink"/>
                <w:rFonts w:ascii="Arial" w:hAnsi="Arial" w:cs="Arial"/>
                <w:b/>
                <w:bCs/>
                <w:noProof/>
              </w:rPr>
              <w:t>1.2.1 Drucker’s work</w:t>
            </w:r>
            <w:r>
              <w:rPr>
                <w:noProof/>
                <w:webHidden/>
              </w:rPr>
              <w:tab/>
            </w:r>
            <w:r>
              <w:rPr>
                <w:noProof/>
                <w:webHidden/>
              </w:rPr>
              <w:fldChar w:fldCharType="begin"/>
            </w:r>
            <w:r>
              <w:rPr>
                <w:noProof/>
                <w:webHidden/>
              </w:rPr>
              <w:instrText xml:space="preserve"> PAGEREF _Toc126667549 \h </w:instrText>
            </w:r>
            <w:r>
              <w:rPr>
                <w:noProof/>
                <w:webHidden/>
              </w:rPr>
            </w:r>
            <w:r>
              <w:rPr>
                <w:noProof/>
                <w:webHidden/>
              </w:rPr>
              <w:fldChar w:fldCharType="separate"/>
            </w:r>
            <w:r>
              <w:rPr>
                <w:noProof/>
                <w:webHidden/>
              </w:rPr>
              <w:t>2</w:t>
            </w:r>
            <w:r>
              <w:rPr>
                <w:noProof/>
                <w:webHidden/>
              </w:rPr>
              <w:fldChar w:fldCharType="end"/>
            </w:r>
          </w:hyperlink>
        </w:p>
        <w:p w14:paraId="0DEB3E31" w14:textId="32462F98"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50" w:history="1">
            <w:r w:rsidRPr="00497AE9">
              <w:rPr>
                <w:rStyle w:val="Hyperlink"/>
                <w:rFonts w:ascii="Arial" w:hAnsi="Arial" w:cs="Arial"/>
                <w:b/>
                <w:bCs/>
                <w:noProof/>
              </w:rPr>
              <w:t>1.2.2 Drucker’s Legacy</w:t>
            </w:r>
            <w:r>
              <w:rPr>
                <w:noProof/>
                <w:webHidden/>
              </w:rPr>
              <w:tab/>
            </w:r>
            <w:r>
              <w:rPr>
                <w:noProof/>
                <w:webHidden/>
              </w:rPr>
              <w:fldChar w:fldCharType="begin"/>
            </w:r>
            <w:r>
              <w:rPr>
                <w:noProof/>
                <w:webHidden/>
              </w:rPr>
              <w:instrText xml:space="preserve"> PAGEREF _Toc126667550 \h </w:instrText>
            </w:r>
            <w:r>
              <w:rPr>
                <w:noProof/>
                <w:webHidden/>
              </w:rPr>
            </w:r>
            <w:r>
              <w:rPr>
                <w:noProof/>
                <w:webHidden/>
              </w:rPr>
              <w:fldChar w:fldCharType="separate"/>
            </w:r>
            <w:r>
              <w:rPr>
                <w:noProof/>
                <w:webHidden/>
              </w:rPr>
              <w:t>3</w:t>
            </w:r>
            <w:r>
              <w:rPr>
                <w:noProof/>
                <w:webHidden/>
              </w:rPr>
              <w:fldChar w:fldCharType="end"/>
            </w:r>
          </w:hyperlink>
        </w:p>
        <w:p w14:paraId="14BD9387" w14:textId="22AE4ED5"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51" w:history="1">
            <w:r w:rsidRPr="00497AE9">
              <w:rPr>
                <w:rStyle w:val="Hyperlink"/>
                <w:rFonts w:ascii="Arial" w:eastAsia="Times New Roman" w:hAnsi="Arial" w:cs="Arial"/>
                <w:b/>
                <w:bCs/>
                <w:noProof/>
                <w:lang w:eastAsia="en-GB"/>
              </w:rPr>
              <w:t>1.3 Overview of Fred Fielder’s Perspective</w:t>
            </w:r>
            <w:r>
              <w:rPr>
                <w:noProof/>
                <w:webHidden/>
              </w:rPr>
              <w:tab/>
            </w:r>
            <w:r>
              <w:rPr>
                <w:noProof/>
                <w:webHidden/>
              </w:rPr>
              <w:fldChar w:fldCharType="begin"/>
            </w:r>
            <w:r>
              <w:rPr>
                <w:noProof/>
                <w:webHidden/>
              </w:rPr>
              <w:instrText xml:space="preserve"> PAGEREF _Toc126667551 \h </w:instrText>
            </w:r>
            <w:r>
              <w:rPr>
                <w:noProof/>
                <w:webHidden/>
              </w:rPr>
            </w:r>
            <w:r>
              <w:rPr>
                <w:noProof/>
                <w:webHidden/>
              </w:rPr>
              <w:fldChar w:fldCharType="separate"/>
            </w:r>
            <w:r>
              <w:rPr>
                <w:noProof/>
                <w:webHidden/>
              </w:rPr>
              <w:t>3</w:t>
            </w:r>
            <w:r>
              <w:rPr>
                <w:noProof/>
                <w:webHidden/>
              </w:rPr>
              <w:fldChar w:fldCharType="end"/>
            </w:r>
          </w:hyperlink>
        </w:p>
        <w:p w14:paraId="47D15E96" w14:textId="542C42BA"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52" w:history="1">
            <w:r w:rsidRPr="00497AE9">
              <w:rPr>
                <w:rStyle w:val="Hyperlink"/>
                <w:rFonts w:ascii="Arial" w:eastAsia="Times New Roman" w:hAnsi="Arial" w:cs="Arial"/>
                <w:b/>
                <w:bCs/>
                <w:noProof/>
                <w:lang w:eastAsia="en-GB"/>
              </w:rPr>
              <w:t>1.3.1 Fielder’s Work</w:t>
            </w:r>
            <w:r>
              <w:rPr>
                <w:noProof/>
                <w:webHidden/>
              </w:rPr>
              <w:tab/>
            </w:r>
            <w:r>
              <w:rPr>
                <w:noProof/>
                <w:webHidden/>
              </w:rPr>
              <w:fldChar w:fldCharType="begin"/>
            </w:r>
            <w:r>
              <w:rPr>
                <w:noProof/>
                <w:webHidden/>
              </w:rPr>
              <w:instrText xml:space="preserve"> PAGEREF _Toc126667552 \h </w:instrText>
            </w:r>
            <w:r>
              <w:rPr>
                <w:noProof/>
                <w:webHidden/>
              </w:rPr>
            </w:r>
            <w:r>
              <w:rPr>
                <w:noProof/>
                <w:webHidden/>
              </w:rPr>
              <w:fldChar w:fldCharType="separate"/>
            </w:r>
            <w:r>
              <w:rPr>
                <w:noProof/>
                <w:webHidden/>
              </w:rPr>
              <w:t>4</w:t>
            </w:r>
            <w:r>
              <w:rPr>
                <w:noProof/>
                <w:webHidden/>
              </w:rPr>
              <w:fldChar w:fldCharType="end"/>
            </w:r>
          </w:hyperlink>
        </w:p>
        <w:p w14:paraId="46267157" w14:textId="2ECD5CB8"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53" w:history="1">
            <w:r w:rsidRPr="00497AE9">
              <w:rPr>
                <w:rStyle w:val="Hyperlink"/>
                <w:rFonts w:ascii="Arial" w:eastAsia="Times New Roman" w:hAnsi="Arial" w:cs="Arial"/>
                <w:b/>
                <w:bCs/>
                <w:noProof/>
                <w:lang w:eastAsia="en-GB"/>
              </w:rPr>
              <w:t>1.3.2 Fielder’s Legacy</w:t>
            </w:r>
            <w:r>
              <w:rPr>
                <w:noProof/>
                <w:webHidden/>
              </w:rPr>
              <w:tab/>
            </w:r>
            <w:r>
              <w:rPr>
                <w:noProof/>
                <w:webHidden/>
              </w:rPr>
              <w:fldChar w:fldCharType="begin"/>
            </w:r>
            <w:r>
              <w:rPr>
                <w:noProof/>
                <w:webHidden/>
              </w:rPr>
              <w:instrText xml:space="preserve"> PAGEREF _Toc126667553 \h </w:instrText>
            </w:r>
            <w:r>
              <w:rPr>
                <w:noProof/>
                <w:webHidden/>
              </w:rPr>
            </w:r>
            <w:r>
              <w:rPr>
                <w:noProof/>
                <w:webHidden/>
              </w:rPr>
              <w:fldChar w:fldCharType="separate"/>
            </w:r>
            <w:r>
              <w:rPr>
                <w:noProof/>
                <w:webHidden/>
              </w:rPr>
              <w:t>5</w:t>
            </w:r>
            <w:r>
              <w:rPr>
                <w:noProof/>
                <w:webHidden/>
              </w:rPr>
              <w:fldChar w:fldCharType="end"/>
            </w:r>
          </w:hyperlink>
        </w:p>
        <w:p w14:paraId="4BD6F012" w14:textId="3E2EAF42"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54" w:history="1">
            <w:r w:rsidRPr="00497AE9">
              <w:rPr>
                <w:rStyle w:val="Hyperlink"/>
                <w:rFonts w:ascii="Arial" w:eastAsia="Times New Roman" w:hAnsi="Arial" w:cs="Arial"/>
                <w:b/>
                <w:bCs/>
                <w:noProof/>
                <w:lang w:eastAsia="en-GB"/>
              </w:rPr>
              <w:t>1.4 Overview of Michael Porter's Perspective</w:t>
            </w:r>
            <w:r>
              <w:rPr>
                <w:noProof/>
                <w:webHidden/>
              </w:rPr>
              <w:tab/>
            </w:r>
            <w:r>
              <w:rPr>
                <w:noProof/>
                <w:webHidden/>
              </w:rPr>
              <w:fldChar w:fldCharType="begin"/>
            </w:r>
            <w:r>
              <w:rPr>
                <w:noProof/>
                <w:webHidden/>
              </w:rPr>
              <w:instrText xml:space="preserve"> PAGEREF _Toc126667554 \h </w:instrText>
            </w:r>
            <w:r>
              <w:rPr>
                <w:noProof/>
                <w:webHidden/>
              </w:rPr>
            </w:r>
            <w:r>
              <w:rPr>
                <w:noProof/>
                <w:webHidden/>
              </w:rPr>
              <w:fldChar w:fldCharType="separate"/>
            </w:r>
            <w:r>
              <w:rPr>
                <w:noProof/>
                <w:webHidden/>
              </w:rPr>
              <w:t>5</w:t>
            </w:r>
            <w:r>
              <w:rPr>
                <w:noProof/>
                <w:webHidden/>
              </w:rPr>
              <w:fldChar w:fldCharType="end"/>
            </w:r>
          </w:hyperlink>
        </w:p>
        <w:p w14:paraId="0FC4B7BC" w14:textId="132FFED9"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55" w:history="1">
            <w:r w:rsidRPr="00497AE9">
              <w:rPr>
                <w:rStyle w:val="Hyperlink"/>
                <w:rFonts w:ascii="Arial" w:eastAsia="Times New Roman" w:hAnsi="Arial" w:cs="Arial"/>
                <w:b/>
                <w:bCs/>
                <w:noProof/>
                <w:lang w:eastAsia="en-GB"/>
              </w:rPr>
              <w:t>1.4.1 Porter’s Work</w:t>
            </w:r>
            <w:r>
              <w:rPr>
                <w:noProof/>
                <w:webHidden/>
              </w:rPr>
              <w:tab/>
            </w:r>
            <w:r>
              <w:rPr>
                <w:noProof/>
                <w:webHidden/>
              </w:rPr>
              <w:fldChar w:fldCharType="begin"/>
            </w:r>
            <w:r>
              <w:rPr>
                <w:noProof/>
                <w:webHidden/>
              </w:rPr>
              <w:instrText xml:space="preserve"> PAGEREF _Toc126667555 \h </w:instrText>
            </w:r>
            <w:r>
              <w:rPr>
                <w:noProof/>
                <w:webHidden/>
              </w:rPr>
            </w:r>
            <w:r>
              <w:rPr>
                <w:noProof/>
                <w:webHidden/>
              </w:rPr>
              <w:fldChar w:fldCharType="separate"/>
            </w:r>
            <w:r>
              <w:rPr>
                <w:noProof/>
                <w:webHidden/>
              </w:rPr>
              <w:t>6</w:t>
            </w:r>
            <w:r>
              <w:rPr>
                <w:noProof/>
                <w:webHidden/>
              </w:rPr>
              <w:fldChar w:fldCharType="end"/>
            </w:r>
          </w:hyperlink>
        </w:p>
        <w:p w14:paraId="08C96EEF" w14:textId="626A2B3D"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56" w:history="1">
            <w:r w:rsidRPr="00497AE9">
              <w:rPr>
                <w:rStyle w:val="Hyperlink"/>
                <w:rFonts w:ascii="Arial" w:eastAsia="Times New Roman" w:hAnsi="Arial" w:cs="Arial"/>
                <w:b/>
                <w:bCs/>
                <w:noProof/>
                <w:lang w:eastAsia="en-GB"/>
              </w:rPr>
              <w:t>1.4.2 Porter’s Legacy</w:t>
            </w:r>
            <w:r>
              <w:rPr>
                <w:noProof/>
                <w:webHidden/>
              </w:rPr>
              <w:tab/>
            </w:r>
            <w:r>
              <w:rPr>
                <w:noProof/>
                <w:webHidden/>
              </w:rPr>
              <w:fldChar w:fldCharType="begin"/>
            </w:r>
            <w:r>
              <w:rPr>
                <w:noProof/>
                <w:webHidden/>
              </w:rPr>
              <w:instrText xml:space="preserve"> PAGEREF _Toc126667556 \h </w:instrText>
            </w:r>
            <w:r>
              <w:rPr>
                <w:noProof/>
                <w:webHidden/>
              </w:rPr>
            </w:r>
            <w:r>
              <w:rPr>
                <w:noProof/>
                <w:webHidden/>
              </w:rPr>
              <w:fldChar w:fldCharType="separate"/>
            </w:r>
            <w:r>
              <w:rPr>
                <w:noProof/>
                <w:webHidden/>
              </w:rPr>
              <w:t>6</w:t>
            </w:r>
            <w:r>
              <w:rPr>
                <w:noProof/>
                <w:webHidden/>
              </w:rPr>
              <w:fldChar w:fldCharType="end"/>
            </w:r>
          </w:hyperlink>
        </w:p>
        <w:p w14:paraId="32B16CD0" w14:textId="0AF5C17D" w:rsidR="00FA2E1B" w:rsidRDefault="00FA2E1B" w:rsidP="00FA2E1B">
          <w:pPr>
            <w:pStyle w:val="TOC1"/>
            <w:tabs>
              <w:tab w:val="right" w:leader="dot" w:pos="10450"/>
            </w:tabs>
            <w:spacing w:line="276" w:lineRule="auto"/>
            <w:rPr>
              <w:rFonts w:eastAsiaTheme="minorEastAsia" w:cstheme="minorBidi"/>
              <w:b w:val="0"/>
              <w:bCs w:val="0"/>
              <w:caps w:val="0"/>
              <w:noProof/>
              <w:kern w:val="0"/>
              <w:sz w:val="24"/>
              <w:szCs w:val="24"/>
              <w:lang w:eastAsia="en-GB"/>
              <w14:ligatures w14:val="none"/>
            </w:rPr>
          </w:pPr>
          <w:hyperlink w:anchor="_Toc126667557" w:history="1">
            <w:r w:rsidRPr="00497AE9">
              <w:rPr>
                <w:rStyle w:val="Hyperlink"/>
                <w:noProof/>
              </w:rPr>
              <w:t>Chapter 2.0 Critical Comparison of Case Study Organisations</w:t>
            </w:r>
            <w:r>
              <w:rPr>
                <w:noProof/>
                <w:webHidden/>
              </w:rPr>
              <w:tab/>
            </w:r>
            <w:r>
              <w:rPr>
                <w:noProof/>
                <w:webHidden/>
              </w:rPr>
              <w:fldChar w:fldCharType="begin"/>
            </w:r>
            <w:r>
              <w:rPr>
                <w:noProof/>
                <w:webHidden/>
              </w:rPr>
              <w:instrText xml:space="preserve"> PAGEREF _Toc126667557 \h </w:instrText>
            </w:r>
            <w:r>
              <w:rPr>
                <w:noProof/>
                <w:webHidden/>
              </w:rPr>
            </w:r>
            <w:r>
              <w:rPr>
                <w:noProof/>
                <w:webHidden/>
              </w:rPr>
              <w:fldChar w:fldCharType="separate"/>
            </w:r>
            <w:r>
              <w:rPr>
                <w:noProof/>
                <w:webHidden/>
              </w:rPr>
              <w:t>7</w:t>
            </w:r>
            <w:r>
              <w:rPr>
                <w:noProof/>
                <w:webHidden/>
              </w:rPr>
              <w:fldChar w:fldCharType="end"/>
            </w:r>
          </w:hyperlink>
        </w:p>
        <w:p w14:paraId="5BA844EC" w14:textId="3202D3E9"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58" w:history="1">
            <w:r w:rsidRPr="00497AE9">
              <w:rPr>
                <w:rStyle w:val="Hyperlink"/>
                <w:b/>
                <w:bCs/>
                <w:noProof/>
              </w:rPr>
              <w:t>2.1 Introduction to Medical Tourism</w:t>
            </w:r>
            <w:r>
              <w:rPr>
                <w:noProof/>
                <w:webHidden/>
              </w:rPr>
              <w:tab/>
            </w:r>
            <w:r>
              <w:rPr>
                <w:noProof/>
                <w:webHidden/>
              </w:rPr>
              <w:fldChar w:fldCharType="begin"/>
            </w:r>
            <w:r>
              <w:rPr>
                <w:noProof/>
                <w:webHidden/>
              </w:rPr>
              <w:instrText xml:space="preserve"> PAGEREF _Toc126667558 \h </w:instrText>
            </w:r>
            <w:r>
              <w:rPr>
                <w:noProof/>
                <w:webHidden/>
              </w:rPr>
            </w:r>
            <w:r>
              <w:rPr>
                <w:noProof/>
                <w:webHidden/>
              </w:rPr>
              <w:fldChar w:fldCharType="separate"/>
            </w:r>
            <w:r>
              <w:rPr>
                <w:noProof/>
                <w:webHidden/>
              </w:rPr>
              <w:t>7</w:t>
            </w:r>
            <w:r>
              <w:rPr>
                <w:noProof/>
                <w:webHidden/>
              </w:rPr>
              <w:fldChar w:fldCharType="end"/>
            </w:r>
          </w:hyperlink>
        </w:p>
        <w:p w14:paraId="6168F803" w14:textId="6F49363F"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59" w:history="1">
            <w:r w:rsidRPr="00497AE9">
              <w:rPr>
                <w:rStyle w:val="Hyperlink"/>
                <w:rFonts w:ascii="Arial" w:hAnsi="Arial" w:cs="Arial"/>
                <w:b/>
                <w:bCs/>
                <w:noProof/>
              </w:rPr>
              <w:t>2.2 What is Medical Tourism</w:t>
            </w:r>
            <w:r>
              <w:rPr>
                <w:noProof/>
                <w:webHidden/>
              </w:rPr>
              <w:tab/>
            </w:r>
            <w:r>
              <w:rPr>
                <w:noProof/>
                <w:webHidden/>
              </w:rPr>
              <w:fldChar w:fldCharType="begin"/>
            </w:r>
            <w:r>
              <w:rPr>
                <w:noProof/>
                <w:webHidden/>
              </w:rPr>
              <w:instrText xml:space="preserve"> PAGEREF _Toc126667559 \h </w:instrText>
            </w:r>
            <w:r>
              <w:rPr>
                <w:noProof/>
                <w:webHidden/>
              </w:rPr>
            </w:r>
            <w:r>
              <w:rPr>
                <w:noProof/>
                <w:webHidden/>
              </w:rPr>
              <w:fldChar w:fldCharType="separate"/>
            </w:r>
            <w:r>
              <w:rPr>
                <w:noProof/>
                <w:webHidden/>
              </w:rPr>
              <w:t>7</w:t>
            </w:r>
            <w:r>
              <w:rPr>
                <w:noProof/>
                <w:webHidden/>
              </w:rPr>
              <w:fldChar w:fldCharType="end"/>
            </w:r>
          </w:hyperlink>
        </w:p>
        <w:p w14:paraId="12FF629C" w14:textId="7D79C0D4"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60" w:history="1">
            <w:r w:rsidRPr="00497AE9">
              <w:rPr>
                <w:rStyle w:val="Hyperlink"/>
                <w:rFonts w:ascii="Arial" w:hAnsi="Arial" w:cs="Arial"/>
                <w:b/>
                <w:bCs/>
                <w:noProof/>
              </w:rPr>
              <w:t>2.3 Medical Tourism Background</w:t>
            </w:r>
            <w:r>
              <w:rPr>
                <w:noProof/>
                <w:webHidden/>
              </w:rPr>
              <w:tab/>
            </w:r>
            <w:r>
              <w:rPr>
                <w:noProof/>
                <w:webHidden/>
              </w:rPr>
              <w:fldChar w:fldCharType="begin"/>
            </w:r>
            <w:r>
              <w:rPr>
                <w:noProof/>
                <w:webHidden/>
              </w:rPr>
              <w:instrText xml:space="preserve"> PAGEREF _Toc126667560 \h </w:instrText>
            </w:r>
            <w:r>
              <w:rPr>
                <w:noProof/>
                <w:webHidden/>
              </w:rPr>
            </w:r>
            <w:r>
              <w:rPr>
                <w:noProof/>
                <w:webHidden/>
              </w:rPr>
              <w:fldChar w:fldCharType="separate"/>
            </w:r>
            <w:r>
              <w:rPr>
                <w:noProof/>
                <w:webHidden/>
              </w:rPr>
              <w:t>8</w:t>
            </w:r>
            <w:r>
              <w:rPr>
                <w:noProof/>
                <w:webHidden/>
              </w:rPr>
              <w:fldChar w:fldCharType="end"/>
            </w:r>
          </w:hyperlink>
        </w:p>
        <w:p w14:paraId="6A76B424" w14:textId="738AC8D3"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61" w:history="1">
            <w:r w:rsidRPr="00497AE9">
              <w:rPr>
                <w:rStyle w:val="Hyperlink"/>
                <w:rFonts w:ascii="Arial" w:hAnsi="Arial" w:cs="Arial"/>
                <w:b/>
                <w:bCs/>
                <w:noProof/>
                <w:shd w:val="clear" w:color="auto" w:fill="FFFFFF"/>
              </w:rPr>
              <w:t>2.4 Introduction and Profile of Case Studies</w:t>
            </w:r>
            <w:r>
              <w:rPr>
                <w:noProof/>
                <w:webHidden/>
              </w:rPr>
              <w:tab/>
            </w:r>
            <w:r>
              <w:rPr>
                <w:noProof/>
                <w:webHidden/>
              </w:rPr>
              <w:fldChar w:fldCharType="begin"/>
            </w:r>
            <w:r>
              <w:rPr>
                <w:noProof/>
                <w:webHidden/>
              </w:rPr>
              <w:instrText xml:space="preserve"> PAGEREF _Toc126667561 \h </w:instrText>
            </w:r>
            <w:r>
              <w:rPr>
                <w:noProof/>
                <w:webHidden/>
              </w:rPr>
            </w:r>
            <w:r>
              <w:rPr>
                <w:noProof/>
                <w:webHidden/>
              </w:rPr>
              <w:fldChar w:fldCharType="separate"/>
            </w:r>
            <w:r>
              <w:rPr>
                <w:noProof/>
                <w:webHidden/>
              </w:rPr>
              <w:t>9</w:t>
            </w:r>
            <w:r>
              <w:rPr>
                <w:noProof/>
                <w:webHidden/>
              </w:rPr>
              <w:fldChar w:fldCharType="end"/>
            </w:r>
          </w:hyperlink>
        </w:p>
        <w:p w14:paraId="66E9AF21" w14:textId="7B2A504A"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62" w:history="1">
            <w:r w:rsidRPr="00497AE9">
              <w:rPr>
                <w:rStyle w:val="Hyperlink"/>
                <w:rFonts w:ascii="Arial" w:hAnsi="Arial" w:cs="Arial"/>
                <w:b/>
                <w:bCs/>
                <w:noProof/>
                <w:shd w:val="clear" w:color="auto" w:fill="FFFFFF"/>
              </w:rPr>
              <w:t>2.5 Overview of Medical Tourism in Thailand</w:t>
            </w:r>
            <w:r>
              <w:rPr>
                <w:noProof/>
                <w:webHidden/>
              </w:rPr>
              <w:tab/>
            </w:r>
            <w:r>
              <w:rPr>
                <w:noProof/>
                <w:webHidden/>
              </w:rPr>
              <w:fldChar w:fldCharType="begin"/>
            </w:r>
            <w:r>
              <w:rPr>
                <w:noProof/>
                <w:webHidden/>
              </w:rPr>
              <w:instrText xml:space="preserve"> PAGEREF _Toc126667562 \h </w:instrText>
            </w:r>
            <w:r>
              <w:rPr>
                <w:noProof/>
                <w:webHidden/>
              </w:rPr>
            </w:r>
            <w:r>
              <w:rPr>
                <w:noProof/>
                <w:webHidden/>
              </w:rPr>
              <w:fldChar w:fldCharType="separate"/>
            </w:r>
            <w:r>
              <w:rPr>
                <w:noProof/>
                <w:webHidden/>
              </w:rPr>
              <w:t>10</w:t>
            </w:r>
            <w:r>
              <w:rPr>
                <w:noProof/>
                <w:webHidden/>
              </w:rPr>
              <w:fldChar w:fldCharType="end"/>
            </w:r>
          </w:hyperlink>
        </w:p>
        <w:p w14:paraId="2DF06DF7" w14:textId="2BF43F08"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63" w:history="1">
            <w:r w:rsidRPr="00497AE9">
              <w:rPr>
                <w:rStyle w:val="Hyperlink"/>
                <w:rFonts w:ascii="Arial" w:hAnsi="Arial" w:cs="Arial"/>
                <w:b/>
                <w:bCs/>
                <w:noProof/>
                <w:shd w:val="clear" w:color="auto" w:fill="FFFFFF"/>
              </w:rPr>
              <w:t>2.5.1 Strategic Approach</w:t>
            </w:r>
            <w:r>
              <w:rPr>
                <w:noProof/>
                <w:webHidden/>
              </w:rPr>
              <w:tab/>
            </w:r>
            <w:r>
              <w:rPr>
                <w:noProof/>
                <w:webHidden/>
              </w:rPr>
              <w:fldChar w:fldCharType="begin"/>
            </w:r>
            <w:r>
              <w:rPr>
                <w:noProof/>
                <w:webHidden/>
              </w:rPr>
              <w:instrText xml:space="preserve"> PAGEREF _Toc126667563 \h </w:instrText>
            </w:r>
            <w:r>
              <w:rPr>
                <w:noProof/>
                <w:webHidden/>
              </w:rPr>
            </w:r>
            <w:r>
              <w:rPr>
                <w:noProof/>
                <w:webHidden/>
              </w:rPr>
              <w:fldChar w:fldCharType="separate"/>
            </w:r>
            <w:r>
              <w:rPr>
                <w:noProof/>
                <w:webHidden/>
              </w:rPr>
              <w:t>10</w:t>
            </w:r>
            <w:r>
              <w:rPr>
                <w:noProof/>
                <w:webHidden/>
              </w:rPr>
              <w:fldChar w:fldCharType="end"/>
            </w:r>
          </w:hyperlink>
        </w:p>
        <w:p w14:paraId="7BB7628F" w14:textId="517161E2"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64" w:history="1">
            <w:r w:rsidRPr="00497AE9">
              <w:rPr>
                <w:rStyle w:val="Hyperlink"/>
                <w:rFonts w:ascii="Arial" w:hAnsi="Arial" w:cs="Arial"/>
                <w:b/>
                <w:bCs/>
                <w:noProof/>
                <w:shd w:val="clear" w:color="auto" w:fill="FFFFFF"/>
              </w:rPr>
              <w:t>2.5.2 Effectiveness</w:t>
            </w:r>
            <w:r>
              <w:rPr>
                <w:noProof/>
                <w:webHidden/>
              </w:rPr>
              <w:tab/>
            </w:r>
            <w:r>
              <w:rPr>
                <w:noProof/>
                <w:webHidden/>
              </w:rPr>
              <w:fldChar w:fldCharType="begin"/>
            </w:r>
            <w:r>
              <w:rPr>
                <w:noProof/>
                <w:webHidden/>
              </w:rPr>
              <w:instrText xml:space="preserve"> PAGEREF _Toc126667564 \h </w:instrText>
            </w:r>
            <w:r>
              <w:rPr>
                <w:noProof/>
                <w:webHidden/>
              </w:rPr>
            </w:r>
            <w:r>
              <w:rPr>
                <w:noProof/>
                <w:webHidden/>
              </w:rPr>
              <w:fldChar w:fldCharType="separate"/>
            </w:r>
            <w:r>
              <w:rPr>
                <w:noProof/>
                <w:webHidden/>
              </w:rPr>
              <w:t>11</w:t>
            </w:r>
            <w:r>
              <w:rPr>
                <w:noProof/>
                <w:webHidden/>
              </w:rPr>
              <w:fldChar w:fldCharType="end"/>
            </w:r>
          </w:hyperlink>
        </w:p>
        <w:p w14:paraId="454D133E" w14:textId="58027F60"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65" w:history="1">
            <w:r w:rsidRPr="00497AE9">
              <w:rPr>
                <w:rStyle w:val="Hyperlink"/>
                <w:rFonts w:ascii="Arial" w:hAnsi="Arial" w:cs="Arial"/>
                <w:b/>
                <w:bCs/>
                <w:noProof/>
                <w:shd w:val="clear" w:color="auto" w:fill="FFFFFF"/>
              </w:rPr>
              <w:t>2.5.3 Cultural Context</w:t>
            </w:r>
            <w:r>
              <w:rPr>
                <w:noProof/>
                <w:webHidden/>
              </w:rPr>
              <w:tab/>
            </w:r>
            <w:r>
              <w:rPr>
                <w:noProof/>
                <w:webHidden/>
              </w:rPr>
              <w:fldChar w:fldCharType="begin"/>
            </w:r>
            <w:r>
              <w:rPr>
                <w:noProof/>
                <w:webHidden/>
              </w:rPr>
              <w:instrText xml:space="preserve"> PAGEREF _Toc126667565 \h </w:instrText>
            </w:r>
            <w:r>
              <w:rPr>
                <w:noProof/>
                <w:webHidden/>
              </w:rPr>
            </w:r>
            <w:r>
              <w:rPr>
                <w:noProof/>
                <w:webHidden/>
              </w:rPr>
              <w:fldChar w:fldCharType="separate"/>
            </w:r>
            <w:r>
              <w:rPr>
                <w:noProof/>
                <w:webHidden/>
              </w:rPr>
              <w:t>12</w:t>
            </w:r>
            <w:r>
              <w:rPr>
                <w:noProof/>
                <w:webHidden/>
              </w:rPr>
              <w:fldChar w:fldCharType="end"/>
            </w:r>
          </w:hyperlink>
        </w:p>
        <w:p w14:paraId="38E7FEC6" w14:textId="73BEB2C5"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66" w:history="1">
            <w:r w:rsidRPr="00497AE9">
              <w:rPr>
                <w:rStyle w:val="Hyperlink"/>
                <w:rFonts w:ascii="Arial" w:hAnsi="Arial" w:cs="Arial"/>
                <w:b/>
                <w:bCs/>
                <w:noProof/>
                <w:shd w:val="clear" w:color="auto" w:fill="FFFFFF"/>
              </w:rPr>
              <w:t>2.6 Overview of Medical Tourism in India</w:t>
            </w:r>
            <w:r>
              <w:rPr>
                <w:noProof/>
                <w:webHidden/>
              </w:rPr>
              <w:tab/>
            </w:r>
            <w:r>
              <w:rPr>
                <w:noProof/>
                <w:webHidden/>
              </w:rPr>
              <w:fldChar w:fldCharType="begin"/>
            </w:r>
            <w:r>
              <w:rPr>
                <w:noProof/>
                <w:webHidden/>
              </w:rPr>
              <w:instrText xml:space="preserve"> PAGEREF _Toc126667566 \h </w:instrText>
            </w:r>
            <w:r>
              <w:rPr>
                <w:noProof/>
                <w:webHidden/>
              </w:rPr>
            </w:r>
            <w:r>
              <w:rPr>
                <w:noProof/>
                <w:webHidden/>
              </w:rPr>
              <w:fldChar w:fldCharType="separate"/>
            </w:r>
            <w:r>
              <w:rPr>
                <w:noProof/>
                <w:webHidden/>
              </w:rPr>
              <w:t>12</w:t>
            </w:r>
            <w:r>
              <w:rPr>
                <w:noProof/>
                <w:webHidden/>
              </w:rPr>
              <w:fldChar w:fldCharType="end"/>
            </w:r>
          </w:hyperlink>
        </w:p>
        <w:p w14:paraId="3725D62F" w14:textId="00F9BE48"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67" w:history="1">
            <w:r w:rsidRPr="00497AE9">
              <w:rPr>
                <w:rStyle w:val="Hyperlink"/>
                <w:rFonts w:ascii="Arial" w:hAnsi="Arial" w:cs="Arial"/>
                <w:b/>
                <w:bCs/>
                <w:noProof/>
                <w:shd w:val="clear" w:color="auto" w:fill="FFFFFF"/>
              </w:rPr>
              <w:t>2.6.1 Strategic approach</w:t>
            </w:r>
            <w:r>
              <w:rPr>
                <w:noProof/>
                <w:webHidden/>
              </w:rPr>
              <w:tab/>
            </w:r>
            <w:r>
              <w:rPr>
                <w:noProof/>
                <w:webHidden/>
              </w:rPr>
              <w:fldChar w:fldCharType="begin"/>
            </w:r>
            <w:r>
              <w:rPr>
                <w:noProof/>
                <w:webHidden/>
              </w:rPr>
              <w:instrText xml:space="preserve"> PAGEREF _Toc126667567 \h </w:instrText>
            </w:r>
            <w:r>
              <w:rPr>
                <w:noProof/>
                <w:webHidden/>
              </w:rPr>
            </w:r>
            <w:r>
              <w:rPr>
                <w:noProof/>
                <w:webHidden/>
              </w:rPr>
              <w:fldChar w:fldCharType="separate"/>
            </w:r>
            <w:r>
              <w:rPr>
                <w:noProof/>
                <w:webHidden/>
              </w:rPr>
              <w:t>13</w:t>
            </w:r>
            <w:r>
              <w:rPr>
                <w:noProof/>
                <w:webHidden/>
              </w:rPr>
              <w:fldChar w:fldCharType="end"/>
            </w:r>
          </w:hyperlink>
        </w:p>
        <w:p w14:paraId="4196A443" w14:textId="576D39FC"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68" w:history="1">
            <w:r w:rsidRPr="00497AE9">
              <w:rPr>
                <w:rStyle w:val="Hyperlink"/>
                <w:rFonts w:ascii="Arial" w:hAnsi="Arial" w:cs="Arial"/>
                <w:b/>
                <w:bCs/>
                <w:noProof/>
                <w:shd w:val="clear" w:color="auto" w:fill="FFFFFF"/>
              </w:rPr>
              <w:t>2.6.2 Effectiveness</w:t>
            </w:r>
            <w:r>
              <w:rPr>
                <w:noProof/>
                <w:webHidden/>
              </w:rPr>
              <w:tab/>
            </w:r>
            <w:r>
              <w:rPr>
                <w:noProof/>
                <w:webHidden/>
              </w:rPr>
              <w:fldChar w:fldCharType="begin"/>
            </w:r>
            <w:r>
              <w:rPr>
                <w:noProof/>
                <w:webHidden/>
              </w:rPr>
              <w:instrText xml:space="preserve"> PAGEREF _Toc126667568 \h </w:instrText>
            </w:r>
            <w:r>
              <w:rPr>
                <w:noProof/>
                <w:webHidden/>
              </w:rPr>
            </w:r>
            <w:r>
              <w:rPr>
                <w:noProof/>
                <w:webHidden/>
              </w:rPr>
              <w:fldChar w:fldCharType="separate"/>
            </w:r>
            <w:r>
              <w:rPr>
                <w:noProof/>
                <w:webHidden/>
              </w:rPr>
              <w:t>13</w:t>
            </w:r>
            <w:r>
              <w:rPr>
                <w:noProof/>
                <w:webHidden/>
              </w:rPr>
              <w:fldChar w:fldCharType="end"/>
            </w:r>
          </w:hyperlink>
        </w:p>
        <w:p w14:paraId="4B287A5A" w14:textId="1409D25B"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69" w:history="1">
            <w:r w:rsidRPr="00497AE9">
              <w:rPr>
                <w:rStyle w:val="Hyperlink"/>
                <w:rFonts w:ascii="Arial" w:hAnsi="Arial" w:cs="Arial"/>
                <w:b/>
                <w:bCs/>
                <w:noProof/>
                <w:shd w:val="clear" w:color="auto" w:fill="FFFFFF"/>
              </w:rPr>
              <w:t>2.6.3 Cultural context</w:t>
            </w:r>
            <w:r>
              <w:rPr>
                <w:noProof/>
                <w:webHidden/>
              </w:rPr>
              <w:tab/>
            </w:r>
            <w:r>
              <w:rPr>
                <w:noProof/>
                <w:webHidden/>
              </w:rPr>
              <w:fldChar w:fldCharType="begin"/>
            </w:r>
            <w:r>
              <w:rPr>
                <w:noProof/>
                <w:webHidden/>
              </w:rPr>
              <w:instrText xml:space="preserve"> PAGEREF _Toc126667569 \h </w:instrText>
            </w:r>
            <w:r>
              <w:rPr>
                <w:noProof/>
                <w:webHidden/>
              </w:rPr>
            </w:r>
            <w:r>
              <w:rPr>
                <w:noProof/>
                <w:webHidden/>
              </w:rPr>
              <w:fldChar w:fldCharType="separate"/>
            </w:r>
            <w:r>
              <w:rPr>
                <w:noProof/>
                <w:webHidden/>
              </w:rPr>
              <w:t>13</w:t>
            </w:r>
            <w:r>
              <w:rPr>
                <w:noProof/>
                <w:webHidden/>
              </w:rPr>
              <w:fldChar w:fldCharType="end"/>
            </w:r>
          </w:hyperlink>
        </w:p>
        <w:p w14:paraId="6AEAAAA1" w14:textId="3F78C212" w:rsidR="00FA2E1B" w:rsidRDefault="00FA2E1B" w:rsidP="00FA2E1B">
          <w:pPr>
            <w:pStyle w:val="TOC1"/>
            <w:tabs>
              <w:tab w:val="right" w:leader="dot" w:pos="10450"/>
            </w:tabs>
            <w:spacing w:line="276" w:lineRule="auto"/>
            <w:rPr>
              <w:rFonts w:eastAsiaTheme="minorEastAsia" w:cstheme="minorBidi"/>
              <w:b w:val="0"/>
              <w:bCs w:val="0"/>
              <w:caps w:val="0"/>
              <w:noProof/>
              <w:kern w:val="0"/>
              <w:sz w:val="24"/>
              <w:szCs w:val="24"/>
              <w:lang w:eastAsia="en-GB"/>
              <w14:ligatures w14:val="none"/>
            </w:rPr>
          </w:pPr>
          <w:hyperlink w:anchor="_Toc126667570" w:history="1">
            <w:r w:rsidRPr="00497AE9">
              <w:rPr>
                <w:rStyle w:val="Hyperlink"/>
                <w:rFonts w:ascii="Arial" w:hAnsi="Arial" w:cs="Arial"/>
                <w:noProof/>
                <w:shd w:val="clear" w:color="auto" w:fill="FFFFFF"/>
              </w:rPr>
              <w:t>3.0 Competitive Advantage</w:t>
            </w:r>
            <w:r>
              <w:rPr>
                <w:noProof/>
                <w:webHidden/>
              </w:rPr>
              <w:tab/>
            </w:r>
            <w:r>
              <w:rPr>
                <w:noProof/>
                <w:webHidden/>
              </w:rPr>
              <w:fldChar w:fldCharType="begin"/>
            </w:r>
            <w:r>
              <w:rPr>
                <w:noProof/>
                <w:webHidden/>
              </w:rPr>
              <w:instrText xml:space="preserve"> PAGEREF _Toc126667570 \h </w:instrText>
            </w:r>
            <w:r>
              <w:rPr>
                <w:noProof/>
                <w:webHidden/>
              </w:rPr>
            </w:r>
            <w:r>
              <w:rPr>
                <w:noProof/>
                <w:webHidden/>
              </w:rPr>
              <w:fldChar w:fldCharType="separate"/>
            </w:r>
            <w:r>
              <w:rPr>
                <w:noProof/>
                <w:webHidden/>
              </w:rPr>
              <w:t>14</w:t>
            </w:r>
            <w:r>
              <w:rPr>
                <w:noProof/>
                <w:webHidden/>
              </w:rPr>
              <w:fldChar w:fldCharType="end"/>
            </w:r>
          </w:hyperlink>
        </w:p>
        <w:p w14:paraId="47A0DDD2" w14:textId="59895E1B" w:rsidR="00FA2E1B" w:rsidRDefault="00FA2E1B" w:rsidP="00FA2E1B">
          <w:pPr>
            <w:pStyle w:val="TOC1"/>
            <w:tabs>
              <w:tab w:val="right" w:leader="dot" w:pos="10450"/>
            </w:tabs>
            <w:spacing w:line="276" w:lineRule="auto"/>
            <w:rPr>
              <w:rFonts w:eastAsiaTheme="minorEastAsia" w:cstheme="minorBidi"/>
              <w:b w:val="0"/>
              <w:bCs w:val="0"/>
              <w:caps w:val="0"/>
              <w:noProof/>
              <w:kern w:val="0"/>
              <w:sz w:val="24"/>
              <w:szCs w:val="24"/>
              <w:lang w:eastAsia="en-GB"/>
              <w14:ligatures w14:val="none"/>
            </w:rPr>
          </w:pPr>
          <w:hyperlink w:anchor="_Toc126667571" w:history="1">
            <w:r w:rsidRPr="00497AE9">
              <w:rPr>
                <w:rStyle w:val="Hyperlink"/>
                <w:rFonts w:ascii="Arial" w:hAnsi="Arial" w:cs="Arial"/>
                <w:noProof/>
                <w:shd w:val="clear" w:color="auto" w:fill="FFFFFF"/>
              </w:rPr>
              <w:t>4.0 Case Study Critical Comparison</w:t>
            </w:r>
            <w:r>
              <w:rPr>
                <w:noProof/>
                <w:webHidden/>
              </w:rPr>
              <w:tab/>
            </w:r>
            <w:r>
              <w:rPr>
                <w:noProof/>
                <w:webHidden/>
              </w:rPr>
              <w:fldChar w:fldCharType="begin"/>
            </w:r>
            <w:r>
              <w:rPr>
                <w:noProof/>
                <w:webHidden/>
              </w:rPr>
              <w:instrText xml:space="preserve"> PAGEREF _Toc126667571 \h </w:instrText>
            </w:r>
            <w:r>
              <w:rPr>
                <w:noProof/>
                <w:webHidden/>
              </w:rPr>
            </w:r>
            <w:r>
              <w:rPr>
                <w:noProof/>
                <w:webHidden/>
              </w:rPr>
              <w:fldChar w:fldCharType="separate"/>
            </w:r>
            <w:r>
              <w:rPr>
                <w:noProof/>
                <w:webHidden/>
              </w:rPr>
              <w:t>14</w:t>
            </w:r>
            <w:r>
              <w:rPr>
                <w:noProof/>
                <w:webHidden/>
              </w:rPr>
              <w:fldChar w:fldCharType="end"/>
            </w:r>
          </w:hyperlink>
        </w:p>
        <w:p w14:paraId="016A9A88" w14:textId="45058157" w:rsidR="00FA2E1B" w:rsidRDefault="00FA2E1B" w:rsidP="00FA2E1B">
          <w:pPr>
            <w:pStyle w:val="TOC1"/>
            <w:tabs>
              <w:tab w:val="right" w:leader="dot" w:pos="10450"/>
            </w:tabs>
            <w:spacing w:line="276" w:lineRule="auto"/>
            <w:rPr>
              <w:rFonts w:eastAsiaTheme="minorEastAsia" w:cstheme="minorBidi"/>
              <w:b w:val="0"/>
              <w:bCs w:val="0"/>
              <w:caps w:val="0"/>
              <w:noProof/>
              <w:kern w:val="0"/>
              <w:sz w:val="24"/>
              <w:szCs w:val="24"/>
              <w:lang w:eastAsia="en-GB"/>
              <w14:ligatures w14:val="none"/>
            </w:rPr>
          </w:pPr>
          <w:hyperlink w:anchor="_Toc126667572" w:history="1">
            <w:r w:rsidRPr="00497AE9">
              <w:rPr>
                <w:rStyle w:val="Hyperlink"/>
                <w:noProof/>
              </w:rPr>
              <w:t>Chapter 5.0 Hybrid Working Environments</w:t>
            </w:r>
            <w:r>
              <w:rPr>
                <w:noProof/>
                <w:webHidden/>
              </w:rPr>
              <w:tab/>
            </w:r>
            <w:r>
              <w:rPr>
                <w:noProof/>
                <w:webHidden/>
              </w:rPr>
              <w:fldChar w:fldCharType="begin"/>
            </w:r>
            <w:r>
              <w:rPr>
                <w:noProof/>
                <w:webHidden/>
              </w:rPr>
              <w:instrText xml:space="preserve"> PAGEREF _Toc126667572 \h </w:instrText>
            </w:r>
            <w:r>
              <w:rPr>
                <w:noProof/>
                <w:webHidden/>
              </w:rPr>
            </w:r>
            <w:r>
              <w:rPr>
                <w:noProof/>
                <w:webHidden/>
              </w:rPr>
              <w:fldChar w:fldCharType="separate"/>
            </w:r>
            <w:r>
              <w:rPr>
                <w:noProof/>
                <w:webHidden/>
              </w:rPr>
              <w:t>15</w:t>
            </w:r>
            <w:r>
              <w:rPr>
                <w:noProof/>
                <w:webHidden/>
              </w:rPr>
              <w:fldChar w:fldCharType="end"/>
            </w:r>
          </w:hyperlink>
        </w:p>
        <w:p w14:paraId="71B713B1" w14:textId="38983109"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73" w:history="1">
            <w:r w:rsidRPr="00497AE9">
              <w:rPr>
                <w:rStyle w:val="Hyperlink"/>
                <w:rFonts w:ascii="Arial" w:hAnsi="Arial" w:cs="Arial"/>
                <w:b/>
                <w:bCs/>
                <w:noProof/>
                <w:shd w:val="clear" w:color="auto" w:fill="FFFFFF"/>
              </w:rPr>
              <w:t>5.1 Overview of Terminologies</w:t>
            </w:r>
            <w:r>
              <w:rPr>
                <w:noProof/>
                <w:webHidden/>
              </w:rPr>
              <w:tab/>
            </w:r>
            <w:r>
              <w:rPr>
                <w:noProof/>
                <w:webHidden/>
              </w:rPr>
              <w:fldChar w:fldCharType="begin"/>
            </w:r>
            <w:r>
              <w:rPr>
                <w:noProof/>
                <w:webHidden/>
              </w:rPr>
              <w:instrText xml:space="preserve"> PAGEREF _Toc126667573 \h </w:instrText>
            </w:r>
            <w:r>
              <w:rPr>
                <w:noProof/>
                <w:webHidden/>
              </w:rPr>
            </w:r>
            <w:r>
              <w:rPr>
                <w:noProof/>
                <w:webHidden/>
              </w:rPr>
              <w:fldChar w:fldCharType="separate"/>
            </w:r>
            <w:r>
              <w:rPr>
                <w:noProof/>
                <w:webHidden/>
              </w:rPr>
              <w:t>17</w:t>
            </w:r>
            <w:r>
              <w:rPr>
                <w:noProof/>
                <w:webHidden/>
              </w:rPr>
              <w:fldChar w:fldCharType="end"/>
            </w:r>
          </w:hyperlink>
        </w:p>
        <w:p w14:paraId="177B67AA" w14:textId="6CAE8C87"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74" w:history="1">
            <w:r w:rsidRPr="00497AE9">
              <w:rPr>
                <w:rStyle w:val="Hyperlink"/>
                <w:rFonts w:ascii="Arial" w:hAnsi="Arial" w:cs="Arial"/>
                <w:b/>
                <w:bCs/>
                <w:noProof/>
                <w:shd w:val="clear" w:color="auto" w:fill="FFFFFF"/>
              </w:rPr>
              <w:t>5.2 The Flexible Workplace</w:t>
            </w:r>
            <w:r>
              <w:rPr>
                <w:noProof/>
                <w:webHidden/>
              </w:rPr>
              <w:tab/>
            </w:r>
            <w:r>
              <w:rPr>
                <w:noProof/>
                <w:webHidden/>
              </w:rPr>
              <w:fldChar w:fldCharType="begin"/>
            </w:r>
            <w:r>
              <w:rPr>
                <w:noProof/>
                <w:webHidden/>
              </w:rPr>
              <w:instrText xml:space="preserve"> PAGEREF _Toc126667574 \h </w:instrText>
            </w:r>
            <w:r>
              <w:rPr>
                <w:noProof/>
                <w:webHidden/>
              </w:rPr>
            </w:r>
            <w:r>
              <w:rPr>
                <w:noProof/>
                <w:webHidden/>
              </w:rPr>
              <w:fldChar w:fldCharType="separate"/>
            </w:r>
            <w:r>
              <w:rPr>
                <w:noProof/>
                <w:webHidden/>
              </w:rPr>
              <w:t>17</w:t>
            </w:r>
            <w:r>
              <w:rPr>
                <w:noProof/>
                <w:webHidden/>
              </w:rPr>
              <w:fldChar w:fldCharType="end"/>
            </w:r>
          </w:hyperlink>
        </w:p>
        <w:p w14:paraId="7444953C" w14:textId="2CF44798"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75" w:history="1">
            <w:r w:rsidRPr="00497AE9">
              <w:rPr>
                <w:rStyle w:val="Hyperlink"/>
                <w:rFonts w:ascii="Arial" w:hAnsi="Arial" w:cs="Arial"/>
                <w:b/>
                <w:bCs/>
                <w:noProof/>
                <w:shd w:val="clear" w:color="auto" w:fill="FFFFFF"/>
              </w:rPr>
              <w:t>5.3 Gig Economy</w:t>
            </w:r>
            <w:r>
              <w:rPr>
                <w:noProof/>
                <w:webHidden/>
              </w:rPr>
              <w:tab/>
            </w:r>
            <w:r>
              <w:rPr>
                <w:noProof/>
                <w:webHidden/>
              </w:rPr>
              <w:fldChar w:fldCharType="begin"/>
            </w:r>
            <w:r>
              <w:rPr>
                <w:noProof/>
                <w:webHidden/>
              </w:rPr>
              <w:instrText xml:space="preserve"> PAGEREF _Toc126667575 \h </w:instrText>
            </w:r>
            <w:r>
              <w:rPr>
                <w:noProof/>
                <w:webHidden/>
              </w:rPr>
            </w:r>
            <w:r>
              <w:rPr>
                <w:noProof/>
                <w:webHidden/>
              </w:rPr>
              <w:fldChar w:fldCharType="separate"/>
            </w:r>
            <w:r>
              <w:rPr>
                <w:noProof/>
                <w:webHidden/>
              </w:rPr>
              <w:t>18</w:t>
            </w:r>
            <w:r>
              <w:rPr>
                <w:noProof/>
                <w:webHidden/>
              </w:rPr>
              <w:fldChar w:fldCharType="end"/>
            </w:r>
          </w:hyperlink>
        </w:p>
        <w:p w14:paraId="061E0CA5" w14:textId="43404F00"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76" w:history="1">
            <w:r w:rsidRPr="00497AE9">
              <w:rPr>
                <w:rStyle w:val="Hyperlink"/>
                <w:rFonts w:ascii="Arial" w:hAnsi="Arial" w:cs="Arial"/>
                <w:b/>
                <w:bCs/>
                <w:noProof/>
                <w:shd w:val="clear" w:color="auto" w:fill="FFFFFF"/>
              </w:rPr>
              <w:t>5.4 Remote Working</w:t>
            </w:r>
            <w:r>
              <w:rPr>
                <w:noProof/>
                <w:webHidden/>
              </w:rPr>
              <w:tab/>
            </w:r>
            <w:r>
              <w:rPr>
                <w:noProof/>
                <w:webHidden/>
              </w:rPr>
              <w:fldChar w:fldCharType="begin"/>
            </w:r>
            <w:r>
              <w:rPr>
                <w:noProof/>
                <w:webHidden/>
              </w:rPr>
              <w:instrText xml:space="preserve"> PAGEREF _Toc126667576 \h </w:instrText>
            </w:r>
            <w:r>
              <w:rPr>
                <w:noProof/>
                <w:webHidden/>
              </w:rPr>
            </w:r>
            <w:r>
              <w:rPr>
                <w:noProof/>
                <w:webHidden/>
              </w:rPr>
              <w:fldChar w:fldCharType="separate"/>
            </w:r>
            <w:r>
              <w:rPr>
                <w:noProof/>
                <w:webHidden/>
              </w:rPr>
              <w:t>18</w:t>
            </w:r>
            <w:r>
              <w:rPr>
                <w:noProof/>
                <w:webHidden/>
              </w:rPr>
              <w:fldChar w:fldCharType="end"/>
            </w:r>
          </w:hyperlink>
        </w:p>
        <w:p w14:paraId="49D7D482" w14:textId="6D864C6D"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77" w:history="1">
            <w:r w:rsidRPr="00497AE9">
              <w:rPr>
                <w:rStyle w:val="Hyperlink"/>
                <w:rFonts w:ascii="Arial" w:hAnsi="Arial" w:cs="Arial"/>
                <w:b/>
                <w:bCs/>
                <w:noProof/>
                <w:shd w:val="clear" w:color="auto" w:fill="FFFFFF"/>
              </w:rPr>
              <w:t>5.5 Hybrid Model</w:t>
            </w:r>
            <w:r>
              <w:rPr>
                <w:noProof/>
                <w:webHidden/>
              </w:rPr>
              <w:tab/>
            </w:r>
            <w:r>
              <w:rPr>
                <w:noProof/>
                <w:webHidden/>
              </w:rPr>
              <w:fldChar w:fldCharType="begin"/>
            </w:r>
            <w:r>
              <w:rPr>
                <w:noProof/>
                <w:webHidden/>
              </w:rPr>
              <w:instrText xml:space="preserve"> PAGEREF _Toc126667577 \h </w:instrText>
            </w:r>
            <w:r>
              <w:rPr>
                <w:noProof/>
                <w:webHidden/>
              </w:rPr>
            </w:r>
            <w:r>
              <w:rPr>
                <w:noProof/>
                <w:webHidden/>
              </w:rPr>
              <w:fldChar w:fldCharType="separate"/>
            </w:r>
            <w:r>
              <w:rPr>
                <w:noProof/>
                <w:webHidden/>
              </w:rPr>
              <w:t>19</w:t>
            </w:r>
            <w:r>
              <w:rPr>
                <w:noProof/>
                <w:webHidden/>
              </w:rPr>
              <w:fldChar w:fldCharType="end"/>
            </w:r>
          </w:hyperlink>
        </w:p>
        <w:p w14:paraId="78004C66" w14:textId="224F9986"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78" w:history="1">
            <w:r w:rsidRPr="00497AE9">
              <w:rPr>
                <w:rStyle w:val="Hyperlink"/>
                <w:rFonts w:ascii="Arial" w:hAnsi="Arial" w:cs="Arial"/>
                <w:b/>
                <w:bCs/>
                <w:noProof/>
                <w:shd w:val="clear" w:color="auto" w:fill="FFFFFF"/>
              </w:rPr>
              <w:t>5.6 Telework</w:t>
            </w:r>
            <w:r>
              <w:rPr>
                <w:noProof/>
                <w:webHidden/>
              </w:rPr>
              <w:tab/>
            </w:r>
            <w:r>
              <w:rPr>
                <w:noProof/>
                <w:webHidden/>
              </w:rPr>
              <w:fldChar w:fldCharType="begin"/>
            </w:r>
            <w:r>
              <w:rPr>
                <w:noProof/>
                <w:webHidden/>
              </w:rPr>
              <w:instrText xml:space="preserve"> PAGEREF _Toc126667578 \h </w:instrText>
            </w:r>
            <w:r>
              <w:rPr>
                <w:noProof/>
                <w:webHidden/>
              </w:rPr>
            </w:r>
            <w:r>
              <w:rPr>
                <w:noProof/>
                <w:webHidden/>
              </w:rPr>
              <w:fldChar w:fldCharType="separate"/>
            </w:r>
            <w:r>
              <w:rPr>
                <w:noProof/>
                <w:webHidden/>
              </w:rPr>
              <w:t>20</w:t>
            </w:r>
            <w:r>
              <w:rPr>
                <w:noProof/>
                <w:webHidden/>
              </w:rPr>
              <w:fldChar w:fldCharType="end"/>
            </w:r>
          </w:hyperlink>
        </w:p>
        <w:p w14:paraId="3E7FE8B4" w14:textId="03B97CC1"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79" w:history="1">
            <w:r w:rsidRPr="00497AE9">
              <w:rPr>
                <w:rStyle w:val="Hyperlink"/>
                <w:rFonts w:ascii="Arial" w:hAnsi="Arial" w:cs="Arial"/>
                <w:b/>
                <w:bCs/>
                <w:noProof/>
                <w:shd w:val="clear" w:color="auto" w:fill="FFFFFF"/>
              </w:rPr>
              <w:t>5.7 Virtual Work</w:t>
            </w:r>
            <w:r>
              <w:rPr>
                <w:noProof/>
                <w:webHidden/>
              </w:rPr>
              <w:tab/>
            </w:r>
            <w:r>
              <w:rPr>
                <w:noProof/>
                <w:webHidden/>
              </w:rPr>
              <w:fldChar w:fldCharType="begin"/>
            </w:r>
            <w:r>
              <w:rPr>
                <w:noProof/>
                <w:webHidden/>
              </w:rPr>
              <w:instrText xml:space="preserve"> PAGEREF _Toc126667579 \h </w:instrText>
            </w:r>
            <w:r>
              <w:rPr>
                <w:noProof/>
                <w:webHidden/>
              </w:rPr>
            </w:r>
            <w:r>
              <w:rPr>
                <w:noProof/>
                <w:webHidden/>
              </w:rPr>
              <w:fldChar w:fldCharType="separate"/>
            </w:r>
            <w:r>
              <w:rPr>
                <w:noProof/>
                <w:webHidden/>
              </w:rPr>
              <w:t>21</w:t>
            </w:r>
            <w:r>
              <w:rPr>
                <w:noProof/>
                <w:webHidden/>
              </w:rPr>
              <w:fldChar w:fldCharType="end"/>
            </w:r>
          </w:hyperlink>
        </w:p>
        <w:p w14:paraId="4C0F20C6" w14:textId="5320F5D0" w:rsidR="00FA2E1B" w:rsidRDefault="00FA2E1B" w:rsidP="00FA2E1B">
          <w:pPr>
            <w:pStyle w:val="TOC1"/>
            <w:tabs>
              <w:tab w:val="right" w:leader="dot" w:pos="10450"/>
            </w:tabs>
            <w:spacing w:line="276" w:lineRule="auto"/>
            <w:rPr>
              <w:rFonts w:eastAsiaTheme="minorEastAsia" w:cstheme="minorBidi"/>
              <w:b w:val="0"/>
              <w:bCs w:val="0"/>
              <w:caps w:val="0"/>
              <w:noProof/>
              <w:kern w:val="0"/>
              <w:sz w:val="24"/>
              <w:szCs w:val="24"/>
              <w:lang w:eastAsia="en-GB"/>
              <w14:ligatures w14:val="none"/>
            </w:rPr>
          </w:pPr>
          <w:hyperlink w:anchor="_Toc126667580" w:history="1">
            <w:r w:rsidRPr="00497AE9">
              <w:rPr>
                <w:rStyle w:val="Hyperlink"/>
                <w:rFonts w:ascii="Arial" w:hAnsi="Arial" w:cs="Arial"/>
                <w:noProof/>
                <w:shd w:val="clear" w:color="auto" w:fill="FFFFFF"/>
              </w:rPr>
              <w:t>6.0 The rationale for the Preferred Term Used</w:t>
            </w:r>
            <w:r>
              <w:rPr>
                <w:noProof/>
                <w:webHidden/>
              </w:rPr>
              <w:tab/>
            </w:r>
            <w:r>
              <w:rPr>
                <w:noProof/>
                <w:webHidden/>
              </w:rPr>
              <w:fldChar w:fldCharType="begin"/>
            </w:r>
            <w:r>
              <w:rPr>
                <w:noProof/>
                <w:webHidden/>
              </w:rPr>
              <w:instrText xml:space="preserve"> PAGEREF _Toc126667580 \h </w:instrText>
            </w:r>
            <w:r>
              <w:rPr>
                <w:noProof/>
                <w:webHidden/>
              </w:rPr>
            </w:r>
            <w:r>
              <w:rPr>
                <w:noProof/>
                <w:webHidden/>
              </w:rPr>
              <w:fldChar w:fldCharType="separate"/>
            </w:r>
            <w:r>
              <w:rPr>
                <w:noProof/>
                <w:webHidden/>
              </w:rPr>
              <w:t>21</w:t>
            </w:r>
            <w:r>
              <w:rPr>
                <w:noProof/>
                <w:webHidden/>
              </w:rPr>
              <w:fldChar w:fldCharType="end"/>
            </w:r>
          </w:hyperlink>
        </w:p>
        <w:p w14:paraId="7B692E88" w14:textId="5AC26F03"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81" w:history="1">
            <w:r w:rsidRPr="00497AE9">
              <w:rPr>
                <w:rStyle w:val="Hyperlink"/>
                <w:rFonts w:ascii="Arial" w:hAnsi="Arial" w:cs="Arial"/>
                <w:b/>
                <w:bCs/>
                <w:noProof/>
                <w:shd w:val="clear" w:color="auto" w:fill="FFFFFF"/>
              </w:rPr>
              <w:t>6.1 Health Context</w:t>
            </w:r>
            <w:r>
              <w:rPr>
                <w:noProof/>
                <w:webHidden/>
              </w:rPr>
              <w:tab/>
            </w:r>
            <w:r>
              <w:rPr>
                <w:noProof/>
                <w:webHidden/>
              </w:rPr>
              <w:fldChar w:fldCharType="begin"/>
            </w:r>
            <w:r>
              <w:rPr>
                <w:noProof/>
                <w:webHidden/>
              </w:rPr>
              <w:instrText xml:space="preserve"> PAGEREF _Toc126667581 \h </w:instrText>
            </w:r>
            <w:r>
              <w:rPr>
                <w:noProof/>
                <w:webHidden/>
              </w:rPr>
            </w:r>
            <w:r>
              <w:rPr>
                <w:noProof/>
                <w:webHidden/>
              </w:rPr>
              <w:fldChar w:fldCharType="separate"/>
            </w:r>
            <w:r>
              <w:rPr>
                <w:noProof/>
                <w:webHidden/>
              </w:rPr>
              <w:t>22</w:t>
            </w:r>
            <w:r>
              <w:rPr>
                <w:noProof/>
                <w:webHidden/>
              </w:rPr>
              <w:fldChar w:fldCharType="end"/>
            </w:r>
          </w:hyperlink>
        </w:p>
        <w:p w14:paraId="0D2B191C" w14:textId="05EBC90A"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82" w:history="1">
            <w:r w:rsidRPr="00497AE9">
              <w:rPr>
                <w:rStyle w:val="Hyperlink"/>
                <w:rFonts w:ascii="Arial" w:hAnsi="Arial" w:cs="Arial"/>
                <w:b/>
                <w:bCs/>
                <w:noProof/>
                <w:shd w:val="clear" w:color="auto" w:fill="FFFFFF"/>
              </w:rPr>
              <w:t>6.2 Hybrid Work Conceptual Framework</w:t>
            </w:r>
            <w:r>
              <w:rPr>
                <w:noProof/>
                <w:webHidden/>
              </w:rPr>
              <w:tab/>
            </w:r>
            <w:r>
              <w:rPr>
                <w:noProof/>
                <w:webHidden/>
              </w:rPr>
              <w:fldChar w:fldCharType="begin"/>
            </w:r>
            <w:r>
              <w:rPr>
                <w:noProof/>
                <w:webHidden/>
              </w:rPr>
              <w:instrText xml:space="preserve"> PAGEREF _Toc126667582 \h </w:instrText>
            </w:r>
            <w:r>
              <w:rPr>
                <w:noProof/>
                <w:webHidden/>
              </w:rPr>
            </w:r>
            <w:r>
              <w:rPr>
                <w:noProof/>
                <w:webHidden/>
              </w:rPr>
              <w:fldChar w:fldCharType="separate"/>
            </w:r>
            <w:r>
              <w:rPr>
                <w:noProof/>
                <w:webHidden/>
              </w:rPr>
              <w:t>23</w:t>
            </w:r>
            <w:r>
              <w:rPr>
                <w:noProof/>
                <w:webHidden/>
              </w:rPr>
              <w:fldChar w:fldCharType="end"/>
            </w:r>
          </w:hyperlink>
        </w:p>
        <w:p w14:paraId="496F0AD5" w14:textId="6AF39735" w:rsidR="00FA2E1B" w:rsidRDefault="00FA2E1B" w:rsidP="00FA2E1B">
          <w:pPr>
            <w:pStyle w:val="TOC1"/>
            <w:tabs>
              <w:tab w:val="right" w:leader="dot" w:pos="10450"/>
            </w:tabs>
            <w:spacing w:line="276" w:lineRule="auto"/>
            <w:rPr>
              <w:rFonts w:eastAsiaTheme="minorEastAsia" w:cstheme="minorBidi"/>
              <w:b w:val="0"/>
              <w:bCs w:val="0"/>
              <w:caps w:val="0"/>
              <w:noProof/>
              <w:kern w:val="0"/>
              <w:sz w:val="24"/>
              <w:szCs w:val="24"/>
              <w:lang w:eastAsia="en-GB"/>
              <w14:ligatures w14:val="none"/>
            </w:rPr>
          </w:pPr>
          <w:hyperlink w:anchor="_Toc126667583" w:history="1">
            <w:r w:rsidRPr="00497AE9">
              <w:rPr>
                <w:rStyle w:val="Hyperlink"/>
                <w:rFonts w:ascii="Arial" w:eastAsia="Times New Roman" w:hAnsi="Arial" w:cs="Arial"/>
                <w:noProof/>
                <w:lang w:eastAsia="en-GB"/>
              </w:rPr>
              <w:t>7.0 Analysis and Evaluation</w:t>
            </w:r>
            <w:r>
              <w:rPr>
                <w:noProof/>
                <w:webHidden/>
              </w:rPr>
              <w:tab/>
            </w:r>
            <w:r>
              <w:rPr>
                <w:noProof/>
                <w:webHidden/>
              </w:rPr>
              <w:fldChar w:fldCharType="begin"/>
            </w:r>
            <w:r>
              <w:rPr>
                <w:noProof/>
                <w:webHidden/>
              </w:rPr>
              <w:instrText xml:space="preserve"> PAGEREF _Toc126667583 \h </w:instrText>
            </w:r>
            <w:r>
              <w:rPr>
                <w:noProof/>
                <w:webHidden/>
              </w:rPr>
            </w:r>
            <w:r>
              <w:rPr>
                <w:noProof/>
                <w:webHidden/>
              </w:rPr>
              <w:fldChar w:fldCharType="separate"/>
            </w:r>
            <w:r>
              <w:rPr>
                <w:noProof/>
                <w:webHidden/>
              </w:rPr>
              <w:t>24</w:t>
            </w:r>
            <w:r>
              <w:rPr>
                <w:noProof/>
                <w:webHidden/>
              </w:rPr>
              <w:fldChar w:fldCharType="end"/>
            </w:r>
          </w:hyperlink>
        </w:p>
        <w:p w14:paraId="43FF680B" w14:textId="1C265A59"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84" w:history="1">
            <w:r w:rsidRPr="00497AE9">
              <w:rPr>
                <w:rStyle w:val="Hyperlink"/>
                <w:rFonts w:ascii="Arial" w:eastAsia="Times New Roman" w:hAnsi="Arial" w:cs="Arial"/>
                <w:b/>
                <w:bCs/>
                <w:noProof/>
                <w:lang w:eastAsia="en-GB"/>
              </w:rPr>
              <w:t>7.1 Justification of the Perspective Chosen</w:t>
            </w:r>
            <w:r>
              <w:rPr>
                <w:noProof/>
                <w:webHidden/>
              </w:rPr>
              <w:tab/>
            </w:r>
            <w:r>
              <w:rPr>
                <w:noProof/>
                <w:webHidden/>
              </w:rPr>
              <w:fldChar w:fldCharType="begin"/>
            </w:r>
            <w:r>
              <w:rPr>
                <w:noProof/>
                <w:webHidden/>
              </w:rPr>
              <w:instrText xml:space="preserve"> PAGEREF _Toc126667584 \h </w:instrText>
            </w:r>
            <w:r>
              <w:rPr>
                <w:noProof/>
                <w:webHidden/>
              </w:rPr>
            </w:r>
            <w:r>
              <w:rPr>
                <w:noProof/>
                <w:webHidden/>
              </w:rPr>
              <w:fldChar w:fldCharType="separate"/>
            </w:r>
            <w:r>
              <w:rPr>
                <w:noProof/>
                <w:webHidden/>
              </w:rPr>
              <w:t>24</w:t>
            </w:r>
            <w:r>
              <w:rPr>
                <w:noProof/>
                <w:webHidden/>
              </w:rPr>
              <w:fldChar w:fldCharType="end"/>
            </w:r>
          </w:hyperlink>
        </w:p>
        <w:p w14:paraId="38473F98" w14:textId="76ECA86B" w:rsidR="00FA2E1B" w:rsidRDefault="00FA2E1B" w:rsidP="00FA2E1B">
          <w:pPr>
            <w:pStyle w:val="TOC2"/>
            <w:tabs>
              <w:tab w:val="right" w:leader="dot" w:pos="10450"/>
            </w:tabs>
            <w:spacing w:line="276" w:lineRule="auto"/>
            <w:rPr>
              <w:rFonts w:eastAsiaTheme="minorEastAsia" w:cstheme="minorBidi"/>
              <w:smallCaps w:val="0"/>
              <w:noProof/>
              <w:kern w:val="0"/>
              <w:sz w:val="24"/>
              <w:szCs w:val="24"/>
              <w:lang w:eastAsia="en-GB"/>
              <w14:ligatures w14:val="none"/>
            </w:rPr>
          </w:pPr>
          <w:hyperlink w:anchor="_Toc126667585" w:history="1">
            <w:r w:rsidRPr="00497AE9">
              <w:rPr>
                <w:rStyle w:val="Hyperlink"/>
                <w:rFonts w:ascii="Arial" w:eastAsia="Times New Roman" w:hAnsi="Arial" w:cs="Arial"/>
                <w:b/>
                <w:bCs/>
                <w:noProof/>
                <w:lang w:eastAsia="en-GB"/>
              </w:rPr>
              <w:t>7.2 The rationale for Rejection of Perspective</w:t>
            </w:r>
            <w:r>
              <w:rPr>
                <w:noProof/>
                <w:webHidden/>
              </w:rPr>
              <w:tab/>
            </w:r>
            <w:r>
              <w:rPr>
                <w:noProof/>
                <w:webHidden/>
              </w:rPr>
              <w:fldChar w:fldCharType="begin"/>
            </w:r>
            <w:r>
              <w:rPr>
                <w:noProof/>
                <w:webHidden/>
              </w:rPr>
              <w:instrText xml:space="preserve"> PAGEREF _Toc126667585 \h </w:instrText>
            </w:r>
            <w:r>
              <w:rPr>
                <w:noProof/>
                <w:webHidden/>
              </w:rPr>
            </w:r>
            <w:r>
              <w:rPr>
                <w:noProof/>
                <w:webHidden/>
              </w:rPr>
              <w:fldChar w:fldCharType="separate"/>
            </w:r>
            <w:r>
              <w:rPr>
                <w:noProof/>
                <w:webHidden/>
              </w:rPr>
              <w:t>24</w:t>
            </w:r>
            <w:r>
              <w:rPr>
                <w:noProof/>
                <w:webHidden/>
              </w:rPr>
              <w:fldChar w:fldCharType="end"/>
            </w:r>
          </w:hyperlink>
        </w:p>
        <w:p w14:paraId="205F7CA4" w14:textId="1A3E4917" w:rsidR="00FA2E1B" w:rsidRDefault="00FA2E1B" w:rsidP="00FA2E1B">
          <w:pPr>
            <w:pStyle w:val="TOC1"/>
            <w:tabs>
              <w:tab w:val="right" w:leader="dot" w:pos="10450"/>
            </w:tabs>
            <w:spacing w:line="276" w:lineRule="auto"/>
            <w:rPr>
              <w:rFonts w:eastAsiaTheme="minorEastAsia" w:cstheme="minorBidi"/>
              <w:b w:val="0"/>
              <w:bCs w:val="0"/>
              <w:caps w:val="0"/>
              <w:noProof/>
              <w:kern w:val="0"/>
              <w:sz w:val="24"/>
              <w:szCs w:val="24"/>
              <w:lang w:eastAsia="en-GB"/>
              <w14:ligatures w14:val="none"/>
            </w:rPr>
          </w:pPr>
          <w:hyperlink w:anchor="_Toc126667586" w:history="1">
            <w:r w:rsidRPr="00497AE9">
              <w:rPr>
                <w:rStyle w:val="Hyperlink"/>
                <w:rFonts w:ascii="Arial" w:eastAsia="Times New Roman" w:hAnsi="Arial" w:cs="Arial"/>
                <w:noProof/>
                <w:lang w:eastAsia="en-GB"/>
              </w:rPr>
              <w:t>8.0 Conclusion</w:t>
            </w:r>
            <w:r>
              <w:rPr>
                <w:noProof/>
                <w:webHidden/>
              </w:rPr>
              <w:tab/>
            </w:r>
            <w:r>
              <w:rPr>
                <w:noProof/>
                <w:webHidden/>
              </w:rPr>
              <w:fldChar w:fldCharType="begin"/>
            </w:r>
            <w:r>
              <w:rPr>
                <w:noProof/>
                <w:webHidden/>
              </w:rPr>
              <w:instrText xml:space="preserve"> PAGEREF _Toc126667586 \h </w:instrText>
            </w:r>
            <w:r>
              <w:rPr>
                <w:noProof/>
                <w:webHidden/>
              </w:rPr>
            </w:r>
            <w:r>
              <w:rPr>
                <w:noProof/>
                <w:webHidden/>
              </w:rPr>
              <w:fldChar w:fldCharType="separate"/>
            </w:r>
            <w:r>
              <w:rPr>
                <w:noProof/>
                <w:webHidden/>
              </w:rPr>
              <w:t>25</w:t>
            </w:r>
            <w:r>
              <w:rPr>
                <w:noProof/>
                <w:webHidden/>
              </w:rPr>
              <w:fldChar w:fldCharType="end"/>
            </w:r>
          </w:hyperlink>
        </w:p>
        <w:p w14:paraId="0A3D71EE" w14:textId="64E1E4A1" w:rsidR="00FA2E1B" w:rsidRDefault="00FA2E1B" w:rsidP="00FA2E1B">
          <w:pPr>
            <w:pStyle w:val="TOC1"/>
            <w:tabs>
              <w:tab w:val="right" w:leader="dot" w:pos="10450"/>
            </w:tabs>
            <w:spacing w:line="276" w:lineRule="auto"/>
            <w:rPr>
              <w:rFonts w:eastAsiaTheme="minorEastAsia" w:cstheme="minorBidi"/>
              <w:b w:val="0"/>
              <w:bCs w:val="0"/>
              <w:caps w:val="0"/>
              <w:noProof/>
              <w:kern w:val="0"/>
              <w:sz w:val="24"/>
              <w:szCs w:val="24"/>
              <w:lang w:eastAsia="en-GB"/>
              <w14:ligatures w14:val="none"/>
            </w:rPr>
          </w:pPr>
          <w:hyperlink w:anchor="_Toc126667587" w:history="1">
            <w:r w:rsidRPr="00497AE9">
              <w:rPr>
                <w:rStyle w:val="Hyperlink"/>
                <w:rFonts w:ascii="Arial" w:eastAsia="Times New Roman" w:hAnsi="Arial" w:cs="Arial"/>
                <w:noProof/>
                <w:lang w:eastAsia="en-GB"/>
              </w:rPr>
              <w:t>References</w:t>
            </w:r>
            <w:r>
              <w:rPr>
                <w:noProof/>
                <w:webHidden/>
              </w:rPr>
              <w:tab/>
            </w:r>
            <w:r>
              <w:rPr>
                <w:noProof/>
                <w:webHidden/>
              </w:rPr>
              <w:fldChar w:fldCharType="begin"/>
            </w:r>
            <w:r>
              <w:rPr>
                <w:noProof/>
                <w:webHidden/>
              </w:rPr>
              <w:instrText xml:space="preserve"> PAGEREF _Toc126667587 \h </w:instrText>
            </w:r>
            <w:r>
              <w:rPr>
                <w:noProof/>
                <w:webHidden/>
              </w:rPr>
            </w:r>
            <w:r>
              <w:rPr>
                <w:noProof/>
                <w:webHidden/>
              </w:rPr>
              <w:fldChar w:fldCharType="separate"/>
            </w:r>
            <w:r>
              <w:rPr>
                <w:noProof/>
                <w:webHidden/>
              </w:rPr>
              <w:t>25</w:t>
            </w:r>
            <w:r>
              <w:rPr>
                <w:noProof/>
                <w:webHidden/>
              </w:rPr>
              <w:fldChar w:fldCharType="end"/>
            </w:r>
          </w:hyperlink>
        </w:p>
        <w:p w14:paraId="4069BA46" w14:textId="490CD213" w:rsidR="00FA2E1B" w:rsidRDefault="00FA2E1B" w:rsidP="00FA2E1B">
          <w:pPr>
            <w:spacing w:line="276" w:lineRule="auto"/>
          </w:pPr>
          <w:r>
            <w:rPr>
              <w:b/>
              <w:bCs/>
              <w:noProof/>
            </w:rPr>
            <w:fldChar w:fldCharType="end"/>
          </w:r>
        </w:p>
      </w:sdtContent>
    </w:sdt>
    <w:p w14:paraId="6A1C7339" w14:textId="77777777" w:rsidR="00FA2E1B" w:rsidRDefault="00FA2E1B" w:rsidP="00A9331D">
      <w:pPr>
        <w:jc w:val="center"/>
        <w:rPr>
          <w:rFonts w:ascii="Arial" w:hAnsi="Arial" w:cs="Arial"/>
          <w:b/>
          <w:bCs/>
          <w:color w:val="000000" w:themeColor="text1"/>
        </w:rPr>
      </w:pPr>
      <w:r>
        <w:rPr>
          <w:rFonts w:ascii="Arial" w:hAnsi="Arial" w:cs="Arial"/>
          <w:b/>
          <w:bCs/>
          <w:color w:val="000000" w:themeColor="text1"/>
        </w:rPr>
        <w:lastRenderedPageBreak/>
        <w:t>List of Figures</w:t>
      </w:r>
    </w:p>
    <w:p w14:paraId="6E27E48F" w14:textId="29155997" w:rsidR="007B7F1E" w:rsidRDefault="007B7F1E" w:rsidP="001272C5">
      <w:pPr>
        <w:rPr>
          <w:rFonts w:ascii="Arial" w:hAnsi="Arial" w:cs="Arial"/>
          <w:b/>
          <w:bCs/>
          <w:color w:val="000000" w:themeColor="text1"/>
        </w:rPr>
      </w:pPr>
    </w:p>
    <w:p w14:paraId="66168623" w14:textId="17B30B1B" w:rsidR="007B7F1E" w:rsidRDefault="007B7F1E" w:rsidP="001272C5">
      <w:pPr>
        <w:rPr>
          <w:rFonts w:ascii="Arial" w:hAnsi="Arial" w:cs="Arial"/>
          <w:b/>
          <w:bCs/>
          <w:color w:val="000000" w:themeColor="text1"/>
        </w:rPr>
      </w:pPr>
    </w:p>
    <w:p w14:paraId="0347EF2A" w14:textId="4E9E7A13" w:rsidR="00D44B2C" w:rsidRDefault="00D44B2C">
      <w:pPr>
        <w:pStyle w:val="TableofFigures"/>
        <w:tabs>
          <w:tab w:val="right" w:leader="dot" w:pos="10450"/>
        </w:tabs>
        <w:rPr>
          <w:rFonts w:eastAsiaTheme="minorEastAsia" w:cstheme="minorBidi"/>
          <w:smallCaps w:val="0"/>
          <w:noProof/>
          <w:kern w:val="0"/>
          <w:sz w:val="24"/>
          <w:szCs w:val="24"/>
          <w:lang w:eastAsia="en-GB"/>
          <w14:ligatures w14:val="none"/>
        </w:rPr>
      </w:pPr>
      <w:r w:rsidRPr="006A1238">
        <w:rPr>
          <w:rFonts w:ascii="Arial" w:hAnsi="Arial" w:cs="Arial"/>
          <w:b/>
          <w:bCs/>
          <w:color w:val="000000" w:themeColor="text1"/>
        </w:rPr>
        <w:fldChar w:fldCharType="begin"/>
      </w:r>
      <w:r w:rsidRPr="006A1238">
        <w:rPr>
          <w:rFonts w:ascii="Arial" w:hAnsi="Arial" w:cs="Arial"/>
          <w:b/>
          <w:bCs/>
          <w:color w:val="000000" w:themeColor="text1"/>
        </w:rPr>
        <w:instrText xml:space="preserve"> TOC \h \z \c "Figure 1.1 Leadership Grid" </w:instrText>
      </w:r>
      <w:r w:rsidRPr="006A1238">
        <w:rPr>
          <w:rFonts w:ascii="Arial" w:hAnsi="Arial" w:cs="Arial"/>
          <w:b/>
          <w:bCs/>
          <w:color w:val="000000" w:themeColor="text1"/>
        </w:rPr>
        <w:fldChar w:fldCharType="separate"/>
      </w:r>
      <w:hyperlink w:anchor="_Toc126669678" w:history="1">
        <w:r w:rsidRPr="006A1238">
          <w:rPr>
            <w:rStyle w:val="Hyperlink"/>
            <w:b/>
            <w:bCs/>
            <w:noProof/>
          </w:rPr>
          <w:t>Figure</w:t>
        </w:r>
        <w:r w:rsidRPr="009F1FEF">
          <w:rPr>
            <w:rStyle w:val="Hyperlink"/>
            <w:noProof/>
          </w:rPr>
          <w:t xml:space="preserve"> 1.1 Lead</w:t>
        </w:r>
        <w:r w:rsidRPr="009F1FEF">
          <w:rPr>
            <w:rStyle w:val="Hyperlink"/>
            <w:noProof/>
          </w:rPr>
          <w:t>e</w:t>
        </w:r>
        <w:r w:rsidRPr="009F1FEF">
          <w:rPr>
            <w:rStyle w:val="Hyperlink"/>
            <w:noProof/>
          </w:rPr>
          <w:t>rsh</w:t>
        </w:r>
        <w:r w:rsidRPr="009F1FEF">
          <w:rPr>
            <w:rStyle w:val="Hyperlink"/>
            <w:noProof/>
          </w:rPr>
          <w:t>i</w:t>
        </w:r>
        <w:r w:rsidRPr="009F1FEF">
          <w:rPr>
            <w:rStyle w:val="Hyperlink"/>
            <w:noProof/>
          </w:rPr>
          <w:t>p Grid 1</w:t>
        </w:r>
        <w:r>
          <w:rPr>
            <w:noProof/>
            <w:webHidden/>
          </w:rPr>
          <w:tab/>
        </w:r>
        <w:r>
          <w:rPr>
            <w:noProof/>
            <w:webHidden/>
          </w:rPr>
          <w:fldChar w:fldCharType="begin"/>
        </w:r>
        <w:r>
          <w:rPr>
            <w:noProof/>
            <w:webHidden/>
          </w:rPr>
          <w:instrText xml:space="preserve"> PAGEREF _Toc126669678 \h </w:instrText>
        </w:r>
        <w:r>
          <w:rPr>
            <w:noProof/>
            <w:webHidden/>
          </w:rPr>
        </w:r>
        <w:r>
          <w:rPr>
            <w:noProof/>
            <w:webHidden/>
          </w:rPr>
          <w:fldChar w:fldCharType="separate"/>
        </w:r>
        <w:r>
          <w:rPr>
            <w:noProof/>
            <w:webHidden/>
          </w:rPr>
          <w:t>17</w:t>
        </w:r>
        <w:r>
          <w:rPr>
            <w:noProof/>
            <w:webHidden/>
          </w:rPr>
          <w:fldChar w:fldCharType="end"/>
        </w:r>
      </w:hyperlink>
    </w:p>
    <w:p w14:paraId="02BDD2F9" w14:textId="77777777" w:rsidR="00D44B2C" w:rsidRDefault="00D44B2C" w:rsidP="001272C5">
      <w:pPr>
        <w:rPr>
          <w:noProof/>
        </w:rPr>
      </w:pPr>
      <w:r>
        <w:rPr>
          <w:rFonts w:ascii="Arial" w:hAnsi="Arial" w:cs="Arial"/>
          <w:b/>
          <w:bCs/>
          <w:color w:val="000000" w:themeColor="text1"/>
        </w:rPr>
        <w:fldChar w:fldCharType="end"/>
      </w:r>
      <w:r>
        <w:rPr>
          <w:rFonts w:ascii="Arial" w:hAnsi="Arial" w:cs="Arial"/>
          <w:b/>
          <w:bCs/>
          <w:color w:val="000000" w:themeColor="text1"/>
        </w:rPr>
        <w:fldChar w:fldCharType="begin"/>
      </w:r>
      <w:r>
        <w:rPr>
          <w:rFonts w:ascii="Arial" w:hAnsi="Arial" w:cs="Arial"/>
          <w:b/>
          <w:bCs/>
          <w:color w:val="000000" w:themeColor="text1"/>
        </w:rPr>
        <w:instrText xml:space="preserve"> TOC \h \z \c "Figure 1.2 Hybrid Work" </w:instrText>
      </w:r>
      <w:r>
        <w:rPr>
          <w:rFonts w:ascii="Arial" w:hAnsi="Arial" w:cs="Arial"/>
          <w:b/>
          <w:bCs/>
          <w:color w:val="000000" w:themeColor="text1"/>
        </w:rPr>
        <w:fldChar w:fldCharType="separate"/>
      </w:r>
    </w:p>
    <w:p w14:paraId="47535BF2" w14:textId="090C572E" w:rsidR="00D44B2C" w:rsidRDefault="00D44B2C">
      <w:pPr>
        <w:pStyle w:val="TableofFigures"/>
        <w:tabs>
          <w:tab w:val="right" w:leader="dot" w:pos="10450"/>
        </w:tabs>
        <w:rPr>
          <w:rFonts w:eastAsiaTheme="minorEastAsia" w:cstheme="minorBidi"/>
          <w:smallCaps w:val="0"/>
          <w:noProof/>
          <w:kern w:val="0"/>
          <w:sz w:val="24"/>
          <w:szCs w:val="24"/>
          <w:lang w:eastAsia="en-GB"/>
          <w14:ligatures w14:val="none"/>
        </w:rPr>
      </w:pPr>
      <w:r w:rsidRPr="000D248E">
        <w:rPr>
          <w:rStyle w:val="Hyperlink"/>
          <w:noProof/>
        </w:rPr>
        <w:fldChar w:fldCharType="begin"/>
      </w:r>
      <w:r w:rsidRPr="000D248E">
        <w:rPr>
          <w:rStyle w:val="Hyperlink"/>
          <w:noProof/>
        </w:rPr>
        <w:instrText xml:space="preserve"> </w:instrText>
      </w:r>
      <w:r>
        <w:rPr>
          <w:noProof/>
        </w:rPr>
        <w:instrText>HYPERLINK \l "_Toc126669704"</w:instrText>
      </w:r>
      <w:r w:rsidRPr="000D248E">
        <w:rPr>
          <w:rStyle w:val="Hyperlink"/>
          <w:noProof/>
        </w:rPr>
        <w:instrText xml:space="preserve"> </w:instrText>
      </w:r>
      <w:r w:rsidRPr="000D248E">
        <w:rPr>
          <w:rStyle w:val="Hyperlink"/>
          <w:noProof/>
        </w:rPr>
      </w:r>
      <w:r w:rsidRPr="000D248E">
        <w:rPr>
          <w:rStyle w:val="Hyperlink"/>
          <w:noProof/>
        </w:rPr>
        <w:fldChar w:fldCharType="separate"/>
      </w:r>
      <w:r w:rsidRPr="000D248E">
        <w:rPr>
          <w:rStyle w:val="Hyperlink"/>
          <w:noProof/>
        </w:rPr>
        <w:t xml:space="preserve">Figure 1.2 Hybrid </w:t>
      </w:r>
      <w:r w:rsidRPr="000D248E">
        <w:rPr>
          <w:rStyle w:val="Hyperlink"/>
          <w:noProof/>
        </w:rPr>
        <w:t>W</w:t>
      </w:r>
      <w:r w:rsidRPr="000D248E">
        <w:rPr>
          <w:rStyle w:val="Hyperlink"/>
          <w:noProof/>
        </w:rPr>
        <w:t>ork 1</w:t>
      </w:r>
      <w:r>
        <w:rPr>
          <w:noProof/>
          <w:webHidden/>
        </w:rPr>
        <w:tab/>
      </w:r>
      <w:r>
        <w:rPr>
          <w:noProof/>
          <w:webHidden/>
        </w:rPr>
        <w:fldChar w:fldCharType="begin"/>
      </w:r>
      <w:r>
        <w:rPr>
          <w:noProof/>
          <w:webHidden/>
        </w:rPr>
        <w:instrText xml:space="preserve"> PAGEREF _Toc126669704 \h </w:instrText>
      </w:r>
      <w:r>
        <w:rPr>
          <w:noProof/>
          <w:webHidden/>
        </w:rPr>
      </w:r>
      <w:r>
        <w:rPr>
          <w:noProof/>
          <w:webHidden/>
        </w:rPr>
        <w:fldChar w:fldCharType="separate"/>
      </w:r>
      <w:r>
        <w:rPr>
          <w:noProof/>
          <w:webHidden/>
        </w:rPr>
        <w:t>20</w:t>
      </w:r>
      <w:r>
        <w:rPr>
          <w:noProof/>
          <w:webHidden/>
        </w:rPr>
        <w:fldChar w:fldCharType="end"/>
      </w:r>
      <w:r w:rsidRPr="000D248E">
        <w:rPr>
          <w:rStyle w:val="Hyperlink"/>
          <w:noProof/>
        </w:rPr>
        <w:fldChar w:fldCharType="end"/>
      </w:r>
    </w:p>
    <w:p w14:paraId="17C06BC0" w14:textId="77777777" w:rsidR="00D44B2C" w:rsidRDefault="00D44B2C" w:rsidP="001272C5">
      <w:pPr>
        <w:rPr>
          <w:noProof/>
        </w:rPr>
      </w:pPr>
      <w:r>
        <w:rPr>
          <w:rFonts w:ascii="Arial" w:hAnsi="Arial" w:cs="Arial"/>
          <w:b/>
          <w:bCs/>
          <w:color w:val="000000" w:themeColor="text1"/>
        </w:rPr>
        <w:fldChar w:fldCharType="end"/>
      </w:r>
      <w:r>
        <w:rPr>
          <w:rFonts w:ascii="Arial" w:hAnsi="Arial" w:cs="Arial"/>
          <w:b/>
          <w:bCs/>
          <w:color w:val="000000" w:themeColor="text1"/>
        </w:rPr>
        <w:fldChar w:fldCharType="begin"/>
      </w:r>
      <w:r>
        <w:rPr>
          <w:rFonts w:ascii="Arial" w:hAnsi="Arial" w:cs="Arial"/>
          <w:b/>
          <w:bCs/>
          <w:color w:val="000000" w:themeColor="text1"/>
        </w:rPr>
        <w:instrText xml:space="preserve"> TOC \h \z \c "Figure 1.3 Telemedicine" </w:instrText>
      </w:r>
      <w:r>
        <w:rPr>
          <w:rFonts w:ascii="Arial" w:hAnsi="Arial" w:cs="Arial"/>
          <w:b/>
          <w:bCs/>
          <w:color w:val="000000" w:themeColor="text1"/>
        </w:rPr>
        <w:fldChar w:fldCharType="separate"/>
      </w:r>
    </w:p>
    <w:p w14:paraId="4BF262CA" w14:textId="6AE74B77" w:rsidR="00D44B2C" w:rsidRDefault="00D44B2C">
      <w:pPr>
        <w:pStyle w:val="TableofFigures"/>
        <w:tabs>
          <w:tab w:val="right" w:leader="dot" w:pos="10450"/>
        </w:tabs>
        <w:rPr>
          <w:rFonts w:eastAsiaTheme="minorEastAsia" w:cstheme="minorBidi"/>
          <w:smallCaps w:val="0"/>
          <w:noProof/>
          <w:kern w:val="0"/>
          <w:sz w:val="24"/>
          <w:szCs w:val="24"/>
          <w:lang w:eastAsia="en-GB"/>
          <w14:ligatures w14:val="none"/>
        </w:rPr>
      </w:pPr>
      <w:hyperlink w:anchor="_Toc126669720" w:history="1">
        <w:r w:rsidRPr="007F2CEF">
          <w:rPr>
            <w:rStyle w:val="Hyperlink"/>
            <w:noProof/>
          </w:rPr>
          <w:t>Figure 1.3 Telemedicine 1</w:t>
        </w:r>
        <w:r>
          <w:rPr>
            <w:noProof/>
            <w:webHidden/>
          </w:rPr>
          <w:tab/>
        </w:r>
        <w:r>
          <w:rPr>
            <w:noProof/>
            <w:webHidden/>
          </w:rPr>
          <w:fldChar w:fldCharType="begin"/>
        </w:r>
        <w:r>
          <w:rPr>
            <w:noProof/>
            <w:webHidden/>
          </w:rPr>
          <w:instrText xml:space="preserve"> PAGEREF _Toc126669720 \h </w:instrText>
        </w:r>
        <w:r>
          <w:rPr>
            <w:noProof/>
            <w:webHidden/>
          </w:rPr>
        </w:r>
        <w:r>
          <w:rPr>
            <w:noProof/>
            <w:webHidden/>
          </w:rPr>
          <w:fldChar w:fldCharType="separate"/>
        </w:r>
        <w:r>
          <w:rPr>
            <w:noProof/>
            <w:webHidden/>
          </w:rPr>
          <w:t>21</w:t>
        </w:r>
        <w:r>
          <w:rPr>
            <w:noProof/>
            <w:webHidden/>
          </w:rPr>
          <w:fldChar w:fldCharType="end"/>
        </w:r>
      </w:hyperlink>
    </w:p>
    <w:p w14:paraId="2FDFB136" w14:textId="77777777" w:rsidR="00D44B2C" w:rsidRDefault="00D44B2C" w:rsidP="001272C5">
      <w:pPr>
        <w:rPr>
          <w:noProof/>
        </w:rPr>
      </w:pPr>
      <w:r>
        <w:rPr>
          <w:rFonts w:ascii="Arial" w:hAnsi="Arial" w:cs="Arial"/>
          <w:b/>
          <w:bCs/>
          <w:color w:val="000000" w:themeColor="text1"/>
        </w:rPr>
        <w:fldChar w:fldCharType="end"/>
      </w:r>
      <w:r>
        <w:rPr>
          <w:rFonts w:ascii="Arial" w:hAnsi="Arial" w:cs="Arial"/>
          <w:b/>
          <w:bCs/>
          <w:color w:val="000000" w:themeColor="text1"/>
        </w:rPr>
        <w:fldChar w:fldCharType="begin"/>
      </w:r>
      <w:r>
        <w:rPr>
          <w:rFonts w:ascii="Arial" w:hAnsi="Arial" w:cs="Arial"/>
          <w:b/>
          <w:bCs/>
          <w:color w:val="000000" w:themeColor="text1"/>
        </w:rPr>
        <w:instrText xml:space="preserve"> TOC \h \z \c "Figure 1.4 Hofstede's Comparison" </w:instrText>
      </w:r>
      <w:r>
        <w:rPr>
          <w:rFonts w:ascii="Arial" w:hAnsi="Arial" w:cs="Arial"/>
          <w:b/>
          <w:bCs/>
          <w:color w:val="000000" w:themeColor="text1"/>
        </w:rPr>
        <w:fldChar w:fldCharType="separate"/>
      </w:r>
    </w:p>
    <w:p w14:paraId="339E414E" w14:textId="6C33921D" w:rsidR="00D44B2C" w:rsidRDefault="00D44B2C">
      <w:pPr>
        <w:pStyle w:val="TableofFigures"/>
        <w:tabs>
          <w:tab w:val="right" w:leader="dot" w:pos="10450"/>
        </w:tabs>
        <w:rPr>
          <w:rFonts w:eastAsiaTheme="minorEastAsia" w:cstheme="minorBidi"/>
          <w:smallCaps w:val="0"/>
          <w:noProof/>
          <w:kern w:val="0"/>
          <w:sz w:val="24"/>
          <w:szCs w:val="24"/>
          <w:lang w:eastAsia="en-GB"/>
          <w14:ligatures w14:val="none"/>
        </w:rPr>
      </w:pPr>
      <w:hyperlink w:anchor="_Toc126669733" w:history="1">
        <w:r w:rsidRPr="00871AA8">
          <w:rPr>
            <w:rStyle w:val="Hyperlink"/>
            <w:noProof/>
          </w:rPr>
          <w:t>Figure 1.4 Hofstede's Comparison 1</w:t>
        </w:r>
        <w:r>
          <w:rPr>
            <w:noProof/>
            <w:webHidden/>
          </w:rPr>
          <w:tab/>
        </w:r>
        <w:r>
          <w:rPr>
            <w:noProof/>
            <w:webHidden/>
          </w:rPr>
          <w:fldChar w:fldCharType="begin"/>
        </w:r>
        <w:r>
          <w:rPr>
            <w:noProof/>
            <w:webHidden/>
          </w:rPr>
          <w:instrText xml:space="preserve"> PAGEREF _Toc126669733 \h </w:instrText>
        </w:r>
        <w:r>
          <w:rPr>
            <w:noProof/>
            <w:webHidden/>
          </w:rPr>
        </w:r>
        <w:r>
          <w:rPr>
            <w:noProof/>
            <w:webHidden/>
          </w:rPr>
          <w:fldChar w:fldCharType="separate"/>
        </w:r>
        <w:r>
          <w:rPr>
            <w:noProof/>
            <w:webHidden/>
          </w:rPr>
          <w:t>23</w:t>
        </w:r>
        <w:r>
          <w:rPr>
            <w:noProof/>
            <w:webHidden/>
          </w:rPr>
          <w:fldChar w:fldCharType="end"/>
        </w:r>
      </w:hyperlink>
    </w:p>
    <w:p w14:paraId="0DCC5942" w14:textId="77777777" w:rsidR="00D44B2C" w:rsidRDefault="00D44B2C" w:rsidP="001272C5">
      <w:pPr>
        <w:rPr>
          <w:noProof/>
        </w:rPr>
      </w:pPr>
      <w:r>
        <w:rPr>
          <w:rFonts w:ascii="Arial" w:hAnsi="Arial" w:cs="Arial"/>
          <w:b/>
          <w:bCs/>
          <w:color w:val="000000" w:themeColor="text1"/>
        </w:rPr>
        <w:fldChar w:fldCharType="end"/>
      </w:r>
      <w:r>
        <w:rPr>
          <w:rFonts w:ascii="Arial" w:hAnsi="Arial" w:cs="Arial"/>
          <w:b/>
          <w:bCs/>
          <w:color w:val="000000" w:themeColor="text1"/>
        </w:rPr>
        <w:fldChar w:fldCharType="begin"/>
      </w:r>
      <w:r>
        <w:rPr>
          <w:rFonts w:ascii="Arial" w:hAnsi="Arial" w:cs="Arial"/>
          <w:b/>
          <w:bCs/>
          <w:color w:val="000000" w:themeColor="text1"/>
        </w:rPr>
        <w:instrText xml:space="preserve"> TOC \h \z \c "Figure 1.5 Conceptual Framework" </w:instrText>
      </w:r>
      <w:r>
        <w:rPr>
          <w:rFonts w:ascii="Arial" w:hAnsi="Arial" w:cs="Arial"/>
          <w:b/>
          <w:bCs/>
          <w:color w:val="000000" w:themeColor="text1"/>
        </w:rPr>
        <w:fldChar w:fldCharType="separate"/>
      </w:r>
    </w:p>
    <w:p w14:paraId="7388FAB0" w14:textId="5A243665" w:rsidR="00D44B2C" w:rsidRDefault="00D44B2C">
      <w:pPr>
        <w:pStyle w:val="TableofFigures"/>
        <w:tabs>
          <w:tab w:val="right" w:leader="dot" w:pos="10450"/>
        </w:tabs>
        <w:rPr>
          <w:rFonts w:eastAsiaTheme="minorEastAsia" w:cstheme="minorBidi"/>
          <w:smallCaps w:val="0"/>
          <w:noProof/>
          <w:kern w:val="0"/>
          <w:sz w:val="24"/>
          <w:szCs w:val="24"/>
          <w:lang w:eastAsia="en-GB"/>
          <w14:ligatures w14:val="none"/>
        </w:rPr>
      </w:pPr>
      <w:hyperlink w:anchor="_Toc126669746" w:history="1">
        <w:r w:rsidRPr="001F36CF">
          <w:rPr>
            <w:rStyle w:val="Hyperlink"/>
            <w:noProof/>
          </w:rPr>
          <w:t>Figure 1.5 Conceptual Framework 1</w:t>
        </w:r>
        <w:r>
          <w:rPr>
            <w:noProof/>
            <w:webHidden/>
          </w:rPr>
          <w:tab/>
        </w:r>
        <w:r>
          <w:rPr>
            <w:noProof/>
            <w:webHidden/>
          </w:rPr>
          <w:fldChar w:fldCharType="begin"/>
        </w:r>
        <w:r>
          <w:rPr>
            <w:noProof/>
            <w:webHidden/>
          </w:rPr>
          <w:instrText xml:space="preserve"> PAGEREF _Toc126669746 \h </w:instrText>
        </w:r>
        <w:r>
          <w:rPr>
            <w:noProof/>
            <w:webHidden/>
          </w:rPr>
        </w:r>
        <w:r>
          <w:rPr>
            <w:noProof/>
            <w:webHidden/>
          </w:rPr>
          <w:fldChar w:fldCharType="separate"/>
        </w:r>
        <w:r>
          <w:rPr>
            <w:noProof/>
            <w:webHidden/>
          </w:rPr>
          <w:t>24</w:t>
        </w:r>
        <w:r>
          <w:rPr>
            <w:noProof/>
            <w:webHidden/>
          </w:rPr>
          <w:fldChar w:fldCharType="end"/>
        </w:r>
      </w:hyperlink>
    </w:p>
    <w:p w14:paraId="65DBC4FC" w14:textId="6B3FE8A1" w:rsidR="007B7F1E" w:rsidRDefault="00D44B2C" w:rsidP="001272C5">
      <w:pPr>
        <w:rPr>
          <w:rFonts w:ascii="Arial" w:hAnsi="Arial" w:cs="Arial"/>
          <w:b/>
          <w:bCs/>
          <w:color w:val="000000" w:themeColor="text1"/>
        </w:rPr>
      </w:pPr>
      <w:r>
        <w:rPr>
          <w:rFonts w:ascii="Arial" w:hAnsi="Arial" w:cs="Arial"/>
          <w:b/>
          <w:bCs/>
          <w:color w:val="000000" w:themeColor="text1"/>
        </w:rPr>
        <w:fldChar w:fldCharType="end"/>
      </w:r>
    </w:p>
    <w:p w14:paraId="780D121B" w14:textId="287C7B6A" w:rsidR="007B7F1E" w:rsidRDefault="007B7F1E" w:rsidP="001272C5">
      <w:pPr>
        <w:rPr>
          <w:rFonts w:ascii="Arial" w:hAnsi="Arial" w:cs="Arial"/>
          <w:b/>
          <w:bCs/>
          <w:color w:val="000000" w:themeColor="text1"/>
        </w:rPr>
      </w:pPr>
    </w:p>
    <w:p w14:paraId="4A9750AC" w14:textId="29FEB50C" w:rsidR="007B7F1E" w:rsidRDefault="007B7F1E" w:rsidP="001272C5">
      <w:pPr>
        <w:rPr>
          <w:rFonts w:ascii="Arial" w:hAnsi="Arial" w:cs="Arial"/>
          <w:b/>
          <w:bCs/>
          <w:color w:val="000000" w:themeColor="text1"/>
        </w:rPr>
      </w:pPr>
    </w:p>
    <w:p w14:paraId="2B7449AE" w14:textId="273B5428" w:rsidR="007B7F1E" w:rsidRDefault="007B7F1E" w:rsidP="001272C5">
      <w:pPr>
        <w:rPr>
          <w:rFonts w:ascii="Arial" w:hAnsi="Arial" w:cs="Arial"/>
          <w:b/>
          <w:bCs/>
          <w:color w:val="000000" w:themeColor="text1"/>
        </w:rPr>
      </w:pPr>
    </w:p>
    <w:p w14:paraId="2A1841FF" w14:textId="7FA8A7B4" w:rsidR="007B7F1E" w:rsidRDefault="007B7F1E" w:rsidP="001272C5">
      <w:pPr>
        <w:rPr>
          <w:rFonts w:ascii="Arial" w:hAnsi="Arial" w:cs="Arial"/>
          <w:b/>
          <w:bCs/>
          <w:color w:val="000000" w:themeColor="text1"/>
        </w:rPr>
      </w:pPr>
    </w:p>
    <w:p w14:paraId="04369CF4" w14:textId="3E2FFA28" w:rsidR="007B7F1E" w:rsidRDefault="007B7F1E" w:rsidP="001272C5">
      <w:pPr>
        <w:rPr>
          <w:rFonts w:ascii="Arial" w:hAnsi="Arial" w:cs="Arial"/>
          <w:b/>
          <w:bCs/>
          <w:color w:val="000000" w:themeColor="text1"/>
        </w:rPr>
      </w:pPr>
    </w:p>
    <w:p w14:paraId="519CAF3D" w14:textId="02FBA7C8" w:rsidR="007B7F1E" w:rsidRDefault="007B7F1E" w:rsidP="001272C5">
      <w:pPr>
        <w:rPr>
          <w:rFonts w:ascii="Arial" w:hAnsi="Arial" w:cs="Arial"/>
          <w:b/>
          <w:bCs/>
          <w:color w:val="000000" w:themeColor="text1"/>
        </w:rPr>
      </w:pPr>
    </w:p>
    <w:p w14:paraId="0B60575C" w14:textId="0A0424A4" w:rsidR="007B7F1E" w:rsidRDefault="007B7F1E" w:rsidP="001272C5">
      <w:pPr>
        <w:rPr>
          <w:rFonts w:ascii="Arial" w:hAnsi="Arial" w:cs="Arial"/>
          <w:b/>
          <w:bCs/>
          <w:color w:val="000000" w:themeColor="text1"/>
        </w:rPr>
      </w:pPr>
    </w:p>
    <w:p w14:paraId="5BFE653C" w14:textId="497E8C2F" w:rsidR="007B7F1E" w:rsidRDefault="007B7F1E" w:rsidP="001272C5">
      <w:pPr>
        <w:rPr>
          <w:rFonts w:ascii="Arial" w:hAnsi="Arial" w:cs="Arial"/>
          <w:b/>
          <w:bCs/>
          <w:color w:val="000000" w:themeColor="text1"/>
        </w:rPr>
      </w:pPr>
    </w:p>
    <w:p w14:paraId="16D4D4C6" w14:textId="7DF36068" w:rsidR="007B7F1E" w:rsidRDefault="007B7F1E" w:rsidP="001272C5">
      <w:pPr>
        <w:rPr>
          <w:rFonts w:ascii="Arial" w:hAnsi="Arial" w:cs="Arial"/>
          <w:b/>
          <w:bCs/>
          <w:color w:val="000000" w:themeColor="text1"/>
        </w:rPr>
      </w:pPr>
    </w:p>
    <w:p w14:paraId="7CC6639F" w14:textId="61E8D60D" w:rsidR="007B7F1E" w:rsidRDefault="007B7F1E" w:rsidP="001272C5">
      <w:pPr>
        <w:rPr>
          <w:rFonts w:ascii="Arial" w:hAnsi="Arial" w:cs="Arial"/>
          <w:b/>
          <w:bCs/>
          <w:color w:val="000000" w:themeColor="text1"/>
        </w:rPr>
      </w:pPr>
    </w:p>
    <w:p w14:paraId="3C68A456" w14:textId="15755B80" w:rsidR="007B7F1E" w:rsidRDefault="007B7F1E" w:rsidP="001272C5">
      <w:pPr>
        <w:rPr>
          <w:rFonts w:ascii="Arial" w:hAnsi="Arial" w:cs="Arial"/>
          <w:b/>
          <w:bCs/>
          <w:color w:val="000000" w:themeColor="text1"/>
        </w:rPr>
      </w:pPr>
    </w:p>
    <w:p w14:paraId="5243F253" w14:textId="13B4362B" w:rsidR="007B7F1E" w:rsidRDefault="007B7F1E" w:rsidP="001272C5">
      <w:pPr>
        <w:rPr>
          <w:rFonts w:ascii="Arial" w:hAnsi="Arial" w:cs="Arial"/>
          <w:b/>
          <w:bCs/>
          <w:color w:val="000000" w:themeColor="text1"/>
        </w:rPr>
      </w:pPr>
    </w:p>
    <w:p w14:paraId="038EC533" w14:textId="172FE423" w:rsidR="007B7F1E" w:rsidRDefault="007B7F1E" w:rsidP="001272C5">
      <w:pPr>
        <w:rPr>
          <w:rFonts w:ascii="Arial" w:hAnsi="Arial" w:cs="Arial"/>
          <w:b/>
          <w:bCs/>
          <w:color w:val="000000" w:themeColor="text1"/>
        </w:rPr>
      </w:pPr>
    </w:p>
    <w:p w14:paraId="234FC572" w14:textId="465658C4" w:rsidR="007B7F1E" w:rsidRDefault="007B7F1E" w:rsidP="001272C5">
      <w:pPr>
        <w:rPr>
          <w:rFonts w:ascii="Arial" w:hAnsi="Arial" w:cs="Arial"/>
          <w:b/>
          <w:bCs/>
          <w:color w:val="000000" w:themeColor="text1"/>
        </w:rPr>
      </w:pPr>
    </w:p>
    <w:p w14:paraId="79983370" w14:textId="5EFA4087" w:rsidR="007B7F1E" w:rsidRDefault="007B7F1E" w:rsidP="001272C5">
      <w:pPr>
        <w:rPr>
          <w:rFonts w:ascii="Arial" w:hAnsi="Arial" w:cs="Arial"/>
          <w:b/>
          <w:bCs/>
          <w:color w:val="000000" w:themeColor="text1"/>
        </w:rPr>
      </w:pPr>
    </w:p>
    <w:p w14:paraId="418A6A29" w14:textId="76178F0B" w:rsidR="007B7F1E" w:rsidRDefault="007B7F1E" w:rsidP="001272C5">
      <w:pPr>
        <w:rPr>
          <w:rFonts w:ascii="Arial" w:hAnsi="Arial" w:cs="Arial"/>
          <w:b/>
          <w:bCs/>
          <w:color w:val="000000" w:themeColor="text1"/>
        </w:rPr>
      </w:pPr>
    </w:p>
    <w:p w14:paraId="00D78546" w14:textId="67206DAC" w:rsidR="007B7F1E" w:rsidRDefault="007B7F1E" w:rsidP="001272C5">
      <w:pPr>
        <w:rPr>
          <w:rFonts w:ascii="Arial" w:hAnsi="Arial" w:cs="Arial"/>
          <w:b/>
          <w:bCs/>
          <w:color w:val="000000" w:themeColor="text1"/>
        </w:rPr>
      </w:pPr>
    </w:p>
    <w:p w14:paraId="621C55DF" w14:textId="74173103" w:rsidR="007B7F1E" w:rsidRDefault="007B7F1E" w:rsidP="001272C5">
      <w:pPr>
        <w:rPr>
          <w:rFonts w:ascii="Arial" w:hAnsi="Arial" w:cs="Arial"/>
          <w:b/>
          <w:bCs/>
          <w:color w:val="000000" w:themeColor="text1"/>
        </w:rPr>
      </w:pPr>
    </w:p>
    <w:p w14:paraId="38C03A99" w14:textId="4194D8D2" w:rsidR="007B7F1E" w:rsidRDefault="007B7F1E" w:rsidP="001272C5">
      <w:pPr>
        <w:rPr>
          <w:rFonts w:ascii="Arial" w:hAnsi="Arial" w:cs="Arial"/>
          <w:b/>
          <w:bCs/>
          <w:color w:val="000000" w:themeColor="text1"/>
        </w:rPr>
      </w:pPr>
    </w:p>
    <w:p w14:paraId="064ED6F2" w14:textId="1998AF8C" w:rsidR="007B7F1E" w:rsidRDefault="007B7F1E" w:rsidP="001272C5">
      <w:pPr>
        <w:rPr>
          <w:rFonts w:ascii="Arial" w:hAnsi="Arial" w:cs="Arial"/>
          <w:b/>
          <w:bCs/>
          <w:color w:val="000000" w:themeColor="text1"/>
        </w:rPr>
      </w:pPr>
    </w:p>
    <w:p w14:paraId="11935917" w14:textId="5CCD88EB" w:rsidR="007B7F1E" w:rsidRDefault="007B7F1E" w:rsidP="001272C5">
      <w:pPr>
        <w:rPr>
          <w:rFonts w:ascii="Arial" w:hAnsi="Arial" w:cs="Arial"/>
          <w:b/>
          <w:bCs/>
          <w:color w:val="000000" w:themeColor="text1"/>
        </w:rPr>
      </w:pPr>
    </w:p>
    <w:p w14:paraId="540A76BD" w14:textId="307A028F" w:rsidR="007B7F1E" w:rsidRDefault="007B7F1E" w:rsidP="001272C5">
      <w:pPr>
        <w:rPr>
          <w:rFonts w:ascii="Arial" w:hAnsi="Arial" w:cs="Arial"/>
          <w:b/>
          <w:bCs/>
          <w:color w:val="000000" w:themeColor="text1"/>
        </w:rPr>
      </w:pPr>
    </w:p>
    <w:p w14:paraId="53C0EFE1" w14:textId="2BBF72F7" w:rsidR="007B7F1E" w:rsidRDefault="007B7F1E" w:rsidP="001272C5">
      <w:pPr>
        <w:rPr>
          <w:rFonts w:ascii="Arial" w:hAnsi="Arial" w:cs="Arial"/>
          <w:b/>
          <w:bCs/>
          <w:color w:val="000000" w:themeColor="text1"/>
        </w:rPr>
      </w:pPr>
    </w:p>
    <w:p w14:paraId="6AAA3A9B" w14:textId="1F973416" w:rsidR="007B7F1E" w:rsidRDefault="007B7F1E" w:rsidP="001272C5">
      <w:pPr>
        <w:rPr>
          <w:rFonts w:ascii="Arial" w:hAnsi="Arial" w:cs="Arial"/>
          <w:b/>
          <w:bCs/>
          <w:color w:val="000000" w:themeColor="text1"/>
        </w:rPr>
      </w:pPr>
    </w:p>
    <w:p w14:paraId="06B5F96D" w14:textId="0E2E7E60" w:rsidR="007B7F1E" w:rsidRDefault="007B7F1E" w:rsidP="001272C5">
      <w:pPr>
        <w:rPr>
          <w:rFonts w:ascii="Arial" w:hAnsi="Arial" w:cs="Arial"/>
          <w:b/>
          <w:bCs/>
          <w:color w:val="000000" w:themeColor="text1"/>
        </w:rPr>
      </w:pPr>
    </w:p>
    <w:p w14:paraId="28B2F00F" w14:textId="73B0385A" w:rsidR="007B7F1E" w:rsidRDefault="007B7F1E" w:rsidP="001272C5">
      <w:pPr>
        <w:rPr>
          <w:rFonts w:ascii="Arial" w:hAnsi="Arial" w:cs="Arial"/>
          <w:b/>
          <w:bCs/>
          <w:color w:val="000000" w:themeColor="text1"/>
        </w:rPr>
      </w:pPr>
    </w:p>
    <w:p w14:paraId="4A6ECAC8" w14:textId="17663EB0" w:rsidR="007B7F1E" w:rsidRDefault="007B7F1E" w:rsidP="001272C5">
      <w:pPr>
        <w:rPr>
          <w:rFonts w:ascii="Arial" w:hAnsi="Arial" w:cs="Arial"/>
          <w:b/>
          <w:bCs/>
          <w:color w:val="000000" w:themeColor="text1"/>
        </w:rPr>
      </w:pPr>
    </w:p>
    <w:p w14:paraId="487FAC38" w14:textId="64FEC8B8" w:rsidR="007B7F1E" w:rsidRDefault="007B7F1E" w:rsidP="001272C5">
      <w:pPr>
        <w:rPr>
          <w:rFonts w:ascii="Arial" w:hAnsi="Arial" w:cs="Arial"/>
          <w:b/>
          <w:bCs/>
          <w:color w:val="000000" w:themeColor="text1"/>
        </w:rPr>
      </w:pPr>
    </w:p>
    <w:p w14:paraId="1D6715A9" w14:textId="16B6AD91" w:rsidR="007B7F1E" w:rsidRDefault="007B7F1E" w:rsidP="001272C5">
      <w:pPr>
        <w:rPr>
          <w:rFonts w:ascii="Arial" w:hAnsi="Arial" w:cs="Arial"/>
          <w:b/>
          <w:bCs/>
          <w:color w:val="000000" w:themeColor="text1"/>
        </w:rPr>
      </w:pPr>
    </w:p>
    <w:p w14:paraId="792D5DDA" w14:textId="5C766DA7" w:rsidR="007B7F1E" w:rsidRDefault="007B7F1E" w:rsidP="001272C5">
      <w:pPr>
        <w:rPr>
          <w:rFonts w:ascii="Arial" w:hAnsi="Arial" w:cs="Arial"/>
          <w:b/>
          <w:bCs/>
          <w:color w:val="000000" w:themeColor="text1"/>
        </w:rPr>
      </w:pPr>
    </w:p>
    <w:p w14:paraId="46598A71" w14:textId="7420E4AB" w:rsidR="007B7F1E" w:rsidRDefault="007B7F1E" w:rsidP="001272C5">
      <w:pPr>
        <w:rPr>
          <w:rFonts w:ascii="Arial" w:hAnsi="Arial" w:cs="Arial"/>
          <w:b/>
          <w:bCs/>
          <w:color w:val="000000" w:themeColor="text1"/>
        </w:rPr>
      </w:pPr>
    </w:p>
    <w:p w14:paraId="2CF1693C" w14:textId="445EF90A" w:rsidR="007B7F1E" w:rsidRDefault="007B7F1E" w:rsidP="001272C5">
      <w:pPr>
        <w:rPr>
          <w:rFonts w:ascii="Arial" w:hAnsi="Arial" w:cs="Arial"/>
          <w:b/>
          <w:bCs/>
          <w:color w:val="000000" w:themeColor="text1"/>
        </w:rPr>
      </w:pPr>
    </w:p>
    <w:p w14:paraId="0A84D119" w14:textId="2456651B" w:rsidR="007B7F1E" w:rsidRDefault="007B7F1E" w:rsidP="001272C5">
      <w:pPr>
        <w:rPr>
          <w:rFonts w:ascii="Arial" w:hAnsi="Arial" w:cs="Arial"/>
          <w:b/>
          <w:bCs/>
          <w:color w:val="000000" w:themeColor="text1"/>
        </w:rPr>
      </w:pPr>
    </w:p>
    <w:p w14:paraId="2171790E" w14:textId="193DC310" w:rsidR="007B7F1E" w:rsidRDefault="007B7F1E" w:rsidP="001272C5">
      <w:pPr>
        <w:rPr>
          <w:rFonts w:ascii="Arial" w:hAnsi="Arial" w:cs="Arial"/>
          <w:b/>
          <w:bCs/>
          <w:color w:val="000000" w:themeColor="text1"/>
        </w:rPr>
      </w:pPr>
    </w:p>
    <w:p w14:paraId="71710065" w14:textId="17291CC1" w:rsidR="007B7F1E" w:rsidRDefault="007B7F1E" w:rsidP="001272C5">
      <w:pPr>
        <w:rPr>
          <w:rFonts w:ascii="Arial" w:hAnsi="Arial" w:cs="Arial"/>
          <w:b/>
          <w:bCs/>
          <w:color w:val="000000" w:themeColor="text1"/>
        </w:rPr>
      </w:pPr>
    </w:p>
    <w:p w14:paraId="1F40C78C" w14:textId="1333F884" w:rsidR="007B7F1E" w:rsidRDefault="007B7F1E" w:rsidP="001272C5">
      <w:pPr>
        <w:rPr>
          <w:rFonts w:ascii="Arial" w:hAnsi="Arial" w:cs="Arial"/>
          <w:b/>
          <w:bCs/>
          <w:color w:val="000000" w:themeColor="text1"/>
        </w:rPr>
      </w:pPr>
    </w:p>
    <w:p w14:paraId="4BD18B56" w14:textId="40DB429A" w:rsidR="007B7F1E" w:rsidRDefault="007B7F1E" w:rsidP="001272C5">
      <w:pPr>
        <w:rPr>
          <w:rFonts w:ascii="Arial" w:hAnsi="Arial" w:cs="Arial"/>
          <w:b/>
          <w:bCs/>
          <w:color w:val="000000" w:themeColor="text1"/>
        </w:rPr>
      </w:pPr>
    </w:p>
    <w:p w14:paraId="3696D80D" w14:textId="53EB36D9" w:rsidR="007B7F1E" w:rsidRDefault="007B7F1E" w:rsidP="001272C5">
      <w:pPr>
        <w:rPr>
          <w:rFonts w:ascii="Arial" w:hAnsi="Arial" w:cs="Arial"/>
          <w:b/>
          <w:bCs/>
          <w:color w:val="000000" w:themeColor="text1"/>
        </w:rPr>
      </w:pPr>
    </w:p>
    <w:p w14:paraId="01A411A8" w14:textId="0E45FFF3" w:rsidR="007B7F1E" w:rsidRDefault="007B7F1E" w:rsidP="001272C5">
      <w:pPr>
        <w:rPr>
          <w:rFonts w:ascii="Arial" w:hAnsi="Arial" w:cs="Arial"/>
          <w:b/>
          <w:bCs/>
          <w:color w:val="000000" w:themeColor="text1"/>
        </w:rPr>
      </w:pPr>
    </w:p>
    <w:p w14:paraId="2E78BD4F" w14:textId="69034F3C" w:rsidR="007B7F1E" w:rsidRDefault="007B7F1E" w:rsidP="001272C5">
      <w:pPr>
        <w:rPr>
          <w:rFonts w:ascii="Arial" w:hAnsi="Arial" w:cs="Arial"/>
          <w:b/>
          <w:bCs/>
          <w:color w:val="000000" w:themeColor="text1"/>
        </w:rPr>
      </w:pPr>
    </w:p>
    <w:p w14:paraId="3F039696" w14:textId="07B4DC4D" w:rsidR="007B7F1E" w:rsidRDefault="007B7F1E" w:rsidP="001272C5">
      <w:pPr>
        <w:rPr>
          <w:rFonts w:ascii="Arial" w:hAnsi="Arial" w:cs="Arial"/>
          <w:b/>
          <w:bCs/>
          <w:color w:val="000000" w:themeColor="text1"/>
        </w:rPr>
      </w:pPr>
    </w:p>
    <w:p w14:paraId="6378B63C" w14:textId="77777777" w:rsidR="008310FB" w:rsidRPr="00EA236B" w:rsidRDefault="008310FB" w:rsidP="001272C5">
      <w:pPr>
        <w:rPr>
          <w:b/>
          <w:bCs/>
          <w:color w:val="000000" w:themeColor="text1"/>
        </w:rPr>
      </w:pPr>
    </w:p>
    <w:p w14:paraId="3BAA9F21" w14:textId="28F419D4" w:rsidR="001272C5" w:rsidRPr="00EA236B" w:rsidRDefault="00000000" w:rsidP="00EA236B">
      <w:pPr>
        <w:jc w:val="center"/>
        <w:rPr>
          <w:rFonts w:ascii="Arial" w:hAnsi="Arial" w:cs="Arial"/>
          <w:b/>
          <w:bCs/>
          <w:color w:val="000000" w:themeColor="text1"/>
        </w:rPr>
      </w:pPr>
      <w:r w:rsidRPr="00EA236B">
        <w:rPr>
          <w:rFonts w:ascii="Arial" w:hAnsi="Arial" w:cs="Arial"/>
          <w:b/>
          <w:bCs/>
          <w:color w:val="000000" w:themeColor="text1"/>
        </w:rPr>
        <w:lastRenderedPageBreak/>
        <w:t>Executive Summary</w:t>
      </w:r>
    </w:p>
    <w:p w14:paraId="378FA16C" w14:textId="77777777" w:rsidR="008310FB" w:rsidRPr="00EA236B" w:rsidRDefault="008310FB" w:rsidP="001272C5">
      <w:pPr>
        <w:rPr>
          <w:rFonts w:ascii="Arial" w:hAnsi="Arial" w:cs="Arial"/>
          <w:b/>
          <w:bCs/>
          <w:color w:val="000000" w:themeColor="text1"/>
        </w:rPr>
      </w:pPr>
    </w:p>
    <w:p w14:paraId="39AB7084" w14:textId="77777777" w:rsidR="008310FB" w:rsidRPr="00EA236B" w:rsidRDefault="008310FB" w:rsidP="008310FB">
      <w:pPr>
        <w:spacing w:line="360" w:lineRule="auto"/>
        <w:jc w:val="both"/>
        <w:rPr>
          <w:rFonts w:ascii="Arial" w:hAnsi="Arial" w:cs="Arial"/>
          <w:color w:val="000000" w:themeColor="text1"/>
        </w:rPr>
      </w:pPr>
      <w:r w:rsidRPr="00EA236B">
        <w:rPr>
          <w:rFonts w:ascii="Arial" w:hAnsi="Arial" w:cs="Arial"/>
          <w:color w:val="000000" w:themeColor="text1"/>
        </w:rPr>
        <w:t>This report consists of three free-standing chapters delving into the current state and future of work. Firstly, the report provides a critical analysis of management practices, evaluating the perspectives of three theorists and their contributions to contemporary management. Secondly, a critical comparison using two case study organisations was conducted to evaluate the effectiveness between India and Thailand concerning medical tourism. Lastly, the final chapter explored the hybrid working environment as an area of interest, with a conceptual framework developed.</w:t>
      </w:r>
    </w:p>
    <w:p w14:paraId="010837F2" w14:textId="77777777" w:rsidR="008310FB" w:rsidRPr="00EA236B" w:rsidRDefault="008310FB" w:rsidP="008310FB">
      <w:pPr>
        <w:rPr>
          <w:rFonts w:ascii="Arial" w:hAnsi="Arial" w:cs="Arial"/>
          <w:color w:val="000000" w:themeColor="text1"/>
        </w:rPr>
      </w:pPr>
    </w:p>
    <w:p w14:paraId="3356F709" w14:textId="77777777" w:rsidR="008310FB" w:rsidRPr="00EA236B" w:rsidRDefault="008310FB" w:rsidP="008310FB">
      <w:pPr>
        <w:spacing w:line="360" w:lineRule="auto"/>
        <w:jc w:val="both"/>
        <w:rPr>
          <w:rFonts w:ascii="Arial" w:hAnsi="Arial" w:cs="Arial"/>
          <w:color w:val="000000" w:themeColor="text1"/>
        </w:rPr>
      </w:pPr>
      <w:r w:rsidRPr="00EA236B">
        <w:rPr>
          <w:rFonts w:ascii="Arial" w:hAnsi="Arial" w:cs="Arial"/>
          <w:color w:val="000000" w:themeColor="text1"/>
        </w:rPr>
        <w:t>Methods of analysis include trends in contemporary management practices, flexible working conditions and the impact of telehealth to improve patient flow and staff satisfaction. The results of the theorists, case studies, and hybrid working phenomenon analysed revealed that organisations must consider the future of work to improve performance and achieve competitive advantage. Notably, younger groups such as millennials must be taken seriously, positively impacting corporations. These groups join being more educated and technology savvy, poised for leadership positions, often surpassing more mature individuals.</w:t>
      </w:r>
    </w:p>
    <w:p w14:paraId="2A4FEFFC" w14:textId="77777777" w:rsidR="008310FB" w:rsidRPr="00EA236B" w:rsidRDefault="008310FB" w:rsidP="008310FB">
      <w:pPr>
        <w:spacing w:line="360" w:lineRule="auto"/>
        <w:jc w:val="both"/>
        <w:rPr>
          <w:rFonts w:ascii="Arial" w:hAnsi="Arial" w:cs="Arial"/>
          <w:color w:val="000000" w:themeColor="text1"/>
        </w:rPr>
      </w:pPr>
    </w:p>
    <w:p w14:paraId="57B6621C" w14:textId="77777777" w:rsidR="008310FB" w:rsidRPr="00EA236B" w:rsidRDefault="008310FB" w:rsidP="008310FB">
      <w:pPr>
        <w:spacing w:line="360" w:lineRule="auto"/>
        <w:jc w:val="both"/>
        <w:rPr>
          <w:rFonts w:ascii="Arial" w:hAnsi="Arial" w:cs="Arial"/>
          <w:color w:val="000000" w:themeColor="text1"/>
        </w:rPr>
      </w:pPr>
      <w:r w:rsidRPr="00EA236B">
        <w:rPr>
          <w:rFonts w:ascii="Arial" w:hAnsi="Arial" w:cs="Arial"/>
          <w:color w:val="000000" w:themeColor="text1"/>
        </w:rPr>
        <w:t>The report finds that the future of work has developed exponentially since the Fourth Industrial Revolution positively. Notably, there are similarities in the working terminologies discovered. Nevertheless, the terminologies used are topical and relevant to contemporary management practices.</w:t>
      </w:r>
    </w:p>
    <w:p w14:paraId="0ADEC047" w14:textId="77777777" w:rsidR="008310FB" w:rsidRPr="00EA236B" w:rsidRDefault="008310FB" w:rsidP="008310FB">
      <w:pPr>
        <w:spacing w:line="360" w:lineRule="auto"/>
        <w:jc w:val="both"/>
        <w:rPr>
          <w:rFonts w:ascii="Arial" w:hAnsi="Arial" w:cs="Arial"/>
          <w:color w:val="000000" w:themeColor="text1"/>
        </w:rPr>
      </w:pPr>
    </w:p>
    <w:p w14:paraId="1E831566" w14:textId="6DFBAE7B" w:rsidR="008310FB" w:rsidRDefault="008310FB" w:rsidP="008310FB">
      <w:pPr>
        <w:spacing w:line="360" w:lineRule="auto"/>
        <w:jc w:val="both"/>
        <w:rPr>
          <w:rFonts w:ascii="Arial" w:hAnsi="Arial" w:cs="Arial"/>
          <w:color w:val="000000" w:themeColor="text1"/>
        </w:rPr>
      </w:pPr>
      <w:r w:rsidRPr="00EA236B">
        <w:rPr>
          <w:rFonts w:ascii="Arial" w:hAnsi="Arial" w:cs="Arial"/>
          <w:color w:val="000000" w:themeColor="text1"/>
        </w:rPr>
        <w:t>The analysis has limitations surrounding contemporary management practices' demographics due to culture and organisational culture. Recommendations include considering the individual management style and suitability for specific tasks to improve performance and effectiveness.</w:t>
      </w:r>
    </w:p>
    <w:p w14:paraId="6B6198D2" w14:textId="1A309F1C" w:rsidR="00FD4BA3" w:rsidRDefault="00FD4BA3" w:rsidP="008310FB">
      <w:pPr>
        <w:spacing w:line="360" w:lineRule="auto"/>
        <w:jc w:val="both"/>
        <w:rPr>
          <w:rFonts w:ascii="Arial" w:hAnsi="Arial" w:cs="Arial"/>
          <w:color w:val="000000" w:themeColor="text1"/>
        </w:rPr>
      </w:pPr>
    </w:p>
    <w:p w14:paraId="5654C186" w14:textId="0C910F0B" w:rsidR="00FD4BA3" w:rsidRDefault="00FD4BA3" w:rsidP="008310FB">
      <w:pPr>
        <w:spacing w:line="360" w:lineRule="auto"/>
        <w:jc w:val="both"/>
        <w:rPr>
          <w:rFonts w:ascii="Arial" w:hAnsi="Arial" w:cs="Arial"/>
          <w:color w:val="000000" w:themeColor="text1"/>
        </w:rPr>
      </w:pPr>
    </w:p>
    <w:p w14:paraId="33FAD8E9" w14:textId="39603A29" w:rsidR="00FD4BA3" w:rsidRDefault="00FD4BA3" w:rsidP="008310FB">
      <w:pPr>
        <w:spacing w:line="360" w:lineRule="auto"/>
        <w:jc w:val="both"/>
        <w:rPr>
          <w:rFonts w:ascii="Arial" w:hAnsi="Arial" w:cs="Arial"/>
          <w:color w:val="000000" w:themeColor="text1"/>
        </w:rPr>
      </w:pPr>
    </w:p>
    <w:p w14:paraId="3BA416BA" w14:textId="2108C3A0" w:rsidR="00FD4BA3" w:rsidRDefault="00FD4BA3" w:rsidP="008310FB">
      <w:pPr>
        <w:spacing w:line="360" w:lineRule="auto"/>
        <w:jc w:val="both"/>
        <w:rPr>
          <w:rFonts w:ascii="Arial" w:hAnsi="Arial" w:cs="Arial"/>
          <w:color w:val="000000" w:themeColor="text1"/>
        </w:rPr>
      </w:pPr>
    </w:p>
    <w:p w14:paraId="684593BC" w14:textId="50417F7E" w:rsidR="00FD4BA3" w:rsidRDefault="00FD4BA3" w:rsidP="008310FB">
      <w:pPr>
        <w:spacing w:line="360" w:lineRule="auto"/>
        <w:jc w:val="both"/>
        <w:rPr>
          <w:rFonts w:ascii="Arial" w:hAnsi="Arial" w:cs="Arial"/>
          <w:color w:val="000000" w:themeColor="text1"/>
        </w:rPr>
      </w:pPr>
    </w:p>
    <w:p w14:paraId="7BC4E9B3" w14:textId="4C466B91" w:rsidR="00FD4BA3" w:rsidRDefault="00FD4BA3" w:rsidP="008310FB">
      <w:pPr>
        <w:spacing w:line="360" w:lineRule="auto"/>
        <w:jc w:val="both"/>
        <w:rPr>
          <w:rFonts w:ascii="Arial" w:hAnsi="Arial" w:cs="Arial"/>
          <w:color w:val="000000" w:themeColor="text1"/>
        </w:rPr>
      </w:pPr>
    </w:p>
    <w:p w14:paraId="4499771D" w14:textId="4E7B5A6B" w:rsidR="00FD4BA3" w:rsidRDefault="00FD4BA3" w:rsidP="008310FB">
      <w:pPr>
        <w:spacing w:line="360" w:lineRule="auto"/>
        <w:jc w:val="both"/>
        <w:rPr>
          <w:rFonts w:ascii="Arial" w:hAnsi="Arial" w:cs="Arial"/>
          <w:color w:val="000000" w:themeColor="text1"/>
        </w:rPr>
      </w:pPr>
    </w:p>
    <w:p w14:paraId="6D488E44" w14:textId="1386A6EA" w:rsidR="00FD4BA3" w:rsidRDefault="00FD4BA3" w:rsidP="008310FB">
      <w:pPr>
        <w:spacing w:line="360" w:lineRule="auto"/>
        <w:jc w:val="both"/>
        <w:rPr>
          <w:rFonts w:ascii="Arial" w:hAnsi="Arial" w:cs="Arial"/>
          <w:color w:val="000000" w:themeColor="text1"/>
        </w:rPr>
      </w:pPr>
    </w:p>
    <w:p w14:paraId="2FBE1B2D" w14:textId="2B2561B8" w:rsidR="00FD4BA3" w:rsidRDefault="00FD4BA3" w:rsidP="008310FB">
      <w:pPr>
        <w:spacing w:line="360" w:lineRule="auto"/>
        <w:jc w:val="both"/>
        <w:rPr>
          <w:rFonts w:ascii="Arial" w:hAnsi="Arial" w:cs="Arial"/>
          <w:color w:val="000000" w:themeColor="text1"/>
        </w:rPr>
      </w:pPr>
    </w:p>
    <w:p w14:paraId="5422978D" w14:textId="4E1CCF8B" w:rsidR="00FD4BA3" w:rsidRDefault="00FD4BA3" w:rsidP="008310FB">
      <w:pPr>
        <w:spacing w:line="360" w:lineRule="auto"/>
        <w:jc w:val="both"/>
        <w:rPr>
          <w:rFonts w:ascii="Arial" w:hAnsi="Arial" w:cs="Arial"/>
          <w:color w:val="000000" w:themeColor="text1"/>
        </w:rPr>
      </w:pPr>
    </w:p>
    <w:p w14:paraId="4252E0BC" w14:textId="77777777" w:rsidR="00FD4BA3" w:rsidRPr="00EA236B" w:rsidRDefault="00FD4BA3" w:rsidP="008310FB">
      <w:pPr>
        <w:spacing w:line="360" w:lineRule="auto"/>
        <w:jc w:val="both"/>
        <w:rPr>
          <w:rFonts w:ascii="Arial" w:hAnsi="Arial" w:cs="Arial"/>
          <w:color w:val="000000" w:themeColor="text1"/>
        </w:rPr>
      </w:pPr>
    </w:p>
    <w:p w14:paraId="0D2CB1B9" w14:textId="77777777" w:rsidR="008310FB" w:rsidRPr="00EA236B" w:rsidRDefault="008310FB" w:rsidP="008310FB">
      <w:pPr>
        <w:spacing w:line="360" w:lineRule="auto"/>
        <w:jc w:val="both"/>
        <w:rPr>
          <w:b/>
          <w:bCs/>
          <w:color w:val="000000" w:themeColor="text1"/>
          <w:u w:val="single"/>
        </w:rPr>
      </w:pPr>
    </w:p>
    <w:p w14:paraId="7AB2ECEF" w14:textId="77777777" w:rsidR="00B02513" w:rsidRDefault="00B02513" w:rsidP="00B02513">
      <w:pPr>
        <w:rPr>
          <w:rFonts w:ascii="Arial" w:hAnsi="Arial" w:cs="Arial"/>
          <w:b/>
          <w:bCs/>
          <w:color w:val="000000" w:themeColor="text1"/>
        </w:rPr>
        <w:sectPr w:rsidR="00B02513" w:rsidSect="00B02513">
          <w:footerReference w:type="even" r:id="rId9"/>
          <w:footerReference w:type="default" r:id="rId10"/>
          <w:footerReference w:type="first" r:id="rId11"/>
          <w:pgSz w:w="11900" w:h="16840"/>
          <w:pgMar w:top="720" w:right="720" w:bottom="720" w:left="720" w:header="708" w:footer="708" w:gutter="0"/>
          <w:pgNumType w:fmt="upperRoman" w:start="0"/>
          <w:cols w:space="708"/>
          <w:titlePg/>
          <w:docGrid w:linePitch="360"/>
        </w:sectPr>
      </w:pPr>
    </w:p>
    <w:p w14:paraId="08107651" w14:textId="776C4AB9" w:rsidR="001272C5" w:rsidRPr="005A084B" w:rsidRDefault="00000000" w:rsidP="005A084B">
      <w:pPr>
        <w:pStyle w:val="Heading1"/>
        <w:jc w:val="center"/>
        <w:rPr>
          <w:rFonts w:ascii="Arial" w:hAnsi="Arial" w:cs="Arial"/>
          <w:b/>
          <w:bCs/>
          <w:color w:val="000000" w:themeColor="text1"/>
          <w:sz w:val="24"/>
          <w:szCs w:val="24"/>
        </w:rPr>
      </w:pPr>
      <w:bookmarkStart w:id="0" w:name="_Toc126667546"/>
      <w:r w:rsidRPr="005A084B">
        <w:rPr>
          <w:rFonts w:ascii="Arial" w:hAnsi="Arial" w:cs="Arial"/>
          <w:b/>
          <w:bCs/>
          <w:color w:val="000000" w:themeColor="text1"/>
          <w:sz w:val="24"/>
          <w:szCs w:val="24"/>
        </w:rPr>
        <w:lastRenderedPageBreak/>
        <w:t>Chapter 1</w:t>
      </w:r>
      <w:r w:rsidR="00D64126" w:rsidRPr="005A084B">
        <w:rPr>
          <w:rFonts w:ascii="Arial" w:hAnsi="Arial" w:cs="Arial"/>
          <w:b/>
          <w:bCs/>
          <w:color w:val="000000" w:themeColor="text1"/>
          <w:sz w:val="24"/>
          <w:szCs w:val="24"/>
        </w:rPr>
        <w:t>.0 Theorist</w:t>
      </w:r>
      <w:r w:rsidR="005A084B" w:rsidRPr="005A084B">
        <w:rPr>
          <w:rFonts w:ascii="Arial" w:hAnsi="Arial" w:cs="Arial"/>
          <w:b/>
          <w:bCs/>
          <w:color w:val="000000" w:themeColor="text1"/>
          <w:sz w:val="24"/>
          <w:szCs w:val="24"/>
        </w:rPr>
        <w:t>s</w:t>
      </w:r>
      <w:r w:rsidR="00D64126" w:rsidRPr="005A084B">
        <w:rPr>
          <w:rFonts w:ascii="Arial" w:hAnsi="Arial" w:cs="Arial"/>
          <w:b/>
          <w:bCs/>
          <w:color w:val="000000" w:themeColor="text1"/>
          <w:sz w:val="24"/>
          <w:szCs w:val="24"/>
        </w:rPr>
        <w:t xml:space="preserve"> Varying Perspective</w:t>
      </w:r>
      <w:r w:rsidR="00D621B3" w:rsidRPr="005A084B">
        <w:rPr>
          <w:rFonts w:ascii="Arial" w:hAnsi="Arial" w:cs="Arial"/>
          <w:b/>
          <w:bCs/>
          <w:color w:val="000000" w:themeColor="text1"/>
          <w:sz w:val="24"/>
          <w:szCs w:val="24"/>
        </w:rPr>
        <w:t>s</w:t>
      </w:r>
      <w:bookmarkEnd w:id="0"/>
    </w:p>
    <w:p w14:paraId="7A97C469" w14:textId="77777777" w:rsidR="00370375" w:rsidRPr="00EA236B" w:rsidRDefault="00370375" w:rsidP="00370375">
      <w:pPr>
        <w:spacing w:after="100" w:afterAutospacing="1"/>
        <w:rPr>
          <w:rFonts w:ascii="Arial" w:hAnsi="Arial" w:cs="Arial"/>
          <w:b/>
          <w:bCs/>
          <w:color w:val="000000" w:themeColor="text1"/>
          <w:shd w:val="clear" w:color="auto" w:fill="FFFFFF"/>
        </w:rPr>
      </w:pPr>
    </w:p>
    <w:p w14:paraId="4A0EB891" w14:textId="7AC2E918" w:rsidR="00335033" w:rsidRPr="00335033" w:rsidRDefault="00000000" w:rsidP="00335033">
      <w:pPr>
        <w:pStyle w:val="Heading2"/>
        <w:numPr>
          <w:ilvl w:val="1"/>
          <w:numId w:val="4"/>
        </w:numPr>
        <w:rPr>
          <w:rFonts w:ascii="Arial" w:hAnsi="Arial" w:cs="Arial"/>
          <w:b/>
          <w:bCs/>
          <w:color w:val="000000" w:themeColor="text1"/>
          <w:sz w:val="24"/>
          <w:szCs w:val="24"/>
          <w:shd w:val="clear" w:color="auto" w:fill="FFFFFF"/>
        </w:rPr>
      </w:pPr>
      <w:bookmarkStart w:id="1" w:name="_Toc126667547"/>
      <w:r w:rsidRPr="005A084B">
        <w:rPr>
          <w:rFonts w:ascii="Arial" w:hAnsi="Arial" w:cs="Arial"/>
          <w:b/>
          <w:bCs/>
          <w:color w:val="000000" w:themeColor="text1"/>
          <w:sz w:val="24"/>
          <w:szCs w:val="24"/>
          <w:shd w:val="clear" w:color="auto" w:fill="FFFFFF"/>
        </w:rPr>
        <w:t>Introduction</w:t>
      </w:r>
      <w:bookmarkEnd w:id="1"/>
    </w:p>
    <w:p w14:paraId="71115C5F" w14:textId="77777777" w:rsidR="005A084B" w:rsidRPr="005A084B" w:rsidRDefault="005A084B" w:rsidP="005A084B"/>
    <w:p w14:paraId="3DC8C0B0" w14:textId="28CDD595" w:rsidR="00370375" w:rsidRPr="00EA236B" w:rsidRDefault="00000000" w:rsidP="00370375">
      <w:pPr>
        <w:spacing w:after="100" w:afterAutospacing="1"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This chapter will critically analyse </w:t>
      </w:r>
      <w:r w:rsidR="00E03ED2" w:rsidRPr="00EA236B">
        <w:rPr>
          <w:rFonts w:ascii="Arial" w:hAnsi="Arial" w:cs="Arial"/>
          <w:color w:val="000000" w:themeColor="text1"/>
          <w:shd w:val="clear" w:color="auto" w:fill="FFFFFF"/>
        </w:rPr>
        <w:t xml:space="preserve">the relative influence of </w:t>
      </w:r>
      <w:r w:rsidRPr="00EA236B">
        <w:rPr>
          <w:rFonts w:ascii="Arial" w:hAnsi="Arial" w:cs="Arial"/>
          <w:color w:val="000000" w:themeColor="text1"/>
          <w:shd w:val="clear" w:color="auto" w:fill="FFFFFF"/>
        </w:rPr>
        <w:t xml:space="preserve">the three theorists and their varying perspectives concerning contemporary management practices. Contemporary management is a current method of managing an organisation </w:t>
      </w:r>
      <w:r w:rsidR="007169EF" w:rsidRPr="00EA236B">
        <w:rPr>
          <w:rFonts w:ascii="Arial" w:hAnsi="Arial" w:cs="Arial"/>
          <w:color w:val="000000" w:themeColor="text1"/>
          <w:shd w:val="clear" w:color="auto" w:fill="FFFFFF"/>
        </w:rPr>
        <w:t>(Naranjo-Gil et al., 2016)</w:t>
      </w:r>
      <w:r w:rsidRPr="00EA236B">
        <w:rPr>
          <w:rFonts w:ascii="Arial" w:hAnsi="Arial" w:cs="Arial"/>
          <w:color w:val="000000" w:themeColor="text1"/>
          <w:shd w:val="clear" w:color="auto" w:fill="FFFFFF"/>
        </w:rPr>
        <w:t>. The practice of contemporary management expounds associating the stakeholders’</w:t>
      </w:r>
      <w:r w:rsidRPr="00EA236B">
        <w:rPr>
          <w:rStyle w:val="FootnoteReference"/>
          <w:rFonts w:ascii="Arial" w:hAnsi="Arial" w:cs="Arial"/>
          <w:color w:val="000000" w:themeColor="text1"/>
          <w:shd w:val="clear" w:color="auto" w:fill="FFFFFF"/>
        </w:rPr>
        <w:footnoteReference w:customMarkFollows="1" w:id="1"/>
        <w:t>1</w:t>
      </w:r>
      <w:r w:rsidR="00CA1971" w:rsidRPr="00EA236B">
        <w:rPr>
          <w:rFonts w:ascii="Arial" w:hAnsi="Arial" w:cs="Arial"/>
          <w:color w:val="000000" w:themeColor="text1"/>
          <w:shd w:val="clear" w:color="auto" w:fill="FFFFFF"/>
        </w:rPr>
        <w:t xml:space="preserve"> </w:t>
      </w:r>
      <w:r w:rsidRPr="00EA236B">
        <w:rPr>
          <w:rFonts w:ascii="Arial" w:hAnsi="Arial" w:cs="Arial"/>
          <w:color w:val="000000" w:themeColor="text1"/>
          <w:shd w:val="clear" w:color="auto" w:fill="FFFFFF"/>
        </w:rPr>
        <w:t xml:space="preserve">interest </w:t>
      </w:r>
      <w:r w:rsidR="003B5323" w:rsidRPr="00EA236B">
        <w:rPr>
          <w:rFonts w:ascii="Arial" w:hAnsi="Arial" w:cs="Arial"/>
          <w:color w:val="000000" w:themeColor="text1"/>
          <w:shd w:val="clear" w:color="auto" w:fill="FFFFFF"/>
        </w:rPr>
        <w:t xml:space="preserve">which </w:t>
      </w:r>
      <w:r w:rsidRPr="00EA236B">
        <w:rPr>
          <w:rFonts w:ascii="Arial" w:hAnsi="Arial" w:cs="Arial"/>
          <w:color w:val="000000" w:themeColor="text1"/>
          <w:shd w:val="clear" w:color="auto" w:fill="FFFFFF"/>
        </w:rPr>
        <w:t xml:space="preserve">varies from employees and customers to traditional investors </w:t>
      </w:r>
      <w:r w:rsidR="001A33A2" w:rsidRPr="00EA236B">
        <w:rPr>
          <w:rFonts w:ascii="Arial" w:hAnsi="Arial" w:cs="Arial"/>
          <w:color w:val="000000" w:themeColor="text1"/>
          <w:shd w:val="clear" w:color="auto" w:fill="FFFFFF"/>
        </w:rPr>
        <w:t>(Olkiewicz et al., 2020)</w:t>
      </w:r>
      <w:r w:rsidRPr="00EA236B">
        <w:rPr>
          <w:rFonts w:ascii="Arial" w:hAnsi="Arial" w:cs="Arial"/>
          <w:color w:val="000000" w:themeColor="text1"/>
          <w:shd w:val="clear" w:color="auto" w:fill="FFFFFF"/>
        </w:rPr>
        <w:t xml:space="preserve">. </w:t>
      </w:r>
    </w:p>
    <w:p w14:paraId="5994F5F4" w14:textId="77777777" w:rsidR="00370375" w:rsidRPr="00EA236B" w:rsidRDefault="00000000" w:rsidP="00370375">
      <w:pPr>
        <w:spacing w:after="100" w:afterAutospacing="1" w:line="360" w:lineRule="auto"/>
        <w:jc w:val="both"/>
        <w:rPr>
          <w:rFonts w:ascii="Arial" w:eastAsia="Times New Roman" w:hAnsi="Arial" w:cs="Arial"/>
          <w:color w:val="000000" w:themeColor="text1"/>
          <w:lang w:eastAsia="en-GB"/>
        </w:rPr>
      </w:pPr>
      <w:r w:rsidRPr="00EA236B">
        <w:rPr>
          <w:rFonts w:ascii="Arial" w:hAnsi="Arial" w:cs="Arial"/>
          <w:color w:val="000000" w:themeColor="text1"/>
          <w:shd w:val="clear" w:color="auto" w:fill="FFFFFF"/>
        </w:rPr>
        <w:t>Historically, traditional management practices have been advancing over the decades, giving rise to various perspectives from scholars in the field. Notably, the evolution of the Fourth Industrial Revolution has emerged new technological innovations and a change in mindset, seemingly required to manage a 21</w:t>
      </w:r>
      <w:r w:rsidRPr="00EA236B">
        <w:rPr>
          <w:rFonts w:ascii="Arial" w:hAnsi="Arial" w:cs="Arial"/>
          <w:color w:val="000000" w:themeColor="text1"/>
          <w:shd w:val="clear" w:color="auto" w:fill="FFFFFF"/>
          <w:vertAlign w:val="superscript"/>
        </w:rPr>
        <w:t>st</w:t>
      </w:r>
      <w:r w:rsidRPr="00EA236B">
        <w:rPr>
          <w:rFonts w:ascii="Arial" w:hAnsi="Arial" w:cs="Arial"/>
          <w:color w:val="000000" w:themeColor="text1"/>
          <w:shd w:val="clear" w:color="auto" w:fill="FFFFFF"/>
        </w:rPr>
        <w:t xml:space="preserve">-century organisation </w:t>
      </w:r>
      <w:r w:rsidR="001A33A2" w:rsidRPr="00EA236B">
        <w:rPr>
          <w:rFonts w:ascii="Arial" w:hAnsi="Arial" w:cs="Arial"/>
          <w:color w:val="000000" w:themeColor="text1"/>
          <w:shd w:val="clear" w:color="auto" w:fill="FFFFFF"/>
        </w:rPr>
        <w:t>(Johannessen, 2020</w:t>
      </w:r>
      <w:r w:rsidR="00D87F37" w:rsidRPr="00EA236B">
        <w:rPr>
          <w:rFonts w:ascii="Arial" w:hAnsi="Arial" w:cs="Arial"/>
          <w:color w:val="000000" w:themeColor="text1"/>
          <w:shd w:val="clear" w:color="auto" w:fill="FFFFFF"/>
        </w:rPr>
        <w:t>; Mears, 2020).</w:t>
      </w:r>
      <w:r w:rsidRPr="00EA236B">
        <w:rPr>
          <w:rFonts w:ascii="Arial" w:hAnsi="Arial" w:cs="Arial"/>
          <w:color w:val="000000" w:themeColor="text1"/>
          <w:shd w:val="clear" w:color="auto" w:fill="FFFFFF"/>
        </w:rPr>
        <w:t xml:space="preserve"> However, with strong-growing corporations battling for economic power and more significant market share, the evolution in modern management approaches has been well </w:t>
      </w:r>
      <w:r w:rsidR="004F62F4" w:rsidRPr="00EA236B">
        <w:rPr>
          <w:rFonts w:ascii="Arial" w:hAnsi="Arial" w:cs="Arial"/>
          <w:color w:val="000000" w:themeColor="text1"/>
          <w:shd w:val="clear" w:color="auto" w:fill="FFFFFF"/>
        </w:rPr>
        <w:t xml:space="preserve">received and is </w:t>
      </w:r>
      <w:r w:rsidRPr="00EA236B">
        <w:rPr>
          <w:rFonts w:ascii="Arial" w:hAnsi="Arial" w:cs="Arial"/>
          <w:color w:val="000000" w:themeColor="text1"/>
          <w:shd w:val="clear" w:color="auto" w:fill="FFFFFF"/>
        </w:rPr>
        <w:t xml:space="preserve">becoming customary </w:t>
      </w:r>
      <w:r w:rsidR="00C94669" w:rsidRPr="00EA236B">
        <w:rPr>
          <w:rFonts w:ascii="Arial" w:hAnsi="Arial" w:cs="Arial"/>
          <w:color w:val="000000" w:themeColor="text1"/>
          <w:shd w:val="clear" w:color="auto" w:fill="FFFFFF"/>
        </w:rPr>
        <w:t>(Valero, 2021).</w:t>
      </w:r>
      <w:r w:rsidRPr="00EA236B">
        <w:rPr>
          <w:rFonts w:ascii="Arial" w:hAnsi="Arial" w:cs="Arial"/>
          <w:color w:val="000000" w:themeColor="text1"/>
          <w:shd w:val="clear" w:color="auto" w:fill="FFFFFF"/>
        </w:rPr>
        <w:t xml:space="preserve"> On the other hand, it can be argued that contemporary management has become fixated on different strategies relatively more than ethics, at times bring</w:t>
      </w:r>
      <w:r w:rsidR="004F62F4" w:rsidRPr="00EA236B">
        <w:rPr>
          <w:rFonts w:ascii="Arial" w:hAnsi="Arial" w:cs="Arial"/>
          <w:color w:val="000000" w:themeColor="text1"/>
          <w:shd w:val="clear" w:color="auto" w:fill="FFFFFF"/>
        </w:rPr>
        <w:t>ing</w:t>
      </w:r>
      <w:r w:rsidRPr="00EA236B">
        <w:rPr>
          <w:rFonts w:ascii="Arial" w:hAnsi="Arial" w:cs="Arial"/>
          <w:color w:val="000000" w:themeColor="text1"/>
          <w:shd w:val="clear" w:color="auto" w:fill="FFFFFF"/>
        </w:rPr>
        <w:t xml:space="preserve"> into disrepute the organisational culture (</w:t>
      </w:r>
      <w:r w:rsidRPr="00EA236B">
        <w:rPr>
          <w:rFonts w:ascii="Arial" w:eastAsia="Times New Roman" w:hAnsi="Arial" w:cs="Arial"/>
          <w:color w:val="000000" w:themeColor="text1"/>
          <w:lang w:eastAsia="en-GB"/>
        </w:rPr>
        <w:t>Ghasabeh</w:t>
      </w:r>
      <w:r w:rsidR="00AE7C53" w:rsidRPr="00EA236B">
        <w:rPr>
          <w:rFonts w:ascii="Arial" w:eastAsia="Times New Roman" w:hAnsi="Arial" w:cs="Arial"/>
          <w:color w:val="000000" w:themeColor="text1"/>
          <w:lang w:eastAsia="en-GB"/>
        </w:rPr>
        <w:t xml:space="preserve"> et al.</w:t>
      </w:r>
      <w:r w:rsidRPr="00EA236B">
        <w:rPr>
          <w:rFonts w:ascii="Arial" w:eastAsia="Times New Roman" w:hAnsi="Arial" w:cs="Arial"/>
          <w:color w:val="000000" w:themeColor="text1"/>
          <w:lang w:eastAsia="en-GB"/>
        </w:rPr>
        <w:t>, 2015). Hence, Corporate Social Responsibility (CSR) and sustainability issues have become topical in today's contemporary management practices.</w:t>
      </w:r>
    </w:p>
    <w:p w14:paraId="083CA83F" w14:textId="1A0F1B82" w:rsidR="00335033" w:rsidRPr="00EA236B" w:rsidRDefault="00000000" w:rsidP="00370375">
      <w:pPr>
        <w:spacing w:after="100" w:afterAutospacing="1"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Several practices have been coined by the three theorists in this chapter, leading to influences that trigger several phenomena concerning contemporary management practices. An overview of each theorist's work, writing, and legacy will be critically analysed based on the impact on leadership, and management approaches driving future developments and practices. The chapter will conclude with an evaluation and rationale of the stance taken in defending the perspective chosen to take forward in the final thesis. Arguably, </w:t>
      </w:r>
      <w:r w:rsidR="004F62F4" w:rsidRPr="00EA236B">
        <w:rPr>
          <w:rFonts w:ascii="Arial" w:hAnsi="Arial" w:cs="Arial"/>
          <w:color w:val="000000" w:themeColor="text1"/>
          <w:shd w:val="clear" w:color="auto" w:fill="FFFFFF"/>
        </w:rPr>
        <w:t xml:space="preserve">a </w:t>
      </w:r>
      <w:r w:rsidRPr="00EA236B">
        <w:rPr>
          <w:rFonts w:ascii="Arial" w:hAnsi="Arial" w:cs="Arial"/>
          <w:color w:val="000000" w:themeColor="text1"/>
          <w:shd w:val="clear" w:color="auto" w:fill="FFFFFF"/>
        </w:rPr>
        <w:t xml:space="preserve">strong argument for the rejection of the others will succinctly follow. </w:t>
      </w:r>
    </w:p>
    <w:p w14:paraId="7DEE9A92" w14:textId="6313F653" w:rsidR="00335033" w:rsidRPr="00335033" w:rsidRDefault="00000000" w:rsidP="00335033">
      <w:pPr>
        <w:pStyle w:val="Heading2"/>
        <w:numPr>
          <w:ilvl w:val="1"/>
          <w:numId w:val="4"/>
        </w:numPr>
        <w:rPr>
          <w:rFonts w:ascii="Arial" w:eastAsia="Times New Roman" w:hAnsi="Arial" w:cs="Arial"/>
          <w:b/>
          <w:bCs/>
          <w:color w:val="000000" w:themeColor="text1"/>
          <w:sz w:val="24"/>
          <w:szCs w:val="24"/>
          <w:lang w:eastAsia="en-GB"/>
        </w:rPr>
      </w:pPr>
      <w:bookmarkStart w:id="2" w:name="_Toc126667548"/>
      <w:r w:rsidRPr="00335033">
        <w:rPr>
          <w:rFonts w:ascii="Arial" w:eastAsia="Times New Roman" w:hAnsi="Arial" w:cs="Arial"/>
          <w:b/>
          <w:bCs/>
          <w:color w:val="000000" w:themeColor="text1"/>
          <w:sz w:val="24"/>
          <w:szCs w:val="24"/>
          <w:lang w:eastAsia="en-GB"/>
        </w:rPr>
        <w:t xml:space="preserve">Overview of </w:t>
      </w:r>
      <w:r w:rsidR="00FF0F94" w:rsidRPr="00335033">
        <w:rPr>
          <w:rFonts w:ascii="Arial" w:eastAsia="Times New Roman" w:hAnsi="Arial" w:cs="Arial"/>
          <w:b/>
          <w:bCs/>
          <w:color w:val="000000" w:themeColor="text1"/>
          <w:sz w:val="24"/>
          <w:szCs w:val="24"/>
          <w:lang w:eastAsia="en-GB"/>
        </w:rPr>
        <w:t xml:space="preserve">Peter </w:t>
      </w:r>
      <w:r w:rsidR="004F62F4" w:rsidRPr="00335033">
        <w:rPr>
          <w:rFonts w:ascii="Arial" w:eastAsia="Times New Roman" w:hAnsi="Arial" w:cs="Arial"/>
          <w:b/>
          <w:bCs/>
          <w:color w:val="000000" w:themeColor="text1"/>
          <w:sz w:val="24"/>
          <w:szCs w:val="24"/>
          <w:lang w:eastAsia="en-GB"/>
        </w:rPr>
        <w:t>Drucker’s Perspectives</w:t>
      </w:r>
      <w:bookmarkEnd w:id="2"/>
    </w:p>
    <w:p w14:paraId="0D02D263" w14:textId="77777777" w:rsidR="00335033" w:rsidRPr="00335033" w:rsidRDefault="00335033" w:rsidP="00335033">
      <w:pPr>
        <w:pStyle w:val="ListParagraph"/>
        <w:ind w:left="400"/>
        <w:rPr>
          <w:lang w:eastAsia="en-GB"/>
        </w:rPr>
      </w:pPr>
    </w:p>
    <w:p w14:paraId="25C8636C" w14:textId="77777777" w:rsidR="00370375" w:rsidRPr="00EA236B" w:rsidRDefault="00000000" w:rsidP="00370375">
      <w:pPr>
        <w:spacing w:after="100" w:afterAutospacing="1"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 xml:space="preserve">Much of the work surrounding contemporary management has been accredited to the work contributed by the Austrian American educator and consultant Peter Drucker </w:t>
      </w:r>
      <w:r w:rsidR="003869BA" w:rsidRPr="00EA236B">
        <w:rPr>
          <w:rFonts w:ascii="Arial" w:eastAsia="Times New Roman" w:hAnsi="Arial" w:cs="Arial"/>
          <w:color w:val="000000" w:themeColor="text1"/>
          <w:lang w:eastAsia="en-GB"/>
        </w:rPr>
        <w:t>(Turner, 2021)</w:t>
      </w:r>
      <w:r w:rsidRPr="00EA236B">
        <w:rPr>
          <w:rFonts w:ascii="Arial" w:eastAsia="Times New Roman" w:hAnsi="Arial" w:cs="Arial"/>
          <w:color w:val="000000" w:themeColor="text1"/>
          <w:lang w:eastAsia="en-GB"/>
        </w:rPr>
        <w:t xml:space="preserve">. However, it can be argued that Fayol's (1949) classical work on the managerial function of planning bears weight to the concepts widely used as precursors for frameworks in modern management: </w:t>
      </w:r>
      <w:r w:rsidRPr="00EA236B">
        <w:rPr>
          <w:rFonts w:ascii="Arial" w:eastAsia="Times New Roman" w:hAnsi="Arial" w:cs="Arial"/>
          <w:color w:val="000000" w:themeColor="text1"/>
          <w:lang w:eastAsia="en-GB"/>
        </w:rPr>
        <w:lastRenderedPageBreak/>
        <w:t>planning, organising, leading, and controlling. Nevertheless, Drucker's work moved away from the traditional practices of management.</w:t>
      </w:r>
    </w:p>
    <w:p w14:paraId="139AE1E1" w14:textId="304CFC36" w:rsidR="004F62F4" w:rsidRPr="00EA236B" w:rsidRDefault="00000000" w:rsidP="00370375">
      <w:pPr>
        <w:spacing w:after="100" w:afterAutospacing="1" w:line="360" w:lineRule="auto"/>
        <w:jc w:val="both"/>
        <w:rPr>
          <w:rFonts w:ascii="Arial" w:hAnsi="Arial" w:cs="Arial"/>
          <w:color w:val="000000" w:themeColor="text1"/>
        </w:rPr>
      </w:pPr>
      <w:r w:rsidRPr="00EA236B">
        <w:rPr>
          <w:rFonts w:ascii="Arial" w:hAnsi="Arial" w:cs="Arial"/>
          <w:color w:val="000000" w:themeColor="text1"/>
        </w:rPr>
        <w:t>Turriago-Hoyos et al. (2016) accentuated that Drucker's philosophies were predisposed and embedded in an Aristotelian perspective regarding the conception of knowledge workers. This opinion advocates intelligent qualities designated for progressing ground-breaking and resourceful competencies. Whilst a substantial amount of literature engulfs the creative competencies of workers, which are vital in a global economy, those competencies can cause creative and critical thinking. Drucker (1994) argued that the twentieth century has seen a drastic change in social transformation. Hence, this social transformation</w:t>
      </w:r>
      <w:r w:rsidR="00441BB7" w:rsidRPr="00EA236B">
        <w:rPr>
          <w:rFonts w:ascii="Arial" w:hAnsi="Arial" w:cs="Arial"/>
          <w:color w:val="000000" w:themeColor="text1"/>
        </w:rPr>
        <w:t xml:space="preserve"> </w:t>
      </w:r>
      <w:r w:rsidRPr="00EA236B">
        <w:rPr>
          <w:rFonts w:ascii="Arial" w:hAnsi="Arial" w:cs="Arial"/>
          <w:color w:val="000000" w:themeColor="text1"/>
        </w:rPr>
        <w:t xml:space="preserve">has resulted in a trend of corruption </w:t>
      </w:r>
      <w:r w:rsidR="00D041B8" w:rsidRPr="00EA236B">
        <w:rPr>
          <w:rFonts w:ascii="Arial" w:hAnsi="Arial" w:cs="Arial"/>
          <w:color w:val="000000" w:themeColor="text1"/>
        </w:rPr>
        <w:t>today</w:t>
      </w:r>
      <w:r w:rsidRPr="00EA236B">
        <w:rPr>
          <w:rFonts w:ascii="Arial" w:hAnsi="Arial" w:cs="Arial"/>
          <w:color w:val="000000" w:themeColor="text1"/>
        </w:rPr>
        <w:t>. Notably, these trends have diminished social values and conditions associated with the industrialised world. Drucker (1994) conferred that shifting from an industrial era to a modern information period was vital. Drucker (1994, 1999, 2005) argued that modern management practices brought amazing technical transformation because of the historical change in humanity referred to as a 'knowledge society'. However, the perspective has been criticised as a shift in the nature of work (Machlup, 1962</w:t>
      </w:r>
      <w:r w:rsidR="00A26B02" w:rsidRPr="00EA236B">
        <w:rPr>
          <w:rFonts w:ascii="Arial" w:hAnsi="Arial" w:cs="Arial"/>
          <w:color w:val="000000" w:themeColor="text1"/>
        </w:rPr>
        <w:t>, as cited in Florida and Mellander, 2020</w:t>
      </w:r>
      <w:r w:rsidRPr="00EA236B">
        <w:rPr>
          <w:rFonts w:ascii="Arial" w:hAnsi="Arial" w:cs="Arial"/>
          <w:color w:val="000000" w:themeColor="text1"/>
        </w:rPr>
        <w:t xml:space="preserve">). </w:t>
      </w:r>
    </w:p>
    <w:p w14:paraId="37D83EB1" w14:textId="0CC37DB1" w:rsidR="00370375" w:rsidRPr="00EA236B" w:rsidRDefault="00000000" w:rsidP="00370375">
      <w:pPr>
        <w:spacing w:after="100" w:afterAutospacing="1" w:line="360" w:lineRule="auto"/>
        <w:jc w:val="both"/>
        <w:rPr>
          <w:rFonts w:ascii="Arial" w:hAnsi="Arial" w:cs="Arial"/>
          <w:color w:val="000000" w:themeColor="text1"/>
        </w:rPr>
      </w:pPr>
      <w:r w:rsidRPr="00EA236B">
        <w:rPr>
          <w:rFonts w:ascii="Arial" w:hAnsi="Arial" w:cs="Arial"/>
          <w:color w:val="000000" w:themeColor="text1"/>
        </w:rPr>
        <w:t>Th</w:t>
      </w:r>
      <w:r w:rsidR="004F62F4" w:rsidRPr="00EA236B">
        <w:rPr>
          <w:rFonts w:ascii="Arial" w:hAnsi="Arial" w:cs="Arial"/>
          <w:color w:val="000000" w:themeColor="text1"/>
        </w:rPr>
        <w:t>e</w:t>
      </w:r>
      <w:r w:rsidRPr="00EA236B">
        <w:rPr>
          <w:rFonts w:ascii="Arial" w:hAnsi="Arial" w:cs="Arial"/>
          <w:color w:val="000000" w:themeColor="text1"/>
        </w:rPr>
        <w:t xml:space="preserve"> shift </w:t>
      </w:r>
      <w:r w:rsidR="004F62F4" w:rsidRPr="00EA236B">
        <w:rPr>
          <w:rFonts w:ascii="Arial" w:hAnsi="Arial" w:cs="Arial"/>
          <w:color w:val="000000" w:themeColor="text1"/>
        </w:rPr>
        <w:t xml:space="preserve">in the nature of work has </w:t>
      </w:r>
      <w:r w:rsidRPr="00EA236B">
        <w:rPr>
          <w:rFonts w:ascii="Arial" w:hAnsi="Arial" w:cs="Arial"/>
          <w:color w:val="000000" w:themeColor="text1"/>
        </w:rPr>
        <w:t>resulted in ethical failures and corruption at different levels of society, stemming from a lack of effective leadership and management processes (</w:t>
      </w:r>
      <w:r w:rsidR="003E576B" w:rsidRPr="00EA236B">
        <w:rPr>
          <w:rFonts w:ascii="Arial" w:hAnsi="Arial" w:cs="Arial"/>
          <w:color w:val="000000" w:themeColor="text1"/>
        </w:rPr>
        <w:t>Florida and Mellander, 2020)</w:t>
      </w:r>
      <w:r w:rsidRPr="00EA236B">
        <w:rPr>
          <w:rFonts w:ascii="Arial" w:hAnsi="Arial" w:cs="Arial"/>
          <w:color w:val="000000" w:themeColor="text1"/>
        </w:rPr>
        <w:t>. The scholars outlined that traditional values were lost, resulting in a breakdown of morality and a seismic shift from owner's capitalism to manager's capitalism to foster the growth of corporate managers as a social group status (Hart, 2001; Pfaff, 2002</w:t>
      </w:r>
      <w:r w:rsidR="00436783" w:rsidRPr="00EA236B">
        <w:rPr>
          <w:rFonts w:ascii="Arial" w:hAnsi="Arial" w:cs="Arial"/>
          <w:color w:val="000000" w:themeColor="text1"/>
        </w:rPr>
        <w:t xml:space="preserve">; </w:t>
      </w:r>
      <w:r w:rsidR="00441BB7" w:rsidRPr="00EA236B">
        <w:rPr>
          <w:rFonts w:ascii="Arial" w:hAnsi="Arial" w:cs="Arial"/>
          <w:color w:val="000000" w:themeColor="text1"/>
        </w:rPr>
        <w:t>D</w:t>
      </w:r>
      <w:r w:rsidR="00436783" w:rsidRPr="00EA236B">
        <w:rPr>
          <w:rFonts w:ascii="Arial" w:hAnsi="Arial" w:cs="Arial"/>
          <w:color w:val="000000" w:themeColor="text1"/>
        </w:rPr>
        <w:t>e Bakker et al., 2020)</w:t>
      </w:r>
      <w:r w:rsidRPr="00EA236B">
        <w:rPr>
          <w:rFonts w:ascii="Arial" w:hAnsi="Arial" w:cs="Arial"/>
          <w:color w:val="000000" w:themeColor="text1"/>
        </w:rPr>
        <w:t>.</w:t>
      </w:r>
    </w:p>
    <w:p w14:paraId="7DE9F0DA" w14:textId="77777777" w:rsidR="00370375" w:rsidRPr="00EA236B" w:rsidRDefault="00000000" w:rsidP="00370375">
      <w:pPr>
        <w:spacing w:after="100" w:afterAutospacing="1" w:line="360" w:lineRule="auto"/>
        <w:jc w:val="both"/>
        <w:rPr>
          <w:rFonts w:ascii="Arial" w:hAnsi="Arial" w:cs="Arial"/>
          <w:color w:val="000000" w:themeColor="text1"/>
        </w:rPr>
      </w:pPr>
      <w:r w:rsidRPr="00EA236B">
        <w:rPr>
          <w:rFonts w:ascii="Arial" w:hAnsi="Arial" w:cs="Arial"/>
          <w:color w:val="000000" w:themeColor="text1"/>
        </w:rPr>
        <w:t>Although Drucker (1985) commended the significance that management created</w:t>
      </w:r>
      <w:r w:rsidR="00EF3795" w:rsidRPr="00EA236B">
        <w:rPr>
          <w:rFonts w:ascii="Arial" w:hAnsi="Arial" w:cs="Arial"/>
          <w:color w:val="000000" w:themeColor="text1"/>
        </w:rPr>
        <w:t>,</w:t>
      </w:r>
      <w:r w:rsidRPr="00EA236B">
        <w:rPr>
          <w:rFonts w:ascii="Arial" w:hAnsi="Arial" w:cs="Arial"/>
          <w:color w:val="000000" w:themeColor="text1"/>
        </w:rPr>
        <w:t xml:space="preserve"> shifting from a managerial to an entrepreneurial economy</w:t>
      </w:r>
      <w:r w:rsidR="00EF3795" w:rsidRPr="00EA236B">
        <w:rPr>
          <w:rFonts w:ascii="Arial" w:hAnsi="Arial" w:cs="Arial"/>
          <w:color w:val="000000" w:themeColor="text1"/>
        </w:rPr>
        <w:t>, the a</w:t>
      </w:r>
      <w:r w:rsidRPr="00EA236B">
        <w:rPr>
          <w:rFonts w:ascii="Arial" w:hAnsi="Arial" w:cs="Arial"/>
          <w:color w:val="000000" w:themeColor="text1"/>
        </w:rPr>
        <w:t xml:space="preserve">nalysis </w:t>
      </w:r>
      <w:r w:rsidR="00EF3795" w:rsidRPr="00EA236B">
        <w:rPr>
          <w:rFonts w:ascii="Arial" w:hAnsi="Arial" w:cs="Arial"/>
          <w:color w:val="000000" w:themeColor="text1"/>
        </w:rPr>
        <w:t>revealed that</w:t>
      </w:r>
      <w:r w:rsidRPr="00EA236B">
        <w:rPr>
          <w:rFonts w:ascii="Arial" w:hAnsi="Arial" w:cs="Arial"/>
          <w:color w:val="000000" w:themeColor="text1"/>
        </w:rPr>
        <w:t xml:space="preserve"> capitalism encouraged the assumption of a correlation between management reactions to social trends and technological changes. Recent studies have indicated that Drucker believed that organisations should be well-managed with a focus on future goals (Rosenstein, 2014). There is an excellent scope for innovation from the contributions of knowledge workers in a knowledge society</w:t>
      </w:r>
      <w:r w:rsidR="000873F3" w:rsidRPr="00EA236B">
        <w:rPr>
          <w:rFonts w:ascii="-webkit-standard" w:hAnsi="-webkit-standard"/>
          <w:color w:val="000000" w:themeColor="text1"/>
          <w:sz w:val="27"/>
          <w:szCs w:val="27"/>
        </w:rPr>
        <w:t xml:space="preserve"> </w:t>
      </w:r>
      <w:r w:rsidR="000873F3" w:rsidRPr="00EA236B">
        <w:rPr>
          <w:rFonts w:ascii="Arial" w:hAnsi="Arial" w:cs="Arial"/>
          <w:color w:val="000000" w:themeColor="text1"/>
        </w:rPr>
        <w:t>(Turriago-Hoyos et al., 2016).</w:t>
      </w:r>
      <w:r w:rsidRPr="00EA236B">
        <w:rPr>
          <w:rFonts w:ascii="Arial" w:hAnsi="Arial" w:cs="Arial"/>
          <w:color w:val="000000" w:themeColor="text1"/>
        </w:rPr>
        <w:t xml:space="preserve"> However, globally, these scopes may be more susceptible to developing countries such as India, fostering more extraordinary innovations in healthcare in contrast to </w:t>
      </w:r>
      <w:r w:rsidR="00EF3795" w:rsidRPr="00EA236B">
        <w:rPr>
          <w:rFonts w:ascii="Arial" w:hAnsi="Arial" w:cs="Arial"/>
          <w:color w:val="000000" w:themeColor="text1"/>
        </w:rPr>
        <w:t xml:space="preserve">other </w:t>
      </w:r>
      <w:r w:rsidRPr="00EA236B">
        <w:rPr>
          <w:rFonts w:ascii="Arial" w:hAnsi="Arial" w:cs="Arial"/>
          <w:color w:val="000000" w:themeColor="text1"/>
        </w:rPr>
        <w:t>business</w:t>
      </w:r>
      <w:r w:rsidR="00EF3795" w:rsidRPr="00EA236B">
        <w:rPr>
          <w:rFonts w:ascii="Arial" w:hAnsi="Arial" w:cs="Arial"/>
          <w:color w:val="000000" w:themeColor="text1"/>
        </w:rPr>
        <w:t>es</w:t>
      </w:r>
      <w:r w:rsidRPr="00EA236B">
        <w:rPr>
          <w:rFonts w:ascii="Arial" w:hAnsi="Arial" w:cs="Arial"/>
          <w:color w:val="000000" w:themeColor="text1"/>
        </w:rPr>
        <w:t xml:space="preserve"> and the </w:t>
      </w:r>
      <w:r w:rsidR="00EF3795" w:rsidRPr="00EA236B">
        <w:rPr>
          <w:rFonts w:ascii="Arial" w:hAnsi="Arial" w:cs="Arial"/>
          <w:color w:val="000000" w:themeColor="text1"/>
        </w:rPr>
        <w:t xml:space="preserve">broader </w:t>
      </w:r>
      <w:r w:rsidRPr="00EA236B">
        <w:rPr>
          <w:rFonts w:ascii="Arial" w:hAnsi="Arial" w:cs="Arial"/>
          <w:color w:val="000000" w:themeColor="text1"/>
        </w:rPr>
        <w:t>economy</w:t>
      </w:r>
      <w:r w:rsidR="000873F3" w:rsidRPr="00EA236B">
        <w:rPr>
          <w:rFonts w:ascii="Arial" w:hAnsi="Arial" w:cs="Arial"/>
          <w:color w:val="000000" w:themeColor="text1"/>
        </w:rPr>
        <w:t>.</w:t>
      </w:r>
    </w:p>
    <w:p w14:paraId="12C9D242" w14:textId="39B643CB" w:rsidR="00370375" w:rsidRDefault="00000000" w:rsidP="00335033">
      <w:pPr>
        <w:pStyle w:val="Heading2"/>
        <w:numPr>
          <w:ilvl w:val="2"/>
          <w:numId w:val="4"/>
        </w:numPr>
        <w:rPr>
          <w:rFonts w:ascii="Arial" w:hAnsi="Arial" w:cs="Arial"/>
          <w:b/>
          <w:bCs/>
          <w:color w:val="000000" w:themeColor="text1"/>
          <w:sz w:val="24"/>
          <w:szCs w:val="24"/>
        </w:rPr>
      </w:pPr>
      <w:bookmarkStart w:id="3" w:name="_Toc126667549"/>
      <w:r w:rsidRPr="00335033">
        <w:rPr>
          <w:rFonts w:ascii="Arial" w:hAnsi="Arial" w:cs="Arial"/>
          <w:b/>
          <w:bCs/>
          <w:color w:val="000000" w:themeColor="text1"/>
          <w:sz w:val="24"/>
          <w:szCs w:val="24"/>
        </w:rPr>
        <w:t>Drucker’s work</w:t>
      </w:r>
      <w:bookmarkEnd w:id="3"/>
      <w:r w:rsidRPr="00335033">
        <w:rPr>
          <w:rFonts w:ascii="Arial" w:hAnsi="Arial" w:cs="Arial"/>
          <w:b/>
          <w:bCs/>
          <w:color w:val="000000" w:themeColor="text1"/>
          <w:sz w:val="24"/>
          <w:szCs w:val="24"/>
        </w:rPr>
        <w:t xml:space="preserve"> </w:t>
      </w:r>
    </w:p>
    <w:p w14:paraId="7DFEF97E" w14:textId="77777777" w:rsidR="00335033" w:rsidRPr="00335033" w:rsidRDefault="00335033" w:rsidP="00335033">
      <w:pPr>
        <w:pStyle w:val="ListParagraph"/>
      </w:pPr>
    </w:p>
    <w:p w14:paraId="6393F994" w14:textId="77777777" w:rsidR="00370375" w:rsidRPr="00EA236B" w:rsidRDefault="00000000" w:rsidP="00370375">
      <w:pPr>
        <w:spacing w:after="100" w:afterAutospacing="1" w:line="360" w:lineRule="auto"/>
        <w:jc w:val="both"/>
        <w:rPr>
          <w:rFonts w:ascii="Arial" w:hAnsi="Arial" w:cs="Arial"/>
          <w:color w:val="000000" w:themeColor="text1"/>
        </w:rPr>
      </w:pPr>
      <w:r w:rsidRPr="00EA236B">
        <w:rPr>
          <w:rFonts w:ascii="Arial" w:hAnsi="Arial" w:cs="Arial"/>
          <w:color w:val="000000" w:themeColor="text1"/>
        </w:rPr>
        <w:t>Drucker's work has resulted in the theory of management, which outlines the concepts of decentralisation and knowledge work. Drucker's consultant experience resulted from working in several organisations such as Proctor and Gamble, IBM, and General Motors (</w:t>
      </w:r>
      <w:r w:rsidR="00CE505D" w:rsidRPr="00EA236B">
        <w:rPr>
          <w:rFonts w:ascii="Arial" w:hAnsi="Arial" w:cs="Arial"/>
          <w:color w:val="000000" w:themeColor="text1"/>
        </w:rPr>
        <w:t>Drucker, 2020</w:t>
      </w:r>
      <w:r w:rsidRPr="00EA236B">
        <w:rPr>
          <w:rFonts w:ascii="Arial" w:hAnsi="Arial" w:cs="Arial"/>
          <w:color w:val="000000" w:themeColor="text1"/>
        </w:rPr>
        <w:t xml:space="preserve">). The </w:t>
      </w:r>
      <w:r w:rsidRPr="00EA236B">
        <w:rPr>
          <w:rFonts w:ascii="Arial" w:hAnsi="Arial" w:cs="Arial"/>
          <w:color w:val="000000" w:themeColor="text1"/>
        </w:rPr>
        <w:lastRenderedPageBreak/>
        <w:t xml:space="preserve">experience led to the compilation of The Practice of Management book, which posits that a holistic approach was necessary to operate as an organisation in which business management was introduced. Drucker (1954), </w:t>
      </w:r>
      <w:r w:rsidR="00277976" w:rsidRPr="00EA236B">
        <w:rPr>
          <w:rFonts w:ascii="Arial" w:hAnsi="Arial" w:cs="Arial"/>
          <w:color w:val="000000" w:themeColor="text1"/>
        </w:rPr>
        <w:t xml:space="preserve">as cited in Linkletter and Tabesh (2022), </w:t>
      </w:r>
      <w:r w:rsidRPr="00EA236B">
        <w:rPr>
          <w:rFonts w:ascii="Arial" w:hAnsi="Arial" w:cs="Arial"/>
          <w:color w:val="000000" w:themeColor="text1"/>
        </w:rPr>
        <w:t xml:space="preserve">agreed that managers should understand certain subjects, such as science, psychology, and religion, channelled by moral and ethical principles. However, critical analysis postulates that decentralisation practices can be nullified in governance systems based on cultural practices. For example, the work of Lumijarvi and Asaduzzaman (2019) indicates that several countries have emphasised the structural elements of decentralisation but have failed to implement them within their governance policies fully. </w:t>
      </w:r>
    </w:p>
    <w:p w14:paraId="608065BE" w14:textId="454700F8" w:rsidR="00370375" w:rsidRPr="00EA236B" w:rsidRDefault="00000000" w:rsidP="00370375">
      <w:pPr>
        <w:spacing w:after="100" w:afterAutospacing="1" w:line="360" w:lineRule="auto"/>
        <w:jc w:val="both"/>
        <w:rPr>
          <w:rFonts w:ascii="Arial" w:hAnsi="Arial" w:cs="Arial"/>
          <w:color w:val="000000" w:themeColor="text1"/>
        </w:rPr>
      </w:pPr>
      <w:r w:rsidRPr="00EA236B">
        <w:rPr>
          <w:rFonts w:ascii="Arial" w:hAnsi="Arial" w:cs="Arial"/>
          <w:color w:val="000000" w:themeColor="text1"/>
        </w:rPr>
        <w:t xml:space="preserve"> Often, management and leadership are used interchangeably. Drucker (</w:t>
      </w:r>
      <w:r w:rsidR="001A6B69" w:rsidRPr="00EA236B">
        <w:rPr>
          <w:rFonts w:ascii="Arial" w:hAnsi="Arial" w:cs="Arial"/>
          <w:color w:val="000000" w:themeColor="text1"/>
        </w:rPr>
        <w:t>2020</w:t>
      </w:r>
      <w:r w:rsidRPr="00EA236B">
        <w:rPr>
          <w:rFonts w:ascii="Arial" w:hAnsi="Arial" w:cs="Arial"/>
          <w:color w:val="000000" w:themeColor="text1"/>
        </w:rPr>
        <w:t xml:space="preserve">) opined that bureaucratic management should give way to creative management, influencing managers to be leaders. </w:t>
      </w:r>
      <w:r w:rsidR="00EF3795" w:rsidRPr="00EA236B">
        <w:rPr>
          <w:rFonts w:ascii="Arial" w:hAnsi="Arial" w:cs="Arial"/>
          <w:color w:val="000000" w:themeColor="text1"/>
        </w:rPr>
        <w:t>Conversely</w:t>
      </w:r>
      <w:r w:rsidRPr="00EA236B">
        <w:rPr>
          <w:rFonts w:ascii="Arial" w:hAnsi="Arial" w:cs="Arial"/>
          <w:color w:val="000000" w:themeColor="text1"/>
        </w:rPr>
        <w:t>, Brooks (2023) noted that according to Drucker, management is concerned with doing things right, whilst leadership concerns with doing the right thing.</w:t>
      </w:r>
    </w:p>
    <w:p w14:paraId="38CC2428" w14:textId="04340813" w:rsidR="00370375" w:rsidRDefault="00000000" w:rsidP="00335033">
      <w:pPr>
        <w:pStyle w:val="Heading2"/>
        <w:numPr>
          <w:ilvl w:val="2"/>
          <w:numId w:val="4"/>
        </w:numPr>
        <w:rPr>
          <w:rFonts w:ascii="Arial" w:hAnsi="Arial" w:cs="Arial"/>
          <w:b/>
          <w:bCs/>
          <w:color w:val="000000" w:themeColor="text1"/>
          <w:sz w:val="24"/>
          <w:szCs w:val="24"/>
        </w:rPr>
      </w:pPr>
      <w:bookmarkStart w:id="4" w:name="_Toc126667550"/>
      <w:r w:rsidRPr="00335033">
        <w:rPr>
          <w:rFonts w:ascii="Arial" w:hAnsi="Arial" w:cs="Arial"/>
          <w:b/>
          <w:bCs/>
          <w:color w:val="000000" w:themeColor="text1"/>
          <w:sz w:val="24"/>
          <w:szCs w:val="24"/>
        </w:rPr>
        <w:t>Drucker’s Legacy</w:t>
      </w:r>
      <w:bookmarkEnd w:id="4"/>
    </w:p>
    <w:p w14:paraId="4D2449E7" w14:textId="77777777" w:rsidR="00335033" w:rsidRPr="00335033" w:rsidRDefault="00335033" w:rsidP="00335033">
      <w:pPr>
        <w:pStyle w:val="ListParagraph"/>
      </w:pPr>
    </w:p>
    <w:p w14:paraId="31655690" w14:textId="5046C02B" w:rsidR="00414CC6" w:rsidRPr="00EA236B" w:rsidRDefault="00000000" w:rsidP="00414CC6">
      <w:pPr>
        <w:spacing w:after="100" w:afterAutospacing="1" w:line="360" w:lineRule="auto"/>
        <w:jc w:val="both"/>
        <w:rPr>
          <w:rFonts w:ascii="Arial" w:hAnsi="Arial" w:cs="Arial"/>
          <w:color w:val="000000" w:themeColor="text1"/>
        </w:rPr>
      </w:pPr>
      <w:r w:rsidRPr="00EA236B">
        <w:rPr>
          <w:rFonts w:ascii="Arial" w:hAnsi="Arial" w:cs="Arial"/>
          <w:color w:val="000000" w:themeColor="text1"/>
        </w:rPr>
        <w:t>Several authors have explored the area of Drucker’s legacy with accreditations to the scholar for the impact on organisation and invention of modern management</w:t>
      </w:r>
      <w:r w:rsidR="0055416E" w:rsidRPr="00EA236B">
        <w:rPr>
          <w:rFonts w:ascii="Arial" w:hAnsi="Arial" w:cs="Arial"/>
          <w:color w:val="000000" w:themeColor="text1"/>
        </w:rPr>
        <w:t xml:space="preserve"> (Cohen, 2014)</w:t>
      </w:r>
      <w:r w:rsidRPr="00EA236B">
        <w:rPr>
          <w:rFonts w:ascii="Arial" w:hAnsi="Arial" w:cs="Arial"/>
          <w:color w:val="000000" w:themeColor="text1"/>
        </w:rPr>
        <w:t>. In contrast, several scholars argued that Drucker's work is an alteration of business leadership in being proactive instead of reactive</w:t>
      </w:r>
      <w:r w:rsidR="00D34BA4" w:rsidRPr="00EA236B">
        <w:rPr>
          <w:rFonts w:ascii="Arial" w:hAnsi="Arial" w:cs="Arial"/>
          <w:color w:val="000000" w:themeColor="text1"/>
        </w:rPr>
        <w:t xml:space="preserve"> (Williams, 2020)</w:t>
      </w:r>
      <w:r w:rsidRPr="00EA236B">
        <w:rPr>
          <w:rFonts w:ascii="Arial" w:hAnsi="Arial" w:cs="Arial"/>
          <w:color w:val="000000" w:themeColor="text1"/>
        </w:rPr>
        <w:t xml:space="preserve">. Nevertheless, organisations such as the NHS and British Airways have implemented the decentralisation and outsourcing concept introduced by the scholar, a testament that </w:t>
      </w:r>
      <w:r w:rsidR="00C15090" w:rsidRPr="00EA236B">
        <w:rPr>
          <w:rFonts w:ascii="Arial" w:hAnsi="Arial" w:cs="Arial"/>
          <w:color w:val="000000" w:themeColor="text1"/>
        </w:rPr>
        <w:t>Drucker’s</w:t>
      </w:r>
      <w:r w:rsidRPr="00EA236B">
        <w:rPr>
          <w:rFonts w:ascii="Arial" w:hAnsi="Arial" w:cs="Arial"/>
          <w:color w:val="000000" w:themeColor="text1"/>
        </w:rPr>
        <w:t xml:space="preserve"> legacy will continue </w:t>
      </w:r>
      <w:r w:rsidR="00D34BA4" w:rsidRPr="00EA236B">
        <w:rPr>
          <w:rFonts w:ascii="Arial" w:hAnsi="Arial" w:cs="Arial"/>
          <w:color w:val="000000" w:themeColor="text1"/>
        </w:rPr>
        <w:t>(Peeraully et al., 2022)</w:t>
      </w:r>
      <w:r w:rsidRPr="00EA236B">
        <w:rPr>
          <w:rFonts w:ascii="Arial" w:hAnsi="Arial" w:cs="Arial"/>
          <w:color w:val="000000" w:themeColor="text1"/>
        </w:rPr>
        <w:t xml:space="preserve">. Additionally, it can be argued that Drucker's legacy continues regarding </w:t>
      </w:r>
      <w:r w:rsidR="00C15090" w:rsidRPr="00EA236B">
        <w:rPr>
          <w:rFonts w:ascii="Arial" w:hAnsi="Arial" w:cs="Arial"/>
          <w:color w:val="000000" w:themeColor="text1"/>
        </w:rPr>
        <w:t>Corporate Social Responsibility (</w:t>
      </w:r>
      <w:r w:rsidRPr="00EA236B">
        <w:rPr>
          <w:rFonts w:ascii="Arial" w:hAnsi="Arial" w:cs="Arial"/>
          <w:color w:val="000000" w:themeColor="text1"/>
        </w:rPr>
        <w:t>CSR</w:t>
      </w:r>
      <w:r w:rsidR="00C15090" w:rsidRPr="00EA236B">
        <w:rPr>
          <w:rFonts w:ascii="Arial" w:hAnsi="Arial" w:cs="Arial"/>
          <w:color w:val="000000" w:themeColor="text1"/>
        </w:rPr>
        <w:t>)</w:t>
      </w:r>
      <w:r w:rsidRPr="00EA236B">
        <w:rPr>
          <w:rFonts w:ascii="Arial" w:hAnsi="Arial" w:cs="Arial"/>
          <w:color w:val="000000" w:themeColor="text1"/>
        </w:rPr>
        <w:t xml:space="preserve">. While this may be true, Howard Bowen (1953), </w:t>
      </w:r>
      <w:r w:rsidR="0068315A" w:rsidRPr="00EA236B">
        <w:rPr>
          <w:rFonts w:ascii="Arial" w:hAnsi="Arial" w:cs="Arial"/>
          <w:color w:val="000000" w:themeColor="text1"/>
        </w:rPr>
        <w:t xml:space="preserve">as cited in Sama et al. (2020), </w:t>
      </w:r>
      <w:r w:rsidRPr="00EA236B">
        <w:rPr>
          <w:rFonts w:ascii="Arial" w:hAnsi="Arial" w:cs="Arial"/>
          <w:color w:val="000000" w:themeColor="text1"/>
        </w:rPr>
        <w:t>could be attributed to linking organisations' accountability to the public. Importantly, Drucker entrenched CSR as a crucial aspect of business strategy and management for an organisation to be efficacious</w:t>
      </w:r>
      <w:r w:rsidR="00414CC6" w:rsidRPr="00EA236B">
        <w:rPr>
          <w:rFonts w:ascii="Arial" w:hAnsi="Arial" w:cs="Arial"/>
          <w:color w:val="000000" w:themeColor="text1"/>
        </w:rPr>
        <w:t>.</w:t>
      </w:r>
    </w:p>
    <w:p w14:paraId="5F5BF929" w14:textId="32DECD46" w:rsidR="00370375" w:rsidRDefault="00000000" w:rsidP="00335033">
      <w:pPr>
        <w:pStyle w:val="Heading2"/>
        <w:numPr>
          <w:ilvl w:val="1"/>
          <w:numId w:val="4"/>
        </w:numPr>
        <w:rPr>
          <w:rFonts w:ascii="Arial" w:eastAsia="Times New Roman" w:hAnsi="Arial" w:cs="Arial"/>
          <w:b/>
          <w:bCs/>
          <w:color w:val="000000" w:themeColor="text1"/>
          <w:sz w:val="24"/>
          <w:szCs w:val="24"/>
          <w:lang w:eastAsia="en-GB"/>
        </w:rPr>
      </w:pPr>
      <w:bookmarkStart w:id="5" w:name="_Toc126667551"/>
      <w:r w:rsidRPr="00335033">
        <w:rPr>
          <w:rFonts w:ascii="Arial" w:eastAsia="Times New Roman" w:hAnsi="Arial" w:cs="Arial"/>
          <w:b/>
          <w:bCs/>
          <w:color w:val="000000" w:themeColor="text1"/>
          <w:sz w:val="24"/>
          <w:szCs w:val="24"/>
          <w:lang w:eastAsia="en-GB"/>
        </w:rPr>
        <w:t>Overview of</w:t>
      </w:r>
      <w:r w:rsidR="00FF0F94" w:rsidRPr="00335033">
        <w:rPr>
          <w:rFonts w:ascii="Arial" w:eastAsia="Times New Roman" w:hAnsi="Arial" w:cs="Arial"/>
          <w:b/>
          <w:bCs/>
          <w:color w:val="000000" w:themeColor="text1"/>
          <w:sz w:val="24"/>
          <w:szCs w:val="24"/>
          <w:lang w:eastAsia="en-GB"/>
        </w:rPr>
        <w:t xml:space="preserve"> Fred Fielder’s Perspective</w:t>
      </w:r>
      <w:bookmarkEnd w:id="5"/>
    </w:p>
    <w:p w14:paraId="79BF16E8" w14:textId="77777777" w:rsidR="00335033" w:rsidRPr="00335033" w:rsidRDefault="00335033" w:rsidP="00335033">
      <w:pPr>
        <w:pStyle w:val="ListParagraph"/>
        <w:ind w:left="400"/>
        <w:rPr>
          <w:lang w:eastAsia="en-GB"/>
        </w:rPr>
      </w:pPr>
    </w:p>
    <w:p w14:paraId="6672796D" w14:textId="77777777" w:rsidR="00370375" w:rsidRPr="00EA236B" w:rsidRDefault="00000000" w:rsidP="00370375">
      <w:pPr>
        <w:spacing w:after="100" w:afterAutospacing="1"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 xml:space="preserve">Leadership behaviour has been frequently assessed in corporations to achieve positive project completions. Over the decades, there have been several leadership theories, with the integrative approach being the most contemporary (Souza, 2020). The integrative approach considers the interaction and characteristics of leaders based on the situation, the individual leader, and the subordinates </w:t>
      </w:r>
      <w:r w:rsidR="00E13A80" w:rsidRPr="00EA236B">
        <w:rPr>
          <w:rFonts w:ascii="Arial" w:eastAsia="Times New Roman" w:hAnsi="Arial" w:cs="Arial"/>
          <w:color w:val="000000" w:themeColor="text1"/>
          <w:lang w:eastAsia="en-GB"/>
        </w:rPr>
        <w:t>(Lemoine et al., 2019)</w:t>
      </w:r>
      <w:r w:rsidRPr="00EA236B">
        <w:rPr>
          <w:rFonts w:ascii="Arial" w:eastAsia="Times New Roman" w:hAnsi="Arial" w:cs="Arial"/>
          <w:color w:val="000000" w:themeColor="text1"/>
          <w:lang w:eastAsia="en-GB"/>
        </w:rPr>
        <w:t>. Several excellent qualitative undertakings have appeared in seminal literature supporting Fred Fielder's work, renowned as a leading researcher in the industrial field of organisational psychology.</w:t>
      </w:r>
    </w:p>
    <w:p w14:paraId="50A93B24" w14:textId="77777777" w:rsidR="00370375" w:rsidRPr="00EA236B" w:rsidRDefault="00000000" w:rsidP="00370375">
      <w:pPr>
        <w:spacing w:after="100" w:afterAutospacing="1"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 xml:space="preserve">Therefore, the Fielder Leadership behaviour style assessment framework is often adopted to determine behavioural leadership styles such as task-oriented versus relationship-oriented (Henkel </w:t>
      </w:r>
      <w:r w:rsidRPr="00EA236B">
        <w:rPr>
          <w:rFonts w:ascii="Arial" w:eastAsia="Times New Roman" w:hAnsi="Arial" w:cs="Arial"/>
          <w:color w:val="000000" w:themeColor="text1"/>
          <w:lang w:eastAsia="en-GB"/>
        </w:rPr>
        <w:lastRenderedPageBreak/>
        <w:t>et al., 2019). The results aid corporate leaders in better understanding their leadership styles, which can affect the completion of projects.</w:t>
      </w:r>
    </w:p>
    <w:p w14:paraId="074EA72D" w14:textId="04229368" w:rsidR="00370375" w:rsidRPr="00EA236B" w:rsidRDefault="00000000" w:rsidP="00370375">
      <w:pPr>
        <w:spacing w:after="100" w:afterAutospacing="1"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 xml:space="preserve">Fielder (1960)'s contingency theory was initiated using the contingency method, the contingency theory of effectiveness </w:t>
      </w:r>
      <w:r w:rsidR="00E13A80" w:rsidRPr="00EA236B">
        <w:rPr>
          <w:rFonts w:ascii="Arial" w:eastAsia="Times New Roman" w:hAnsi="Arial" w:cs="Arial"/>
          <w:color w:val="000000" w:themeColor="text1"/>
          <w:lang w:eastAsia="en-GB"/>
        </w:rPr>
        <w:t>(Souza, 2020)</w:t>
      </w:r>
      <w:r w:rsidRPr="00EA236B">
        <w:rPr>
          <w:rFonts w:ascii="Arial" w:eastAsia="Times New Roman" w:hAnsi="Arial" w:cs="Arial"/>
          <w:color w:val="000000" w:themeColor="text1"/>
          <w:lang w:eastAsia="en-GB"/>
        </w:rPr>
        <w:t>. The notion is that leadership performance corroborates the collaboration of both task-oriented and relationship-oriented aspects. The leadership styles were implemented as task motivators that required careful assessment and control of the situation (Hughes, Ginnett, &amp; Curphy, 1998; Mohamad, Silong, &amp; Hassan, 2009). The theorist informs that leadership effectiveness relies on several factors, such as situation and the trait and behaviour of leaders. These factors are relevant in contemporary management. Corporations have implemented several techniques as part of Human Resource (HR) processes to assess leadership traits when recruiting (</w:t>
      </w:r>
      <w:r w:rsidR="00E13A80" w:rsidRPr="00EA236B">
        <w:rPr>
          <w:rFonts w:ascii="Arial" w:eastAsia="Times New Roman" w:hAnsi="Arial" w:cs="Arial"/>
          <w:color w:val="000000" w:themeColor="text1"/>
          <w:lang w:eastAsia="en-GB"/>
        </w:rPr>
        <w:t>Gunawan et al., 2019</w:t>
      </w:r>
      <w:r w:rsidRPr="00EA236B">
        <w:rPr>
          <w:rFonts w:ascii="Arial" w:eastAsia="Times New Roman" w:hAnsi="Arial" w:cs="Arial"/>
          <w:color w:val="000000" w:themeColor="text1"/>
          <w:lang w:eastAsia="en-GB"/>
        </w:rPr>
        <w:t>). The strategies are a means of identifying the right leader for the job. However, as previously outlined, organisations need to consider the factors that can alter leaders' performance. Notably, Aktar (2010)</w:t>
      </w:r>
      <w:r w:rsidR="003A423B" w:rsidRPr="00EA236B">
        <w:rPr>
          <w:rFonts w:ascii="Arial" w:eastAsia="Times New Roman" w:hAnsi="Arial" w:cs="Arial"/>
          <w:color w:val="000000" w:themeColor="text1"/>
          <w:lang w:eastAsia="en-GB"/>
        </w:rPr>
        <w:t>, Asrar-ul-Haq and Anwar (2018)</w:t>
      </w:r>
      <w:r w:rsidRPr="00EA236B">
        <w:rPr>
          <w:rFonts w:ascii="Arial" w:eastAsia="Times New Roman" w:hAnsi="Arial" w:cs="Arial"/>
          <w:color w:val="000000" w:themeColor="text1"/>
          <w:lang w:eastAsia="en-GB"/>
        </w:rPr>
        <w:t xml:space="preserve"> pinpoint that leaders should be tasked with relation to the situation to ensure effectiveness as the primary pursuit of contingency theory.</w:t>
      </w:r>
    </w:p>
    <w:p w14:paraId="6F702DAE" w14:textId="00AE63F7" w:rsidR="00370375" w:rsidRDefault="00000000" w:rsidP="00335033">
      <w:pPr>
        <w:pStyle w:val="Heading2"/>
        <w:numPr>
          <w:ilvl w:val="2"/>
          <w:numId w:val="4"/>
        </w:numPr>
        <w:rPr>
          <w:rFonts w:ascii="Arial" w:eastAsia="Times New Roman" w:hAnsi="Arial" w:cs="Arial"/>
          <w:b/>
          <w:bCs/>
          <w:color w:val="000000" w:themeColor="text1"/>
          <w:sz w:val="24"/>
          <w:szCs w:val="24"/>
          <w:lang w:eastAsia="en-GB"/>
        </w:rPr>
      </w:pPr>
      <w:bookmarkStart w:id="6" w:name="_Toc126667552"/>
      <w:r w:rsidRPr="00335033">
        <w:rPr>
          <w:rFonts w:ascii="Arial" w:eastAsia="Times New Roman" w:hAnsi="Arial" w:cs="Arial"/>
          <w:b/>
          <w:bCs/>
          <w:color w:val="000000" w:themeColor="text1"/>
          <w:sz w:val="24"/>
          <w:szCs w:val="24"/>
          <w:lang w:eastAsia="en-GB"/>
        </w:rPr>
        <w:t>Fielder’s Work</w:t>
      </w:r>
      <w:bookmarkEnd w:id="6"/>
    </w:p>
    <w:p w14:paraId="12206AD0" w14:textId="77777777" w:rsidR="00335033" w:rsidRPr="00335033" w:rsidRDefault="00335033" w:rsidP="00335033">
      <w:pPr>
        <w:pStyle w:val="ListParagraph"/>
        <w:rPr>
          <w:lang w:eastAsia="en-GB"/>
        </w:rPr>
      </w:pPr>
    </w:p>
    <w:p w14:paraId="3D955F3A" w14:textId="6CA244AA" w:rsidR="00370375" w:rsidRPr="00EA236B" w:rsidRDefault="00000000" w:rsidP="00CD02C0">
      <w:pPr>
        <w:spacing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The global workforce must be evaluated after critically analysing some leadership characteristics commercialised by the contingency theory. Diversity plays a significant role in terms of the characteristics and traits of leaders. With millennials set to govern the global workforce by 2025, comprehending their leadership styles is crucial to enhance organisational productivity and performance (Gabriel et al., 2020). There has been a steady influx of millennials joining organisations and receiving leadership roles quickly, often managing older employees (</w:t>
      </w:r>
      <w:r w:rsidR="001B66C7" w:rsidRPr="00EA236B">
        <w:rPr>
          <w:rFonts w:ascii="Arial" w:eastAsia="Times New Roman" w:hAnsi="Arial" w:cs="Arial"/>
          <w:color w:val="000000" w:themeColor="text1"/>
          <w:lang w:eastAsia="en-GB"/>
        </w:rPr>
        <w:t>Medyanik, 2016</w:t>
      </w:r>
      <w:r w:rsidRPr="00EA236B">
        <w:rPr>
          <w:rFonts w:ascii="Arial" w:eastAsia="Times New Roman" w:hAnsi="Arial" w:cs="Arial"/>
          <w:color w:val="000000" w:themeColor="text1"/>
          <w:lang w:eastAsia="en-GB"/>
        </w:rPr>
        <w:t xml:space="preserve">). </w:t>
      </w:r>
      <w:r w:rsidR="000B73AA" w:rsidRPr="00EA236B">
        <w:rPr>
          <w:rFonts w:ascii="Arial" w:eastAsia="Times New Roman" w:hAnsi="Arial" w:cs="Arial"/>
          <w:color w:val="000000" w:themeColor="text1"/>
          <w:lang w:eastAsia="en-GB"/>
        </w:rPr>
        <w:t>Nevertheless</w:t>
      </w:r>
      <w:r w:rsidRPr="00EA236B">
        <w:rPr>
          <w:rFonts w:ascii="Arial" w:eastAsia="Times New Roman" w:hAnsi="Arial" w:cs="Arial"/>
          <w:color w:val="000000" w:themeColor="text1"/>
          <w:lang w:eastAsia="en-GB"/>
        </w:rPr>
        <w:t>, with their leaderships traits relatively unknown in assessing and controlling situations, their behavioural leadership styles must be considered (</w:t>
      </w:r>
      <w:r w:rsidR="001B66C7" w:rsidRPr="00EA236B">
        <w:rPr>
          <w:rFonts w:ascii="Arial" w:eastAsia="Times New Roman" w:hAnsi="Arial" w:cs="Arial"/>
          <w:color w:val="000000" w:themeColor="text1"/>
          <w:lang w:eastAsia="en-GB"/>
        </w:rPr>
        <w:t>Morgan, 2015; Cox, 2016</w:t>
      </w:r>
      <w:r w:rsidRPr="00EA236B">
        <w:rPr>
          <w:rFonts w:ascii="Arial" w:eastAsia="Times New Roman" w:hAnsi="Arial" w:cs="Arial"/>
          <w:color w:val="000000" w:themeColor="text1"/>
          <w:lang w:eastAsia="en-GB"/>
        </w:rPr>
        <w:t>). The importance of conflict resolution concerning older staff members was considered during this critical analysis of Fielder’s work. There have been limited studies since 2010 surrounding millennial leaders' contemporary management practices (Fore, 2012; Medyanik, 2016).</w:t>
      </w:r>
    </w:p>
    <w:p w14:paraId="28311EFA" w14:textId="77777777" w:rsidR="000B73AA" w:rsidRPr="00EA236B" w:rsidRDefault="000B73AA" w:rsidP="00CD02C0">
      <w:pPr>
        <w:spacing w:line="360" w:lineRule="auto"/>
        <w:jc w:val="both"/>
        <w:rPr>
          <w:rFonts w:ascii="Arial" w:eastAsia="Times New Roman" w:hAnsi="Arial" w:cs="Arial"/>
          <w:color w:val="000000" w:themeColor="text1"/>
          <w:lang w:eastAsia="en-GB"/>
        </w:rPr>
      </w:pPr>
    </w:p>
    <w:p w14:paraId="26730705" w14:textId="4B8EE74E" w:rsidR="00370375" w:rsidRPr="00EA236B" w:rsidRDefault="00000000" w:rsidP="00CD02C0">
      <w:pPr>
        <w:spacing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N</w:t>
      </w:r>
      <w:r w:rsidR="000B73AA" w:rsidRPr="00EA236B">
        <w:rPr>
          <w:rFonts w:ascii="Arial" w:eastAsia="Times New Roman" w:hAnsi="Arial" w:cs="Arial"/>
          <w:color w:val="000000" w:themeColor="text1"/>
          <w:lang w:eastAsia="en-GB"/>
        </w:rPr>
        <w:t>one</w:t>
      </w:r>
      <w:r w:rsidRPr="00EA236B">
        <w:rPr>
          <w:rFonts w:ascii="Arial" w:eastAsia="Times New Roman" w:hAnsi="Arial" w:cs="Arial"/>
          <w:color w:val="000000" w:themeColor="text1"/>
          <w:lang w:eastAsia="en-GB"/>
        </w:rPr>
        <w:t>theless, empirical studies uncover that 60% of this group of leaders possessed transformational leadership styles by aspiring to enthuse their subordinates (Morgan, 2015). On the other hand, leadership experience is missing amongst millennial leaders; however, 53% are prepared to be coached to develop leadership careers</w:t>
      </w:r>
      <w:r w:rsidR="00093E78" w:rsidRPr="00EA236B">
        <w:rPr>
          <w:rFonts w:ascii="-webkit-standard" w:hAnsi="-webkit-standard"/>
          <w:color w:val="000000" w:themeColor="text1"/>
          <w:sz w:val="27"/>
          <w:szCs w:val="27"/>
        </w:rPr>
        <w:t xml:space="preserve"> </w:t>
      </w:r>
      <w:r w:rsidR="00093E78" w:rsidRPr="00EA236B">
        <w:rPr>
          <w:rFonts w:ascii="Arial" w:eastAsia="Times New Roman" w:hAnsi="Arial" w:cs="Arial"/>
          <w:color w:val="000000" w:themeColor="text1"/>
          <w:lang w:eastAsia="en-GB"/>
        </w:rPr>
        <w:t>(International Coaching Federation, 2017)</w:t>
      </w:r>
      <w:r w:rsidRPr="00EA236B">
        <w:rPr>
          <w:rFonts w:ascii="Arial" w:eastAsia="Times New Roman" w:hAnsi="Arial" w:cs="Arial"/>
          <w:color w:val="000000" w:themeColor="text1"/>
          <w:lang w:eastAsia="en-GB"/>
        </w:rPr>
        <w:t xml:space="preserve">. Therefore, understanding millennials' work attitudes is vital in applying the Fielder Leadership behaviour style assessment framework. The model is crucial in contemporary management concerning the rise in millennial leaders. The modern workforce now spans four generations of staff </w:t>
      </w:r>
      <w:r w:rsidRPr="00EA236B">
        <w:rPr>
          <w:rFonts w:ascii="Arial" w:eastAsia="Times New Roman" w:hAnsi="Arial" w:cs="Arial"/>
          <w:color w:val="000000" w:themeColor="text1"/>
          <w:lang w:eastAsia="en-GB"/>
        </w:rPr>
        <w:lastRenderedPageBreak/>
        <w:t xml:space="preserve">working alongside each other for the first time in history </w:t>
      </w:r>
      <w:r w:rsidR="00093E78" w:rsidRPr="00EA236B">
        <w:rPr>
          <w:rFonts w:ascii="Arial" w:eastAsia="Times New Roman" w:hAnsi="Arial" w:cs="Arial"/>
          <w:color w:val="000000" w:themeColor="text1"/>
          <w:lang w:eastAsia="en-GB"/>
        </w:rPr>
        <w:t>(Gabriel et al., 2020)</w:t>
      </w:r>
      <w:r w:rsidRPr="00EA236B">
        <w:rPr>
          <w:rFonts w:ascii="Arial" w:eastAsia="Times New Roman" w:hAnsi="Arial" w:cs="Arial"/>
          <w:color w:val="000000" w:themeColor="text1"/>
          <w:lang w:eastAsia="en-GB"/>
        </w:rPr>
        <w:t>. Therefore, leadership effectiveness is paramount for these organisations to be sustainable.</w:t>
      </w:r>
    </w:p>
    <w:p w14:paraId="444C7CD1" w14:textId="77777777" w:rsidR="000B73AA" w:rsidRPr="00EA236B" w:rsidRDefault="000B73AA" w:rsidP="00CD02C0">
      <w:pPr>
        <w:spacing w:line="360" w:lineRule="auto"/>
        <w:jc w:val="both"/>
        <w:rPr>
          <w:rFonts w:ascii="Arial" w:eastAsia="Times New Roman" w:hAnsi="Arial" w:cs="Arial"/>
          <w:color w:val="000000" w:themeColor="text1"/>
          <w:lang w:eastAsia="en-GB"/>
        </w:rPr>
      </w:pPr>
    </w:p>
    <w:p w14:paraId="25E10137" w14:textId="401D9341" w:rsidR="00370375" w:rsidRPr="00EA236B" w:rsidRDefault="00000000" w:rsidP="00CD02C0">
      <w:pPr>
        <w:spacing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 xml:space="preserve">Conversely, previous studies have failed to fully explore a universally agreed single definition of leadership (Medyanik, 2016). </w:t>
      </w:r>
      <w:r w:rsidR="00CD02C0" w:rsidRPr="00EA236B">
        <w:rPr>
          <w:rFonts w:ascii="Arial" w:eastAsia="Times New Roman" w:hAnsi="Arial" w:cs="Arial"/>
          <w:color w:val="000000" w:themeColor="text1"/>
          <w:lang w:eastAsia="en-GB"/>
        </w:rPr>
        <w:t>Nevertheless</w:t>
      </w:r>
      <w:r w:rsidRPr="00EA236B">
        <w:rPr>
          <w:rFonts w:ascii="Arial" w:eastAsia="Times New Roman" w:hAnsi="Arial" w:cs="Arial"/>
          <w:color w:val="000000" w:themeColor="text1"/>
          <w:lang w:eastAsia="en-GB"/>
        </w:rPr>
        <w:t xml:space="preserve">, leadership has progressed to incorporate social responsibility, vision, change, and motivation </w:t>
      </w:r>
      <w:r w:rsidR="000B73AA" w:rsidRPr="00EA236B">
        <w:rPr>
          <w:rFonts w:ascii="Arial" w:eastAsia="Times New Roman" w:hAnsi="Arial" w:cs="Arial"/>
          <w:color w:val="000000" w:themeColor="text1"/>
          <w:lang w:eastAsia="en-GB"/>
        </w:rPr>
        <w:t>(</w:t>
      </w:r>
      <w:r w:rsidRPr="00EA236B">
        <w:rPr>
          <w:rFonts w:ascii="Arial" w:hAnsi="Arial" w:cs="Arial"/>
          <w:color w:val="000000" w:themeColor="text1"/>
        </w:rPr>
        <w:t>Penney and Neilson</w:t>
      </w:r>
      <w:r w:rsidR="000B73AA" w:rsidRPr="00EA236B">
        <w:rPr>
          <w:rFonts w:ascii="Arial" w:hAnsi="Arial" w:cs="Arial"/>
          <w:color w:val="000000" w:themeColor="text1"/>
        </w:rPr>
        <w:t>,</w:t>
      </w:r>
      <w:r w:rsidRPr="00EA236B">
        <w:rPr>
          <w:rFonts w:ascii="Arial" w:hAnsi="Arial" w:cs="Arial"/>
          <w:color w:val="000000" w:themeColor="text1"/>
        </w:rPr>
        <w:t xml:space="preserve"> 2010, cited in Cox, 2016</w:t>
      </w:r>
      <w:r w:rsidR="000B73AA" w:rsidRPr="00EA236B">
        <w:rPr>
          <w:rFonts w:ascii="Arial" w:hAnsi="Arial" w:cs="Arial"/>
          <w:color w:val="000000" w:themeColor="text1"/>
        </w:rPr>
        <w:t>)</w:t>
      </w:r>
      <w:r w:rsidRPr="00EA236B">
        <w:rPr>
          <w:rFonts w:ascii="Arial" w:hAnsi="Arial" w:cs="Arial"/>
          <w:color w:val="000000" w:themeColor="text1"/>
        </w:rPr>
        <w:t xml:space="preserve">. </w:t>
      </w:r>
      <w:r w:rsidRPr="00EA236B">
        <w:rPr>
          <w:rFonts w:ascii="Arial" w:eastAsia="Times New Roman" w:hAnsi="Arial" w:cs="Arial"/>
          <w:color w:val="000000" w:themeColor="text1"/>
          <w:lang w:eastAsia="en-GB"/>
        </w:rPr>
        <w:t xml:space="preserve">Therefore, to ensure productivity, performance, and morale are high within corporations, the leadership traits of the new leaders must be considered based on the work of Fielder’s (1967) contingency model of leadership effectiveness. </w:t>
      </w:r>
    </w:p>
    <w:p w14:paraId="43F86FE0" w14:textId="77777777" w:rsidR="00CD02C0" w:rsidRPr="00EA236B" w:rsidRDefault="00CD02C0" w:rsidP="00CD02C0">
      <w:pPr>
        <w:spacing w:line="360" w:lineRule="auto"/>
        <w:jc w:val="both"/>
        <w:rPr>
          <w:rFonts w:ascii="Arial" w:hAnsi="Arial" w:cs="Arial"/>
          <w:color w:val="000000" w:themeColor="text1"/>
        </w:rPr>
      </w:pPr>
    </w:p>
    <w:p w14:paraId="2CE8B67F" w14:textId="1FD131D3" w:rsidR="00370375" w:rsidRDefault="00000000" w:rsidP="00335033">
      <w:pPr>
        <w:pStyle w:val="Heading2"/>
        <w:numPr>
          <w:ilvl w:val="2"/>
          <w:numId w:val="4"/>
        </w:numPr>
        <w:rPr>
          <w:rFonts w:ascii="Arial" w:eastAsia="Times New Roman" w:hAnsi="Arial" w:cs="Arial"/>
          <w:b/>
          <w:bCs/>
          <w:color w:val="000000" w:themeColor="text1"/>
          <w:sz w:val="24"/>
          <w:szCs w:val="24"/>
          <w:lang w:eastAsia="en-GB"/>
        </w:rPr>
      </w:pPr>
      <w:bookmarkStart w:id="7" w:name="_Toc126667553"/>
      <w:r w:rsidRPr="00335033">
        <w:rPr>
          <w:rFonts w:ascii="Arial" w:eastAsia="Times New Roman" w:hAnsi="Arial" w:cs="Arial"/>
          <w:b/>
          <w:bCs/>
          <w:color w:val="000000" w:themeColor="text1"/>
          <w:sz w:val="24"/>
          <w:szCs w:val="24"/>
          <w:lang w:eastAsia="en-GB"/>
        </w:rPr>
        <w:t>Fielder’s Legacy</w:t>
      </w:r>
      <w:bookmarkEnd w:id="7"/>
    </w:p>
    <w:p w14:paraId="2135963C" w14:textId="77777777" w:rsidR="00335033" w:rsidRPr="00335033" w:rsidRDefault="00335033" w:rsidP="00335033">
      <w:pPr>
        <w:pStyle w:val="ListParagraph"/>
        <w:rPr>
          <w:lang w:eastAsia="en-GB"/>
        </w:rPr>
      </w:pPr>
    </w:p>
    <w:p w14:paraId="76AE02F8" w14:textId="77777777" w:rsidR="00370375" w:rsidRPr="00EA236B" w:rsidRDefault="00000000" w:rsidP="00370375">
      <w:pPr>
        <w:spacing w:after="100" w:afterAutospacing="1"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Recent studies have indicated that Fielder’s legacy has continued as an effective method used in contemporary management (</w:t>
      </w:r>
      <w:r w:rsidR="002D6DD5" w:rsidRPr="00EA236B">
        <w:rPr>
          <w:rFonts w:ascii="Arial" w:eastAsia="Times New Roman" w:hAnsi="Arial" w:cs="Arial"/>
          <w:color w:val="000000" w:themeColor="text1"/>
          <w:lang w:eastAsia="en-GB"/>
        </w:rPr>
        <w:t>Shala et al., 2021</w:t>
      </w:r>
      <w:r w:rsidRPr="00EA236B">
        <w:rPr>
          <w:rFonts w:ascii="Arial" w:eastAsia="Times New Roman" w:hAnsi="Arial" w:cs="Arial"/>
          <w:color w:val="000000" w:themeColor="text1"/>
          <w:lang w:eastAsia="en-GB"/>
        </w:rPr>
        <w:t>). Several outstanding accomplishments have appeared in the analysis of literature that supports the contingency theory in modern management over previous theories, such as Taylor's scientific management and Weber's bureaucracy (</w:t>
      </w:r>
      <w:r w:rsidR="002D6DD5" w:rsidRPr="00EA236B">
        <w:rPr>
          <w:rFonts w:ascii="Arial" w:eastAsia="Times New Roman" w:hAnsi="Arial" w:cs="Arial"/>
          <w:color w:val="000000" w:themeColor="text1"/>
          <w:lang w:eastAsia="en-GB"/>
        </w:rPr>
        <w:t>Busolo et al., 2019</w:t>
      </w:r>
      <w:r w:rsidRPr="00EA236B">
        <w:rPr>
          <w:rFonts w:ascii="Arial" w:eastAsia="Times New Roman" w:hAnsi="Arial" w:cs="Arial"/>
          <w:color w:val="000000" w:themeColor="text1"/>
          <w:lang w:eastAsia="en-GB"/>
        </w:rPr>
        <w:t>). The rationale is that the latter theories are deemed ineffective in contemporary management due to the disregard for organisational structure and management style, swayed by different facets of the environment, such as contingency factors (</w:t>
      </w:r>
      <w:r w:rsidR="002D6DD5" w:rsidRPr="00EA236B">
        <w:rPr>
          <w:rFonts w:ascii="Arial" w:eastAsia="Times New Roman" w:hAnsi="Arial" w:cs="Arial"/>
          <w:color w:val="000000" w:themeColor="text1"/>
          <w:lang w:eastAsia="en-GB"/>
        </w:rPr>
        <w:t>Griffin, 2022</w:t>
      </w:r>
      <w:r w:rsidRPr="00EA236B">
        <w:rPr>
          <w:rFonts w:ascii="Arial" w:eastAsia="Times New Roman" w:hAnsi="Arial" w:cs="Arial"/>
          <w:color w:val="000000" w:themeColor="text1"/>
          <w:lang w:eastAsia="en-GB"/>
        </w:rPr>
        <w:t>). The millennial generation of leadership is estimated to take over 75% of the population by 2025 (Ernst and Young, 2015). Therefore, profound workforce changes in management structures, relationships amongst employees from different cultures, and structures governing social norms must be considered when determining behavioural leadership styles used in the contingency theory.</w:t>
      </w:r>
    </w:p>
    <w:p w14:paraId="0CB4E653" w14:textId="77777777" w:rsidR="00370375" w:rsidRPr="00EA236B" w:rsidRDefault="00000000" w:rsidP="00370375">
      <w:pPr>
        <w:spacing w:after="100" w:afterAutospacing="1" w:line="360" w:lineRule="auto"/>
        <w:jc w:val="both"/>
        <w:rPr>
          <w:rFonts w:ascii="Arial" w:hAnsi="Arial" w:cs="Arial"/>
          <w:color w:val="000000" w:themeColor="text1"/>
        </w:rPr>
      </w:pPr>
      <w:r w:rsidRPr="00EA236B">
        <w:rPr>
          <w:rFonts w:ascii="Arial" w:eastAsia="Times New Roman" w:hAnsi="Arial" w:cs="Arial"/>
          <w:color w:val="000000" w:themeColor="text1"/>
          <w:lang w:eastAsia="en-GB"/>
        </w:rPr>
        <w:t>Contrastingly, one undertaking address</w:t>
      </w:r>
      <w:r w:rsidR="002E7307" w:rsidRPr="00EA236B">
        <w:rPr>
          <w:rFonts w:ascii="Arial" w:eastAsia="Times New Roman" w:hAnsi="Arial" w:cs="Arial"/>
          <w:color w:val="000000" w:themeColor="text1"/>
          <w:lang w:eastAsia="en-GB"/>
        </w:rPr>
        <w:t>es</w:t>
      </w:r>
      <w:r w:rsidRPr="00EA236B">
        <w:rPr>
          <w:rFonts w:ascii="Arial" w:eastAsia="Times New Roman" w:hAnsi="Arial" w:cs="Arial"/>
          <w:color w:val="000000" w:themeColor="text1"/>
          <w:lang w:eastAsia="en-GB"/>
        </w:rPr>
        <w:t xml:space="preserve"> failures in the theoretical underpinning of the legacy of Fielder's work. The legacy could potentially be jeopardised to a certain extent due to the gender of participants contributing to the sample size, which consisted primarily of males </w:t>
      </w:r>
      <w:r w:rsidR="000E64D9" w:rsidRPr="00EA236B">
        <w:rPr>
          <w:rFonts w:ascii="Arial" w:eastAsia="Times New Roman" w:hAnsi="Arial" w:cs="Arial"/>
          <w:color w:val="000000" w:themeColor="text1"/>
          <w:lang w:eastAsia="en-GB"/>
        </w:rPr>
        <w:t>(Offenwanger et al., 2021)</w:t>
      </w:r>
      <w:r w:rsidRPr="00EA236B">
        <w:rPr>
          <w:rFonts w:ascii="Arial" w:eastAsia="Times New Roman" w:hAnsi="Arial" w:cs="Arial"/>
          <w:color w:val="000000" w:themeColor="text1"/>
          <w:lang w:eastAsia="en-GB"/>
        </w:rPr>
        <w:t xml:space="preserve">. Although Fielder's perspective on leadership is crucial to modern management, the shift in the gender composition of organisations currently includes women in executive and managerial positions </w:t>
      </w:r>
      <w:r w:rsidR="000E64D9" w:rsidRPr="00EA236B">
        <w:rPr>
          <w:rFonts w:ascii="Arial" w:hAnsi="Arial" w:cs="Arial"/>
          <w:color w:val="000000" w:themeColor="text1"/>
        </w:rPr>
        <w:t>(Grandy, 2020</w:t>
      </w:r>
      <w:r w:rsidR="003650DF" w:rsidRPr="00EA236B">
        <w:rPr>
          <w:rFonts w:ascii="Arial" w:hAnsi="Arial" w:cs="Arial"/>
          <w:color w:val="000000" w:themeColor="text1"/>
        </w:rPr>
        <w:t>; Freund &amp; Hernandez-Maskivker, 2021)</w:t>
      </w:r>
      <w:r w:rsidRPr="00EA236B">
        <w:rPr>
          <w:rFonts w:ascii="Arial" w:eastAsia="Times New Roman" w:hAnsi="Arial" w:cs="Arial"/>
          <w:color w:val="000000" w:themeColor="text1"/>
          <w:lang w:eastAsia="en-GB"/>
        </w:rPr>
        <w:t xml:space="preserve">. There is a gap in knowledge as to whether these predominantly male-dominated participant samples on leadership theories also apply to female leaders. For this reason, the contingency model may not truly envisage a correlation between team performance and </w:t>
      </w:r>
      <w:r w:rsidRPr="00EA236B">
        <w:rPr>
          <w:rFonts w:ascii="Arial" w:hAnsi="Arial" w:cs="Arial"/>
          <w:color w:val="000000" w:themeColor="text1"/>
        </w:rPr>
        <w:t>Least-Preferred Co-worker (LPC) Scale</w:t>
      </w:r>
      <w:r w:rsidRPr="00EA236B">
        <w:rPr>
          <w:rFonts w:ascii="TimesNewRomanPSMT" w:hAnsi="TimesNewRomanPSMT"/>
          <w:color w:val="000000" w:themeColor="text1"/>
        </w:rPr>
        <w:t xml:space="preserve"> </w:t>
      </w:r>
      <w:r w:rsidRPr="00EA236B">
        <w:rPr>
          <w:rFonts w:ascii="Arial" w:hAnsi="Arial" w:cs="Arial"/>
          <w:color w:val="000000" w:themeColor="text1"/>
        </w:rPr>
        <w:t>score</w:t>
      </w:r>
      <w:r w:rsidRPr="00EA236B">
        <w:rPr>
          <w:rFonts w:ascii="TimesNewRomanPSMT" w:hAnsi="TimesNewRomanPSMT"/>
          <w:color w:val="000000" w:themeColor="text1"/>
        </w:rPr>
        <w:t xml:space="preserve">, </w:t>
      </w:r>
      <w:r w:rsidRPr="00EA236B">
        <w:rPr>
          <w:rFonts w:ascii="Arial" w:hAnsi="Arial" w:cs="Arial"/>
          <w:color w:val="000000" w:themeColor="text1"/>
        </w:rPr>
        <w:t>as opined by Fielder’s (1967) contemporary context of leadership (</w:t>
      </w:r>
      <w:r w:rsidR="003650DF" w:rsidRPr="00EA236B">
        <w:rPr>
          <w:rFonts w:ascii="Arial" w:hAnsi="Arial" w:cs="Arial"/>
          <w:color w:val="000000" w:themeColor="text1"/>
        </w:rPr>
        <w:t>Souza, 2020</w:t>
      </w:r>
      <w:r w:rsidRPr="00EA236B">
        <w:rPr>
          <w:rFonts w:ascii="Arial" w:hAnsi="Arial" w:cs="Arial"/>
          <w:color w:val="000000" w:themeColor="text1"/>
        </w:rPr>
        <w:t>). It can be argued that the gender shift in leadership positions disreputes the generalisability of leadership theories developed.</w:t>
      </w:r>
    </w:p>
    <w:p w14:paraId="4E8ED356" w14:textId="77777777" w:rsidR="00370375" w:rsidRPr="00EA236B" w:rsidRDefault="00370375" w:rsidP="00370375">
      <w:pPr>
        <w:spacing w:after="100" w:afterAutospacing="1"/>
        <w:rPr>
          <w:rFonts w:ascii="Arial" w:eastAsia="Times New Roman" w:hAnsi="Arial" w:cs="Arial"/>
          <w:b/>
          <w:bCs/>
          <w:color w:val="000000" w:themeColor="text1"/>
          <w:lang w:eastAsia="en-GB"/>
        </w:rPr>
      </w:pPr>
    </w:p>
    <w:p w14:paraId="584E5A57" w14:textId="162BF486" w:rsidR="00370375" w:rsidRDefault="00000000" w:rsidP="00335033">
      <w:pPr>
        <w:pStyle w:val="Heading2"/>
        <w:numPr>
          <w:ilvl w:val="1"/>
          <w:numId w:val="4"/>
        </w:numPr>
        <w:rPr>
          <w:rFonts w:ascii="Arial" w:eastAsia="Times New Roman" w:hAnsi="Arial" w:cs="Arial"/>
          <w:b/>
          <w:bCs/>
          <w:color w:val="000000" w:themeColor="text1"/>
          <w:sz w:val="24"/>
          <w:szCs w:val="24"/>
          <w:lang w:eastAsia="en-GB"/>
        </w:rPr>
      </w:pPr>
      <w:bookmarkStart w:id="8" w:name="_Toc126667554"/>
      <w:r w:rsidRPr="00335033">
        <w:rPr>
          <w:rFonts w:ascii="Arial" w:eastAsia="Times New Roman" w:hAnsi="Arial" w:cs="Arial"/>
          <w:b/>
          <w:bCs/>
          <w:color w:val="000000" w:themeColor="text1"/>
          <w:sz w:val="24"/>
          <w:szCs w:val="24"/>
          <w:lang w:eastAsia="en-GB"/>
        </w:rPr>
        <w:lastRenderedPageBreak/>
        <w:t>Overview of Michael Porter's Perspective</w:t>
      </w:r>
      <w:bookmarkEnd w:id="8"/>
    </w:p>
    <w:p w14:paraId="54C49F9C" w14:textId="77777777" w:rsidR="00335033" w:rsidRPr="00335033" w:rsidRDefault="00335033" w:rsidP="00335033">
      <w:pPr>
        <w:pStyle w:val="ListParagraph"/>
        <w:ind w:left="400"/>
        <w:rPr>
          <w:lang w:eastAsia="en-GB"/>
        </w:rPr>
      </w:pPr>
    </w:p>
    <w:p w14:paraId="28E19A0B" w14:textId="7B6E2780" w:rsidR="001141C7" w:rsidRPr="00EA236B" w:rsidRDefault="00000000" w:rsidP="00370375">
      <w:pPr>
        <w:spacing w:after="100" w:afterAutospacing="1"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Adopting strategies to gain competitive advantage is widely used to date in contemporary management (Papadas et al., 2019). The strategy has evolved widely as an integral part of modern management. Hence, much accreditation is given to Harvard Business School Professor Michael Porter for work in the field of strategic management. Porter is renowned for business strategy and economics, with much work conducted as a consultant and founder of The Monitor Group, now part of Deloitte (</w:t>
      </w:r>
      <w:r w:rsidR="00033360" w:rsidRPr="00EA236B">
        <w:rPr>
          <w:rFonts w:ascii="Arial" w:eastAsia="Times New Roman" w:hAnsi="Arial" w:cs="Arial"/>
          <w:color w:val="000000" w:themeColor="text1"/>
          <w:lang w:eastAsia="en-GB"/>
        </w:rPr>
        <w:t>Bartunek, 2020</w:t>
      </w:r>
      <w:r w:rsidRPr="00EA236B">
        <w:rPr>
          <w:rFonts w:ascii="Arial" w:eastAsia="Times New Roman" w:hAnsi="Arial" w:cs="Arial"/>
          <w:color w:val="000000" w:themeColor="text1"/>
          <w:lang w:eastAsia="en-GB"/>
        </w:rPr>
        <w:t xml:space="preserve">). Porter's love and participation in competitive sports as a student </w:t>
      </w:r>
      <w:r w:rsidR="006D5C8E" w:rsidRPr="00EA236B">
        <w:rPr>
          <w:rFonts w:ascii="Arial" w:eastAsia="Times New Roman" w:hAnsi="Arial" w:cs="Arial"/>
          <w:color w:val="000000" w:themeColor="text1"/>
          <w:lang w:eastAsia="en-GB"/>
        </w:rPr>
        <w:t xml:space="preserve">provoked </w:t>
      </w:r>
      <w:r w:rsidRPr="00EA236B">
        <w:rPr>
          <w:rFonts w:ascii="Arial" w:eastAsia="Times New Roman" w:hAnsi="Arial" w:cs="Arial"/>
          <w:color w:val="000000" w:themeColor="text1"/>
          <w:lang w:eastAsia="en-GB"/>
        </w:rPr>
        <w:t>thoughts about competitiveness in business and implement</w:t>
      </w:r>
      <w:r w:rsidR="006D5C8E" w:rsidRPr="00EA236B">
        <w:rPr>
          <w:rFonts w:ascii="Arial" w:eastAsia="Times New Roman" w:hAnsi="Arial" w:cs="Arial"/>
          <w:color w:val="000000" w:themeColor="text1"/>
          <w:lang w:eastAsia="en-GB"/>
        </w:rPr>
        <w:t>ing</w:t>
      </w:r>
      <w:r w:rsidRPr="00EA236B">
        <w:rPr>
          <w:rFonts w:ascii="Arial" w:eastAsia="Times New Roman" w:hAnsi="Arial" w:cs="Arial"/>
          <w:color w:val="000000" w:themeColor="text1"/>
          <w:lang w:eastAsia="en-GB"/>
        </w:rPr>
        <w:t xml:space="preserve"> strategies to gain a competitive advantage. Notably, the encouragement of </w:t>
      </w:r>
      <w:r w:rsidR="00EF265E" w:rsidRPr="00EA236B">
        <w:rPr>
          <w:rFonts w:ascii="Arial" w:eastAsia="Times New Roman" w:hAnsi="Arial" w:cs="Arial"/>
          <w:color w:val="000000" w:themeColor="text1"/>
          <w:lang w:eastAsia="en-GB"/>
        </w:rPr>
        <w:t xml:space="preserve">Porter’s </w:t>
      </w:r>
      <w:r w:rsidRPr="00EA236B">
        <w:rPr>
          <w:rFonts w:ascii="Arial" w:eastAsia="Times New Roman" w:hAnsi="Arial" w:cs="Arial"/>
          <w:color w:val="000000" w:themeColor="text1"/>
          <w:lang w:eastAsia="en-GB"/>
        </w:rPr>
        <w:t>Harvard Professor</w:t>
      </w:r>
      <w:r w:rsidR="00EF265E" w:rsidRPr="00EA236B">
        <w:rPr>
          <w:rFonts w:ascii="Arial" w:eastAsia="Times New Roman" w:hAnsi="Arial" w:cs="Arial"/>
          <w:color w:val="000000" w:themeColor="text1"/>
          <w:lang w:eastAsia="en-GB"/>
        </w:rPr>
        <w:t>s</w:t>
      </w:r>
      <w:r w:rsidRPr="00EA236B">
        <w:rPr>
          <w:rFonts w:ascii="Arial" w:eastAsia="Times New Roman" w:hAnsi="Arial" w:cs="Arial"/>
          <w:color w:val="000000" w:themeColor="text1"/>
          <w:lang w:eastAsia="en-GB"/>
        </w:rPr>
        <w:t xml:space="preserve"> gave Porter an in-class platform contributing to the lecture. Porter has built a portfolio of work currently used in modern management. </w:t>
      </w:r>
    </w:p>
    <w:p w14:paraId="6A0B18DF" w14:textId="02F80C98" w:rsidR="00370375" w:rsidRDefault="00000000" w:rsidP="00335033">
      <w:pPr>
        <w:pStyle w:val="Heading2"/>
        <w:numPr>
          <w:ilvl w:val="2"/>
          <w:numId w:val="4"/>
        </w:numPr>
        <w:rPr>
          <w:rFonts w:ascii="Arial" w:eastAsia="Times New Roman" w:hAnsi="Arial" w:cs="Arial"/>
          <w:b/>
          <w:bCs/>
          <w:color w:val="000000" w:themeColor="text1"/>
          <w:sz w:val="24"/>
          <w:szCs w:val="24"/>
          <w:lang w:eastAsia="en-GB"/>
        </w:rPr>
      </w:pPr>
      <w:bookmarkStart w:id="9" w:name="_Toc126667555"/>
      <w:r w:rsidRPr="00335033">
        <w:rPr>
          <w:rFonts w:ascii="Arial" w:eastAsia="Times New Roman" w:hAnsi="Arial" w:cs="Arial"/>
          <w:b/>
          <w:bCs/>
          <w:color w:val="000000" w:themeColor="text1"/>
          <w:sz w:val="24"/>
          <w:szCs w:val="24"/>
          <w:lang w:eastAsia="en-GB"/>
        </w:rPr>
        <w:t>Porter’s Work</w:t>
      </w:r>
      <w:bookmarkEnd w:id="9"/>
    </w:p>
    <w:p w14:paraId="119B0413" w14:textId="77777777" w:rsidR="00335033" w:rsidRPr="00335033" w:rsidRDefault="00335033" w:rsidP="00335033">
      <w:pPr>
        <w:pStyle w:val="ListParagraph"/>
        <w:rPr>
          <w:lang w:eastAsia="en-GB"/>
        </w:rPr>
      </w:pPr>
    </w:p>
    <w:p w14:paraId="46C60E9C" w14:textId="77777777" w:rsidR="00370375" w:rsidRPr="00EA236B" w:rsidRDefault="00000000" w:rsidP="00370375">
      <w:pPr>
        <w:spacing w:after="100" w:afterAutospacing="1"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Porter became known as a healthcare theorist after the value-based healthcare model. The model proved vital in reassessing Germany's healthcare system, primarily focusing on creating value for patients (</w:t>
      </w:r>
      <w:r w:rsidR="00EF265E" w:rsidRPr="00EA236B">
        <w:rPr>
          <w:rFonts w:ascii="Arial" w:eastAsia="Times New Roman" w:hAnsi="Arial" w:cs="Arial"/>
          <w:color w:val="000000" w:themeColor="text1"/>
          <w:lang w:eastAsia="en-GB"/>
        </w:rPr>
        <w:t>Porter, 2008</w:t>
      </w:r>
      <w:r w:rsidRPr="00EA236B">
        <w:rPr>
          <w:rFonts w:ascii="Arial" w:eastAsia="Times New Roman" w:hAnsi="Arial" w:cs="Arial"/>
          <w:color w:val="000000" w:themeColor="text1"/>
          <w:lang w:eastAsia="en-GB"/>
        </w:rPr>
        <w:t xml:space="preserve">). Aspects of Porter's work include The Value Chain Model, Porter's Five forces Model, Porter's Generic Strategy involving cost leadership, and Porter's Value-Based Healthcare. </w:t>
      </w:r>
    </w:p>
    <w:p w14:paraId="12CB0E21" w14:textId="6B7798E9" w:rsidR="00370375" w:rsidRPr="00EA236B" w:rsidRDefault="00000000" w:rsidP="00370375">
      <w:pPr>
        <w:spacing w:after="100" w:afterAutospacing="1"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Globally, healthcare reform has been determined by increased care expenses, capital expenditure (CapEx) regarding new technologies, and disparity in the quality of care (Reitblat et al., 2021). A spate of gradual resolutions to the increasing challenges of population health, contesting deception, and incorporating digital health records, have had a minute realisation (Darves-Bornoz &amp; Resnick, 2017; Laviana et al., 2020). Hence, Porter's value-based healthcare was introduced as a profoundly innovative strategy on how healthcare should be structured, measured, and reimbursed (Porter, 2008). Fundamental to this report is the way care is provided. Porter (2008) postulated that health institutions such as hospitals should restrict focusing on capacities where the delivery of services is excellent and expand to other regions instead of operating as single entities. Vital to Porter's perspective is the restructuring of the way care is provided. Notably, the viewpoint expressed transferring emphasis from the capacity and generation of revenue from services to improving value for the patient (Reitblat et al., 2021). Importantly, values are what matters to patients in continuing Porter’s legacy.</w:t>
      </w:r>
    </w:p>
    <w:p w14:paraId="12E9BBEB" w14:textId="5693CE10" w:rsidR="00370375" w:rsidRDefault="00000000" w:rsidP="00832105">
      <w:pPr>
        <w:pStyle w:val="Heading2"/>
        <w:numPr>
          <w:ilvl w:val="2"/>
          <w:numId w:val="4"/>
        </w:numPr>
        <w:rPr>
          <w:rFonts w:ascii="Arial" w:eastAsia="Times New Roman" w:hAnsi="Arial" w:cs="Arial"/>
          <w:b/>
          <w:bCs/>
          <w:color w:val="000000" w:themeColor="text1"/>
          <w:sz w:val="24"/>
          <w:szCs w:val="24"/>
          <w:lang w:eastAsia="en-GB"/>
        </w:rPr>
      </w:pPr>
      <w:bookmarkStart w:id="10" w:name="_Toc126667556"/>
      <w:r w:rsidRPr="00832105">
        <w:rPr>
          <w:rFonts w:ascii="Arial" w:eastAsia="Times New Roman" w:hAnsi="Arial" w:cs="Arial"/>
          <w:b/>
          <w:bCs/>
          <w:color w:val="000000" w:themeColor="text1"/>
          <w:sz w:val="24"/>
          <w:szCs w:val="24"/>
          <w:lang w:eastAsia="en-GB"/>
        </w:rPr>
        <w:t>Porter’s Legacy</w:t>
      </w:r>
      <w:bookmarkEnd w:id="10"/>
    </w:p>
    <w:p w14:paraId="27BB46B1" w14:textId="77777777" w:rsidR="00832105" w:rsidRPr="00832105" w:rsidRDefault="00832105" w:rsidP="00832105">
      <w:pPr>
        <w:pStyle w:val="ListParagraph"/>
        <w:rPr>
          <w:lang w:eastAsia="en-GB"/>
        </w:rPr>
      </w:pPr>
    </w:p>
    <w:p w14:paraId="701A7B26" w14:textId="58C56707" w:rsidR="008209B4" w:rsidRPr="00EA236B" w:rsidRDefault="00000000" w:rsidP="00370375">
      <w:pPr>
        <w:spacing w:after="100" w:afterAutospacing="1"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 xml:space="preserve">Seemingly, Porter's legacy widely exists in contemporary management and is on a trajectory to continue where improving patient value is a concern. Also, as more studies are conducted on achieving competitive advantage, Porter's Five Forces model proves helpful in determining the </w:t>
      </w:r>
      <w:r w:rsidRPr="00EA236B">
        <w:rPr>
          <w:rFonts w:ascii="Arial" w:eastAsia="Times New Roman" w:hAnsi="Arial" w:cs="Arial"/>
          <w:color w:val="000000" w:themeColor="text1"/>
          <w:lang w:eastAsia="en-GB"/>
        </w:rPr>
        <w:lastRenderedPageBreak/>
        <w:t xml:space="preserve">barriers to entry from an entrepreneurial perspective. Organisations are constantly strategising how to add value, with more leaders adopting the value chain model constructed </w:t>
      </w:r>
      <w:r w:rsidR="00EF265E" w:rsidRPr="00EA236B">
        <w:rPr>
          <w:rFonts w:ascii="Arial" w:eastAsia="Times New Roman" w:hAnsi="Arial" w:cs="Arial"/>
          <w:color w:val="000000" w:themeColor="text1"/>
          <w:lang w:eastAsia="en-GB"/>
        </w:rPr>
        <w:t>(Pal &amp; Altay, 2019)</w:t>
      </w:r>
      <w:r w:rsidRPr="00EA236B">
        <w:rPr>
          <w:rFonts w:ascii="Arial" w:eastAsia="Times New Roman" w:hAnsi="Arial" w:cs="Arial"/>
          <w:color w:val="000000" w:themeColor="text1"/>
          <w:lang w:eastAsia="en-GB"/>
        </w:rPr>
        <w:t>.</w:t>
      </w:r>
    </w:p>
    <w:p w14:paraId="052F13A8" w14:textId="77777777" w:rsidR="00370375" w:rsidRPr="00EA236B" w:rsidRDefault="00370375" w:rsidP="00370375">
      <w:pPr>
        <w:rPr>
          <w:b/>
          <w:bCs/>
          <w:color w:val="000000" w:themeColor="text1"/>
        </w:rPr>
      </w:pPr>
    </w:p>
    <w:p w14:paraId="7A11BE23" w14:textId="280E6577" w:rsidR="00820785" w:rsidRPr="00D427C3" w:rsidRDefault="00000000" w:rsidP="00D427C3">
      <w:pPr>
        <w:pStyle w:val="Heading1"/>
        <w:jc w:val="center"/>
        <w:rPr>
          <w:rFonts w:ascii="Arial" w:hAnsi="Arial" w:cs="Arial"/>
          <w:b/>
          <w:bCs/>
          <w:color w:val="000000" w:themeColor="text1"/>
          <w:sz w:val="24"/>
          <w:szCs w:val="24"/>
        </w:rPr>
      </w:pPr>
      <w:bookmarkStart w:id="11" w:name="_Toc126667557"/>
      <w:r w:rsidRPr="00D427C3">
        <w:rPr>
          <w:rFonts w:ascii="Arial" w:hAnsi="Arial" w:cs="Arial"/>
          <w:b/>
          <w:bCs/>
          <w:color w:val="000000" w:themeColor="text1"/>
          <w:sz w:val="24"/>
          <w:szCs w:val="24"/>
        </w:rPr>
        <w:t>Chapter 2</w:t>
      </w:r>
      <w:r w:rsidR="0097160C" w:rsidRPr="00D427C3">
        <w:rPr>
          <w:rFonts w:ascii="Arial" w:hAnsi="Arial" w:cs="Arial"/>
          <w:b/>
          <w:bCs/>
          <w:color w:val="000000" w:themeColor="text1"/>
          <w:sz w:val="24"/>
          <w:szCs w:val="24"/>
        </w:rPr>
        <w:t>.0</w:t>
      </w:r>
      <w:r w:rsidRPr="00D427C3">
        <w:rPr>
          <w:rFonts w:ascii="Arial" w:hAnsi="Arial" w:cs="Arial"/>
          <w:b/>
          <w:bCs/>
          <w:color w:val="000000" w:themeColor="text1"/>
          <w:sz w:val="24"/>
          <w:szCs w:val="24"/>
        </w:rPr>
        <w:t xml:space="preserve"> </w:t>
      </w:r>
      <w:r w:rsidR="00B76E97" w:rsidRPr="00D427C3">
        <w:rPr>
          <w:rFonts w:ascii="Arial" w:hAnsi="Arial" w:cs="Arial"/>
          <w:b/>
          <w:bCs/>
          <w:color w:val="000000" w:themeColor="text1"/>
          <w:sz w:val="24"/>
          <w:szCs w:val="24"/>
        </w:rPr>
        <w:t xml:space="preserve">Critical </w:t>
      </w:r>
      <w:r w:rsidRPr="00D427C3">
        <w:rPr>
          <w:rFonts w:ascii="Arial" w:hAnsi="Arial" w:cs="Arial"/>
          <w:b/>
          <w:bCs/>
          <w:color w:val="000000" w:themeColor="text1"/>
          <w:sz w:val="24"/>
          <w:szCs w:val="24"/>
        </w:rPr>
        <w:t>Comparison of Case Study Organisations</w:t>
      </w:r>
      <w:bookmarkEnd w:id="11"/>
    </w:p>
    <w:p w14:paraId="4B574B9D" w14:textId="77777777" w:rsidR="001E5672" w:rsidRPr="00EA236B" w:rsidRDefault="001E5672" w:rsidP="008D27E2">
      <w:pPr>
        <w:jc w:val="center"/>
        <w:rPr>
          <w:b/>
          <w:bCs/>
          <w:color w:val="000000" w:themeColor="text1"/>
        </w:rPr>
      </w:pPr>
    </w:p>
    <w:p w14:paraId="15B84811" w14:textId="77777777" w:rsidR="00820785" w:rsidRPr="00EA236B" w:rsidRDefault="00820785" w:rsidP="00820785">
      <w:pPr>
        <w:rPr>
          <w:b/>
          <w:bCs/>
          <w:color w:val="000000" w:themeColor="text1"/>
        </w:rPr>
      </w:pPr>
    </w:p>
    <w:p w14:paraId="59B177AF" w14:textId="77777777" w:rsidR="00820785" w:rsidRPr="00D427C3" w:rsidRDefault="00000000" w:rsidP="000329BA">
      <w:pPr>
        <w:pStyle w:val="Heading2"/>
        <w:rPr>
          <w:rFonts w:ascii="Arial" w:hAnsi="Arial" w:cs="Arial"/>
          <w:color w:val="000000" w:themeColor="text1"/>
          <w:sz w:val="24"/>
          <w:szCs w:val="24"/>
        </w:rPr>
      </w:pPr>
      <w:bookmarkStart w:id="12" w:name="_Toc126667558"/>
      <w:r w:rsidRPr="00D427C3">
        <w:rPr>
          <w:rFonts w:ascii="Arial" w:hAnsi="Arial" w:cs="Arial"/>
          <w:b/>
          <w:bCs/>
          <w:color w:val="000000" w:themeColor="text1"/>
          <w:sz w:val="24"/>
          <w:szCs w:val="24"/>
        </w:rPr>
        <w:t>2.1 Introduction to Medical Tourism</w:t>
      </w:r>
      <w:bookmarkEnd w:id="12"/>
      <w:r w:rsidRPr="00D427C3">
        <w:rPr>
          <w:rFonts w:ascii="Arial" w:hAnsi="Arial" w:cs="Arial"/>
          <w:b/>
          <w:bCs/>
          <w:color w:val="000000" w:themeColor="text1"/>
          <w:sz w:val="24"/>
          <w:szCs w:val="24"/>
        </w:rPr>
        <w:t xml:space="preserve"> </w:t>
      </w:r>
    </w:p>
    <w:p w14:paraId="084967AB" w14:textId="77777777" w:rsidR="00820785" w:rsidRPr="00EA236B" w:rsidRDefault="00820785" w:rsidP="00820785">
      <w:pPr>
        <w:rPr>
          <w:color w:val="000000" w:themeColor="text1"/>
        </w:rPr>
      </w:pPr>
    </w:p>
    <w:p w14:paraId="35B22802" w14:textId="160CA47B"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rPr>
        <w:t>As individuals seek more spending power, the need to travel for services gives rise to patients seeking medical care in other countries deemed less expensive than their host country (Momeni, Janati, Imani, and Khodayari-Zarnaq, 2018). However, this opportunity to access cheaper healthcare works as a two-fold strategy for treating a patient and then the patient can move on to bask in the tourism aspect of the same country.</w:t>
      </w:r>
      <w:r w:rsidRPr="00EA236B">
        <w:rPr>
          <w:rFonts w:ascii="Arial" w:hAnsi="Arial" w:cs="Arial"/>
          <w:color w:val="000000" w:themeColor="text1"/>
          <w:shd w:val="clear" w:color="auto" w:fill="FFFFFF"/>
        </w:rPr>
        <w:t xml:space="preserve"> This chapter will adopt a qualitative approach which involves </w:t>
      </w:r>
      <w:r w:rsidR="00B76E97" w:rsidRPr="00EA236B">
        <w:rPr>
          <w:rFonts w:ascii="Arial" w:hAnsi="Arial" w:cs="Arial"/>
          <w:color w:val="000000" w:themeColor="text1"/>
          <w:shd w:val="clear" w:color="auto" w:fill="FFFFFF"/>
        </w:rPr>
        <w:t>conducting a critical comparison of</w:t>
      </w:r>
      <w:r w:rsidRPr="00EA236B">
        <w:rPr>
          <w:rFonts w:ascii="Arial" w:hAnsi="Arial" w:cs="Arial"/>
          <w:color w:val="000000" w:themeColor="text1"/>
          <w:shd w:val="clear" w:color="auto" w:fill="FFFFFF"/>
        </w:rPr>
        <w:t xml:space="preserve"> two case studies. First</w:t>
      </w:r>
      <w:r w:rsidR="006117E5" w:rsidRPr="00EA236B">
        <w:rPr>
          <w:rFonts w:ascii="Arial" w:hAnsi="Arial" w:cs="Arial"/>
          <w:color w:val="000000" w:themeColor="text1"/>
          <w:shd w:val="clear" w:color="auto" w:fill="FFFFFF"/>
        </w:rPr>
        <w:t>ly</w:t>
      </w:r>
      <w:r w:rsidRPr="00EA236B">
        <w:rPr>
          <w:rFonts w:ascii="Arial" w:hAnsi="Arial" w:cs="Arial"/>
          <w:color w:val="000000" w:themeColor="text1"/>
          <w:shd w:val="clear" w:color="auto" w:fill="FFFFFF"/>
        </w:rPr>
        <w:t xml:space="preserve">, a case study on medical tourism in </w:t>
      </w:r>
      <w:r w:rsidR="006117E5" w:rsidRPr="00EA236B">
        <w:rPr>
          <w:rFonts w:ascii="Arial" w:hAnsi="Arial" w:cs="Arial"/>
          <w:color w:val="000000" w:themeColor="text1"/>
          <w:shd w:val="clear" w:color="auto" w:fill="FFFFFF"/>
        </w:rPr>
        <w:t>Thailand</w:t>
      </w:r>
      <w:r w:rsidRPr="00EA236B">
        <w:rPr>
          <w:rFonts w:ascii="Arial" w:hAnsi="Arial" w:cs="Arial"/>
          <w:color w:val="000000" w:themeColor="text1"/>
          <w:shd w:val="clear" w:color="auto" w:fill="FFFFFF"/>
        </w:rPr>
        <w:t xml:space="preserve"> will highlight facts on the sector gaining momentum. Secondly, a case study on India's medical tourism will effectively compare the two case studies. Medical tourism, as a field, corroborates the combination of medical provision and the servitisation of tourism (Ji and Yang, 2016).</w:t>
      </w:r>
    </w:p>
    <w:p w14:paraId="7E0ECE35" w14:textId="77777777" w:rsidR="008209B4" w:rsidRPr="00EA236B" w:rsidRDefault="008209B4" w:rsidP="00820785">
      <w:pPr>
        <w:spacing w:line="360" w:lineRule="auto"/>
        <w:jc w:val="both"/>
        <w:rPr>
          <w:rFonts w:ascii="Arial" w:hAnsi="Arial" w:cs="Arial"/>
          <w:color w:val="000000" w:themeColor="text1"/>
          <w:shd w:val="clear" w:color="auto" w:fill="FFFFFF"/>
        </w:rPr>
      </w:pPr>
    </w:p>
    <w:p w14:paraId="0EB59398" w14:textId="1909CB0E"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DiMicco (2017), </w:t>
      </w:r>
      <w:r w:rsidR="00527B31" w:rsidRPr="00EA236B">
        <w:rPr>
          <w:rFonts w:ascii="Arial" w:hAnsi="Arial" w:cs="Arial"/>
          <w:color w:val="000000" w:themeColor="text1"/>
          <w:shd w:val="clear" w:color="auto" w:fill="FFFFFF"/>
        </w:rPr>
        <w:t xml:space="preserve">as cited in Majumdar (2018), </w:t>
      </w:r>
      <w:r w:rsidRPr="00EA236B">
        <w:rPr>
          <w:rFonts w:ascii="Arial" w:hAnsi="Arial" w:cs="Arial"/>
          <w:color w:val="000000" w:themeColor="text1"/>
          <w:shd w:val="clear" w:color="auto" w:fill="FFFFFF"/>
        </w:rPr>
        <w:t>profess</w:t>
      </w:r>
      <w:r w:rsidR="006117E5" w:rsidRPr="00EA236B">
        <w:rPr>
          <w:rFonts w:ascii="Arial" w:hAnsi="Arial" w:cs="Arial"/>
          <w:color w:val="000000" w:themeColor="text1"/>
          <w:shd w:val="clear" w:color="auto" w:fill="FFFFFF"/>
        </w:rPr>
        <w:t>ed</w:t>
      </w:r>
      <w:r w:rsidRPr="00EA236B">
        <w:rPr>
          <w:rFonts w:ascii="Arial" w:hAnsi="Arial" w:cs="Arial"/>
          <w:color w:val="000000" w:themeColor="text1"/>
          <w:shd w:val="clear" w:color="auto" w:fill="FFFFFF"/>
        </w:rPr>
        <w:t xml:space="preserve"> medical</w:t>
      </w:r>
      <w:r w:rsidRPr="00EA236B">
        <w:rPr>
          <w:rStyle w:val="apple-converted-space"/>
          <w:rFonts w:ascii="Arial" w:hAnsi="Arial" w:cs="Arial"/>
          <w:color w:val="000000" w:themeColor="text1"/>
          <w:shd w:val="clear" w:color="auto" w:fill="FFFFFF"/>
        </w:rPr>
        <w:t> </w:t>
      </w:r>
      <w:r w:rsidRPr="00EA236B">
        <w:rPr>
          <w:rStyle w:val="exs"/>
          <w:rFonts w:ascii="Arial" w:hAnsi="Arial" w:cs="Arial"/>
          <w:color w:val="000000" w:themeColor="text1"/>
        </w:rPr>
        <w:t>tourism</w:t>
      </w:r>
      <w:r w:rsidRPr="00EA236B">
        <w:rPr>
          <w:rStyle w:val="apple-converted-space"/>
          <w:rFonts w:ascii="Arial" w:hAnsi="Arial" w:cs="Arial"/>
          <w:color w:val="000000" w:themeColor="text1"/>
          <w:shd w:val="clear" w:color="auto" w:fill="FFFFFF"/>
        </w:rPr>
        <w:t xml:space="preserve"> as </w:t>
      </w:r>
      <w:r w:rsidRPr="00EA236B">
        <w:rPr>
          <w:rStyle w:val="exs"/>
          <w:rFonts w:ascii="Arial" w:hAnsi="Arial" w:cs="Arial"/>
          <w:color w:val="000000" w:themeColor="text1"/>
        </w:rPr>
        <w:t>one</w:t>
      </w:r>
      <w:r w:rsidRPr="00EA236B">
        <w:rPr>
          <w:rStyle w:val="apple-converted-space"/>
          <w:rFonts w:ascii="Arial" w:hAnsi="Arial" w:cs="Arial"/>
          <w:color w:val="000000" w:themeColor="text1"/>
          <w:shd w:val="clear" w:color="auto" w:fill="FFFFFF"/>
        </w:rPr>
        <w:t> </w:t>
      </w:r>
      <w:r w:rsidRPr="00EA236B">
        <w:rPr>
          <w:rStyle w:val="exs"/>
          <w:rFonts w:ascii="Arial" w:hAnsi="Arial" w:cs="Arial"/>
          <w:color w:val="000000" w:themeColor="text1"/>
        </w:rPr>
        <w:t>of</w:t>
      </w:r>
      <w:r w:rsidRPr="00EA236B">
        <w:rPr>
          <w:rStyle w:val="apple-converted-space"/>
          <w:rFonts w:ascii="Arial" w:hAnsi="Arial" w:cs="Arial"/>
          <w:color w:val="000000" w:themeColor="text1"/>
          <w:shd w:val="clear" w:color="auto" w:fill="FFFFFF"/>
        </w:rPr>
        <w:t> </w:t>
      </w:r>
      <w:r w:rsidRPr="00EA236B">
        <w:rPr>
          <w:rStyle w:val="exs"/>
          <w:rFonts w:ascii="Arial" w:hAnsi="Arial" w:cs="Arial"/>
          <w:color w:val="000000" w:themeColor="text1"/>
        </w:rPr>
        <w:t>t</w:t>
      </w:r>
      <w:r w:rsidRPr="00EA236B">
        <w:rPr>
          <w:rStyle w:val="apple-converted-space"/>
          <w:rFonts w:ascii="Arial" w:hAnsi="Arial" w:cs="Arial"/>
          <w:color w:val="000000" w:themeColor="text1"/>
          <w:shd w:val="clear" w:color="auto" w:fill="FFFFFF"/>
        </w:rPr>
        <w:t xml:space="preserve">oday's </w:t>
      </w:r>
      <w:r w:rsidR="006117E5" w:rsidRPr="00EA236B">
        <w:rPr>
          <w:rStyle w:val="exs"/>
          <w:rFonts w:ascii="Arial" w:hAnsi="Arial" w:cs="Arial"/>
          <w:color w:val="000000" w:themeColor="text1"/>
        </w:rPr>
        <w:t xml:space="preserve">elite assemblages </w:t>
      </w:r>
      <w:r w:rsidRPr="00EA236B">
        <w:rPr>
          <w:rStyle w:val="exs"/>
          <w:rFonts w:ascii="Arial" w:hAnsi="Arial" w:cs="Arial"/>
          <w:color w:val="000000" w:themeColor="text1"/>
        </w:rPr>
        <w:t>in</w:t>
      </w:r>
      <w:r w:rsidRPr="00EA236B">
        <w:rPr>
          <w:rStyle w:val="apple-converted-space"/>
          <w:rFonts w:ascii="Arial" w:hAnsi="Arial" w:cs="Arial"/>
          <w:color w:val="000000" w:themeColor="text1"/>
          <w:shd w:val="clear" w:color="auto" w:fill="FFFFFF"/>
        </w:rPr>
        <w:t> </w:t>
      </w:r>
      <w:r w:rsidRPr="00EA236B">
        <w:rPr>
          <w:rStyle w:val="exs"/>
          <w:rFonts w:ascii="Arial" w:hAnsi="Arial" w:cs="Arial"/>
          <w:color w:val="000000" w:themeColor="text1"/>
        </w:rPr>
        <w:t>the</w:t>
      </w:r>
      <w:r w:rsidRPr="00EA236B">
        <w:rPr>
          <w:rStyle w:val="apple-converted-space"/>
          <w:rFonts w:ascii="Arial" w:hAnsi="Arial" w:cs="Arial"/>
          <w:color w:val="000000" w:themeColor="text1"/>
          <w:shd w:val="clear" w:color="auto" w:fill="FFFFFF"/>
        </w:rPr>
        <w:t> </w:t>
      </w:r>
      <w:r w:rsidRPr="00EA236B">
        <w:rPr>
          <w:rStyle w:val="exs"/>
          <w:rFonts w:ascii="Arial" w:hAnsi="Arial" w:cs="Arial"/>
          <w:color w:val="000000" w:themeColor="text1"/>
        </w:rPr>
        <w:t>hospitality</w:t>
      </w:r>
      <w:r w:rsidRPr="00EA236B">
        <w:rPr>
          <w:rStyle w:val="apple-converted-space"/>
          <w:rFonts w:ascii="Arial" w:hAnsi="Arial" w:cs="Arial"/>
          <w:color w:val="000000" w:themeColor="text1"/>
          <w:shd w:val="clear" w:color="auto" w:fill="FFFFFF"/>
        </w:rPr>
        <w:t> </w:t>
      </w:r>
      <w:r w:rsidRPr="00EA236B">
        <w:rPr>
          <w:rStyle w:val="exs"/>
          <w:rFonts w:ascii="Arial" w:hAnsi="Arial" w:cs="Arial"/>
          <w:color w:val="000000" w:themeColor="text1"/>
        </w:rPr>
        <w:t>and travel</w:t>
      </w:r>
      <w:r w:rsidR="006117E5" w:rsidRPr="00EA236B">
        <w:rPr>
          <w:rStyle w:val="apple-converted-space"/>
          <w:rFonts w:ascii="Arial" w:hAnsi="Arial" w:cs="Arial"/>
          <w:color w:val="000000" w:themeColor="text1"/>
          <w:shd w:val="clear" w:color="auto" w:fill="FFFFFF"/>
        </w:rPr>
        <w:t xml:space="preserve"> sphere</w:t>
      </w:r>
      <w:r w:rsidRPr="00EA236B">
        <w:rPr>
          <w:rFonts w:ascii="Arial" w:hAnsi="Arial" w:cs="Arial"/>
          <w:color w:val="000000" w:themeColor="text1"/>
          <w:shd w:val="clear" w:color="auto" w:fill="FFFFFF"/>
        </w:rPr>
        <w:t xml:space="preserve">. </w:t>
      </w:r>
      <w:r w:rsidR="006117E5" w:rsidRPr="00EA236B">
        <w:rPr>
          <w:rFonts w:ascii="Arial" w:hAnsi="Arial" w:cs="Arial"/>
          <w:color w:val="000000" w:themeColor="text1"/>
          <w:shd w:val="clear" w:color="auto" w:fill="FFFFFF"/>
        </w:rPr>
        <w:t>Medical tourism is</w:t>
      </w:r>
      <w:r w:rsidRPr="00EA236B">
        <w:rPr>
          <w:rFonts w:ascii="Arial" w:hAnsi="Arial" w:cs="Arial"/>
          <w:color w:val="000000" w:themeColor="text1"/>
          <w:shd w:val="clear" w:color="auto" w:fill="FFFFFF"/>
        </w:rPr>
        <w:t xml:space="preserve"> considered a blue ocean strategy</w:t>
      </w:r>
      <w:r w:rsidR="006117E5" w:rsidRPr="00EA236B">
        <w:rPr>
          <w:rFonts w:ascii="Arial" w:hAnsi="Arial" w:cs="Arial"/>
          <w:color w:val="000000" w:themeColor="text1"/>
          <w:shd w:val="clear" w:color="auto" w:fill="FFFFFF"/>
        </w:rPr>
        <w:t xml:space="preserve">. Therefore, </w:t>
      </w:r>
      <w:r w:rsidRPr="00EA236B">
        <w:rPr>
          <w:rFonts w:ascii="Arial" w:hAnsi="Arial" w:cs="Arial"/>
          <w:color w:val="000000" w:themeColor="text1"/>
          <w:shd w:val="clear" w:color="auto" w:fill="FFFFFF"/>
        </w:rPr>
        <w:t>countries investing in medical tourism boost the prospects of increasing their Gross Domestic Product (GDP) which some countries have already been experiencing (</w:t>
      </w:r>
      <w:r w:rsidR="00714878" w:rsidRPr="00EA236B">
        <w:rPr>
          <w:rFonts w:ascii="Arial" w:hAnsi="Arial" w:cs="Arial"/>
          <w:color w:val="000000" w:themeColor="text1"/>
          <w:shd w:val="clear" w:color="auto" w:fill="FFFFFF"/>
        </w:rPr>
        <w:t>Taanja, 2022</w:t>
      </w:r>
      <w:r w:rsidRPr="00EA236B">
        <w:rPr>
          <w:rFonts w:ascii="Arial" w:hAnsi="Arial" w:cs="Arial"/>
          <w:color w:val="000000" w:themeColor="text1"/>
          <w:shd w:val="clear" w:color="auto" w:fill="FFFFFF"/>
        </w:rPr>
        <w:t>). As the concept grows in other countries, the aim is to look at the likelihood of the United Kingdom</w:t>
      </w:r>
      <w:r w:rsidR="006117E5" w:rsidRPr="00EA236B">
        <w:rPr>
          <w:rFonts w:ascii="Arial" w:hAnsi="Arial" w:cs="Arial"/>
          <w:color w:val="000000" w:themeColor="text1"/>
          <w:shd w:val="clear" w:color="auto" w:fill="FFFFFF"/>
        </w:rPr>
        <w:t>’s</w:t>
      </w:r>
      <w:r w:rsidRPr="00EA236B">
        <w:rPr>
          <w:rFonts w:ascii="Arial" w:hAnsi="Arial" w:cs="Arial"/>
          <w:color w:val="000000" w:themeColor="text1"/>
          <w:shd w:val="clear" w:color="auto" w:fill="FFFFFF"/>
        </w:rPr>
        <w:t xml:space="preserve"> (UK) National Health Service (NHS) Same Day Emergency Care (SDEC) units as a community approach to implementing the context of this model</w:t>
      </w:r>
      <w:r w:rsidR="003B5E48"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xml:space="preserve"> </w:t>
      </w:r>
      <w:r w:rsidR="003B5E48" w:rsidRPr="00EA236B">
        <w:rPr>
          <w:rFonts w:ascii="Arial" w:hAnsi="Arial" w:cs="Arial"/>
          <w:color w:val="000000" w:themeColor="text1"/>
          <w:shd w:val="clear" w:color="auto" w:fill="FFFFFF"/>
        </w:rPr>
        <w:t xml:space="preserve">The model would </w:t>
      </w:r>
      <w:r w:rsidRPr="00EA236B">
        <w:rPr>
          <w:rFonts w:ascii="Arial" w:hAnsi="Arial" w:cs="Arial"/>
          <w:color w:val="000000" w:themeColor="text1"/>
          <w:shd w:val="clear" w:color="auto" w:fill="FFFFFF"/>
        </w:rPr>
        <w:t>increase patient flow, generate revenue, and reduce waiting times by shifting to an approach centred on redefining hospitality to attract tourists. Michael Porter's Value-Based Healthcare theory will be used as an overview to underpin the potential of improving healthcare in the UK.</w:t>
      </w:r>
    </w:p>
    <w:p w14:paraId="66EBF0E7" w14:textId="77777777" w:rsidR="00820785" w:rsidRPr="00EA236B" w:rsidRDefault="00820785" w:rsidP="00820785">
      <w:pPr>
        <w:rPr>
          <w:rFonts w:ascii="Open Sans" w:hAnsi="Open Sans" w:cs="Open Sans"/>
          <w:color w:val="000000" w:themeColor="text1"/>
          <w:sz w:val="21"/>
          <w:szCs w:val="21"/>
          <w:shd w:val="clear" w:color="auto" w:fill="FFFFFF"/>
        </w:rPr>
      </w:pPr>
    </w:p>
    <w:p w14:paraId="0485C116" w14:textId="77777777" w:rsidR="00820785" w:rsidRPr="00832105" w:rsidRDefault="00820785" w:rsidP="00820785">
      <w:pPr>
        <w:rPr>
          <w:b/>
          <w:bCs/>
          <w:color w:val="000000" w:themeColor="text1"/>
        </w:rPr>
      </w:pPr>
    </w:p>
    <w:p w14:paraId="1A4D2370" w14:textId="77777777" w:rsidR="00820785" w:rsidRPr="00832105" w:rsidRDefault="00000000" w:rsidP="000329BA">
      <w:pPr>
        <w:pStyle w:val="Heading2"/>
        <w:rPr>
          <w:rFonts w:ascii="Arial" w:hAnsi="Arial" w:cs="Arial"/>
          <w:b/>
          <w:bCs/>
          <w:color w:val="000000" w:themeColor="text1"/>
          <w:sz w:val="24"/>
          <w:szCs w:val="24"/>
        </w:rPr>
      </w:pPr>
      <w:bookmarkStart w:id="13" w:name="_Toc126667559"/>
      <w:r w:rsidRPr="00832105">
        <w:rPr>
          <w:rFonts w:ascii="Arial" w:hAnsi="Arial" w:cs="Arial"/>
          <w:b/>
          <w:bCs/>
          <w:color w:val="000000" w:themeColor="text1"/>
          <w:sz w:val="24"/>
          <w:szCs w:val="24"/>
        </w:rPr>
        <w:t>2.2 What is Medical Tourism</w:t>
      </w:r>
      <w:bookmarkEnd w:id="13"/>
    </w:p>
    <w:p w14:paraId="1C554D3E" w14:textId="77777777" w:rsidR="00820785" w:rsidRPr="00EA236B" w:rsidRDefault="00820785" w:rsidP="00820785">
      <w:pPr>
        <w:rPr>
          <w:b/>
          <w:bCs/>
          <w:color w:val="000000" w:themeColor="text1"/>
        </w:rPr>
      </w:pPr>
    </w:p>
    <w:p w14:paraId="0F80F6ED" w14:textId="52A9B54F" w:rsidR="00820785" w:rsidRPr="00EA236B" w:rsidRDefault="00000000" w:rsidP="00820785">
      <w:pPr>
        <w:spacing w:line="360" w:lineRule="auto"/>
        <w:jc w:val="both"/>
        <w:rPr>
          <w:rFonts w:ascii="Arial" w:hAnsi="Arial" w:cs="Arial"/>
          <w:color w:val="000000" w:themeColor="text1"/>
        </w:rPr>
      </w:pPr>
      <w:r w:rsidRPr="00EA236B">
        <w:rPr>
          <w:rFonts w:ascii="Arial" w:hAnsi="Arial" w:cs="Arial"/>
          <w:color w:val="000000" w:themeColor="text1"/>
        </w:rPr>
        <w:t>Medical tourism is considered a holiday which involves commuting to other destinations overseas to access more availability of healthcare (</w:t>
      </w:r>
      <w:r w:rsidR="00526A17" w:rsidRPr="00EA236B">
        <w:rPr>
          <w:rFonts w:ascii="Arial" w:hAnsi="Arial" w:cs="Arial"/>
          <w:color w:val="000000" w:themeColor="text1"/>
          <w:shd w:val="clear" w:color="auto" w:fill="FFFFFF"/>
        </w:rPr>
        <w:t>Ji and Yang, 2016</w:t>
      </w:r>
      <w:r w:rsidRPr="00EA236B">
        <w:rPr>
          <w:rFonts w:ascii="Arial" w:hAnsi="Arial" w:cs="Arial"/>
          <w:color w:val="000000" w:themeColor="text1"/>
        </w:rPr>
        <w:t>). N</w:t>
      </w:r>
      <w:r w:rsidR="0037677A" w:rsidRPr="00EA236B">
        <w:rPr>
          <w:rFonts w:ascii="Arial" w:hAnsi="Arial" w:cs="Arial"/>
          <w:color w:val="000000" w:themeColor="text1"/>
        </w:rPr>
        <w:t>otably</w:t>
      </w:r>
      <w:r w:rsidRPr="00EA236B">
        <w:rPr>
          <w:rFonts w:ascii="Arial" w:hAnsi="Arial" w:cs="Arial"/>
          <w:color w:val="000000" w:themeColor="text1"/>
        </w:rPr>
        <w:t xml:space="preserve">, this model gives rise to globalisation. </w:t>
      </w:r>
      <w:r w:rsidR="0037677A" w:rsidRPr="00EA236B">
        <w:rPr>
          <w:rFonts w:ascii="Arial" w:hAnsi="Arial" w:cs="Arial"/>
          <w:color w:val="000000" w:themeColor="text1"/>
        </w:rPr>
        <w:t xml:space="preserve">Medical </w:t>
      </w:r>
      <w:r w:rsidR="00FE657B" w:rsidRPr="00EA236B">
        <w:rPr>
          <w:rFonts w:ascii="Arial" w:hAnsi="Arial" w:cs="Arial"/>
          <w:color w:val="000000" w:themeColor="text1"/>
        </w:rPr>
        <w:t>tourism often results</w:t>
      </w:r>
      <w:r w:rsidRPr="00EA236B">
        <w:rPr>
          <w:rFonts w:ascii="Arial" w:hAnsi="Arial" w:cs="Arial"/>
          <w:color w:val="000000" w:themeColor="text1"/>
        </w:rPr>
        <w:t xml:space="preserve"> from patients’ perception of spending power, seeking more</w:t>
      </w:r>
      <w:r w:rsidR="00526A17" w:rsidRPr="00EA236B">
        <w:rPr>
          <w:rFonts w:ascii="Arial" w:hAnsi="Arial" w:cs="Arial"/>
          <w:color w:val="000000" w:themeColor="text1"/>
        </w:rPr>
        <w:t xml:space="preserve"> </w:t>
      </w:r>
      <w:r w:rsidR="00FE657B" w:rsidRPr="00EA236B">
        <w:rPr>
          <w:rFonts w:ascii="Arial" w:hAnsi="Arial" w:cs="Arial"/>
          <w:color w:val="000000" w:themeColor="text1"/>
        </w:rPr>
        <w:t>meaningful</w:t>
      </w:r>
      <w:r w:rsidRPr="00EA236B">
        <w:rPr>
          <w:rFonts w:ascii="Arial" w:hAnsi="Arial" w:cs="Arial"/>
          <w:color w:val="000000" w:themeColor="text1"/>
        </w:rPr>
        <w:t xml:space="preserve"> ways to part with their cash</w:t>
      </w:r>
      <w:r w:rsidR="0037677A" w:rsidRPr="00EA236B">
        <w:rPr>
          <w:rFonts w:ascii="Arial" w:hAnsi="Arial" w:cs="Arial"/>
          <w:color w:val="000000" w:themeColor="text1"/>
        </w:rPr>
        <w:t>, and requiring</w:t>
      </w:r>
      <w:r w:rsidRPr="00EA236B">
        <w:rPr>
          <w:rFonts w:ascii="Arial" w:hAnsi="Arial" w:cs="Arial"/>
          <w:color w:val="000000" w:themeColor="text1"/>
        </w:rPr>
        <w:t xml:space="preserve"> more for their money (</w:t>
      </w:r>
      <w:r w:rsidR="00526A17" w:rsidRPr="00EA236B">
        <w:rPr>
          <w:rFonts w:ascii="Arial" w:hAnsi="Arial" w:cs="Arial"/>
          <w:color w:val="000000" w:themeColor="text1"/>
        </w:rPr>
        <w:t>Hunter, 2015</w:t>
      </w:r>
      <w:r w:rsidRPr="00EA236B">
        <w:rPr>
          <w:rFonts w:ascii="Arial" w:hAnsi="Arial" w:cs="Arial"/>
          <w:color w:val="000000" w:themeColor="text1"/>
        </w:rPr>
        <w:t xml:space="preserve">). On the other hand, long waiting periods in countries where medical care is free at the point of </w:t>
      </w:r>
      <w:r w:rsidRPr="00EA236B">
        <w:rPr>
          <w:rFonts w:ascii="Arial" w:hAnsi="Arial" w:cs="Arial"/>
          <w:color w:val="000000" w:themeColor="text1"/>
        </w:rPr>
        <w:lastRenderedPageBreak/>
        <w:t xml:space="preserve">delivery </w:t>
      </w:r>
      <w:r w:rsidR="0037677A" w:rsidRPr="00EA236B">
        <w:rPr>
          <w:rFonts w:ascii="Arial" w:hAnsi="Arial" w:cs="Arial"/>
          <w:color w:val="000000" w:themeColor="text1"/>
        </w:rPr>
        <w:t>often</w:t>
      </w:r>
      <w:r w:rsidRPr="00EA236B">
        <w:rPr>
          <w:rFonts w:ascii="Arial" w:hAnsi="Arial" w:cs="Arial"/>
          <w:color w:val="000000" w:themeColor="text1"/>
        </w:rPr>
        <w:t xml:space="preserve"> attract longer waiting times, causing anxiety and frustration, resulting in patients travelling to pay for healthcare services in other countries where they will be treated rather quickly </w:t>
      </w:r>
      <w:r w:rsidR="00526A17" w:rsidRPr="00EA236B">
        <w:rPr>
          <w:rFonts w:ascii="Arial" w:hAnsi="Arial" w:cs="Arial"/>
          <w:color w:val="000000" w:themeColor="text1"/>
        </w:rPr>
        <w:t>(Lunt et al., 2014)</w:t>
      </w:r>
      <w:r w:rsidRPr="00EA236B">
        <w:rPr>
          <w:rFonts w:ascii="Arial" w:hAnsi="Arial" w:cs="Arial"/>
          <w:color w:val="000000" w:themeColor="text1"/>
        </w:rPr>
        <w:t xml:space="preserve">. Simultaneously, the lack of innovation is a driving force for patients seeking therapies in countries where healthcare and facilities are constantly developing. Nevertheless, albeit important, hospitality plays a vital role in going beyond </w:t>
      </w:r>
      <w:r w:rsidR="00FE657B" w:rsidRPr="00EA236B">
        <w:rPr>
          <w:rFonts w:ascii="Arial" w:hAnsi="Arial" w:cs="Arial"/>
          <w:color w:val="000000" w:themeColor="text1"/>
        </w:rPr>
        <w:t xml:space="preserve">the </w:t>
      </w:r>
      <w:r w:rsidRPr="00EA236B">
        <w:rPr>
          <w:rFonts w:ascii="Arial" w:hAnsi="Arial" w:cs="Arial"/>
          <w:color w:val="000000" w:themeColor="text1"/>
        </w:rPr>
        <w:t xml:space="preserve">aesthetics of infrastructure to manifest itself as a </w:t>
      </w:r>
      <w:r w:rsidR="008209B4" w:rsidRPr="00EA236B">
        <w:rPr>
          <w:rFonts w:ascii="Arial" w:hAnsi="Arial" w:cs="Arial"/>
          <w:color w:val="000000" w:themeColor="text1"/>
        </w:rPr>
        <w:t>primary</w:t>
      </w:r>
      <w:r w:rsidRPr="00EA236B">
        <w:rPr>
          <w:rFonts w:ascii="Arial" w:hAnsi="Arial" w:cs="Arial"/>
          <w:color w:val="000000" w:themeColor="text1"/>
        </w:rPr>
        <w:t xml:space="preserve"> player </w:t>
      </w:r>
      <w:r w:rsidR="00526A17" w:rsidRPr="00EA236B">
        <w:rPr>
          <w:rFonts w:ascii="Arial" w:hAnsi="Arial" w:cs="Arial"/>
          <w:color w:val="000000" w:themeColor="text1"/>
        </w:rPr>
        <w:t>(Ratten et al., 2020)</w:t>
      </w:r>
      <w:r w:rsidRPr="00EA236B">
        <w:rPr>
          <w:rFonts w:ascii="Arial" w:hAnsi="Arial" w:cs="Arial"/>
          <w:color w:val="000000" w:themeColor="text1"/>
        </w:rPr>
        <w:t>.</w:t>
      </w:r>
    </w:p>
    <w:p w14:paraId="618DACCD" w14:textId="77777777" w:rsidR="00820785" w:rsidRPr="00EA236B" w:rsidRDefault="00820785" w:rsidP="00820785">
      <w:pPr>
        <w:spacing w:line="360" w:lineRule="auto"/>
        <w:jc w:val="both"/>
        <w:rPr>
          <w:rFonts w:ascii="Arial" w:hAnsi="Arial" w:cs="Arial"/>
          <w:color w:val="000000" w:themeColor="text1"/>
        </w:rPr>
      </w:pPr>
    </w:p>
    <w:p w14:paraId="132B11FC" w14:textId="77777777" w:rsidR="00820785" w:rsidRPr="00EA236B" w:rsidRDefault="00000000" w:rsidP="00820785">
      <w:pPr>
        <w:spacing w:line="360" w:lineRule="auto"/>
        <w:jc w:val="both"/>
        <w:rPr>
          <w:rFonts w:ascii="Arial" w:hAnsi="Arial" w:cs="Arial"/>
          <w:color w:val="000000" w:themeColor="text1"/>
        </w:rPr>
      </w:pPr>
      <w:r w:rsidRPr="00EA236B">
        <w:rPr>
          <w:rFonts w:ascii="Arial" w:hAnsi="Arial" w:cs="Arial"/>
          <w:color w:val="000000" w:themeColor="text1"/>
        </w:rPr>
        <w:t xml:space="preserve">As more countries improve their healthcare services, the desire to travel abroad to access cheaper healthcare increases simultaneously with the hospitality element. On the other hand, this approach is viewed as a one-stop shop where medical tourists will move forward </w:t>
      </w:r>
      <w:r w:rsidR="00FE657B" w:rsidRPr="00EA236B">
        <w:rPr>
          <w:rFonts w:ascii="Arial" w:hAnsi="Arial" w:cs="Arial"/>
          <w:color w:val="000000" w:themeColor="text1"/>
        </w:rPr>
        <w:t>to</w:t>
      </w:r>
      <w:r w:rsidRPr="00EA236B">
        <w:rPr>
          <w:rFonts w:ascii="Arial" w:hAnsi="Arial" w:cs="Arial"/>
          <w:color w:val="000000" w:themeColor="text1"/>
        </w:rPr>
        <w:t xml:space="preserve"> enjoy the tourism aspects of the desired country as a form of healing therapy (</w:t>
      </w:r>
      <w:r w:rsidR="005D0E9F" w:rsidRPr="00EA236B">
        <w:rPr>
          <w:rFonts w:ascii="Arial" w:hAnsi="Arial" w:cs="Arial"/>
          <w:color w:val="000000" w:themeColor="text1"/>
        </w:rPr>
        <w:t>Wilson, 2010</w:t>
      </w:r>
      <w:r w:rsidRPr="00EA236B">
        <w:rPr>
          <w:rFonts w:ascii="Arial" w:hAnsi="Arial" w:cs="Arial"/>
          <w:color w:val="000000" w:themeColor="text1"/>
        </w:rPr>
        <w:t>). Conversely, cheaper medical care is not always a priority for tourists visiting other countries. For example, natives of the Caribbean would travel to Miami in the United States of America (USA), where treatment would be much more expensive (</w:t>
      </w:r>
      <w:r w:rsidR="005D0E9F" w:rsidRPr="00EA236B">
        <w:rPr>
          <w:rFonts w:ascii="Arial" w:hAnsi="Arial" w:cs="Arial"/>
          <w:color w:val="000000" w:themeColor="text1"/>
        </w:rPr>
        <w:t>Coe and Banta, 2009</w:t>
      </w:r>
      <w:r w:rsidRPr="00EA236B">
        <w:rPr>
          <w:rFonts w:ascii="Arial" w:hAnsi="Arial" w:cs="Arial"/>
          <w:color w:val="000000" w:themeColor="text1"/>
        </w:rPr>
        <w:t>). However, the element of hospitality plays a vital role in these circumstances, enabling patients to feel a sense of belonging, coupled with the additional benefits of first-class hospitality services (</w:t>
      </w:r>
      <w:r w:rsidR="00007C73" w:rsidRPr="00EA236B">
        <w:rPr>
          <w:rFonts w:ascii="Arial" w:hAnsi="Arial" w:cs="Arial"/>
          <w:color w:val="000000" w:themeColor="text1"/>
        </w:rPr>
        <w:t>Kelly et al., 2016</w:t>
      </w:r>
      <w:r w:rsidRPr="00EA236B">
        <w:rPr>
          <w:rFonts w:ascii="Arial" w:hAnsi="Arial" w:cs="Arial"/>
          <w:color w:val="000000" w:themeColor="text1"/>
        </w:rPr>
        <w:t>). Therefore, hospitality can be justified as correlated with healthcare as a crucial context for medical tourism.</w:t>
      </w:r>
    </w:p>
    <w:p w14:paraId="765DBE65" w14:textId="77777777" w:rsidR="00820785" w:rsidRPr="00EA236B" w:rsidRDefault="00820785" w:rsidP="00820785">
      <w:pPr>
        <w:rPr>
          <w:i/>
          <w:iCs/>
          <w:color w:val="000000" w:themeColor="text1"/>
        </w:rPr>
      </w:pPr>
    </w:p>
    <w:p w14:paraId="055E1E55" w14:textId="77777777" w:rsidR="00820785" w:rsidRPr="00832105" w:rsidRDefault="00000000" w:rsidP="000329BA">
      <w:pPr>
        <w:pStyle w:val="Heading2"/>
        <w:rPr>
          <w:rFonts w:ascii="Arial" w:hAnsi="Arial" w:cs="Arial"/>
          <w:b/>
          <w:bCs/>
          <w:color w:val="000000" w:themeColor="text1"/>
          <w:sz w:val="24"/>
          <w:szCs w:val="24"/>
        </w:rPr>
      </w:pPr>
      <w:bookmarkStart w:id="14" w:name="_Toc126667560"/>
      <w:r w:rsidRPr="00832105">
        <w:rPr>
          <w:rFonts w:ascii="Arial" w:hAnsi="Arial" w:cs="Arial"/>
          <w:b/>
          <w:bCs/>
          <w:color w:val="000000" w:themeColor="text1"/>
          <w:sz w:val="24"/>
          <w:szCs w:val="24"/>
        </w:rPr>
        <w:t>2.3 Medical Tourism Background</w:t>
      </w:r>
      <w:bookmarkEnd w:id="14"/>
    </w:p>
    <w:p w14:paraId="06BE5D40" w14:textId="77777777" w:rsidR="00820785" w:rsidRPr="00EA236B" w:rsidRDefault="00820785" w:rsidP="00820785">
      <w:pPr>
        <w:rPr>
          <w:color w:val="000000" w:themeColor="text1"/>
        </w:rPr>
      </w:pPr>
    </w:p>
    <w:p w14:paraId="500C26D5" w14:textId="77777777"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Medical tourism fosters the movement of patients from their home country to seek medical care in other countries, considered a burgeoning global industry (Leggat 2019). However, this model is not new and stems from as far back as the 18</w:t>
      </w:r>
      <w:r w:rsidRPr="00EA236B">
        <w:rPr>
          <w:rFonts w:ascii="Arial" w:hAnsi="Arial" w:cs="Arial"/>
          <w:color w:val="000000" w:themeColor="text1"/>
          <w:shd w:val="clear" w:color="auto" w:fill="FFFFFF"/>
          <w:vertAlign w:val="superscript"/>
        </w:rPr>
        <w:t>th</w:t>
      </w:r>
      <w:r w:rsidRPr="00EA236B">
        <w:rPr>
          <w:rFonts w:ascii="Arial" w:hAnsi="Arial" w:cs="Arial"/>
          <w:color w:val="000000" w:themeColor="text1"/>
          <w:shd w:val="clear" w:color="auto" w:fill="FFFFFF"/>
        </w:rPr>
        <w:t xml:space="preserve"> century, when wealthy European nationals would travel across borders to seek medical treatments in various famous French spas (</w:t>
      </w:r>
      <w:r w:rsidR="00752DF9" w:rsidRPr="00EA236B">
        <w:rPr>
          <w:rFonts w:ascii="Arial" w:hAnsi="Arial" w:cs="Arial"/>
          <w:color w:val="000000" w:themeColor="text1"/>
          <w:shd w:val="clear" w:color="auto" w:fill="FFFFFF"/>
        </w:rPr>
        <w:t>Lunt et al., 2011</w:t>
      </w:r>
      <w:r w:rsidRPr="00EA236B">
        <w:rPr>
          <w:rFonts w:ascii="Arial" w:hAnsi="Arial" w:cs="Arial"/>
          <w:color w:val="000000" w:themeColor="text1"/>
          <w:shd w:val="clear" w:color="auto" w:fill="FFFFFF"/>
        </w:rPr>
        <w:t>). Other destinations included trips to mineral waters, such as Bath in the UK (</w:t>
      </w:r>
      <w:r w:rsidR="00752DF9" w:rsidRPr="00EA236B">
        <w:rPr>
          <w:rFonts w:ascii="Arial" w:hAnsi="Arial" w:cs="Arial"/>
          <w:color w:val="000000" w:themeColor="text1"/>
          <w:shd w:val="clear" w:color="auto" w:fill="FFFFFF"/>
        </w:rPr>
        <w:t>Wilson, 2010</w:t>
      </w:r>
      <w:r w:rsidRPr="00EA236B">
        <w:rPr>
          <w:rFonts w:ascii="Arial" w:hAnsi="Arial" w:cs="Arial"/>
          <w:color w:val="000000" w:themeColor="text1"/>
          <w:shd w:val="clear" w:color="auto" w:fill="FFFFFF"/>
        </w:rPr>
        <w:t xml:space="preserve">). </w:t>
      </w:r>
    </w:p>
    <w:p w14:paraId="7D3A9743" w14:textId="77777777" w:rsidR="00820785" w:rsidRPr="00EA236B" w:rsidRDefault="00820785" w:rsidP="00820785">
      <w:pPr>
        <w:spacing w:line="360" w:lineRule="auto"/>
        <w:jc w:val="both"/>
        <w:rPr>
          <w:rFonts w:ascii="Arial" w:hAnsi="Arial" w:cs="Arial"/>
          <w:color w:val="000000" w:themeColor="text1"/>
          <w:shd w:val="clear" w:color="auto" w:fill="FFFFFF"/>
        </w:rPr>
      </w:pPr>
    </w:p>
    <w:p w14:paraId="4BC9D608" w14:textId="77777777"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Turning to Roger's (</w:t>
      </w:r>
      <w:r w:rsidR="00752DF9" w:rsidRPr="00EA236B">
        <w:rPr>
          <w:rFonts w:ascii="Arial" w:hAnsi="Arial" w:cs="Arial"/>
          <w:color w:val="000000" w:themeColor="text1"/>
          <w:shd w:val="clear" w:color="auto" w:fill="FFFFFF"/>
        </w:rPr>
        <w:t>1995</w:t>
      </w:r>
      <w:r w:rsidRPr="00EA236B">
        <w:rPr>
          <w:rFonts w:ascii="Arial" w:hAnsi="Arial" w:cs="Arial"/>
          <w:color w:val="000000" w:themeColor="text1"/>
          <w:shd w:val="clear" w:color="auto" w:fill="FFFFFF"/>
        </w:rPr>
        <w:t>) Trickle Down theory, the perception is that this model has always impacted the desired country of travel economy. Rogers (</w:t>
      </w:r>
      <w:r w:rsidR="00752DF9" w:rsidRPr="00EA236B">
        <w:rPr>
          <w:rFonts w:ascii="Arial" w:hAnsi="Arial" w:cs="Arial"/>
          <w:color w:val="000000" w:themeColor="text1"/>
          <w:shd w:val="clear" w:color="auto" w:fill="FFFFFF"/>
        </w:rPr>
        <w:t>1995</w:t>
      </w:r>
      <w:r w:rsidRPr="00EA236B">
        <w:rPr>
          <w:rFonts w:ascii="Arial" w:hAnsi="Arial" w:cs="Arial"/>
          <w:color w:val="000000" w:themeColor="text1"/>
          <w:shd w:val="clear" w:color="auto" w:fill="FFFFFF"/>
        </w:rPr>
        <w:t xml:space="preserve">) Trickle Down theory, otherwise known as trickle-down economics, cited in </w:t>
      </w:r>
      <w:r w:rsidR="00752DF9" w:rsidRPr="00EA236B">
        <w:rPr>
          <w:rFonts w:ascii="Arial" w:hAnsi="Arial" w:cs="Arial"/>
          <w:color w:val="000000" w:themeColor="text1"/>
          <w:shd w:val="clear" w:color="auto" w:fill="FFFFFF"/>
        </w:rPr>
        <w:t xml:space="preserve">Cox and Rogers </w:t>
      </w:r>
      <w:r w:rsidRPr="00EA236B">
        <w:rPr>
          <w:rFonts w:ascii="Arial" w:hAnsi="Arial" w:cs="Arial"/>
          <w:color w:val="000000" w:themeColor="text1"/>
          <w:shd w:val="clear" w:color="auto" w:fill="FFFFFF"/>
        </w:rPr>
        <w:t>(</w:t>
      </w:r>
      <w:r w:rsidR="00752DF9" w:rsidRPr="00EA236B">
        <w:rPr>
          <w:rFonts w:ascii="Arial" w:hAnsi="Arial" w:cs="Arial"/>
          <w:color w:val="000000" w:themeColor="text1"/>
          <w:shd w:val="clear" w:color="auto" w:fill="FFFFFF"/>
        </w:rPr>
        <w:t>2019</w:t>
      </w:r>
      <w:r w:rsidRPr="00EA236B">
        <w:rPr>
          <w:rFonts w:ascii="Arial" w:hAnsi="Arial" w:cs="Arial"/>
          <w:color w:val="000000" w:themeColor="text1"/>
          <w:shd w:val="clear" w:color="auto" w:fill="FFFFFF"/>
        </w:rPr>
        <w:t>), illustrates trends which emerge</w:t>
      </w:r>
      <w:r w:rsidR="00871147" w:rsidRPr="00EA236B">
        <w:rPr>
          <w:rFonts w:ascii="Arial" w:hAnsi="Arial" w:cs="Arial"/>
          <w:color w:val="000000" w:themeColor="text1"/>
          <w:shd w:val="clear" w:color="auto" w:fill="FFFFFF"/>
        </w:rPr>
        <w:t xml:space="preserve"> </w:t>
      </w:r>
      <w:r w:rsidRPr="00EA236B">
        <w:rPr>
          <w:rFonts w:ascii="Arial" w:hAnsi="Arial" w:cs="Arial"/>
          <w:color w:val="000000" w:themeColor="text1"/>
          <w:shd w:val="clear" w:color="auto" w:fill="FFFFFF"/>
        </w:rPr>
        <w:t>in the wealthier parts of society, eventually spreading to the entirety of society. In return, the trickle-down effect gradually gives rise to society.</w:t>
      </w:r>
    </w:p>
    <w:p w14:paraId="1924D1F1" w14:textId="77777777" w:rsidR="00820785" w:rsidRPr="00EA236B" w:rsidRDefault="00820785" w:rsidP="00820785">
      <w:pPr>
        <w:spacing w:line="360" w:lineRule="auto"/>
        <w:jc w:val="both"/>
        <w:rPr>
          <w:rFonts w:ascii="Arial" w:hAnsi="Arial" w:cs="Arial"/>
          <w:color w:val="000000" w:themeColor="text1"/>
          <w:shd w:val="clear" w:color="auto" w:fill="FFFFFF"/>
        </w:rPr>
      </w:pPr>
    </w:p>
    <w:p w14:paraId="3496C6A5" w14:textId="77777777"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Upon critically analysing the background of medical tourism, this practice resulted in a trickle-down effect on middle-class society in the 19</w:t>
      </w:r>
      <w:r w:rsidRPr="00EA236B">
        <w:rPr>
          <w:rFonts w:ascii="Arial" w:hAnsi="Arial" w:cs="Arial"/>
          <w:color w:val="000000" w:themeColor="text1"/>
          <w:shd w:val="clear" w:color="auto" w:fill="FFFFFF"/>
          <w:vertAlign w:val="superscript"/>
        </w:rPr>
        <w:t>th</w:t>
      </w:r>
      <w:r w:rsidRPr="00EA236B">
        <w:rPr>
          <w:rFonts w:ascii="Arial" w:hAnsi="Arial" w:cs="Arial"/>
          <w:color w:val="000000" w:themeColor="text1"/>
          <w:shd w:val="clear" w:color="auto" w:fill="FFFFFF"/>
        </w:rPr>
        <w:t xml:space="preserve"> century (</w:t>
      </w:r>
      <w:r w:rsidR="00695508" w:rsidRPr="00EA236B">
        <w:rPr>
          <w:rFonts w:ascii="Arial" w:hAnsi="Arial" w:cs="Arial"/>
          <w:color w:val="000000" w:themeColor="text1"/>
          <w:shd w:val="clear" w:color="auto" w:fill="FFFFFF"/>
        </w:rPr>
        <w:t>Hopkins et al., 2010</w:t>
      </w:r>
      <w:r w:rsidRPr="00EA236B">
        <w:rPr>
          <w:rFonts w:ascii="Arial" w:hAnsi="Arial" w:cs="Arial"/>
          <w:color w:val="000000" w:themeColor="text1"/>
          <w:shd w:val="clear" w:color="auto" w:fill="FFFFFF"/>
        </w:rPr>
        <w:t>). Travel would be for treating specific maladies such as skin ailments, gout, and liver diseases. Additionally, the pre-antibiotics era resulted in the habitual practice for individuals with specific infectious diseases to travel, seeking rest in less polluted and stressful locations (</w:t>
      </w:r>
      <w:r w:rsidR="00695508" w:rsidRPr="00EA236B">
        <w:rPr>
          <w:rFonts w:ascii="Arial" w:hAnsi="Arial" w:cs="Arial"/>
          <w:color w:val="000000" w:themeColor="text1"/>
          <w:shd w:val="clear" w:color="auto" w:fill="FFFFFF"/>
        </w:rPr>
        <w:t>Hopkins et al., 2010</w:t>
      </w:r>
      <w:r w:rsidRPr="00EA236B">
        <w:rPr>
          <w:rFonts w:ascii="Arial" w:hAnsi="Arial" w:cs="Arial"/>
          <w:color w:val="000000" w:themeColor="text1"/>
          <w:shd w:val="clear" w:color="auto" w:fill="FFFFFF"/>
        </w:rPr>
        <w:t xml:space="preserve">). This practice began the merger </w:t>
      </w:r>
      <w:r w:rsidRPr="00EA236B">
        <w:rPr>
          <w:rFonts w:ascii="Arial" w:hAnsi="Arial" w:cs="Arial"/>
          <w:color w:val="000000" w:themeColor="text1"/>
          <w:shd w:val="clear" w:color="auto" w:fill="FFFFFF"/>
        </w:rPr>
        <w:lastRenderedPageBreak/>
        <w:t>between 'medical' and 'tourism'. Travelling to other destinations to receive medical help for disease treatments became common mainly if these services were not readily available in the host region.</w:t>
      </w:r>
    </w:p>
    <w:p w14:paraId="174F7558" w14:textId="77777777" w:rsidR="00820785" w:rsidRPr="00EA236B" w:rsidRDefault="00820785" w:rsidP="00820785">
      <w:pPr>
        <w:spacing w:line="360" w:lineRule="auto"/>
        <w:jc w:val="both"/>
        <w:rPr>
          <w:rFonts w:ascii="Arial" w:hAnsi="Arial" w:cs="Arial"/>
          <w:color w:val="000000" w:themeColor="text1"/>
          <w:shd w:val="clear" w:color="auto" w:fill="FFFFFF"/>
        </w:rPr>
      </w:pPr>
    </w:p>
    <w:p w14:paraId="5E557CCB" w14:textId="77777777"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Technological innovations and reduced labour costs have emerged in several developing countries attracting medical tourists. As the increase in patients seeking a more diverse variety of treatments abroad rose significantly, this </w:t>
      </w:r>
      <w:r w:rsidR="007F2DEA" w:rsidRPr="00EA236B">
        <w:rPr>
          <w:rFonts w:ascii="Arial" w:hAnsi="Arial" w:cs="Arial"/>
          <w:color w:val="000000" w:themeColor="text1"/>
          <w:shd w:val="clear" w:color="auto" w:fill="FFFFFF"/>
        </w:rPr>
        <w:t>engendered</w:t>
      </w:r>
      <w:r w:rsidRPr="00EA236B">
        <w:rPr>
          <w:rFonts w:ascii="Arial" w:hAnsi="Arial" w:cs="Arial"/>
          <w:color w:val="000000" w:themeColor="text1"/>
          <w:shd w:val="clear" w:color="auto" w:fill="FFFFFF"/>
        </w:rPr>
        <w:t xml:space="preserve"> increased services such as cosmetic surgery</w:t>
      </w:r>
      <w:r w:rsidR="003D4E7A" w:rsidRPr="00EA236B">
        <w:rPr>
          <w:rFonts w:ascii="Arial" w:hAnsi="Arial" w:cs="Arial"/>
          <w:color w:val="000000" w:themeColor="text1"/>
          <w:shd w:val="clear" w:color="auto" w:fill="FFFFFF"/>
        </w:rPr>
        <w:t xml:space="preserve"> and dentistry</w:t>
      </w:r>
      <w:r w:rsidRPr="00EA236B">
        <w:rPr>
          <w:rFonts w:ascii="Arial" w:hAnsi="Arial" w:cs="Arial"/>
          <w:color w:val="000000" w:themeColor="text1"/>
          <w:shd w:val="clear" w:color="auto" w:fill="FFFFFF"/>
        </w:rPr>
        <w:t xml:space="preserve"> (</w:t>
      </w:r>
      <w:r w:rsidR="00695508" w:rsidRPr="00EA236B">
        <w:rPr>
          <w:rFonts w:ascii="Arial" w:hAnsi="Arial" w:cs="Arial"/>
          <w:color w:val="000000" w:themeColor="text1"/>
          <w:shd w:val="clear" w:color="auto" w:fill="FFFFFF"/>
        </w:rPr>
        <w:t>Cortez, 2008</w:t>
      </w:r>
      <w:r w:rsidRPr="00EA236B">
        <w:rPr>
          <w:rFonts w:ascii="Arial" w:hAnsi="Arial" w:cs="Arial"/>
          <w:color w:val="000000" w:themeColor="text1"/>
          <w:shd w:val="clear" w:color="auto" w:fill="FFFFFF"/>
        </w:rPr>
        <w:t>). Furthermore, cheaper airfares have given rise to a surge in demand for healthcare services</w:t>
      </w:r>
      <w:r w:rsidR="00770E56" w:rsidRPr="00EA236B">
        <w:rPr>
          <w:rFonts w:ascii="-webkit-standard" w:hAnsi="-webkit-standard"/>
          <w:color w:val="000000" w:themeColor="text1"/>
          <w:sz w:val="27"/>
          <w:szCs w:val="27"/>
        </w:rPr>
        <w:t xml:space="preserve"> (</w:t>
      </w:r>
      <w:r w:rsidR="00770E56" w:rsidRPr="00EA236B">
        <w:rPr>
          <w:rFonts w:ascii="Arial" w:hAnsi="Arial" w:cs="Arial"/>
          <w:color w:val="000000" w:themeColor="text1"/>
        </w:rPr>
        <w:t>Ghosh &amp; Mandal, 2018).</w:t>
      </w:r>
    </w:p>
    <w:p w14:paraId="10A1710F" w14:textId="77777777" w:rsidR="00820785" w:rsidRPr="00EA236B" w:rsidRDefault="00820785" w:rsidP="00820785">
      <w:pPr>
        <w:spacing w:line="360" w:lineRule="auto"/>
        <w:jc w:val="both"/>
        <w:rPr>
          <w:rFonts w:ascii="Arial" w:hAnsi="Arial" w:cs="Arial"/>
          <w:color w:val="000000" w:themeColor="text1"/>
          <w:shd w:val="clear" w:color="auto" w:fill="FFFFFF"/>
        </w:rPr>
      </w:pPr>
    </w:p>
    <w:p w14:paraId="1C7B02DA" w14:textId="19BFB686"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However, adverse occurrences have risen in obtaining these services in other countries, resulting in medico-legal and insurance disputes (</w:t>
      </w:r>
      <w:r w:rsidR="00186BE3" w:rsidRPr="00EA236B">
        <w:rPr>
          <w:rFonts w:ascii="Arial" w:hAnsi="Arial" w:cs="Arial"/>
          <w:color w:val="000000" w:themeColor="text1"/>
          <w:shd w:val="clear" w:color="auto" w:fill="FFFFFF"/>
        </w:rPr>
        <w:t>Leggat, 2019</w:t>
      </w:r>
      <w:r w:rsidRPr="00EA236B">
        <w:rPr>
          <w:rFonts w:ascii="Arial" w:hAnsi="Arial" w:cs="Arial"/>
          <w:color w:val="000000" w:themeColor="text1"/>
          <w:shd w:val="clear" w:color="auto" w:fill="FFFFFF"/>
        </w:rPr>
        <w:t xml:space="preserve">). Additionally, there are trepidations concerning efficient patient follow-up after specific medical procedures have been performed </w:t>
      </w:r>
      <w:r w:rsidR="009B764D" w:rsidRPr="00EA236B">
        <w:rPr>
          <w:rFonts w:ascii="Arial" w:hAnsi="Arial" w:cs="Arial"/>
          <w:color w:val="000000" w:themeColor="text1"/>
          <w:shd w:val="clear" w:color="auto" w:fill="FFFFFF"/>
        </w:rPr>
        <w:t>(Xu et al., 2020</w:t>
      </w:r>
      <w:r w:rsidR="00643E79" w:rsidRPr="00EA236B">
        <w:rPr>
          <w:rFonts w:ascii="Arial" w:hAnsi="Arial" w:cs="Arial"/>
          <w:color w:val="000000" w:themeColor="text1"/>
          <w:shd w:val="clear" w:color="auto" w:fill="FFFFFF"/>
        </w:rPr>
        <w:t>; Alhargan et al., 2021</w:t>
      </w:r>
      <w:r w:rsidR="009B764D"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xml:space="preserve">. </w:t>
      </w:r>
      <w:r w:rsidR="009B764D" w:rsidRPr="00EA236B">
        <w:rPr>
          <w:rFonts w:ascii="Arial" w:hAnsi="Arial" w:cs="Arial"/>
          <w:color w:val="000000" w:themeColor="text1"/>
          <w:shd w:val="clear" w:color="auto" w:fill="FFFFFF"/>
        </w:rPr>
        <w:t>These trepidations</w:t>
      </w:r>
      <w:r w:rsidRPr="00EA236B">
        <w:rPr>
          <w:rFonts w:ascii="Arial" w:hAnsi="Arial" w:cs="Arial"/>
          <w:color w:val="000000" w:themeColor="text1"/>
          <w:shd w:val="clear" w:color="auto" w:fill="FFFFFF"/>
        </w:rPr>
        <w:t xml:space="preserve"> could leave patients out-of-pocket, having to return to these destinations for follow-up or add pressure to the medical infrastructure in the host country. </w:t>
      </w:r>
      <w:r w:rsidR="009B764D" w:rsidRPr="00EA236B">
        <w:rPr>
          <w:rFonts w:ascii="Arial" w:hAnsi="Arial" w:cs="Arial"/>
          <w:color w:val="000000" w:themeColor="text1"/>
          <w:shd w:val="clear" w:color="auto" w:fill="FFFFFF"/>
        </w:rPr>
        <w:t xml:space="preserve">Conversely, technological innovations have made it possible to combat the problem using teleconferencing </w:t>
      </w:r>
      <w:r w:rsidR="00C35C66" w:rsidRPr="00EA236B">
        <w:rPr>
          <w:rFonts w:ascii="Arial" w:hAnsi="Arial" w:cs="Arial"/>
          <w:color w:val="000000" w:themeColor="text1"/>
          <w:shd w:val="clear" w:color="auto" w:fill="FFFFFF"/>
        </w:rPr>
        <w:t xml:space="preserve">as explored in chapter 3 </w:t>
      </w:r>
      <w:r w:rsidR="009B764D" w:rsidRPr="00EA236B">
        <w:rPr>
          <w:rFonts w:ascii="Arial" w:hAnsi="Arial" w:cs="Arial"/>
          <w:color w:val="000000" w:themeColor="text1"/>
          <w:shd w:val="clear" w:color="auto" w:fill="FFFFFF"/>
        </w:rPr>
        <w:t xml:space="preserve">(Wong </w:t>
      </w:r>
      <w:r w:rsidR="00796DDE" w:rsidRPr="00EA236B">
        <w:rPr>
          <w:rFonts w:ascii="Arial" w:hAnsi="Arial" w:cs="Arial"/>
          <w:color w:val="000000" w:themeColor="text1"/>
          <w:shd w:val="clear" w:color="auto" w:fill="FFFFFF"/>
        </w:rPr>
        <w:t>and</w:t>
      </w:r>
      <w:r w:rsidR="009B764D" w:rsidRPr="00EA236B">
        <w:rPr>
          <w:rFonts w:ascii="Arial" w:hAnsi="Arial" w:cs="Arial"/>
          <w:color w:val="000000" w:themeColor="text1"/>
          <w:shd w:val="clear" w:color="auto" w:fill="FFFFFF"/>
        </w:rPr>
        <w:t xml:space="preserve"> Sa’aid Hazley, 2020). In summary, </w:t>
      </w:r>
      <w:r w:rsidRPr="00EA236B">
        <w:rPr>
          <w:rFonts w:ascii="Arial" w:hAnsi="Arial" w:cs="Arial"/>
          <w:color w:val="000000" w:themeColor="text1"/>
          <w:shd w:val="clear" w:color="auto" w:fill="FFFFFF"/>
        </w:rPr>
        <w:t>th</w:t>
      </w:r>
      <w:r w:rsidR="009B764D" w:rsidRPr="00EA236B">
        <w:rPr>
          <w:rFonts w:ascii="Arial" w:hAnsi="Arial" w:cs="Arial"/>
          <w:color w:val="000000" w:themeColor="text1"/>
          <w:shd w:val="clear" w:color="auto" w:fill="FFFFFF"/>
        </w:rPr>
        <w:t>e</w:t>
      </w:r>
      <w:r w:rsidRPr="00EA236B">
        <w:rPr>
          <w:rFonts w:ascii="Arial" w:hAnsi="Arial" w:cs="Arial"/>
          <w:color w:val="000000" w:themeColor="text1"/>
          <w:shd w:val="clear" w:color="auto" w:fill="FFFFFF"/>
        </w:rPr>
        <w:t xml:space="preserve"> sector is growing exponentially, with the medical tourism industry estimated at a staggering </w:t>
      </w:r>
      <w:r w:rsidR="00166ACE" w:rsidRPr="00EA236B">
        <w:rPr>
          <w:rFonts w:ascii="Arial" w:hAnsi="Arial" w:cs="Arial"/>
          <w:color w:val="000000" w:themeColor="text1"/>
          <w:shd w:val="clear" w:color="auto" w:fill="FFFFFF"/>
        </w:rPr>
        <w:t>£77</w:t>
      </w:r>
      <w:r w:rsidRPr="00EA236B">
        <w:rPr>
          <w:rFonts w:ascii="Arial" w:hAnsi="Arial" w:cs="Arial"/>
          <w:color w:val="000000" w:themeColor="text1"/>
          <w:shd w:val="clear" w:color="auto" w:fill="FFFFFF"/>
        </w:rPr>
        <w:t xml:space="preserve"> Billion </w:t>
      </w:r>
      <w:r w:rsidR="00166ACE" w:rsidRPr="00EA236B">
        <w:rPr>
          <w:rFonts w:ascii="Arial" w:hAnsi="Arial" w:cs="Arial"/>
          <w:color w:val="000000" w:themeColor="text1"/>
          <w:shd w:val="clear" w:color="auto" w:fill="FFFFFF"/>
        </w:rPr>
        <w:t>(Tatum, 2020)</w:t>
      </w:r>
      <w:r w:rsidRPr="00EA236B">
        <w:rPr>
          <w:rFonts w:ascii="Arial" w:hAnsi="Arial" w:cs="Arial"/>
          <w:color w:val="000000" w:themeColor="text1"/>
          <w:shd w:val="clear" w:color="auto" w:fill="FFFFFF"/>
        </w:rPr>
        <w:t>.</w:t>
      </w:r>
    </w:p>
    <w:p w14:paraId="362913BA" w14:textId="77777777" w:rsidR="00820785" w:rsidRPr="00EA236B" w:rsidRDefault="00820785" w:rsidP="00820785">
      <w:pPr>
        <w:spacing w:line="360" w:lineRule="auto"/>
        <w:jc w:val="both"/>
        <w:rPr>
          <w:rFonts w:ascii="Arial" w:hAnsi="Arial" w:cs="Arial"/>
          <w:color w:val="000000" w:themeColor="text1"/>
          <w:shd w:val="clear" w:color="auto" w:fill="FFFFFF"/>
        </w:rPr>
      </w:pPr>
    </w:p>
    <w:p w14:paraId="60E698B1" w14:textId="52C66D5E" w:rsidR="00820785" w:rsidRPr="00832105" w:rsidRDefault="00000000" w:rsidP="000329BA">
      <w:pPr>
        <w:pStyle w:val="Heading2"/>
        <w:rPr>
          <w:rFonts w:ascii="Arial" w:hAnsi="Arial" w:cs="Arial"/>
          <w:b/>
          <w:bCs/>
          <w:color w:val="000000" w:themeColor="text1"/>
          <w:sz w:val="24"/>
          <w:szCs w:val="24"/>
          <w:shd w:val="clear" w:color="auto" w:fill="FFFFFF"/>
        </w:rPr>
      </w:pPr>
      <w:bookmarkStart w:id="15" w:name="_Toc126667561"/>
      <w:r w:rsidRPr="00832105">
        <w:rPr>
          <w:rFonts w:ascii="Arial" w:hAnsi="Arial" w:cs="Arial"/>
          <w:b/>
          <w:bCs/>
          <w:color w:val="000000" w:themeColor="text1"/>
          <w:sz w:val="24"/>
          <w:szCs w:val="24"/>
          <w:shd w:val="clear" w:color="auto" w:fill="FFFFFF"/>
        </w:rPr>
        <w:t>2.</w:t>
      </w:r>
      <w:r w:rsidR="00981552" w:rsidRPr="00832105">
        <w:rPr>
          <w:rFonts w:ascii="Arial" w:hAnsi="Arial" w:cs="Arial"/>
          <w:b/>
          <w:bCs/>
          <w:color w:val="000000" w:themeColor="text1"/>
          <w:sz w:val="24"/>
          <w:szCs w:val="24"/>
          <w:shd w:val="clear" w:color="auto" w:fill="FFFFFF"/>
        </w:rPr>
        <w:t>4</w:t>
      </w:r>
      <w:r w:rsidRPr="00832105">
        <w:rPr>
          <w:rFonts w:ascii="Arial" w:hAnsi="Arial" w:cs="Arial"/>
          <w:b/>
          <w:bCs/>
          <w:color w:val="000000" w:themeColor="text1"/>
          <w:sz w:val="24"/>
          <w:szCs w:val="24"/>
          <w:shd w:val="clear" w:color="auto" w:fill="FFFFFF"/>
        </w:rPr>
        <w:t xml:space="preserve"> Introduction </w:t>
      </w:r>
      <w:r w:rsidR="00D621B3" w:rsidRPr="00832105">
        <w:rPr>
          <w:rFonts w:ascii="Arial" w:hAnsi="Arial" w:cs="Arial"/>
          <w:b/>
          <w:bCs/>
          <w:color w:val="000000" w:themeColor="text1"/>
          <w:sz w:val="24"/>
          <w:szCs w:val="24"/>
          <w:shd w:val="clear" w:color="auto" w:fill="FFFFFF"/>
        </w:rPr>
        <w:t xml:space="preserve">and Profile </w:t>
      </w:r>
      <w:r w:rsidRPr="00832105">
        <w:rPr>
          <w:rFonts w:ascii="Arial" w:hAnsi="Arial" w:cs="Arial"/>
          <w:b/>
          <w:bCs/>
          <w:color w:val="000000" w:themeColor="text1"/>
          <w:sz w:val="24"/>
          <w:szCs w:val="24"/>
          <w:shd w:val="clear" w:color="auto" w:fill="FFFFFF"/>
        </w:rPr>
        <w:t>of Case Studies</w:t>
      </w:r>
      <w:bookmarkEnd w:id="15"/>
    </w:p>
    <w:p w14:paraId="097C9B24" w14:textId="77777777" w:rsidR="00820785" w:rsidRPr="00EA236B" w:rsidRDefault="00820785" w:rsidP="00820785">
      <w:pPr>
        <w:spacing w:line="360" w:lineRule="auto"/>
        <w:jc w:val="both"/>
        <w:rPr>
          <w:rFonts w:ascii="Arial" w:hAnsi="Arial" w:cs="Arial"/>
          <w:b/>
          <w:bCs/>
          <w:color w:val="000000" w:themeColor="text1"/>
          <w:shd w:val="clear" w:color="auto" w:fill="FFFFFF"/>
        </w:rPr>
      </w:pPr>
    </w:p>
    <w:p w14:paraId="0C586995" w14:textId="77777777"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This chapter introduces two case study organisations and their management practice, which will be critically compared to evaluate the effectiveness of their implemented strategical approach used within the context of culture. Notably, a few countries may come to thoughts when speaking of medical tourism. Mainly, these countries are as follows: </w:t>
      </w:r>
    </w:p>
    <w:p w14:paraId="36D720C4" w14:textId="77777777" w:rsidR="00820785" w:rsidRPr="00EA236B" w:rsidRDefault="00000000" w:rsidP="00820785">
      <w:pPr>
        <w:pStyle w:val="ListParagraph"/>
        <w:numPr>
          <w:ilvl w:val="0"/>
          <w:numId w:val="1"/>
        </w:num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Thailand</w:t>
      </w:r>
    </w:p>
    <w:p w14:paraId="7610DC69" w14:textId="77777777" w:rsidR="00820785" w:rsidRPr="00EA236B" w:rsidRDefault="00000000" w:rsidP="00820785">
      <w:pPr>
        <w:pStyle w:val="ListParagraph"/>
        <w:numPr>
          <w:ilvl w:val="0"/>
          <w:numId w:val="1"/>
        </w:num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Singapore </w:t>
      </w:r>
    </w:p>
    <w:p w14:paraId="7FE4A6D8" w14:textId="77777777" w:rsidR="00820785" w:rsidRPr="00EA236B" w:rsidRDefault="00000000" w:rsidP="00820785">
      <w:pPr>
        <w:pStyle w:val="ListParagraph"/>
        <w:numPr>
          <w:ilvl w:val="0"/>
          <w:numId w:val="1"/>
        </w:num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India</w:t>
      </w:r>
    </w:p>
    <w:p w14:paraId="01E1B2AB" w14:textId="77777777" w:rsidR="00820785" w:rsidRPr="00EA236B" w:rsidRDefault="00000000" w:rsidP="00820785">
      <w:pPr>
        <w:pStyle w:val="ListParagraph"/>
        <w:numPr>
          <w:ilvl w:val="0"/>
          <w:numId w:val="1"/>
        </w:num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Dubai</w:t>
      </w:r>
    </w:p>
    <w:p w14:paraId="4A9009E2" w14:textId="77777777" w:rsidR="00820785" w:rsidRPr="00EA236B" w:rsidRDefault="00000000" w:rsidP="00820785">
      <w:pPr>
        <w:pStyle w:val="ListParagraph"/>
        <w:numPr>
          <w:ilvl w:val="0"/>
          <w:numId w:val="1"/>
        </w:num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Dominica Republic </w:t>
      </w:r>
    </w:p>
    <w:p w14:paraId="12D8130D" w14:textId="77777777" w:rsidR="00820785" w:rsidRPr="00EA236B" w:rsidRDefault="00000000" w:rsidP="00820785">
      <w:pPr>
        <w:pStyle w:val="ListParagraph"/>
        <w:numPr>
          <w:ilvl w:val="0"/>
          <w:numId w:val="1"/>
        </w:num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Turkey</w:t>
      </w:r>
    </w:p>
    <w:p w14:paraId="065F8C14" w14:textId="77777777" w:rsidR="00820785" w:rsidRPr="00EA236B" w:rsidRDefault="00820785" w:rsidP="00820785">
      <w:pPr>
        <w:spacing w:line="360" w:lineRule="auto"/>
        <w:jc w:val="both"/>
        <w:rPr>
          <w:rFonts w:ascii="Arial" w:hAnsi="Arial" w:cs="Arial"/>
          <w:color w:val="000000" w:themeColor="text1"/>
          <w:shd w:val="clear" w:color="auto" w:fill="FFFFFF"/>
        </w:rPr>
      </w:pPr>
    </w:p>
    <w:p w14:paraId="1A8D9124" w14:textId="2E4348A5"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However, the name of a specific country might be the main subject of a given conversation based on the desired treatment being sought abroad</w:t>
      </w:r>
      <w:r w:rsidR="00D4231A"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xml:space="preserve"> </w:t>
      </w:r>
      <w:r w:rsidR="00D4231A" w:rsidRPr="00EA236B">
        <w:rPr>
          <w:rFonts w:ascii="Arial" w:hAnsi="Arial" w:cs="Arial"/>
          <w:color w:val="000000" w:themeColor="text1"/>
          <w:shd w:val="clear" w:color="auto" w:fill="FFFFFF"/>
        </w:rPr>
        <w:t xml:space="preserve">Surprisingly, the desired treatment </w:t>
      </w:r>
      <w:r w:rsidRPr="00EA236B">
        <w:rPr>
          <w:rFonts w:ascii="Arial" w:hAnsi="Arial" w:cs="Arial"/>
          <w:color w:val="000000" w:themeColor="text1"/>
          <w:shd w:val="clear" w:color="auto" w:fill="FFFFFF"/>
        </w:rPr>
        <w:t>could also be an illegal procedure already banned in the host nation (</w:t>
      </w:r>
      <w:r w:rsidR="002403CF" w:rsidRPr="00EA236B">
        <w:rPr>
          <w:rFonts w:ascii="Arial" w:hAnsi="Arial" w:cs="Arial"/>
          <w:color w:val="000000" w:themeColor="text1"/>
          <w:shd w:val="clear" w:color="auto" w:fill="FFFFFF"/>
        </w:rPr>
        <w:t>Lunt et al., 2014</w:t>
      </w:r>
      <w:r w:rsidRPr="00EA236B">
        <w:rPr>
          <w:rFonts w:ascii="Arial" w:hAnsi="Arial" w:cs="Arial"/>
          <w:color w:val="000000" w:themeColor="text1"/>
          <w:shd w:val="clear" w:color="auto" w:fill="FFFFFF"/>
        </w:rPr>
        <w:t xml:space="preserve">). For example, countries such as the Dominican Republic in the Caribbean, and Turkey in Europe, is widely known for what is </w:t>
      </w:r>
      <w:r w:rsidRPr="00EA236B">
        <w:rPr>
          <w:rFonts w:ascii="Arial" w:hAnsi="Arial" w:cs="Arial"/>
          <w:color w:val="000000" w:themeColor="text1"/>
          <w:shd w:val="clear" w:color="auto" w:fill="FFFFFF"/>
        </w:rPr>
        <w:lastRenderedPageBreak/>
        <w:t>described as ‘scalpel treatments’, a rising form of medical tourism albeit for cosmetic purposes (</w:t>
      </w:r>
      <w:r w:rsidR="002403CF" w:rsidRPr="00EA236B">
        <w:rPr>
          <w:rFonts w:ascii="Arial" w:hAnsi="Arial" w:cs="Arial"/>
          <w:color w:val="000000" w:themeColor="text1"/>
          <w:shd w:val="clear" w:color="auto" w:fill="FFFFFF"/>
        </w:rPr>
        <w:t>Tremlett, 2009</w:t>
      </w:r>
      <w:r w:rsidRPr="00EA236B">
        <w:rPr>
          <w:rFonts w:ascii="Arial" w:hAnsi="Arial" w:cs="Arial"/>
          <w:color w:val="000000" w:themeColor="text1"/>
          <w:shd w:val="clear" w:color="auto" w:fill="FFFFFF"/>
        </w:rPr>
        <w:t xml:space="preserve">). Additionally, some treatments, such as sex realignment surgeries, are banned due to being illegal in the </w:t>
      </w:r>
      <w:r w:rsidR="00D87033" w:rsidRPr="00EA236B">
        <w:rPr>
          <w:rFonts w:ascii="Arial" w:hAnsi="Arial" w:cs="Arial"/>
          <w:color w:val="000000" w:themeColor="text1"/>
          <w:shd w:val="clear" w:color="auto" w:fill="FFFFFF"/>
        </w:rPr>
        <w:t xml:space="preserve">patient’s </w:t>
      </w:r>
      <w:r w:rsidRPr="00EA236B">
        <w:rPr>
          <w:rFonts w:ascii="Arial" w:hAnsi="Arial" w:cs="Arial"/>
          <w:color w:val="000000" w:themeColor="text1"/>
          <w:shd w:val="clear" w:color="auto" w:fill="FFFFFF"/>
        </w:rPr>
        <w:t>host country (</w:t>
      </w:r>
      <w:r w:rsidR="002403CF" w:rsidRPr="00EA236B">
        <w:rPr>
          <w:rFonts w:ascii="Arial" w:hAnsi="Arial" w:cs="Arial"/>
          <w:color w:val="000000" w:themeColor="text1"/>
          <w:shd w:val="clear" w:color="auto" w:fill="FFFFFF"/>
        </w:rPr>
        <w:t>Wareham, 2020</w:t>
      </w:r>
      <w:r w:rsidRPr="00EA236B">
        <w:rPr>
          <w:rFonts w:ascii="Arial" w:hAnsi="Arial" w:cs="Arial"/>
          <w:color w:val="000000" w:themeColor="text1"/>
          <w:shd w:val="clear" w:color="auto" w:fill="FFFFFF"/>
        </w:rPr>
        <w:t>).</w:t>
      </w:r>
    </w:p>
    <w:p w14:paraId="4405DC8F" w14:textId="77777777" w:rsidR="00820785" w:rsidRPr="00EA236B" w:rsidRDefault="00820785" w:rsidP="00820785">
      <w:pPr>
        <w:spacing w:line="360" w:lineRule="auto"/>
        <w:jc w:val="both"/>
        <w:rPr>
          <w:rFonts w:ascii="Arial" w:hAnsi="Arial" w:cs="Arial"/>
          <w:color w:val="000000" w:themeColor="text1"/>
          <w:shd w:val="clear" w:color="auto" w:fill="FFFFFF"/>
        </w:rPr>
      </w:pPr>
    </w:p>
    <w:p w14:paraId="2FEB228E" w14:textId="77777777"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For this report, the case study organisations for critical comparison are Thailand’s Bumrungrad International Hospital and India’s </w:t>
      </w:r>
      <w:r w:rsidR="00AD53BB" w:rsidRPr="00EA236B">
        <w:rPr>
          <w:rFonts w:ascii="Arial" w:hAnsi="Arial" w:cs="Arial"/>
          <w:color w:val="000000" w:themeColor="text1"/>
          <w:shd w:val="clear" w:color="auto" w:fill="FFFFFF"/>
        </w:rPr>
        <w:t>Medanta-The Medicity</w:t>
      </w:r>
      <w:r w:rsidRPr="00EA236B">
        <w:rPr>
          <w:rFonts w:ascii="Arial" w:hAnsi="Arial" w:cs="Arial"/>
          <w:color w:val="000000" w:themeColor="text1"/>
          <w:shd w:val="clear" w:color="auto" w:fill="FFFFFF"/>
        </w:rPr>
        <w:t>. These two cases have been chosen due to the concept of affordable healthcare for tourists and the advancement in cutting-edge medical facilities in third-world countries.</w:t>
      </w:r>
    </w:p>
    <w:p w14:paraId="3728FFE9" w14:textId="77777777" w:rsidR="00820785" w:rsidRPr="00EA236B" w:rsidRDefault="00820785" w:rsidP="00820785">
      <w:pPr>
        <w:spacing w:line="360" w:lineRule="auto"/>
        <w:jc w:val="both"/>
        <w:rPr>
          <w:rFonts w:ascii="Arial" w:hAnsi="Arial" w:cs="Arial"/>
          <w:b/>
          <w:bCs/>
          <w:color w:val="000000" w:themeColor="text1"/>
          <w:shd w:val="clear" w:color="auto" w:fill="FFFFFF"/>
        </w:rPr>
      </w:pPr>
    </w:p>
    <w:p w14:paraId="3AEE5DBE" w14:textId="4EB46C47" w:rsidR="00820785" w:rsidRPr="00832105" w:rsidRDefault="00000000" w:rsidP="000329BA">
      <w:pPr>
        <w:pStyle w:val="Heading2"/>
        <w:rPr>
          <w:rFonts w:ascii="Arial" w:hAnsi="Arial" w:cs="Arial"/>
          <w:b/>
          <w:bCs/>
          <w:color w:val="000000" w:themeColor="text1"/>
          <w:sz w:val="24"/>
          <w:szCs w:val="24"/>
          <w:shd w:val="clear" w:color="auto" w:fill="FFFFFF"/>
        </w:rPr>
      </w:pPr>
      <w:bookmarkStart w:id="16" w:name="_Toc126667562"/>
      <w:r w:rsidRPr="00832105">
        <w:rPr>
          <w:rFonts w:ascii="Arial" w:hAnsi="Arial" w:cs="Arial"/>
          <w:b/>
          <w:bCs/>
          <w:color w:val="000000" w:themeColor="text1"/>
          <w:sz w:val="24"/>
          <w:szCs w:val="24"/>
          <w:shd w:val="clear" w:color="auto" w:fill="FFFFFF"/>
        </w:rPr>
        <w:t>2.</w:t>
      </w:r>
      <w:r w:rsidR="00D621B3" w:rsidRPr="00832105">
        <w:rPr>
          <w:rFonts w:ascii="Arial" w:hAnsi="Arial" w:cs="Arial"/>
          <w:b/>
          <w:bCs/>
          <w:color w:val="000000" w:themeColor="text1"/>
          <w:sz w:val="24"/>
          <w:szCs w:val="24"/>
          <w:shd w:val="clear" w:color="auto" w:fill="FFFFFF"/>
        </w:rPr>
        <w:t>5</w:t>
      </w:r>
      <w:r w:rsidRPr="00832105">
        <w:rPr>
          <w:rFonts w:ascii="Arial" w:hAnsi="Arial" w:cs="Arial"/>
          <w:b/>
          <w:bCs/>
          <w:color w:val="000000" w:themeColor="text1"/>
          <w:sz w:val="24"/>
          <w:szCs w:val="24"/>
          <w:shd w:val="clear" w:color="auto" w:fill="FFFFFF"/>
        </w:rPr>
        <w:t xml:space="preserve"> Overview of Medical Tourism in Thailand</w:t>
      </w:r>
      <w:bookmarkEnd w:id="16"/>
    </w:p>
    <w:p w14:paraId="658F2287" w14:textId="77777777" w:rsidR="00820785" w:rsidRPr="00EA236B" w:rsidRDefault="00820785" w:rsidP="00820785">
      <w:pPr>
        <w:spacing w:line="360" w:lineRule="auto"/>
        <w:jc w:val="both"/>
        <w:rPr>
          <w:rFonts w:ascii="Arial" w:hAnsi="Arial" w:cs="Arial"/>
          <w:b/>
          <w:bCs/>
          <w:color w:val="000000" w:themeColor="text1"/>
          <w:shd w:val="clear" w:color="auto" w:fill="FFFFFF"/>
        </w:rPr>
      </w:pPr>
    </w:p>
    <w:p w14:paraId="3F2C9373" w14:textId="15ECE162"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Since 2004, Thailand's government has commenced strategic plans to foster regional medical tourism </w:t>
      </w:r>
      <w:r w:rsidR="00643E79" w:rsidRPr="00EA236B">
        <w:rPr>
          <w:rFonts w:ascii="Arial" w:hAnsi="Arial" w:cs="Arial"/>
          <w:color w:val="000000" w:themeColor="text1"/>
          <w:shd w:val="clear" w:color="auto" w:fill="FFFFFF"/>
        </w:rPr>
        <w:t>(Pitakdumrongkit &amp; Lim, 2020)</w:t>
      </w:r>
      <w:r w:rsidRPr="00EA236B">
        <w:rPr>
          <w:rFonts w:ascii="Arial" w:hAnsi="Arial" w:cs="Arial"/>
          <w:b/>
          <w:bCs/>
          <w:color w:val="000000" w:themeColor="text1"/>
          <w:shd w:val="clear" w:color="auto" w:fill="FFFFFF"/>
        </w:rPr>
        <w:t>.</w:t>
      </w:r>
      <w:r w:rsidRPr="00EA236B">
        <w:rPr>
          <w:rFonts w:ascii="Arial" w:hAnsi="Arial" w:cs="Arial"/>
          <w:color w:val="000000" w:themeColor="text1"/>
          <w:shd w:val="clear" w:color="auto" w:fill="FFFFFF"/>
        </w:rPr>
        <w:t xml:space="preserve"> These strategies endorsed by the government have propelled the country to enjoy a significant number of tourists within the medical tourism sector. Thailand is currently recognised amongst the international community as a prominent medical hub within Asia, illustrating crucial advantages in terms of advanced and modern equipment, competitive prices, outstanding hospitality services from stakeholders and operators, accessible entrance, and vast availability of medical specialists (</w:t>
      </w:r>
      <w:r w:rsidR="00B5001C" w:rsidRPr="00EA236B">
        <w:rPr>
          <w:rFonts w:ascii="Arial" w:hAnsi="Arial" w:cs="Arial"/>
          <w:color w:val="000000" w:themeColor="text1"/>
          <w:shd w:val="clear" w:color="auto" w:fill="FFFFFF"/>
        </w:rPr>
        <w:t>Ebrahim and Ganguli, 2019</w:t>
      </w:r>
      <w:r w:rsidRPr="00EA236B">
        <w:rPr>
          <w:rFonts w:ascii="Arial" w:hAnsi="Arial" w:cs="Arial"/>
          <w:color w:val="000000" w:themeColor="text1"/>
          <w:shd w:val="clear" w:color="auto" w:fill="FFFFFF"/>
        </w:rPr>
        <w:t xml:space="preserve">). The country was accredited with the Joint Commission International (JCI) status, being the first country in Asia to achieve this accreditation, </w:t>
      </w:r>
      <w:r w:rsidR="009168B7" w:rsidRPr="00EA236B">
        <w:rPr>
          <w:rFonts w:ascii="Arial" w:hAnsi="Arial" w:cs="Arial"/>
          <w:color w:val="000000" w:themeColor="text1"/>
          <w:shd w:val="clear" w:color="auto" w:fill="FFFFFF"/>
        </w:rPr>
        <w:t>and</w:t>
      </w:r>
      <w:r w:rsidRPr="00EA236B">
        <w:rPr>
          <w:rFonts w:ascii="Arial" w:hAnsi="Arial" w:cs="Arial"/>
          <w:color w:val="000000" w:themeColor="text1"/>
          <w:shd w:val="clear" w:color="auto" w:fill="FFFFFF"/>
        </w:rPr>
        <w:t xml:space="preserve"> an ISO 9001 certification</w:t>
      </w:r>
      <w:r w:rsidR="0073315A" w:rsidRPr="00EA236B">
        <w:rPr>
          <w:rStyle w:val="FootnoteReference"/>
          <w:rFonts w:ascii="Arial" w:hAnsi="Arial" w:cs="Arial"/>
          <w:color w:val="000000" w:themeColor="text1"/>
          <w:shd w:val="clear" w:color="auto" w:fill="FFFFFF"/>
        </w:rPr>
        <w:footnoteReference w:customMarkFollows="1" w:id="2"/>
        <w:t>2</w:t>
      </w:r>
      <w:r w:rsidRPr="00EA236B">
        <w:rPr>
          <w:rFonts w:ascii="Arial" w:hAnsi="Arial" w:cs="Arial"/>
          <w:color w:val="000000" w:themeColor="text1"/>
          <w:shd w:val="clear" w:color="auto" w:fill="FFFFFF"/>
        </w:rPr>
        <w:t xml:space="preserve"> (</w:t>
      </w:r>
      <w:r w:rsidR="00B5001C" w:rsidRPr="00EA236B">
        <w:rPr>
          <w:rFonts w:ascii="Arial" w:hAnsi="Arial" w:cs="Arial"/>
          <w:color w:val="000000" w:themeColor="text1"/>
          <w:shd w:val="clear" w:color="auto" w:fill="FFFFFF"/>
        </w:rPr>
        <w:t>Astrup, 2020</w:t>
      </w:r>
      <w:r w:rsidRPr="00EA236B">
        <w:rPr>
          <w:rFonts w:ascii="Arial" w:hAnsi="Arial" w:cs="Arial"/>
          <w:color w:val="000000" w:themeColor="text1"/>
          <w:shd w:val="clear" w:color="auto" w:fill="FFFFFF"/>
        </w:rPr>
        <w:t xml:space="preserve">). </w:t>
      </w:r>
    </w:p>
    <w:p w14:paraId="2C2166AA" w14:textId="77777777" w:rsidR="00820785" w:rsidRPr="00EA236B" w:rsidRDefault="00820785" w:rsidP="00820785">
      <w:pPr>
        <w:spacing w:line="360" w:lineRule="auto"/>
        <w:jc w:val="both"/>
        <w:rPr>
          <w:rFonts w:ascii="Arial" w:hAnsi="Arial" w:cs="Arial"/>
          <w:color w:val="000000" w:themeColor="text1"/>
          <w:shd w:val="clear" w:color="auto" w:fill="FFFFFF"/>
        </w:rPr>
      </w:pPr>
    </w:p>
    <w:p w14:paraId="186C50F7" w14:textId="53505E56" w:rsidR="00820785"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Notably, the country, already considered an outstanding tourism hub boasting tranquil beaches, great food, and worthy entertainment, </w:t>
      </w:r>
      <w:r w:rsidR="00BE6C6A" w:rsidRPr="00EA236B">
        <w:rPr>
          <w:rFonts w:ascii="Arial" w:hAnsi="Arial" w:cs="Arial"/>
          <w:color w:val="000000" w:themeColor="text1"/>
          <w:shd w:val="clear" w:color="auto" w:fill="FFFFFF"/>
        </w:rPr>
        <w:t xml:space="preserve">puts </w:t>
      </w:r>
      <w:r w:rsidRPr="00EA236B">
        <w:rPr>
          <w:rFonts w:ascii="Arial" w:hAnsi="Arial" w:cs="Arial"/>
          <w:color w:val="000000" w:themeColor="text1"/>
          <w:shd w:val="clear" w:color="auto" w:fill="FFFFFF"/>
        </w:rPr>
        <w:t>Thailand in an advantageous position as a medical tourism destination (</w:t>
      </w:r>
      <w:r w:rsidR="00E039C7" w:rsidRPr="00EA236B">
        <w:rPr>
          <w:rFonts w:ascii="Arial" w:hAnsi="Arial" w:cs="Arial"/>
          <w:color w:val="000000" w:themeColor="text1"/>
          <w:shd w:val="clear" w:color="auto" w:fill="FFFFFF"/>
        </w:rPr>
        <w:t xml:space="preserve">Noree, 2015; </w:t>
      </w:r>
      <w:r w:rsidR="00B20C23" w:rsidRPr="00EA236B">
        <w:rPr>
          <w:rFonts w:ascii="Arial" w:hAnsi="Arial" w:cs="Arial"/>
          <w:color w:val="000000" w:themeColor="text1"/>
          <w:shd w:val="clear" w:color="auto" w:fill="FFFFFF"/>
        </w:rPr>
        <w:t>Ayae, 2017</w:t>
      </w:r>
      <w:r w:rsidRPr="00EA236B">
        <w:rPr>
          <w:rFonts w:ascii="Arial" w:hAnsi="Arial" w:cs="Arial"/>
          <w:color w:val="000000" w:themeColor="text1"/>
          <w:shd w:val="clear" w:color="auto" w:fill="FFFFFF"/>
        </w:rPr>
        <w:t xml:space="preserve">). Thailand attracts, on average, 11.5 million tourists yearly, constantly increasing their year-on-year figures; </w:t>
      </w:r>
      <w:r w:rsidR="00BE6C6A" w:rsidRPr="00EA236B">
        <w:rPr>
          <w:rFonts w:ascii="Arial" w:hAnsi="Arial" w:cs="Arial"/>
          <w:color w:val="000000" w:themeColor="text1"/>
          <w:shd w:val="clear" w:color="auto" w:fill="FFFFFF"/>
        </w:rPr>
        <w:t xml:space="preserve">however, </w:t>
      </w:r>
      <w:r w:rsidRPr="00EA236B">
        <w:rPr>
          <w:rFonts w:ascii="Arial" w:hAnsi="Arial" w:cs="Arial"/>
          <w:color w:val="000000" w:themeColor="text1"/>
          <w:shd w:val="clear" w:color="auto" w:fill="FFFFFF"/>
        </w:rPr>
        <w:t xml:space="preserve">in 2005, those figures rose significantly to 13.58 million international tourists, holidaying over eight days on average </w:t>
      </w:r>
      <w:r w:rsidR="00233BDD" w:rsidRPr="00EA236B">
        <w:rPr>
          <w:rFonts w:ascii="Arial" w:hAnsi="Arial" w:cs="Arial"/>
          <w:color w:val="000000" w:themeColor="text1"/>
          <w:shd w:val="clear" w:color="auto" w:fill="FFFFFF"/>
        </w:rPr>
        <w:t>(Ayae, 2017</w:t>
      </w:r>
      <w:r w:rsidRPr="00EA236B">
        <w:rPr>
          <w:rFonts w:ascii="Arial" w:hAnsi="Arial" w:cs="Arial"/>
          <w:color w:val="000000" w:themeColor="text1"/>
          <w:shd w:val="clear" w:color="auto" w:fill="FFFFFF"/>
        </w:rPr>
        <w:t>). The country is regarded as one of the most prominent tourist destinations in the world, with over 65% of tourists visiting from Japan, Malaysia, and the Asia Pacific region (</w:t>
      </w:r>
      <w:r w:rsidR="00233BDD" w:rsidRPr="00EA236B">
        <w:rPr>
          <w:rFonts w:ascii="Arial" w:hAnsi="Arial" w:cs="Arial"/>
          <w:color w:val="000000" w:themeColor="text1"/>
          <w:shd w:val="clear" w:color="auto" w:fill="FFFFFF"/>
        </w:rPr>
        <w:t>Noree, 2015</w:t>
      </w:r>
      <w:r w:rsidRPr="00EA236B">
        <w:rPr>
          <w:rFonts w:ascii="Arial" w:hAnsi="Arial" w:cs="Arial"/>
          <w:color w:val="000000" w:themeColor="text1"/>
          <w:shd w:val="clear" w:color="auto" w:fill="FFFFFF"/>
        </w:rPr>
        <w:t>). The government's involvement in promoting medical tourism has helped significantly in achieving these numbers, attributed to over 1 million medical tourists from over 190 countries yearly (</w:t>
      </w:r>
      <w:r w:rsidR="00233BDD" w:rsidRPr="00EA236B">
        <w:rPr>
          <w:rFonts w:ascii="Arial" w:hAnsi="Arial" w:cs="Arial"/>
          <w:color w:val="000000" w:themeColor="text1"/>
          <w:shd w:val="clear" w:color="auto" w:fill="FFFFFF"/>
        </w:rPr>
        <w:t>Ayae, 201</w:t>
      </w:r>
      <w:r w:rsidR="006A1F1F" w:rsidRPr="00EA236B">
        <w:rPr>
          <w:rFonts w:ascii="Arial" w:hAnsi="Arial" w:cs="Arial"/>
          <w:color w:val="000000" w:themeColor="text1"/>
          <w:shd w:val="clear" w:color="auto" w:fill="FFFFFF"/>
        </w:rPr>
        <w:t>7</w:t>
      </w:r>
      <w:r w:rsidRPr="00EA236B">
        <w:rPr>
          <w:rFonts w:ascii="Arial" w:hAnsi="Arial" w:cs="Arial"/>
          <w:color w:val="000000" w:themeColor="text1"/>
          <w:shd w:val="clear" w:color="auto" w:fill="FFFFFF"/>
        </w:rPr>
        <w:t xml:space="preserve">). The steady influx of tourists has </w:t>
      </w:r>
      <w:r w:rsidR="00BE6C6A" w:rsidRPr="00EA236B">
        <w:rPr>
          <w:rFonts w:ascii="Arial" w:hAnsi="Arial" w:cs="Arial"/>
          <w:color w:val="000000" w:themeColor="text1"/>
          <w:shd w:val="clear" w:color="auto" w:fill="FFFFFF"/>
        </w:rPr>
        <w:t>corroborated</w:t>
      </w:r>
      <w:r w:rsidRPr="00EA236B">
        <w:rPr>
          <w:rFonts w:ascii="Arial" w:hAnsi="Arial" w:cs="Arial"/>
          <w:color w:val="000000" w:themeColor="text1"/>
          <w:shd w:val="clear" w:color="auto" w:fill="FFFFFF"/>
        </w:rPr>
        <w:t xml:space="preserve"> the adoption of the right strategical approach.</w:t>
      </w:r>
    </w:p>
    <w:p w14:paraId="4D3FFBDF" w14:textId="2AAE877C" w:rsidR="00360768" w:rsidRDefault="00360768" w:rsidP="00820785">
      <w:pPr>
        <w:spacing w:line="360" w:lineRule="auto"/>
        <w:jc w:val="both"/>
        <w:rPr>
          <w:rFonts w:ascii="Arial" w:hAnsi="Arial" w:cs="Arial"/>
          <w:color w:val="000000" w:themeColor="text1"/>
          <w:shd w:val="clear" w:color="auto" w:fill="FFFFFF"/>
        </w:rPr>
      </w:pPr>
    </w:p>
    <w:p w14:paraId="049061FD" w14:textId="77777777" w:rsidR="00360768" w:rsidRPr="00EA236B" w:rsidRDefault="00360768" w:rsidP="00820785">
      <w:pPr>
        <w:spacing w:line="360" w:lineRule="auto"/>
        <w:jc w:val="both"/>
        <w:rPr>
          <w:rFonts w:ascii="Arial" w:hAnsi="Arial" w:cs="Arial"/>
          <w:color w:val="000000" w:themeColor="text1"/>
          <w:shd w:val="clear" w:color="auto" w:fill="FFFFFF"/>
        </w:rPr>
      </w:pPr>
    </w:p>
    <w:p w14:paraId="0E6AD8F8" w14:textId="77777777" w:rsidR="00820785" w:rsidRPr="00EA236B" w:rsidRDefault="00820785" w:rsidP="00820785">
      <w:pPr>
        <w:spacing w:line="360" w:lineRule="auto"/>
        <w:jc w:val="both"/>
        <w:rPr>
          <w:rFonts w:ascii="Arial" w:hAnsi="Arial" w:cs="Arial"/>
          <w:b/>
          <w:bCs/>
          <w:color w:val="000000" w:themeColor="text1"/>
          <w:shd w:val="clear" w:color="auto" w:fill="FFFFFF"/>
        </w:rPr>
      </w:pPr>
    </w:p>
    <w:p w14:paraId="34124F47" w14:textId="0717E5DF" w:rsidR="00820785" w:rsidRDefault="00D621B3" w:rsidP="000329BA">
      <w:pPr>
        <w:pStyle w:val="Heading2"/>
        <w:rPr>
          <w:rFonts w:ascii="Arial" w:hAnsi="Arial" w:cs="Arial"/>
          <w:b/>
          <w:bCs/>
          <w:color w:val="000000" w:themeColor="text1"/>
          <w:sz w:val="24"/>
          <w:szCs w:val="24"/>
          <w:shd w:val="clear" w:color="auto" w:fill="FFFFFF"/>
        </w:rPr>
      </w:pPr>
      <w:bookmarkStart w:id="17" w:name="_Toc126667563"/>
      <w:r w:rsidRPr="00832105">
        <w:rPr>
          <w:rFonts w:ascii="Arial" w:hAnsi="Arial" w:cs="Arial"/>
          <w:b/>
          <w:bCs/>
          <w:color w:val="000000" w:themeColor="text1"/>
          <w:sz w:val="24"/>
          <w:szCs w:val="24"/>
          <w:shd w:val="clear" w:color="auto" w:fill="FFFFFF"/>
        </w:rPr>
        <w:lastRenderedPageBreak/>
        <w:t>2.5.1 Strategic Approach</w:t>
      </w:r>
      <w:bookmarkEnd w:id="17"/>
    </w:p>
    <w:p w14:paraId="3ADA5376" w14:textId="77777777" w:rsidR="00832105" w:rsidRPr="00832105" w:rsidRDefault="00832105" w:rsidP="00832105"/>
    <w:p w14:paraId="3D781E93" w14:textId="77777777"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Some strategic approaches have made Thailand a leading contender and leader in the medical tourism sector. Thailand's largest hospital operator, The Bangkok </w:t>
      </w:r>
      <w:r w:rsidR="006A1F1F" w:rsidRPr="00EA236B">
        <w:rPr>
          <w:rFonts w:ascii="Arial" w:hAnsi="Arial" w:cs="Arial"/>
          <w:color w:val="000000" w:themeColor="text1"/>
          <w:shd w:val="clear" w:color="auto" w:fill="FFFFFF"/>
        </w:rPr>
        <w:t xml:space="preserve">Dusit </w:t>
      </w:r>
      <w:r w:rsidRPr="00EA236B">
        <w:rPr>
          <w:rFonts w:ascii="Arial" w:hAnsi="Arial" w:cs="Arial"/>
          <w:color w:val="000000" w:themeColor="text1"/>
          <w:shd w:val="clear" w:color="auto" w:fill="FFFFFF"/>
        </w:rPr>
        <w:t xml:space="preserve">Hospital Group, which consists of over thirteen network locations across the country, has been intensifying its medical tourism operation markets in </w:t>
      </w:r>
      <w:r w:rsidR="00EE5EE1" w:rsidRPr="00EA236B">
        <w:rPr>
          <w:rFonts w:ascii="Arial" w:hAnsi="Arial" w:cs="Arial"/>
          <w:color w:val="000000" w:themeColor="text1"/>
          <w:shd w:val="clear" w:color="auto" w:fill="FFFFFF"/>
        </w:rPr>
        <w:t>The Association of Southeast Asian Nations</w:t>
      </w:r>
      <w:r w:rsidR="00BB325E" w:rsidRPr="00EA236B">
        <w:rPr>
          <w:rFonts w:ascii="Arial" w:hAnsi="Arial" w:cs="Arial"/>
          <w:color w:val="000000" w:themeColor="text1"/>
          <w:shd w:val="clear" w:color="auto" w:fill="FFFFFF"/>
        </w:rPr>
        <w:t xml:space="preserve"> </w:t>
      </w:r>
      <w:r w:rsidR="00EE5EE1"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ASEAN</w:t>
      </w:r>
      <w:r w:rsidR="00EE5EE1"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xml:space="preserve">, particularly Indonesia and Malaysia </w:t>
      </w:r>
      <w:r w:rsidR="006A1F1F" w:rsidRPr="00EA236B">
        <w:rPr>
          <w:rFonts w:ascii="Arial" w:hAnsi="Arial" w:cs="Arial"/>
          <w:color w:val="000000" w:themeColor="text1"/>
          <w:shd w:val="clear" w:color="auto" w:fill="FFFFFF"/>
        </w:rPr>
        <w:t>(Suppapitnarm &amp; Pongpirul, 2020)</w:t>
      </w:r>
      <w:r w:rsidRPr="00EA236B">
        <w:rPr>
          <w:rFonts w:ascii="Arial" w:hAnsi="Arial" w:cs="Arial"/>
          <w:color w:val="000000" w:themeColor="text1"/>
          <w:shd w:val="clear" w:color="auto" w:fill="FFFFFF"/>
        </w:rPr>
        <w:t>. Johanson and Vahlne’s (1977)</w:t>
      </w:r>
      <w:r w:rsidR="001C1820" w:rsidRPr="00EA236B">
        <w:rPr>
          <w:rFonts w:ascii="Arial" w:hAnsi="Arial" w:cs="Arial"/>
          <w:color w:val="000000" w:themeColor="text1"/>
          <w:shd w:val="clear" w:color="auto" w:fill="FFFFFF"/>
        </w:rPr>
        <w:t>, as cited in Arvidsson and Arvidsson's (2019)</w:t>
      </w:r>
      <w:r w:rsidRPr="00EA236B">
        <w:rPr>
          <w:rFonts w:ascii="Arial" w:hAnsi="Arial" w:cs="Arial"/>
          <w:color w:val="000000" w:themeColor="text1"/>
          <w:shd w:val="clear" w:color="auto" w:fill="FFFFFF"/>
        </w:rPr>
        <w:t xml:space="preserve"> Uppsala internationalisation process model, which was reviewed and extended in 2017, illustrates that organisations increase their expenditure and undertakings in overseas markets gradually through experience. This process correlates to investments available in overseas markets, creating an expansion hub for Thailand's medical tourism.</w:t>
      </w:r>
    </w:p>
    <w:p w14:paraId="4439C7B1" w14:textId="77777777" w:rsidR="00820785" w:rsidRPr="00EA236B" w:rsidRDefault="00820785" w:rsidP="00820785">
      <w:pPr>
        <w:spacing w:line="360" w:lineRule="auto"/>
        <w:jc w:val="both"/>
        <w:rPr>
          <w:rFonts w:ascii="Arial" w:hAnsi="Arial" w:cs="Arial"/>
          <w:color w:val="000000" w:themeColor="text1"/>
          <w:shd w:val="clear" w:color="auto" w:fill="FFFFFF"/>
        </w:rPr>
      </w:pPr>
    </w:p>
    <w:p w14:paraId="77AEA66B" w14:textId="00DDECE0"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On the other hand, private hospitals such as the Bumrungrad International Hospital has partnered with Tai Air, which the government owns, as a strategy offering combined medical-travel packages (</w:t>
      </w:r>
      <w:r w:rsidR="001C1820" w:rsidRPr="00EA236B">
        <w:rPr>
          <w:rFonts w:ascii="Arial" w:hAnsi="Arial" w:cs="Arial"/>
          <w:color w:val="000000" w:themeColor="text1"/>
          <w:shd w:val="clear" w:color="auto" w:fill="FFFFFF"/>
        </w:rPr>
        <w:t>Ayae, 2017</w:t>
      </w:r>
      <w:r w:rsidRPr="00EA236B">
        <w:rPr>
          <w:rFonts w:ascii="Arial" w:hAnsi="Arial" w:cs="Arial"/>
          <w:color w:val="000000" w:themeColor="text1"/>
          <w:shd w:val="clear" w:color="auto" w:fill="FFFFFF"/>
        </w:rPr>
        <w:t>). This model replicates that of the all-inclusive hotels, partnering with airlines such as Tui in the UK and offering package holidays to some Caribbean destinations. It can be argued that this model has created a domino effect</w:t>
      </w:r>
      <w:r w:rsidR="005000EE" w:rsidRPr="00EA236B">
        <w:rPr>
          <w:rStyle w:val="FootnoteReference"/>
          <w:rFonts w:ascii="Arial" w:hAnsi="Arial" w:cs="Arial"/>
          <w:color w:val="000000" w:themeColor="text1"/>
          <w:shd w:val="clear" w:color="auto" w:fill="FFFFFF"/>
        </w:rPr>
        <w:footnoteReference w:customMarkFollows="1" w:id="3"/>
        <w:t>3</w:t>
      </w:r>
      <w:r w:rsidRPr="00EA236B">
        <w:rPr>
          <w:rFonts w:ascii="Arial" w:hAnsi="Arial" w:cs="Arial"/>
          <w:color w:val="000000" w:themeColor="text1"/>
          <w:shd w:val="clear" w:color="auto" w:fill="FFFFFF"/>
        </w:rPr>
        <w:t>, with others, such as Royal Orchid tours and Cathay Pacific, following suit (</w:t>
      </w:r>
      <w:r w:rsidR="001C1820" w:rsidRPr="00EA236B">
        <w:rPr>
          <w:rFonts w:ascii="Arial" w:hAnsi="Arial" w:cs="Arial"/>
          <w:color w:val="000000" w:themeColor="text1"/>
          <w:shd w:val="clear" w:color="auto" w:fill="FFFFFF"/>
        </w:rPr>
        <w:t>Brozel, 2022</w:t>
      </w:r>
      <w:r w:rsidRPr="00EA236B">
        <w:rPr>
          <w:rFonts w:ascii="Arial" w:hAnsi="Arial" w:cs="Arial"/>
          <w:color w:val="000000" w:themeColor="text1"/>
          <w:shd w:val="clear" w:color="auto" w:fill="FFFFFF"/>
        </w:rPr>
        <w:t xml:space="preserve">). </w:t>
      </w:r>
    </w:p>
    <w:p w14:paraId="02333DE7" w14:textId="77777777" w:rsidR="00820785" w:rsidRPr="00EA236B" w:rsidRDefault="00820785" w:rsidP="00820785">
      <w:pPr>
        <w:spacing w:line="360" w:lineRule="auto"/>
        <w:jc w:val="both"/>
        <w:rPr>
          <w:rFonts w:ascii="Arial" w:hAnsi="Arial" w:cs="Arial"/>
          <w:color w:val="000000" w:themeColor="text1"/>
          <w:shd w:val="clear" w:color="auto" w:fill="FFFFFF"/>
        </w:rPr>
      </w:pPr>
    </w:p>
    <w:p w14:paraId="02DA711B" w14:textId="5D532AD8"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Additionally, hospitality has continued to play a pivotal role in medical tourism, with institutions such as the Bangkok Hospital</w:t>
      </w:r>
      <w:r w:rsidR="009D4F1F" w:rsidRPr="00EA236B">
        <w:rPr>
          <w:rFonts w:ascii="Arial" w:hAnsi="Arial" w:cs="Arial"/>
          <w:color w:val="000000" w:themeColor="text1"/>
          <w:shd w:val="clear" w:color="auto" w:fill="FFFFFF"/>
        </w:rPr>
        <w:t xml:space="preserve"> </w:t>
      </w:r>
      <w:r w:rsidRPr="00EA236B">
        <w:rPr>
          <w:rFonts w:ascii="Arial" w:hAnsi="Arial" w:cs="Arial"/>
          <w:color w:val="000000" w:themeColor="text1"/>
          <w:shd w:val="clear" w:color="auto" w:fill="FFFFFF"/>
        </w:rPr>
        <w:t>adjacent to a hotel offering tours</w:t>
      </w:r>
      <w:r w:rsidR="009D4F1F" w:rsidRPr="00EA236B">
        <w:rPr>
          <w:rFonts w:ascii="Arial" w:hAnsi="Arial" w:cs="Arial"/>
          <w:color w:val="000000" w:themeColor="text1"/>
          <w:shd w:val="clear" w:color="auto" w:fill="FFFFFF"/>
        </w:rPr>
        <w:t xml:space="preserve"> </w:t>
      </w:r>
      <w:r w:rsidRPr="00EA236B">
        <w:rPr>
          <w:rFonts w:ascii="Arial" w:hAnsi="Arial" w:cs="Arial"/>
          <w:color w:val="000000" w:themeColor="text1"/>
          <w:shd w:val="clear" w:color="auto" w:fill="FFFFFF"/>
        </w:rPr>
        <w:t xml:space="preserve">and Thai massage to </w:t>
      </w:r>
      <w:r w:rsidR="009D4F1F" w:rsidRPr="00EA236B">
        <w:rPr>
          <w:rFonts w:ascii="Arial" w:hAnsi="Arial" w:cs="Arial"/>
          <w:color w:val="000000" w:themeColor="text1"/>
          <w:shd w:val="clear" w:color="auto" w:fill="FFFFFF"/>
        </w:rPr>
        <w:t xml:space="preserve">guests </w:t>
      </w:r>
      <w:r w:rsidRPr="00EA236B">
        <w:rPr>
          <w:rFonts w:ascii="Arial" w:hAnsi="Arial" w:cs="Arial"/>
          <w:color w:val="000000" w:themeColor="text1"/>
          <w:shd w:val="clear" w:color="auto" w:fill="FFFFFF"/>
        </w:rPr>
        <w:t>accompanying patients (</w:t>
      </w:r>
      <w:r w:rsidR="00876D19" w:rsidRPr="00EA236B">
        <w:rPr>
          <w:rFonts w:ascii="Arial" w:hAnsi="Arial" w:cs="Arial"/>
          <w:color w:val="000000" w:themeColor="text1"/>
          <w:shd w:val="clear" w:color="auto" w:fill="FFFFFF"/>
        </w:rPr>
        <w:t>Jutaviriya et al., 2022</w:t>
      </w:r>
      <w:r w:rsidRPr="00EA236B">
        <w:rPr>
          <w:rFonts w:ascii="Arial" w:hAnsi="Arial" w:cs="Arial"/>
          <w:color w:val="000000" w:themeColor="text1"/>
          <w:shd w:val="clear" w:color="auto" w:fill="FFFFFF"/>
        </w:rPr>
        <w:t xml:space="preserve">). This strategic approach is crucial in allowing patients’ guest to utilise their time wisely, with minimal stress whilst waiting. Bumrungrad’s lobby is purposefully designed to replicate that of a five-star luxury hotel, with a high emphasis on cuisine, albeit adhering to strict dietary requirements for each patient </w:t>
      </w:r>
      <w:r w:rsidR="001F7832" w:rsidRPr="00EA236B">
        <w:rPr>
          <w:rFonts w:ascii="Arial" w:hAnsi="Arial" w:cs="Arial"/>
          <w:color w:val="000000" w:themeColor="text1"/>
          <w:shd w:val="clear" w:color="auto" w:fill="FFFFFF"/>
        </w:rPr>
        <w:t>(Majeed &amp; Kim, 2022)</w:t>
      </w:r>
      <w:r w:rsidRPr="00EA236B">
        <w:rPr>
          <w:rFonts w:ascii="Arial" w:hAnsi="Arial" w:cs="Arial"/>
          <w:color w:val="000000" w:themeColor="text1"/>
          <w:shd w:val="clear" w:color="auto" w:fill="FFFFFF"/>
        </w:rPr>
        <w:t xml:space="preserve">. A strategic approach was carefully crafted, using a European food-based company to prepare the meals, with the hospitality element of 'spa cuisine'. This approach can be justified as building confidence in tourists travelling from overseas, with a certified offering of specific foods which includes 'halal'. </w:t>
      </w:r>
    </w:p>
    <w:p w14:paraId="1131D668" w14:textId="77777777" w:rsidR="00820785" w:rsidRPr="00EA236B" w:rsidRDefault="00820785" w:rsidP="00820785">
      <w:pPr>
        <w:spacing w:line="360" w:lineRule="auto"/>
        <w:jc w:val="both"/>
        <w:rPr>
          <w:rFonts w:ascii="Arial" w:hAnsi="Arial" w:cs="Arial"/>
          <w:color w:val="000000" w:themeColor="text1"/>
          <w:shd w:val="clear" w:color="auto" w:fill="FFFFFF"/>
        </w:rPr>
      </w:pPr>
    </w:p>
    <w:p w14:paraId="3FFB03BB" w14:textId="320BD465" w:rsidR="00820785" w:rsidRDefault="00D621B3" w:rsidP="000329BA">
      <w:pPr>
        <w:pStyle w:val="Heading2"/>
        <w:rPr>
          <w:rFonts w:ascii="Arial" w:hAnsi="Arial" w:cs="Arial"/>
          <w:b/>
          <w:bCs/>
          <w:color w:val="000000" w:themeColor="text1"/>
          <w:sz w:val="24"/>
          <w:szCs w:val="24"/>
          <w:shd w:val="clear" w:color="auto" w:fill="FFFFFF"/>
        </w:rPr>
      </w:pPr>
      <w:bookmarkStart w:id="18" w:name="_Toc126667564"/>
      <w:r w:rsidRPr="00360768">
        <w:rPr>
          <w:rFonts w:ascii="Arial" w:hAnsi="Arial" w:cs="Arial"/>
          <w:b/>
          <w:bCs/>
          <w:color w:val="000000" w:themeColor="text1"/>
          <w:sz w:val="24"/>
          <w:szCs w:val="24"/>
          <w:shd w:val="clear" w:color="auto" w:fill="FFFFFF"/>
        </w:rPr>
        <w:t>2.5.2 Effectiveness</w:t>
      </w:r>
      <w:bookmarkEnd w:id="18"/>
    </w:p>
    <w:p w14:paraId="0ADFE3FC" w14:textId="77777777" w:rsidR="00360768" w:rsidRPr="00360768" w:rsidRDefault="00360768" w:rsidP="00360768"/>
    <w:p w14:paraId="1BCAF8BE" w14:textId="77777777"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Having discovered that one primary reason individuals travel across borders to access medical care is due to cost, Thailand has effectively kept the cost of prescriptions lower than many developed countries (</w:t>
      </w:r>
      <w:r w:rsidR="001F7832" w:rsidRPr="00EA236B">
        <w:rPr>
          <w:rFonts w:ascii="Arial" w:hAnsi="Arial" w:cs="Arial"/>
          <w:color w:val="000000" w:themeColor="text1"/>
          <w:shd w:val="clear" w:color="auto" w:fill="FFFFFF"/>
        </w:rPr>
        <w:t>Hunter, 2015</w:t>
      </w:r>
      <w:r w:rsidRPr="00EA236B">
        <w:rPr>
          <w:rFonts w:ascii="Arial" w:hAnsi="Arial" w:cs="Arial"/>
          <w:color w:val="000000" w:themeColor="text1"/>
          <w:shd w:val="clear" w:color="auto" w:fill="FFFFFF"/>
        </w:rPr>
        <w:t xml:space="preserve">). With the advantage of technology, the Pill Pick system was introduced at the Bumrungrad Hospital to increase patient safety, mitigating the risk of incorrectly prescribed drugs </w:t>
      </w:r>
      <w:r w:rsidRPr="00EA236B">
        <w:rPr>
          <w:rFonts w:ascii="Arial" w:hAnsi="Arial" w:cs="Arial"/>
          <w:color w:val="000000" w:themeColor="text1"/>
          <w:shd w:val="clear" w:color="auto" w:fill="FFFFFF"/>
        </w:rPr>
        <w:lastRenderedPageBreak/>
        <w:t>(</w:t>
      </w:r>
      <w:r w:rsidR="001F7832" w:rsidRPr="00EA236B">
        <w:rPr>
          <w:rFonts w:ascii="Arial" w:hAnsi="Arial" w:cs="Arial"/>
          <w:color w:val="000000" w:themeColor="text1"/>
          <w:shd w:val="clear" w:color="auto" w:fill="FFFFFF"/>
        </w:rPr>
        <w:t>Bumrungrad, 2019</w:t>
      </w:r>
      <w:r w:rsidRPr="00EA236B">
        <w:rPr>
          <w:rFonts w:ascii="Arial" w:hAnsi="Arial" w:cs="Arial"/>
          <w:color w:val="000000" w:themeColor="text1"/>
          <w:shd w:val="clear" w:color="auto" w:fill="FFFFFF"/>
        </w:rPr>
        <w:t xml:space="preserve">). Additionally, the rise in technological advancement has seen the implementation </w:t>
      </w:r>
      <w:r w:rsidR="00B160C6" w:rsidRPr="00EA236B">
        <w:rPr>
          <w:rFonts w:ascii="Arial" w:hAnsi="Arial" w:cs="Arial"/>
          <w:color w:val="000000" w:themeColor="text1"/>
          <w:shd w:val="clear" w:color="auto" w:fill="FFFFFF"/>
        </w:rPr>
        <w:t xml:space="preserve">of </w:t>
      </w:r>
      <w:r w:rsidRPr="00EA236B">
        <w:rPr>
          <w:rFonts w:ascii="Arial" w:hAnsi="Arial" w:cs="Arial"/>
          <w:color w:val="000000" w:themeColor="text1"/>
          <w:shd w:val="clear" w:color="auto" w:fill="FFFFFF"/>
        </w:rPr>
        <w:t>a user-friendly APP for patients to pre-book appointments from the comfort of their homes and enjoy positive service interaction upon checking in.</w:t>
      </w:r>
    </w:p>
    <w:p w14:paraId="54B55030" w14:textId="77777777" w:rsidR="00820785" w:rsidRPr="00EA236B" w:rsidRDefault="00820785" w:rsidP="00820785">
      <w:pPr>
        <w:spacing w:line="360" w:lineRule="auto"/>
        <w:jc w:val="both"/>
        <w:rPr>
          <w:rFonts w:ascii="Arial" w:hAnsi="Arial" w:cs="Arial"/>
          <w:b/>
          <w:bCs/>
          <w:color w:val="000000" w:themeColor="text1"/>
          <w:shd w:val="clear" w:color="auto" w:fill="FFFFFF"/>
        </w:rPr>
      </w:pPr>
    </w:p>
    <w:p w14:paraId="4AD21FFF" w14:textId="4A3A045A" w:rsidR="00820785" w:rsidRDefault="00D621B3" w:rsidP="000329BA">
      <w:pPr>
        <w:pStyle w:val="Heading2"/>
        <w:rPr>
          <w:rFonts w:ascii="Arial" w:hAnsi="Arial" w:cs="Arial"/>
          <w:b/>
          <w:bCs/>
          <w:color w:val="000000" w:themeColor="text1"/>
          <w:sz w:val="24"/>
          <w:szCs w:val="24"/>
          <w:shd w:val="clear" w:color="auto" w:fill="FFFFFF"/>
        </w:rPr>
      </w:pPr>
      <w:bookmarkStart w:id="19" w:name="_Toc126667565"/>
      <w:r w:rsidRPr="00360768">
        <w:rPr>
          <w:rFonts w:ascii="Arial" w:hAnsi="Arial" w:cs="Arial"/>
          <w:b/>
          <w:bCs/>
          <w:color w:val="000000" w:themeColor="text1"/>
          <w:sz w:val="24"/>
          <w:szCs w:val="24"/>
          <w:shd w:val="clear" w:color="auto" w:fill="FFFFFF"/>
        </w:rPr>
        <w:t>2.5.3 Cultural Context</w:t>
      </w:r>
      <w:bookmarkEnd w:id="19"/>
    </w:p>
    <w:p w14:paraId="2EC5C750" w14:textId="77777777" w:rsidR="00360768" w:rsidRPr="00360768" w:rsidRDefault="00360768" w:rsidP="00360768"/>
    <w:p w14:paraId="7A225C50" w14:textId="309D268E"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From a cultural context, Thailand, as a holiday destination, has strategically been used as a brand to position itself as a driving force in the medical tourism sector (</w:t>
      </w:r>
      <w:r w:rsidR="00954318" w:rsidRPr="00EA236B">
        <w:rPr>
          <w:rFonts w:ascii="Arial" w:hAnsi="Arial" w:cs="Arial"/>
          <w:color w:val="000000" w:themeColor="text1"/>
          <w:shd w:val="clear" w:color="auto" w:fill="FFFFFF"/>
        </w:rPr>
        <w:t>Ayae, 2017</w:t>
      </w:r>
      <w:r w:rsidRPr="00EA236B">
        <w:rPr>
          <w:rFonts w:ascii="Arial" w:hAnsi="Arial" w:cs="Arial"/>
          <w:color w:val="000000" w:themeColor="text1"/>
          <w:shd w:val="clear" w:color="auto" w:fill="FFFFFF"/>
        </w:rPr>
        <w:t>). The perspective is that Thailand has many advantages over neighbouring countries regarding medical tourism, boasting the largest hospital in Southeast Asia (</w:t>
      </w:r>
      <w:r w:rsidR="00D0536F" w:rsidRPr="00EA236B">
        <w:rPr>
          <w:rFonts w:ascii="Arial" w:hAnsi="Arial" w:cs="Arial"/>
          <w:color w:val="000000" w:themeColor="text1"/>
          <w:shd w:val="clear" w:color="auto" w:fill="FFFFFF"/>
        </w:rPr>
        <w:t>Pattharapinyophong, W., 2019</w:t>
      </w:r>
      <w:r w:rsidRPr="00EA236B">
        <w:rPr>
          <w:rFonts w:ascii="Arial" w:hAnsi="Arial" w:cs="Arial"/>
          <w:color w:val="000000" w:themeColor="text1"/>
          <w:shd w:val="clear" w:color="auto" w:fill="FFFFFF"/>
        </w:rPr>
        <w:t>). The country is poised with over 19</w:t>
      </w:r>
      <w:r w:rsidR="00E228DB"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000 medical doctors and over 100,000 registered nurses who have undergone first-world training in the United States, Germany, Japan, and the UK, among other countries (</w:t>
      </w:r>
      <w:r w:rsidR="00305EE7" w:rsidRPr="00EA236B">
        <w:rPr>
          <w:rFonts w:ascii="Arial" w:hAnsi="Arial" w:cs="Arial"/>
          <w:color w:val="000000" w:themeColor="text1"/>
          <w:shd w:val="clear" w:color="auto" w:fill="FFFFFF"/>
        </w:rPr>
        <w:t>Ayae, 2017</w:t>
      </w:r>
      <w:r w:rsidRPr="00EA236B">
        <w:rPr>
          <w:rFonts w:ascii="Arial" w:hAnsi="Arial" w:cs="Arial"/>
          <w:color w:val="000000" w:themeColor="text1"/>
          <w:shd w:val="clear" w:color="auto" w:fill="FFFFFF"/>
        </w:rPr>
        <w:t>). Another perception is that medical professionals trained in these developed countries are competent, being exposed to the best training and state-of-the-art facilities.</w:t>
      </w:r>
    </w:p>
    <w:p w14:paraId="133C71BC" w14:textId="77777777" w:rsidR="00820785" w:rsidRPr="00EA236B" w:rsidRDefault="00820785" w:rsidP="00820785">
      <w:pPr>
        <w:spacing w:line="360" w:lineRule="auto"/>
        <w:jc w:val="both"/>
        <w:rPr>
          <w:rFonts w:ascii="Arial" w:hAnsi="Arial" w:cs="Arial"/>
          <w:color w:val="000000" w:themeColor="text1"/>
          <w:shd w:val="clear" w:color="auto" w:fill="FFFFFF"/>
        </w:rPr>
      </w:pPr>
    </w:p>
    <w:p w14:paraId="10E3F8C4" w14:textId="77777777"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Additionally, with healthcare driven mainly by private hospitals, one perception is the type of service and hospitality which is expected to be received. This perception, combined with the warm hospitality over the decades that Thailand is known for as a tourist destination, can be viewed from a cultural context attracting visitors.</w:t>
      </w:r>
    </w:p>
    <w:p w14:paraId="5053D0D7" w14:textId="77777777" w:rsidR="00820785" w:rsidRPr="00EA236B" w:rsidRDefault="00820785" w:rsidP="00820785">
      <w:pPr>
        <w:spacing w:line="360" w:lineRule="auto"/>
        <w:jc w:val="both"/>
        <w:rPr>
          <w:rFonts w:ascii="Arial" w:hAnsi="Arial" w:cs="Arial"/>
          <w:color w:val="000000" w:themeColor="text1"/>
          <w:shd w:val="clear" w:color="auto" w:fill="FFFFFF"/>
        </w:rPr>
      </w:pPr>
    </w:p>
    <w:p w14:paraId="3A7FABE9" w14:textId="10ADAC10" w:rsidR="00820785" w:rsidRPr="00360768" w:rsidRDefault="00000000" w:rsidP="000329BA">
      <w:pPr>
        <w:pStyle w:val="Heading2"/>
        <w:rPr>
          <w:rFonts w:ascii="Arial" w:hAnsi="Arial" w:cs="Arial"/>
          <w:b/>
          <w:bCs/>
          <w:color w:val="000000" w:themeColor="text1"/>
          <w:sz w:val="24"/>
          <w:szCs w:val="24"/>
          <w:shd w:val="clear" w:color="auto" w:fill="FFFFFF"/>
        </w:rPr>
      </w:pPr>
      <w:bookmarkStart w:id="20" w:name="_Toc126667566"/>
      <w:r w:rsidRPr="00360768">
        <w:rPr>
          <w:rFonts w:ascii="Arial" w:hAnsi="Arial" w:cs="Arial"/>
          <w:b/>
          <w:bCs/>
          <w:color w:val="000000" w:themeColor="text1"/>
          <w:sz w:val="24"/>
          <w:szCs w:val="24"/>
          <w:shd w:val="clear" w:color="auto" w:fill="FFFFFF"/>
        </w:rPr>
        <w:t>2.</w:t>
      </w:r>
      <w:r w:rsidR="00D621B3" w:rsidRPr="00360768">
        <w:rPr>
          <w:rFonts w:ascii="Arial" w:hAnsi="Arial" w:cs="Arial"/>
          <w:b/>
          <w:bCs/>
          <w:color w:val="000000" w:themeColor="text1"/>
          <w:sz w:val="24"/>
          <w:szCs w:val="24"/>
          <w:shd w:val="clear" w:color="auto" w:fill="FFFFFF"/>
        </w:rPr>
        <w:t>6</w:t>
      </w:r>
      <w:r w:rsidRPr="00360768">
        <w:rPr>
          <w:rFonts w:ascii="Arial" w:hAnsi="Arial" w:cs="Arial"/>
          <w:b/>
          <w:bCs/>
          <w:color w:val="000000" w:themeColor="text1"/>
          <w:sz w:val="24"/>
          <w:szCs w:val="24"/>
          <w:shd w:val="clear" w:color="auto" w:fill="FFFFFF"/>
        </w:rPr>
        <w:t xml:space="preserve"> Overview of Medical Tourism in India</w:t>
      </w:r>
      <w:bookmarkEnd w:id="20"/>
    </w:p>
    <w:p w14:paraId="4EF2E163" w14:textId="77777777" w:rsidR="00981552" w:rsidRPr="00EA236B" w:rsidRDefault="00981552" w:rsidP="00820785">
      <w:pPr>
        <w:spacing w:line="360" w:lineRule="auto"/>
        <w:jc w:val="both"/>
        <w:rPr>
          <w:rFonts w:ascii="Arial" w:hAnsi="Arial" w:cs="Arial"/>
          <w:b/>
          <w:bCs/>
          <w:color w:val="000000" w:themeColor="text1"/>
          <w:shd w:val="clear" w:color="auto" w:fill="FFFFFF"/>
        </w:rPr>
      </w:pPr>
    </w:p>
    <w:p w14:paraId="56BD6157" w14:textId="04019729"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Indian hospitality has been known to follow the core ethos of Atithi Devo Bhava in treating tourists with the same reverence as God </w:t>
      </w:r>
      <w:r w:rsidR="00A32D12" w:rsidRPr="00EA236B">
        <w:rPr>
          <w:rFonts w:ascii="Arial" w:hAnsi="Arial" w:cs="Arial"/>
          <w:color w:val="000000" w:themeColor="text1"/>
          <w:shd w:val="clear" w:color="auto" w:fill="FFFFFF"/>
        </w:rPr>
        <w:t>(Ministry of Tourism, 2020)</w:t>
      </w:r>
      <w:r w:rsidRPr="00EA236B">
        <w:rPr>
          <w:rFonts w:ascii="Arial" w:hAnsi="Arial" w:cs="Arial"/>
          <w:color w:val="000000" w:themeColor="text1"/>
          <w:shd w:val="clear" w:color="auto" w:fill="FFFFFF"/>
        </w:rPr>
        <w:t xml:space="preserve">. This Indian philosophy has guided the hospitality and tourism industry to warmly welcome guests from all regions coming to India to enjoy a remarkable experience. Notably, the country's historical past, concerning its rich history dating back to Vedic times, has catapulted </w:t>
      </w:r>
      <w:r w:rsidR="00E371F7" w:rsidRPr="00EA236B">
        <w:rPr>
          <w:rFonts w:ascii="Arial" w:hAnsi="Arial" w:cs="Arial"/>
          <w:color w:val="000000" w:themeColor="text1"/>
          <w:shd w:val="clear" w:color="auto" w:fill="FFFFFF"/>
        </w:rPr>
        <w:t>India</w:t>
      </w:r>
      <w:r w:rsidRPr="00EA236B">
        <w:rPr>
          <w:rFonts w:ascii="Arial" w:hAnsi="Arial" w:cs="Arial"/>
          <w:color w:val="000000" w:themeColor="text1"/>
          <w:shd w:val="clear" w:color="auto" w:fill="FFFFFF"/>
        </w:rPr>
        <w:t xml:space="preserve"> as a driving force in medical tourism. For example, Ayurveda medicine dates to 8000 BCE, which is considered one of the oldest systems of medicine still available</w:t>
      </w:r>
      <w:r w:rsidR="00A32D12" w:rsidRPr="00EA236B">
        <w:rPr>
          <w:rFonts w:ascii="Arial" w:hAnsi="Arial" w:cs="Arial"/>
          <w:color w:val="000000" w:themeColor="text1"/>
          <w:shd w:val="clear" w:color="auto" w:fill="FFFFFF"/>
        </w:rPr>
        <w:t xml:space="preserve"> (Mukhopadhyay et al., 2021)</w:t>
      </w:r>
    </w:p>
    <w:p w14:paraId="3A4C204C" w14:textId="77777777" w:rsidR="00820785" w:rsidRPr="00EA236B" w:rsidRDefault="00820785" w:rsidP="00820785">
      <w:pPr>
        <w:spacing w:line="360" w:lineRule="auto"/>
        <w:jc w:val="both"/>
        <w:rPr>
          <w:rFonts w:ascii="Arial" w:hAnsi="Arial" w:cs="Arial"/>
          <w:color w:val="000000" w:themeColor="text1"/>
          <w:shd w:val="clear" w:color="auto" w:fill="FFFFFF"/>
        </w:rPr>
      </w:pPr>
    </w:p>
    <w:p w14:paraId="157FC759" w14:textId="77777777"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Notably, the period of Indian medicine, regarded as the Golden Age, continued until 1000 BCE, starting in 800 BCE (</w:t>
      </w:r>
      <w:r w:rsidR="00BB39A5" w:rsidRPr="00EA236B">
        <w:rPr>
          <w:rFonts w:ascii="Arial" w:hAnsi="Arial" w:cs="Arial"/>
          <w:color w:val="000000" w:themeColor="text1"/>
          <w:shd w:val="clear" w:color="auto" w:fill="FFFFFF"/>
        </w:rPr>
        <w:t>Guest, 2021</w:t>
      </w:r>
      <w:r w:rsidRPr="00EA236B">
        <w:rPr>
          <w:rFonts w:ascii="Arial" w:hAnsi="Arial" w:cs="Arial"/>
          <w:color w:val="000000" w:themeColor="text1"/>
          <w:shd w:val="clear" w:color="auto" w:fill="FFFFFF"/>
        </w:rPr>
        <w:t>). This period gave prominence to Sushruta Samhita and Charak Samhita, in which many modern surgeries and treatments, such as rhinoplasty, find their roots today, contributing to the growth in medical tourism (R</w:t>
      </w:r>
      <w:r w:rsidR="00BB39A5" w:rsidRPr="00EA236B">
        <w:rPr>
          <w:rFonts w:ascii="Arial" w:hAnsi="Arial" w:cs="Arial"/>
          <w:color w:val="000000" w:themeColor="text1"/>
          <w:shd w:val="clear" w:color="auto" w:fill="FFFFFF"/>
        </w:rPr>
        <w:t>ao, 2021</w:t>
      </w:r>
      <w:r w:rsidR="009A4735" w:rsidRPr="00EA236B">
        <w:rPr>
          <w:rFonts w:ascii="Arial" w:hAnsi="Arial" w:cs="Arial"/>
          <w:color w:val="000000" w:themeColor="text1"/>
          <w:shd w:val="clear" w:color="auto" w:fill="FFFFFF"/>
        </w:rPr>
        <w:t xml:space="preserve"> as cited in guest, 2021</w:t>
      </w:r>
      <w:r w:rsidRPr="00EA236B">
        <w:rPr>
          <w:rFonts w:ascii="Arial" w:hAnsi="Arial" w:cs="Arial"/>
          <w:color w:val="000000" w:themeColor="text1"/>
          <w:shd w:val="clear" w:color="auto" w:fill="FFFFFF"/>
        </w:rPr>
        <w:t>). However, more modern form of medicine has developed over the years, such as Unani, Naturopathy, and Homoeopathy, along with meditation and yoga, which has gained considerable recognition and importance globally for their proven health benefits (R</w:t>
      </w:r>
      <w:r w:rsidR="00B571CC" w:rsidRPr="00EA236B">
        <w:rPr>
          <w:rFonts w:ascii="Arial" w:hAnsi="Arial" w:cs="Arial"/>
          <w:color w:val="000000" w:themeColor="text1"/>
          <w:shd w:val="clear" w:color="auto" w:fill="FFFFFF"/>
        </w:rPr>
        <w:t>ao, 2021</w:t>
      </w:r>
      <w:r w:rsidRPr="00EA236B">
        <w:rPr>
          <w:rFonts w:ascii="Arial" w:hAnsi="Arial" w:cs="Arial"/>
          <w:color w:val="000000" w:themeColor="text1"/>
          <w:shd w:val="clear" w:color="auto" w:fill="FFFFFF"/>
        </w:rPr>
        <w:t xml:space="preserve">). India has progressed exponentially </w:t>
      </w:r>
      <w:r w:rsidRPr="00EA236B">
        <w:rPr>
          <w:rFonts w:ascii="Arial" w:hAnsi="Arial" w:cs="Arial"/>
          <w:color w:val="000000" w:themeColor="text1"/>
          <w:shd w:val="clear" w:color="auto" w:fill="FFFFFF"/>
        </w:rPr>
        <w:lastRenderedPageBreak/>
        <w:t>and is revered for their unique ecosystem concerning holistic health, combined with alternative medicine, wellness, and state-of-the-art contemporary healthcare. This unique wellness ecosystem and holistic health correlate to India being the decisive location for Medical Value Tourism (MVT) (</w:t>
      </w:r>
      <w:r w:rsidR="00B571CC" w:rsidRPr="00EA236B">
        <w:rPr>
          <w:rFonts w:ascii="Arial" w:hAnsi="Arial" w:cs="Arial"/>
          <w:color w:val="000000" w:themeColor="text1"/>
          <w:shd w:val="clear" w:color="auto" w:fill="FFFFFF"/>
        </w:rPr>
        <w:t>Guest, 2021</w:t>
      </w:r>
      <w:r w:rsidRPr="00EA236B">
        <w:rPr>
          <w:rFonts w:ascii="Arial" w:hAnsi="Arial" w:cs="Arial"/>
          <w:color w:val="000000" w:themeColor="text1"/>
          <w:shd w:val="clear" w:color="auto" w:fill="FFFFFF"/>
        </w:rPr>
        <w:t xml:space="preserve">). </w:t>
      </w:r>
    </w:p>
    <w:p w14:paraId="620F5C99" w14:textId="77777777" w:rsidR="00820785" w:rsidRPr="00EA236B" w:rsidRDefault="00820785" w:rsidP="00820785">
      <w:pPr>
        <w:spacing w:line="360" w:lineRule="auto"/>
        <w:jc w:val="both"/>
        <w:rPr>
          <w:rFonts w:ascii="Arial" w:hAnsi="Arial" w:cs="Arial"/>
          <w:color w:val="000000" w:themeColor="text1"/>
          <w:shd w:val="clear" w:color="auto" w:fill="FFFFFF"/>
        </w:rPr>
      </w:pPr>
    </w:p>
    <w:p w14:paraId="02604D6D" w14:textId="20D878BD" w:rsidR="00820785" w:rsidRPr="00360768" w:rsidRDefault="00000000" w:rsidP="000329BA">
      <w:pPr>
        <w:pStyle w:val="Heading2"/>
        <w:rPr>
          <w:rFonts w:ascii="Arial" w:hAnsi="Arial" w:cs="Arial"/>
          <w:b/>
          <w:bCs/>
          <w:color w:val="000000" w:themeColor="text1"/>
          <w:sz w:val="24"/>
          <w:szCs w:val="24"/>
          <w:shd w:val="clear" w:color="auto" w:fill="FFFFFF"/>
        </w:rPr>
      </w:pPr>
      <w:bookmarkStart w:id="21" w:name="_Toc126667567"/>
      <w:r w:rsidRPr="00360768">
        <w:rPr>
          <w:rFonts w:ascii="Arial" w:hAnsi="Arial" w:cs="Arial"/>
          <w:b/>
          <w:bCs/>
          <w:color w:val="000000" w:themeColor="text1"/>
          <w:sz w:val="24"/>
          <w:szCs w:val="24"/>
          <w:shd w:val="clear" w:color="auto" w:fill="FFFFFF"/>
        </w:rPr>
        <w:t>2.</w:t>
      </w:r>
      <w:r w:rsidR="00D621B3" w:rsidRPr="00360768">
        <w:rPr>
          <w:rFonts w:ascii="Arial" w:hAnsi="Arial" w:cs="Arial"/>
          <w:b/>
          <w:bCs/>
          <w:color w:val="000000" w:themeColor="text1"/>
          <w:sz w:val="24"/>
          <w:szCs w:val="24"/>
          <w:shd w:val="clear" w:color="auto" w:fill="FFFFFF"/>
        </w:rPr>
        <w:t>6</w:t>
      </w:r>
      <w:r w:rsidRPr="00360768">
        <w:rPr>
          <w:rFonts w:ascii="Arial" w:hAnsi="Arial" w:cs="Arial"/>
          <w:b/>
          <w:bCs/>
          <w:color w:val="000000" w:themeColor="text1"/>
          <w:sz w:val="24"/>
          <w:szCs w:val="24"/>
          <w:shd w:val="clear" w:color="auto" w:fill="FFFFFF"/>
        </w:rPr>
        <w:t>.</w:t>
      </w:r>
      <w:r w:rsidR="00D621B3" w:rsidRPr="00360768">
        <w:rPr>
          <w:rFonts w:ascii="Arial" w:hAnsi="Arial" w:cs="Arial"/>
          <w:b/>
          <w:bCs/>
          <w:color w:val="000000" w:themeColor="text1"/>
          <w:sz w:val="24"/>
          <w:szCs w:val="24"/>
          <w:shd w:val="clear" w:color="auto" w:fill="FFFFFF"/>
        </w:rPr>
        <w:t>1</w:t>
      </w:r>
      <w:r w:rsidRPr="00360768">
        <w:rPr>
          <w:rFonts w:ascii="Arial" w:hAnsi="Arial" w:cs="Arial"/>
          <w:b/>
          <w:bCs/>
          <w:color w:val="000000" w:themeColor="text1"/>
          <w:sz w:val="24"/>
          <w:szCs w:val="24"/>
          <w:shd w:val="clear" w:color="auto" w:fill="FFFFFF"/>
        </w:rPr>
        <w:t xml:space="preserve"> Strategic approach</w:t>
      </w:r>
      <w:bookmarkEnd w:id="21"/>
    </w:p>
    <w:p w14:paraId="4386FB08" w14:textId="77777777" w:rsidR="00820785" w:rsidRPr="00EA236B" w:rsidRDefault="00000000" w:rsidP="00820785">
      <w:pPr>
        <w:pStyle w:val="NormalWeb"/>
        <w:spacing w:line="360" w:lineRule="auto"/>
        <w:jc w:val="both"/>
        <w:rPr>
          <w:rFonts w:ascii="Arial" w:hAnsi="Arial" w:cs="Arial"/>
          <w:color w:val="000000" w:themeColor="text1"/>
        </w:rPr>
      </w:pPr>
      <w:r w:rsidRPr="00EA236B">
        <w:rPr>
          <w:rFonts w:ascii="Arial" w:hAnsi="Arial" w:cs="Arial"/>
          <w:color w:val="000000" w:themeColor="text1"/>
        </w:rPr>
        <w:t>Quality in healthcare is crucial to the value proposition of medical tourism. However, this goes beyond crossing borders to receive medical surgery. India has strategically placed the medical tourism phenomenon as a strategy to offer much more to visitors, with the wellness aspect rapidly gaining global traction. Intercontinental</w:t>
      </w:r>
      <w:r w:rsidR="00385A48" w:rsidRPr="00EA236B">
        <w:rPr>
          <w:rFonts w:ascii="Arial" w:hAnsi="Arial" w:cs="Arial"/>
          <w:color w:val="000000" w:themeColor="text1"/>
        </w:rPr>
        <w:t xml:space="preserve"> </w:t>
      </w:r>
      <w:r w:rsidRPr="00EA236B">
        <w:rPr>
          <w:rFonts w:ascii="Arial" w:hAnsi="Arial" w:cs="Arial"/>
          <w:color w:val="000000" w:themeColor="text1"/>
        </w:rPr>
        <w:t xml:space="preserve">tourists connected with secondary wellness accounted for 89% of the visits </w:t>
      </w:r>
      <w:r w:rsidR="00F91C2A" w:rsidRPr="00EA236B">
        <w:rPr>
          <w:rFonts w:ascii="Arial" w:hAnsi="Arial" w:cs="Arial"/>
          <w:color w:val="000000" w:themeColor="text1"/>
        </w:rPr>
        <w:t>(Global Wellness Institute, 2017). The global tourism market is estimated to be 639 billion USD and rising.</w:t>
      </w:r>
    </w:p>
    <w:p w14:paraId="74AF6A12" w14:textId="747C2100" w:rsidR="00820785" w:rsidRPr="00360768" w:rsidRDefault="00000000" w:rsidP="00360768">
      <w:pPr>
        <w:pStyle w:val="NormalWeb"/>
        <w:spacing w:line="360" w:lineRule="auto"/>
        <w:jc w:val="both"/>
        <w:rPr>
          <w:rFonts w:ascii="Arial" w:hAnsi="Arial" w:cs="Arial"/>
          <w:color w:val="000000" w:themeColor="text1"/>
        </w:rPr>
      </w:pPr>
      <w:r w:rsidRPr="00EA236B">
        <w:rPr>
          <w:rFonts w:ascii="Arial" w:hAnsi="Arial" w:cs="Arial"/>
          <w:color w:val="000000" w:themeColor="text1"/>
        </w:rPr>
        <w:t>The statistics have led the government to implement progressive policy interventions, resulting in several strategic approaches to strengthen MVT. For example, the government added medical visits to the e-tourist visa scheme to accommodate long-term stays and multiple entries (R</w:t>
      </w:r>
      <w:r w:rsidR="004525F4" w:rsidRPr="00EA236B">
        <w:rPr>
          <w:rFonts w:ascii="Arial" w:hAnsi="Arial" w:cs="Arial"/>
          <w:color w:val="000000" w:themeColor="text1"/>
        </w:rPr>
        <w:t>ao, 2021</w:t>
      </w:r>
      <w:r w:rsidRPr="00EA236B">
        <w:rPr>
          <w:rFonts w:ascii="Arial" w:hAnsi="Arial" w:cs="Arial"/>
          <w:color w:val="000000" w:themeColor="text1"/>
        </w:rPr>
        <w:t xml:space="preserve">). Additionally, several promotional campaigns such as ‘Heal’ in ‘India’ were launched, taking the country’s value proposition of holistic healthcare to the world </w:t>
      </w:r>
      <w:r w:rsidR="004525F4" w:rsidRPr="00EA236B">
        <w:rPr>
          <w:rFonts w:ascii="Arial" w:hAnsi="Arial" w:cs="Arial"/>
          <w:color w:val="000000" w:themeColor="text1"/>
        </w:rPr>
        <w:t>(Okasha et al., 2022)</w:t>
      </w:r>
      <w:r w:rsidRPr="00EA236B">
        <w:rPr>
          <w:rFonts w:ascii="Arial" w:hAnsi="Arial" w:cs="Arial"/>
          <w:color w:val="000000" w:themeColor="text1"/>
        </w:rPr>
        <w:t>. The result has seen India rank seven</w:t>
      </w:r>
      <w:r w:rsidRPr="00EA236B">
        <w:rPr>
          <w:rFonts w:ascii="Arial" w:hAnsi="Arial" w:cs="Arial"/>
          <w:color w:val="000000" w:themeColor="text1"/>
          <w:vertAlign w:val="superscript"/>
        </w:rPr>
        <w:t xml:space="preserve"> </w:t>
      </w:r>
      <w:r w:rsidRPr="00EA236B">
        <w:rPr>
          <w:rFonts w:ascii="Arial" w:hAnsi="Arial" w:cs="Arial"/>
          <w:color w:val="000000" w:themeColor="text1"/>
        </w:rPr>
        <w:t>amongst the top twenty leading global tourism markets, generating 16.3 billion in wellness tourism</w:t>
      </w:r>
      <w:r w:rsidR="0094296C" w:rsidRPr="00EA236B">
        <w:rPr>
          <w:rFonts w:ascii="Arial" w:hAnsi="Arial" w:cs="Arial"/>
          <w:color w:val="000000" w:themeColor="text1"/>
        </w:rPr>
        <w:t xml:space="preserve">. These figures </w:t>
      </w:r>
      <w:r w:rsidRPr="00EA236B">
        <w:rPr>
          <w:rFonts w:ascii="Arial" w:hAnsi="Arial" w:cs="Arial"/>
          <w:color w:val="000000" w:themeColor="text1"/>
        </w:rPr>
        <w:t>con</w:t>
      </w:r>
      <w:r w:rsidR="0094296C" w:rsidRPr="00EA236B">
        <w:rPr>
          <w:rFonts w:ascii="Arial" w:hAnsi="Arial" w:cs="Arial"/>
          <w:color w:val="000000" w:themeColor="text1"/>
        </w:rPr>
        <w:t xml:space="preserve">firm the effectiveness of the </w:t>
      </w:r>
      <w:r w:rsidRPr="00EA236B">
        <w:rPr>
          <w:rFonts w:ascii="Arial" w:hAnsi="Arial" w:cs="Arial"/>
          <w:color w:val="000000" w:themeColor="text1"/>
        </w:rPr>
        <w:t>strategic approach implemented (</w:t>
      </w:r>
      <w:r w:rsidR="004525F4" w:rsidRPr="00EA236B">
        <w:rPr>
          <w:rFonts w:ascii="Arial" w:hAnsi="Arial" w:cs="Arial"/>
          <w:color w:val="000000" w:themeColor="text1"/>
        </w:rPr>
        <w:t>IBEF, 2022</w:t>
      </w:r>
      <w:r w:rsidRPr="00EA236B">
        <w:rPr>
          <w:rFonts w:ascii="Arial" w:hAnsi="Arial" w:cs="Arial"/>
          <w:color w:val="000000" w:themeColor="text1"/>
        </w:rPr>
        <w:t xml:space="preserve">). </w:t>
      </w:r>
    </w:p>
    <w:p w14:paraId="08852336" w14:textId="590AEE24" w:rsidR="00820785" w:rsidRDefault="00000000" w:rsidP="000329BA">
      <w:pPr>
        <w:pStyle w:val="Heading2"/>
        <w:rPr>
          <w:rFonts w:ascii="Arial" w:hAnsi="Arial" w:cs="Arial"/>
          <w:b/>
          <w:bCs/>
          <w:color w:val="000000" w:themeColor="text1"/>
          <w:sz w:val="24"/>
          <w:szCs w:val="24"/>
          <w:shd w:val="clear" w:color="auto" w:fill="FFFFFF"/>
        </w:rPr>
      </w:pPr>
      <w:bookmarkStart w:id="22" w:name="_Toc126667568"/>
      <w:r w:rsidRPr="00360768">
        <w:rPr>
          <w:rFonts w:ascii="Arial" w:hAnsi="Arial" w:cs="Arial"/>
          <w:b/>
          <w:bCs/>
          <w:color w:val="000000" w:themeColor="text1"/>
          <w:sz w:val="24"/>
          <w:szCs w:val="24"/>
          <w:shd w:val="clear" w:color="auto" w:fill="FFFFFF"/>
        </w:rPr>
        <w:t>2.</w:t>
      </w:r>
      <w:r w:rsidR="00D621B3" w:rsidRPr="00360768">
        <w:rPr>
          <w:rFonts w:ascii="Arial" w:hAnsi="Arial" w:cs="Arial"/>
          <w:b/>
          <w:bCs/>
          <w:color w:val="000000" w:themeColor="text1"/>
          <w:sz w:val="24"/>
          <w:szCs w:val="24"/>
          <w:shd w:val="clear" w:color="auto" w:fill="FFFFFF"/>
        </w:rPr>
        <w:t>6</w:t>
      </w:r>
      <w:r w:rsidRPr="00360768">
        <w:rPr>
          <w:rFonts w:ascii="Arial" w:hAnsi="Arial" w:cs="Arial"/>
          <w:b/>
          <w:bCs/>
          <w:color w:val="000000" w:themeColor="text1"/>
          <w:sz w:val="24"/>
          <w:szCs w:val="24"/>
          <w:shd w:val="clear" w:color="auto" w:fill="FFFFFF"/>
        </w:rPr>
        <w:t>.</w:t>
      </w:r>
      <w:r w:rsidR="00D621B3" w:rsidRPr="00360768">
        <w:rPr>
          <w:rFonts w:ascii="Arial" w:hAnsi="Arial" w:cs="Arial"/>
          <w:b/>
          <w:bCs/>
          <w:color w:val="000000" w:themeColor="text1"/>
          <w:sz w:val="24"/>
          <w:szCs w:val="24"/>
          <w:shd w:val="clear" w:color="auto" w:fill="FFFFFF"/>
        </w:rPr>
        <w:t>2</w:t>
      </w:r>
      <w:r w:rsidRPr="00360768">
        <w:rPr>
          <w:rFonts w:ascii="Arial" w:hAnsi="Arial" w:cs="Arial"/>
          <w:b/>
          <w:bCs/>
          <w:color w:val="000000" w:themeColor="text1"/>
          <w:sz w:val="24"/>
          <w:szCs w:val="24"/>
          <w:shd w:val="clear" w:color="auto" w:fill="FFFFFF"/>
        </w:rPr>
        <w:t xml:space="preserve"> Effectiveness</w:t>
      </w:r>
      <w:bookmarkEnd w:id="22"/>
      <w:r w:rsidRPr="00360768">
        <w:rPr>
          <w:rFonts w:ascii="Arial" w:hAnsi="Arial" w:cs="Arial"/>
          <w:b/>
          <w:bCs/>
          <w:color w:val="000000" w:themeColor="text1"/>
          <w:sz w:val="24"/>
          <w:szCs w:val="24"/>
          <w:shd w:val="clear" w:color="auto" w:fill="FFFFFF"/>
        </w:rPr>
        <w:t xml:space="preserve"> </w:t>
      </w:r>
    </w:p>
    <w:p w14:paraId="135EBFB6" w14:textId="77777777" w:rsidR="00360768" w:rsidRPr="00360768" w:rsidRDefault="00360768" w:rsidP="00360768"/>
    <w:p w14:paraId="76A48D08" w14:textId="7EA4504D"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The effectiveness of India's medical tourism, concluded by the strategical approach implemented by the government, has seen India rise to 3</w:t>
      </w:r>
      <w:r w:rsidRPr="00EA236B">
        <w:rPr>
          <w:rFonts w:ascii="Arial" w:hAnsi="Arial" w:cs="Arial"/>
          <w:color w:val="000000" w:themeColor="text1"/>
          <w:shd w:val="clear" w:color="auto" w:fill="FFFFFF"/>
          <w:vertAlign w:val="superscript"/>
        </w:rPr>
        <w:t>rd</w:t>
      </w:r>
      <w:r w:rsidRPr="00EA236B">
        <w:rPr>
          <w:rFonts w:ascii="Arial" w:hAnsi="Arial" w:cs="Arial"/>
          <w:color w:val="000000" w:themeColor="text1"/>
          <w:shd w:val="clear" w:color="auto" w:fill="FFFFFF"/>
        </w:rPr>
        <w:t xml:space="preserve"> within the top 10 wellness countries in Asia (</w:t>
      </w:r>
      <w:r w:rsidR="004525F4" w:rsidRPr="00EA236B">
        <w:rPr>
          <w:rFonts w:ascii="Arial" w:hAnsi="Arial" w:cs="Arial"/>
          <w:color w:val="000000" w:themeColor="text1"/>
          <w:shd w:val="clear" w:color="auto" w:fill="FFFFFF"/>
        </w:rPr>
        <w:t>IBEF, 2022</w:t>
      </w:r>
      <w:r w:rsidRPr="00EA236B">
        <w:rPr>
          <w:rFonts w:ascii="Arial" w:hAnsi="Arial" w:cs="Arial"/>
          <w:color w:val="000000" w:themeColor="text1"/>
          <w:shd w:val="clear" w:color="auto" w:fill="FFFFFF"/>
        </w:rPr>
        <w:t>). Notably, this approach has resulted in a seismic shift from medical tourism to the MVT concept. There is a direct approach to diverting the global population from being reactive to a proactive approach via preventative holistic health, including spiritual well-being</w:t>
      </w:r>
      <w:r w:rsidR="00CB243C" w:rsidRPr="00EA236B">
        <w:rPr>
          <w:rFonts w:ascii="Arial" w:hAnsi="Arial" w:cs="Arial"/>
          <w:color w:val="000000" w:themeColor="text1"/>
          <w:shd w:val="clear" w:color="auto" w:fill="FFFFFF"/>
        </w:rPr>
        <w:t xml:space="preserve">, </w:t>
      </w:r>
      <w:r w:rsidRPr="00EA236B">
        <w:rPr>
          <w:rFonts w:ascii="Arial" w:hAnsi="Arial" w:cs="Arial"/>
          <w:color w:val="000000" w:themeColor="text1"/>
          <w:shd w:val="clear" w:color="auto" w:fill="FFFFFF"/>
        </w:rPr>
        <w:t>mental</w:t>
      </w:r>
      <w:r w:rsidR="00645439" w:rsidRPr="00EA236B">
        <w:rPr>
          <w:rFonts w:ascii="Arial" w:hAnsi="Arial" w:cs="Arial"/>
          <w:color w:val="000000" w:themeColor="text1"/>
          <w:shd w:val="clear" w:color="auto" w:fill="FFFFFF"/>
        </w:rPr>
        <w:t xml:space="preserve"> </w:t>
      </w:r>
      <w:r w:rsidRPr="00EA236B">
        <w:rPr>
          <w:rFonts w:ascii="Arial" w:hAnsi="Arial" w:cs="Arial"/>
          <w:color w:val="000000" w:themeColor="text1"/>
          <w:shd w:val="clear" w:color="auto" w:fill="FFFFFF"/>
        </w:rPr>
        <w:t>and physical health. It could be argued that India is the first country with an assigned, dedicated ministry with the scope of providing alternative medicine, such as yoga, and other forms of rejuvenation therapies (</w:t>
      </w:r>
      <w:r w:rsidR="00035BF7" w:rsidRPr="00EA236B">
        <w:rPr>
          <w:rFonts w:ascii="Arial" w:hAnsi="Arial" w:cs="Arial"/>
          <w:color w:val="000000" w:themeColor="text1"/>
          <w:shd w:val="clear" w:color="auto" w:fill="FFFFFF"/>
        </w:rPr>
        <w:t>Guest, 2021</w:t>
      </w:r>
      <w:r w:rsidRPr="00EA236B">
        <w:rPr>
          <w:rFonts w:ascii="Arial" w:hAnsi="Arial" w:cs="Arial"/>
          <w:color w:val="000000" w:themeColor="text1"/>
          <w:shd w:val="clear" w:color="auto" w:fill="FFFFFF"/>
        </w:rPr>
        <w:t>).</w:t>
      </w:r>
    </w:p>
    <w:p w14:paraId="21C35183" w14:textId="77777777" w:rsidR="00820785" w:rsidRPr="00EA236B" w:rsidRDefault="00820785" w:rsidP="00820785">
      <w:pPr>
        <w:spacing w:line="360" w:lineRule="auto"/>
        <w:jc w:val="both"/>
        <w:rPr>
          <w:rFonts w:ascii="Arial" w:hAnsi="Arial" w:cs="Arial"/>
          <w:b/>
          <w:bCs/>
          <w:color w:val="000000" w:themeColor="text1"/>
          <w:shd w:val="clear" w:color="auto" w:fill="FFFFFF"/>
        </w:rPr>
      </w:pPr>
    </w:p>
    <w:p w14:paraId="5D1ACDC1" w14:textId="34ED5A6C" w:rsidR="00820785" w:rsidRDefault="00000000" w:rsidP="00FA2E1B">
      <w:pPr>
        <w:pStyle w:val="Heading2"/>
        <w:rPr>
          <w:rFonts w:ascii="Arial" w:hAnsi="Arial" w:cs="Arial"/>
          <w:b/>
          <w:bCs/>
          <w:color w:val="000000" w:themeColor="text1"/>
          <w:sz w:val="24"/>
          <w:szCs w:val="24"/>
          <w:shd w:val="clear" w:color="auto" w:fill="FFFFFF"/>
        </w:rPr>
      </w:pPr>
      <w:bookmarkStart w:id="23" w:name="_Toc126667569"/>
      <w:r w:rsidRPr="00360768">
        <w:rPr>
          <w:rFonts w:ascii="Arial" w:hAnsi="Arial" w:cs="Arial"/>
          <w:b/>
          <w:bCs/>
          <w:color w:val="000000" w:themeColor="text1"/>
          <w:sz w:val="24"/>
          <w:szCs w:val="24"/>
          <w:shd w:val="clear" w:color="auto" w:fill="FFFFFF"/>
        </w:rPr>
        <w:t>2.</w:t>
      </w:r>
      <w:r w:rsidR="00D621B3" w:rsidRPr="00360768">
        <w:rPr>
          <w:rFonts w:ascii="Arial" w:hAnsi="Arial" w:cs="Arial"/>
          <w:b/>
          <w:bCs/>
          <w:color w:val="000000" w:themeColor="text1"/>
          <w:sz w:val="24"/>
          <w:szCs w:val="24"/>
          <w:shd w:val="clear" w:color="auto" w:fill="FFFFFF"/>
        </w:rPr>
        <w:t>6</w:t>
      </w:r>
      <w:r w:rsidRPr="00360768">
        <w:rPr>
          <w:rFonts w:ascii="Arial" w:hAnsi="Arial" w:cs="Arial"/>
          <w:b/>
          <w:bCs/>
          <w:color w:val="000000" w:themeColor="text1"/>
          <w:sz w:val="24"/>
          <w:szCs w:val="24"/>
          <w:shd w:val="clear" w:color="auto" w:fill="FFFFFF"/>
        </w:rPr>
        <w:t>.</w:t>
      </w:r>
      <w:r w:rsidR="00D621B3" w:rsidRPr="00360768">
        <w:rPr>
          <w:rFonts w:ascii="Arial" w:hAnsi="Arial" w:cs="Arial"/>
          <w:b/>
          <w:bCs/>
          <w:color w:val="000000" w:themeColor="text1"/>
          <w:sz w:val="24"/>
          <w:szCs w:val="24"/>
          <w:shd w:val="clear" w:color="auto" w:fill="FFFFFF"/>
        </w:rPr>
        <w:t>3</w:t>
      </w:r>
      <w:r w:rsidRPr="00360768">
        <w:rPr>
          <w:rFonts w:ascii="Arial" w:hAnsi="Arial" w:cs="Arial"/>
          <w:b/>
          <w:bCs/>
          <w:color w:val="000000" w:themeColor="text1"/>
          <w:sz w:val="24"/>
          <w:szCs w:val="24"/>
          <w:shd w:val="clear" w:color="auto" w:fill="FFFFFF"/>
        </w:rPr>
        <w:t xml:space="preserve"> Cultural context</w:t>
      </w:r>
      <w:bookmarkEnd w:id="23"/>
    </w:p>
    <w:p w14:paraId="10B2A8A5" w14:textId="77777777" w:rsidR="00360768" w:rsidRPr="00360768" w:rsidRDefault="00360768" w:rsidP="00360768"/>
    <w:p w14:paraId="3525A917" w14:textId="00D4B971" w:rsidR="00360768"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MVT, from the context of the Indian culture, associates itself primarily with the offering of well-being and holistic health (</w:t>
      </w:r>
      <w:r w:rsidR="00035BF7" w:rsidRPr="00EA236B">
        <w:rPr>
          <w:rFonts w:ascii="Arial" w:hAnsi="Arial" w:cs="Arial"/>
          <w:color w:val="000000" w:themeColor="text1"/>
          <w:shd w:val="clear" w:color="auto" w:fill="FFFFFF"/>
        </w:rPr>
        <w:t>MVTCI, 2020</w:t>
      </w:r>
      <w:r w:rsidRPr="00EA236B">
        <w:rPr>
          <w:rFonts w:ascii="Arial" w:hAnsi="Arial" w:cs="Arial"/>
          <w:color w:val="000000" w:themeColor="text1"/>
          <w:shd w:val="clear" w:color="auto" w:fill="FFFFFF"/>
        </w:rPr>
        <w:t xml:space="preserve">). This perspective correlates with the </w:t>
      </w:r>
      <w:r w:rsidR="001C4FA7" w:rsidRPr="00EA236B">
        <w:rPr>
          <w:rFonts w:ascii="Arial" w:hAnsi="Arial" w:cs="Arial"/>
          <w:color w:val="000000" w:themeColor="text1"/>
          <w:shd w:val="clear" w:color="auto" w:fill="FFFFFF"/>
        </w:rPr>
        <w:t>uniqueness</w:t>
      </w:r>
      <w:r w:rsidRPr="00EA236B">
        <w:rPr>
          <w:rFonts w:ascii="Arial" w:hAnsi="Arial" w:cs="Arial"/>
          <w:color w:val="000000" w:themeColor="text1"/>
          <w:shd w:val="clear" w:color="auto" w:fill="FFFFFF"/>
        </w:rPr>
        <w:t xml:space="preserve"> of Indian </w:t>
      </w:r>
      <w:r w:rsidRPr="00EA236B">
        <w:rPr>
          <w:rFonts w:ascii="Arial" w:hAnsi="Arial" w:cs="Arial"/>
          <w:color w:val="000000" w:themeColor="text1"/>
          <w:shd w:val="clear" w:color="auto" w:fill="FFFFFF"/>
        </w:rPr>
        <w:lastRenderedPageBreak/>
        <w:t>hospitality through culture, food, and nature. The cultural diversities and geographic location with vast bodies of water and natural heritage is a prime global tourism destination.</w:t>
      </w:r>
    </w:p>
    <w:p w14:paraId="53E4D324" w14:textId="3394F57D" w:rsidR="00820785" w:rsidRPr="00360768" w:rsidRDefault="00000000" w:rsidP="00360768">
      <w:pPr>
        <w:pStyle w:val="Heading1"/>
        <w:jc w:val="center"/>
        <w:rPr>
          <w:color w:val="000000" w:themeColor="text1"/>
          <w:sz w:val="24"/>
          <w:szCs w:val="24"/>
        </w:rPr>
      </w:pPr>
      <w:bookmarkStart w:id="24" w:name="_Toc126667570"/>
      <w:r w:rsidRPr="00360768">
        <w:rPr>
          <w:rFonts w:ascii="Arial" w:hAnsi="Arial" w:cs="Arial"/>
          <w:b/>
          <w:bCs/>
          <w:color w:val="000000" w:themeColor="text1"/>
          <w:sz w:val="24"/>
          <w:szCs w:val="24"/>
          <w:shd w:val="clear" w:color="auto" w:fill="FFFFFF"/>
        </w:rPr>
        <w:t>3.0</w:t>
      </w:r>
      <w:r w:rsidR="00A2404D" w:rsidRPr="00360768">
        <w:rPr>
          <w:rFonts w:ascii="Arial" w:hAnsi="Arial" w:cs="Arial"/>
          <w:b/>
          <w:bCs/>
          <w:color w:val="000000" w:themeColor="text1"/>
          <w:sz w:val="24"/>
          <w:szCs w:val="24"/>
          <w:shd w:val="clear" w:color="auto" w:fill="FFFFFF"/>
        </w:rPr>
        <w:t xml:space="preserve"> </w:t>
      </w:r>
      <w:r w:rsidRPr="00360768">
        <w:rPr>
          <w:rFonts w:ascii="Arial" w:hAnsi="Arial" w:cs="Arial"/>
          <w:b/>
          <w:bCs/>
          <w:color w:val="000000" w:themeColor="text1"/>
          <w:sz w:val="24"/>
          <w:szCs w:val="24"/>
          <w:shd w:val="clear" w:color="auto" w:fill="FFFFFF"/>
        </w:rPr>
        <w:t>Competitive Advantage</w:t>
      </w:r>
      <w:bookmarkEnd w:id="24"/>
    </w:p>
    <w:p w14:paraId="0C84E027" w14:textId="77777777" w:rsidR="00820785" w:rsidRPr="00EA236B" w:rsidRDefault="00820785" w:rsidP="00820785">
      <w:pPr>
        <w:rPr>
          <w:color w:val="000000" w:themeColor="text1"/>
        </w:rPr>
      </w:pPr>
    </w:p>
    <w:p w14:paraId="6097E400" w14:textId="77777777" w:rsidR="00820785" w:rsidRPr="00EA236B" w:rsidRDefault="00000000" w:rsidP="00820785">
      <w:pPr>
        <w:spacing w:line="360" w:lineRule="auto"/>
        <w:jc w:val="both"/>
        <w:rPr>
          <w:rFonts w:ascii="Arial" w:hAnsi="Arial" w:cs="Arial"/>
          <w:color w:val="000000" w:themeColor="text1"/>
        </w:rPr>
      </w:pPr>
      <w:r w:rsidRPr="00EA236B">
        <w:rPr>
          <w:rFonts w:ascii="Arial" w:hAnsi="Arial" w:cs="Arial"/>
          <w:color w:val="000000" w:themeColor="text1"/>
        </w:rPr>
        <w:t>In medical tourism, competitive advantage allows a more significant market share to be gained, attracting more medical tourists. In return, the country's economic growth is increased as other sectors are strengthened (</w:t>
      </w:r>
      <w:r w:rsidR="00035BF7" w:rsidRPr="00EA236B">
        <w:rPr>
          <w:rFonts w:ascii="Arial" w:hAnsi="Arial" w:cs="Arial"/>
          <w:color w:val="000000" w:themeColor="text1"/>
        </w:rPr>
        <w:t>IBEF, 2022</w:t>
      </w:r>
      <w:r w:rsidRPr="00EA236B">
        <w:rPr>
          <w:rFonts w:ascii="Arial" w:hAnsi="Arial" w:cs="Arial"/>
          <w:color w:val="000000" w:themeColor="text1"/>
        </w:rPr>
        <w:t>). Adversely, Thailand's Small and Medium-size Enterprises (SMEs) have not capitalised on the opportunity of surveying prospects in the area as much as they could have done. SMEs should be focused on broadening their opportunities and partnering with allies in ASEAN Economic Community to integrate and gain more competitive advantage (</w:t>
      </w:r>
      <w:r w:rsidR="00341DCA" w:rsidRPr="00EA236B">
        <w:rPr>
          <w:rFonts w:ascii="Arial" w:hAnsi="Arial" w:cs="Arial"/>
          <w:color w:val="000000" w:themeColor="text1"/>
        </w:rPr>
        <w:t>Labonte, 2022</w:t>
      </w:r>
      <w:r w:rsidRPr="00EA236B">
        <w:rPr>
          <w:rFonts w:ascii="Arial" w:hAnsi="Arial" w:cs="Arial"/>
          <w:color w:val="000000" w:themeColor="text1"/>
        </w:rPr>
        <w:t xml:space="preserve">). </w:t>
      </w:r>
    </w:p>
    <w:p w14:paraId="3E12B7CE" w14:textId="77777777" w:rsidR="00820785" w:rsidRPr="00EA236B" w:rsidRDefault="00820785" w:rsidP="00820785">
      <w:pPr>
        <w:spacing w:line="360" w:lineRule="auto"/>
        <w:jc w:val="both"/>
        <w:rPr>
          <w:rFonts w:ascii="Arial" w:hAnsi="Arial" w:cs="Arial"/>
          <w:color w:val="000000" w:themeColor="text1"/>
        </w:rPr>
      </w:pPr>
    </w:p>
    <w:p w14:paraId="6F223193" w14:textId="72D52BEC" w:rsidR="00820785" w:rsidRPr="00EA236B" w:rsidRDefault="00000000" w:rsidP="00820785">
      <w:pPr>
        <w:spacing w:line="360" w:lineRule="auto"/>
        <w:jc w:val="both"/>
        <w:rPr>
          <w:rFonts w:ascii="Arial" w:hAnsi="Arial" w:cs="Arial"/>
          <w:color w:val="000000" w:themeColor="text1"/>
        </w:rPr>
      </w:pPr>
      <w:r w:rsidRPr="00EA236B">
        <w:rPr>
          <w:rFonts w:ascii="Arial" w:hAnsi="Arial" w:cs="Arial"/>
          <w:color w:val="000000" w:themeColor="text1"/>
        </w:rPr>
        <w:t xml:space="preserve">India </w:t>
      </w:r>
      <w:r w:rsidR="00A2404D" w:rsidRPr="00EA236B">
        <w:rPr>
          <w:rFonts w:ascii="Arial" w:hAnsi="Arial" w:cs="Arial"/>
          <w:color w:val="000000" w:themeColor="text1"/>
        </w:rPr>
        <w:t xml:space="preserve">is </w:t>
      </w:r>
      <w:r w:rsidRPr="00EA236B">
        <w:rPr>
          <w:rFonts w:ascii="Arial" w:hAnsi="Arial" w:cs="Arial"/>
          <w:color w:val="000000" w:themeColor="text1"/>
        </w:rPr>
        <w:t xml:space="preserve">already known as the world's pharmacy exporting pharmaceuticals to over 200 countries, </w:t>
      </w:r>
      <w:r w:rsidR="00A2404D" w:rsidRPr="00EA236B">
        <w:rPr>
          <w:rFonts w:ascii="Arial" w:hAnsi="Arial" w:cs="Arial"/>
          <w:color w:val="000000" w:themeColor="text1"/>
        </w:rPr>
        <w:t xml:space="preserve">which </w:t>
      </w:r>
      <w:r w:rsidRPr="00EA236B">
        <w:rPr>
          <w:rFonts w:ascii="Arial" w:hAnsi="Arial" w:cs="Arial"/>
          <w:color w:val="000000" w:themeColor="text1"/>
        </w:rPr>
        <w:t>position</w:t>
      </w:r>
      <w:r w:rsidR="00A2404D" w:rsidRPr="00EA236B">
        <w:rPr>
          <w:rFonts w:ascii="Arial" w:hAnsi="Arial" w:cs="Arial"/>
          <w:color w:val="000000" w:themeColor="text1"/>
        </w:rPr>
        <w:t>s</w:t>
      </w:r>
      <w:r w:rsidRPr="00EA236B">
        <w:rPr>
          <w:rFonts w:ascii="Arial" w:hAnsi="Arial" w:cs="Arial"/>
          <w:color w:val="000000" w:themeColor="text1"/>
        </w:rPr>
        <w:t xml:space="preserve"> the country as a rival to gain a competitive advantage via brand recall (</w:t>
      </w:r>
      <w:r w:rsidR="00593CD7" w:rsidRPr="00EA236B">
        <w:rPr>
          <w:rFonts w:ascii="Arial" w:hAnsi="Arial" w:cs="Arial"/>
          <w:color w:val="000000" w:themeColor="text1"/>
        </w:rPr>
        <w:t>IBEF, 2022</w:t>
      </w:r>
      <w:r w:rsidRPr="00EA236B">
        <w:rPr>
          <w:rFonts w:ascii="Arial" w:hAnsi="Arial" w:cs="Arial"/>
          <w:color w:val="000000" w:themeColor="text1"/>
        </w:rPr>
        <w:t>). India's pharmaceutical industry is the third largest globally, with production costs running 33% lower than the USA, estimated at a staggering 41 billion USD (</w:t>
      </w:r>
      <w:r w:rsidR="00F37420" w:rsidRPr="00EA236B">
        <w:rPr>
          <w:rFonts w:ascii="Arial" w:hAnsi="Arial" w:cs="Arial"/>
          <w:color w:val="000000" w:themeColor="text1"/>
        </w:rPr>
        <w:t>Guerin, 2020</w:t>
      </w:r>
      <w:r w:rsidRPr="00EA236B">
        <w:rPr>
          <w:rFonts w:ascii="Arial" w:hAnsi="Arial" w:cs="Arial"/>
          <w:color w:val="000000" w:themeColor="text1"/>
        </w:rPr>
        <w:t>). Comparatively, Thailand's government is facilitating the boost for private hospitals to improve their services to attract more tourists seeking healthcare. Notably, the private sector is seen as the area to boost Thailand's image as a medical hub due to medical advancement and higher health service standards (</w:t>
      </w:r>
      <w:r w:rsidR="00F37420" w:rsidRPr="00EA236B">
        <w:rPr>
          <w:rFonts w:ascii="Arial" w:hAnsi="Arial" w:cs="Arial"/>
          <w:color w:val="000000" w:themeColor="text1"/>
        </w:rPr>
        <w:t>Ayae, 2017</w:t>
      </w:r>
      <w:r w:rsidRPr="00EA236B">
        <w:rPr>
          <w:rFonts w:ascii="Arial" w:hAnsi="Arial" w:cs="Arial"/>
          <w:color w:val="000000" w:themeColor="text1"/>
        </w:rPr>
        <w:t xml:space="preserve">). This concept would improve Thailand's competitive advantage in global medical tourism. </w:t>
      </w:r>
      <w:r w:rsidR="00CB243C" w:rsidRPr="00EA236B">
        <w:rPr>
          <w:rFonts w:ascii="Arial" w:hAnsi="Arial" w:cs="Arial"/>
          <w:color w:val="000000" w:themeColor="text1"/>
        </w:rPr>
        <w:t>Nevertheless</w:t>
      </w:r>
      <w:r w:rsidRPr="00EA236B">
        <w:rPr>
          <w:rFonts w:ascii="Arial" w:hAnsi="Arial" w:cs="Arial"/>
          <w:color w:val="000000" w:themeColor="text1"/>
        </w:rPr>
        <w:t>, the government is concerned that the international healthcare programme should not interrupt the quality and availability of Thai residents receiving good affordable healthcare, which demonstrat</w:t>
      </w:r>
      <w:r w:rsidR="00A2404D" w:rsidRPr="00EA236B">
        <w:rPr>
          <w:rFonts w:ascii="Arial" w:hAnsi="Arial" w:cs="Arial"/>
          <w:color w:val="000000" w:themeColor="text1"/>
        </w:rPr>
        <w:t>es</w:t>
      </w:r>
      <w:r w:rsidRPr="00EA236B">
        <w:rPr>
          <w:rFonts w:ascii="Arial" w:hAnsi="Arial" w:cs="Arial"/>
          <w:color w:val="000000" w:themeColor="text1"/>
        </w:rPr>
        <w:t xml:space="preserve"> ethical considerations (</w:t>
      </w:r>
      <w:r w:rsidR="00F37420" w:rsidRPr="00EA236B">
        <w:rPr>
          <w:rFonts w:ascii="Arial" w:hAnsi="Arial" w:cs="Arial"/>
          <w:color w:val="000000" w:themeColor="text1"/>
        </w:rPr>
        <w:t>Ayae, 2017</w:t>
      </w:r>
      <w:r w:rsidRPr="00EA236B">
        <w:rPr>
          <w:rFonts w:ascii="Arial" w:hAnsi="Arial" w:cs="Arial"/>
          <w:color w:val="000000" w:themeColor="text1"/>
        </w:rPr>
        <w:t>).</w:t>
      </w:r>
    </w:p>
    <w:p w14:paraId="0DD4C925" w14:textId="77777777" w:rsidR="00820785" w:rsidRPr="00EA236B" w:rsidRDefault="00820785" w:rsidP="00820785">
      <w:pPr>
        <w:spacing w:line="360" w:lineRule="auto"/>
        <w:jc w:val="both"/>
        <w:rPr>
          <w:rFonts w:ascii="Arial" w:hAnsi="Arial" w:cs="Arial"/>
          <w:color w:val="000000" w:themeColor="text1"/>
        </w:rPr>
      </w:pPr>
    </w:p>
    <w:p w14:paraId="373543EB" w14:textId="2560E34F" w:rsidR="00820785" w:rsidRPr="00EA236B" w:rsidRDefault="00000000" w:rsidP="00820785">
      <w:pPr>
        <w:spacing w:line="360" w:lineRule="auto"/>
        <w:jc w:val="both"/>
        <w:rPr>
          <w:rFonts w:ascii="Arial" w:hAnsi="Arial" w:cs="Arial"/>
          <w:color w:val="000000" w:themeColor="text1"/>
        </w:rPr>
      </w:pPr>
      <w:r w:rsidRPr="00EA236B">
        <w:rPr>
          <w:rFonts w:ascii="Arial" w:hAnsi="Arial" w:cs="Arial"/>
          <w:color w:val="000000" w:themeColor="text1"/>
        </w:rPr>
        <w:t xml:space="preserve">The overall objective is to enhance its competitive advantage over </w:t>
      </w:r>
      <w:r w:rsidR="00CB243C" w:rsidRPr="00EA236B">
        <w:rPr>
          <w:rFonts w:ascii="Arial" w:hAnsi="Arial" w:cs="Arial"/>
          <w:color w:val="000000" w:themeColor="text1"/>
        </w:rPr>
        <w:t>India</w:t>
      </w:r>
      <w:r w:rsidRPr="00EA236B">
        <w:rPr>
          <w:rFonts w:ascii="Arial" w:hAnsi="Arial" w:cs="Arial"/>
          <w:color w:val="000000" w:themeColor="text1"/>
        </w:rPr>
        <w:t xml:space="preserve">, with the country sharing similar strengths to India in terms of modern facilities and equipment, reasonable prices, experienced health professionals, excellent services, and hospitality.  </w:t>
      </w:r>
    </w:p>
    <w:p w14:paraId="45205F63" w14:textId="77777777" w:rsidR="00820785" w:rsidRPr="00EA236B" w:rsidRDefault="00820785" w:rsidP="00820785">
      <w:pPr>
        <w:rPr>
          <w:rFonts w:ascii="Arial" w:hAnsi="Arial" w:cs="Arial"/>
          <w:b/>
          <w:bCs/>
          <w:color w:val="000000" w:themeColor="text1"/>
          <w:shd w:val="clear" w:color="auto" w:fill="FFFFFF"/>
        </w:rPr>
      </w:pPr>
    </w:p>
    <w:p w14:paraId="05F82732" w14:textId="77777777" w:rsidR="00820785" w:rsidRPr="00360768" w:rsidRDefault="00000000" w:rsidP="00360768">
      <w:pPr>
        <w:pStyle w:val="Heading1"/>
        <w:jc w:val="center"/>
        <w:rPr>
          <w:rFonts w:ascii="Arial" w:hAnsi="Arial" w:cs="Arial"/>
          <w:b/>
          <w:bCs/>
          <w:color w:val="000000" w:themeColor="text1"/>
          <w:sz w:val="24"/>
          <w:szCs w:val="24"/>
          <w:shd w:val="clear" w:color="auto" w:fill="FFFFFF"/>
        </w:rPr>
      </w:pPr>
      <w:bookmarkStart w:id="25" w:name="_Toc126667571"/>
      <w:r w:rsidRPr="00360768">
        <w:rPr>
          <w:rFonts w:ascii="Arial" w:hAnsi="Arial" w:cs="Arial"/>
          <w:b/>
          <w:bCs/>
          <w:color w:val="000000" w:themeColor="text1"/>
          <w:sz w:val="24"/>
          <w:szCs w:val="24"/>
          <w:shd w:val="clear" w:color="auto" w:fill="FFFFFF"/>
        </w:rPr>
        <w:t>4.0 Case Study Critical Comparison</w:t>
      </w:r>
      <w:bookmarkEnd w:id="25"/>
    </w:p>
    <w:p w14:paraId="1C044E8E" w14:textId="77777777" w:rsidR="00820785" w:rsidRPr="00EA236B" w:rsidRDefault="00820785" w:rsidP="00D621B3">
      <w:pPr>
        <w:jc w:val="center"/>
        <w:rPr>
          <w:rFonts w:ascii="Arial" w:hAnsi="Arial" w:cs="Arial"/>
          <w:color w:val="000000" w:themeColor="text1"/>
          <w:shd w:val="clear" w:color="auto" w:fill="FFFFFF"/>
        </w:rPr>
      </w:pPr>
    </w:p>
    <w:p w14:paraId="6C466990" w14:textId="77777777"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It can be argued that globalisation is a significant manifestation of medical tourism. However, its implication continues to be relatively </w:t>
      </w:r>
      <w:r w:rsidR="00A95719" w:rsidRPr="00EA236B">
        <w:rPr>
          <w:rFonts w:ascii="Arial" w:hAnsi="Arial" w:cs="Arial"/>
          <w:color w:val="000000" w:themeColor="text1"/>
          <w:shd w:val="clear" w:color="auto" w:fill="FFFFFF"/>
        </w:rPr>
        <w:t>un</w:t>
      </w:r>
      <w:r w:rsidRPr="00EA236B">
        <w:rPr>
          <w:rFonts w:ascii="Arial" w:hAnsi="Arial" w:cs="Arial"/>
          <w:color w:val="000000" w:themeColor="text1"/>
          <w:shd w:val="clear" w:color="auto" w:fill="FFFFFF"/>
        </w:rPr>
        <w:t>known. Affected by long waiting times, high healthcare costs or insufficient therapies in first-world countries, the majority of medical tourists, mainly from (Western Europe, the USA, and Canada) pursue medical care in Latin America and Asia (</w:t>
      </w:r>
      <w:r w:rsidR="00F37420" w:rsidRPr="00EA236B">
        <w:rPr>
          <w:rFonts w:ascii="Arial" w:hAnsi="Arial" w:cs="Arial"/>
          <w:color w:val="000000" w:themeColor="text1"/>
          <w:shd w:val="clear" w:color="auto" w:fill="FFFFFF"/>
        </w:rPr>
        <w:t>Hunter, 2015</w:t>
      </w:r>
      <w:r w:rsidRPr="00EA236B">
        <w:rPr>
          <w:rFonts w:ascii="Arial" w:hAnsi="Arial" w:cs="Arial"/>
          <w:color w:val="000000" w:themeColor="text1"/>
          <w:shd w:val="clear" w:color="auto" w:fill="FFFFFF"/>
        </w:rPr>
        <w:t>). Conversely, individual risks to patients could be offset by credentialing these exceptional medical tourism facilities and destinations concerning the generic equity issue of less wealthy citizens of developing countries such as India and Thailand.</w:t>
      </w:r>
    </w:p>
    <w:p w14:paraId="644C9A31" w14:textId="77777777" w:rsidR="00820785" w:rsidRPr="00EA236B" w:rsidRDefault="00820785" w:rsidP="00820785">
      <w:pPr>
        <w:spacing w:line="360" w:lineRule="auto"/>
        <w:jc w:val="both"/>
        <w:rPr>
          <w:rFonts w:ascii="Arial" w:hAnsi="Arial" w:cs="Arial"/>
          <w:color w:val="000000" w:themeColor="text1"/>
          <w:shd w:val="clear" w:color="auto" w:fill="FFFFFF"/>
        </w:rPr>
      </w:pPr>
    </w:p>
    <w:p w14:paraId="69C444C2" w14:textId="77777777" w:rsidR="00820785" w:rsidRPr="00EA236B" w:rsidRDefault="00000000" w:rsidP="00820785">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India and Thailand have seen an exponential increase in revenue from medical tourism. Upon comparing the two case studies presented on both countries, India has received more medical tourists over the last decade of the 20</w:t>
      </w:r>
      <w:r w:rsidRPr="00EA236B">
        <w:rPr>
          <w:rFonts w:ascii="Arial" w:hAnsi="Arial" w:cs="Arial"/>
          <w:color w:val="000000" w:themeColor="text1"/>
          <w:shd w:val="clear" w:color="auto" w:fill="FFFFFF"/>
          <w:vertAlign w:val="superscript"/>
        </w:rPr>
        <w:t>th</w:t>
      </w:r>
      <w:r w:rsidRPr="00EA236B">
        <w:rPr>
          <w:rFonts w:ascii="Arial" w:hAnsi="Arial" w:cs="Arial"/>
          <w:color w:val="000000" w:themeColor="text1"/>
          <w:shd w:val="clear" w:color="auto" w:fill="FFFFFF"/>
        </w:rPr>
        <w:t xml:space="preserve"> century, which could have resulted in the country’s position as a significant rival in the pharmaceutical industry (</w:t>
      </w:r>
      <w:r w:rsidR="00F37420" w:rsidRPr="00EA236B">
        <w:rPr>
          <w:rFonts w:ascii="Arial" w:hAnsi="Arial" w:cs="Arial"/>
          <w:color w:val="000000" w:themeColor="text1"/>
          <w:shd w:val="clear" w:color="auto" w:fill="FFFFFF"/>
        </w:rPr>
        <w:t>IBEF, 2022</w:t>
      </w:r>
      <w:r w:rsidRPr="00EA236B">
        <w:rPr>
          <w:rFonts w:ascii="Arial" w:hAnsi="Arial" w:cs="Arial"/>
          <w:color w:val="000000" w:themeColor="text1"/>
          <w:shd w:val="clear" w:color="auto" w:fill="FFFFFF"/>
        </w:rPr>
        <w:t>). India's healthcare sector has made significant advancements over the past 30 years, with the sector being the most significant contributor to revenue (</w:t>
      </w:r>
      <w:r w:rsidR="00F37420" w:rsidRPr="00EA236B">
        <w:rPr>
          <w:rFonts w:ascii="Arial" w:hAnsi="Arial" w:cs="Arial"/>
          <w:color w:val="000000" w:themeColor="text1"/>
          <w:shd w:val="clear" w:color="auto" w:fill="FFFFFF"/>
        </w:rPr>
        <w:t>Guest, 2021</w:t>
      </w:r>
      <w:r w:rsidRPr="00EA236B">
        <w:rPr>
          <w:rFonts w:ascii="Arial" w:hAnsi="Arial" w:cs="Arial"/>
          <w:color w:val="000000" w:themeColor="text1"/>
          <w:shd w:val="clear" w:color="auto" w:fill="FFFFFF"/>
        </w:rPr>
        <w:t xml:space="preserve">). </w:t>
      </w:r>
      <w:r w:rsidR="008F7E3E" w:rsidRPr="00EA236B">
        <w:rPr>
          <w:rFonts w:ascii="Arial" w:hAnsi="Arial" w:cs="Arial"/>
          <w:color w:val="000000" w:themeColor="text1"/>
          <w:shd w:val="clear" w:color="auto" w:fill="FFFFFF"/>
        </w:rPr>
        <w:t xml:space="preserve">The objective to extend </w:t>
      </w:r>
      <w:r w:rsidR="0029058B" w:rsidRPr="00EA236B">
        <w:rPr>
          <w:rFonts w:ascii="Arial" w:hAnsi="Arial" w:cs="Arial"/>
          <w:color w:val="000000" w:themeColor="text1"/>
          <w:shd w:val="clear" w:color="auto" w:fill="FFFFFF"/>
        </w:rPr>
        <w:t xml:space="preserve">the preventative perspective </w:t>
      </w:r>
      <w:r w:rsidR="008F7E3E" w:rsidRPr="00EA236B">
        <w:rPr>
          <w:rFonts w:ascii="Arial" w:hAnsi="Arial" w:cs="Arial"/>
          <w:color w:val="000000" w:themeColor="text1"/>
          <w:shd w:val="clear" w:color="auto" w:fill="FFFFFF"/>
        </w:rPr>
        <w:t xml:space="preserve">globally </w:t>
      </w:r>
      <w:r w:rsidR="0029058B" w:rsidRPr="00EA236B">
        <w:rPr>
          <w:rFonts w:ascii="Arial" w:hAnsi="Arial" w:cs="Arial"/>
          <w:color w:val="000000" w:themeColor="text1"/>
          <w:shd w:val="clear" w:color="auto" w:fill="FFFFFF"/>
        </w:rPr>
        <w:t xml:space="preserve">is being </w:t>
      </w:r>
      <w:r w:rsidR="008F7E3E" w:rsidRPr="00EA236B">
        <w:rPr>
          <w:rFonts w:ascii="Arial" w:hAnsi="Arial" w:cs="Arial"/>
          <w:color w:val="000000" w:themeColor="text1"/>
          <w:shd w:val="clear" w:color="auto" w:fill="FFFFFF"/>
        </w:rPr>
        <w:t>introduced via holistic health, thereby pulling individuals to the source of driving revenue.</w:t>
      </w:r>
      <w:r w:rsidR="00EC20AE" w:rsidRPr="00EA236B">
        <w:rPr>
          <w:rFonts w:ascii="Arial" w:hAnsi="Arial" w:cs="Arial"/>
          <w:color w:val="000000" w:themeColor="text1"/>
          <w:shd w:val="clear" w:color="auto" w:fill="FFFFFF"/>
        </w:rPr>
        <w:t xml:space="preserve"> India's MVT concept concerns focusing on health in contrast to healthcare being proactive. Contrastingly, Thailand's focus is on healthcare in contrast to health, the reactive concept. </w:t>
      </w:r>
      <w:r w:rsidR="00843607" w:rsidRPr="00EA236B">
        <w:rPr>
          <w:rFonts w:ascii="Arial" w:hAnsi="Arial" w:cs="Arial"/>
          <w:color w:val="000000" w:themeColor="text1"/>
          <w:shd w:val="clear" w:color="auto" w:fill="FFFFFF"/>
        </w:rPr>
        <w:t xml:space="preserve">It can be argued that </w:t>
      </w:r>
      <w:r w:rsidR="00EC20AE" w:rsidRPr="00EA236B">
        <w:rPr>
          <w:rFonts w:ascii="Arial" w:hAnsi="Arial" w:cs="Arial"/>
          <w:color w:val="000000" w:themeColor="text1"/>
          <w:shd w:val="clear" w:color="auto" w:fill="FFFFFF"/>
        </w:rPr>
        <w:t xml:space="preserve">India’s wellness tourism is poised </w:t>
      </w:r>
      <w:r w:rsidR="00843607" w:rsidRPr="00EA236B">
        <w:rPr>
          <w:rFonts w:ascii="Arial" w:hAnsi="Arial" w:cs="Arial"/>
          <w:color w:val="000000" w:themeColor="text1"/>
          <w:shd w:val="clear" w:color="auto" w:fill="FFFFFF"/>
        </w:rPr>
        <w:t xml:space="preserve">to attract </w:t>
      </w:r>
      <w:r w:rsidR="00BA1404" w:rsidRPr="00EA236B">
        <w:rPr>
          <w:rFonts w:ascii="Arial" w:hAnsi="Arial" w:cs="Arial"/>
          <w:color w:val="000000" w:themeColor="text1"/>
          <w:shd w:val="clear" w:color="auto" w:fill="FFFFFF"/>
        </w:rPr>
        <w:t>health-conscious</w:t>
      </w:r>
      <w:r w:rsidR="00843607" w:rsidRPr="00EA236B">
        <w:rPr>
          <w:rFonts w:ascii="Arial" w:hAnsi="Arial" w:cs="Arial"/>
          <w:color w:val="000000" w:themeColor="text1"/>
          <w:shd w:val="clear" w:color="auto" w:fill="FFFFFF"/>
        </w:rPr>
        <w:t xml:space="preserve"> individuals of the 21</w:t>
      </w:r>
      <w:r w:rsidR="00843607" w:rsidRPr="00EA236B">
        <w:rPr>
          <w:rFonts w:ascii="Arial" w:hAnsi="Arial" w:cs="Arial"/>
          <w:color w:val="000000" w:themeColor="text1"/>
          <w:shd w:val="clear" w:color="auto" w:fill="FFFFFF"/>
          <w:vertAlign w:val="superscript"/>
        </w:rPr>
        <w:t>st</w:t>
      </w:r>
      <w:r w:rsidR="00843607" w:rsidRPr="00EA236B">
        <w:rPr>
          <w:rFonts w:ascii="Arial" w:hAnsi="Arial" w:cs="Arial"/>
          <w:color w:val="000000" w:themeColor="text1"/>
          <w:shd w:val="clear" w:color="auto" w:fill="FFFFFF"/>
        </w:rPr>
        <w:t xml:space="preserve"> century</w:t>
      </w:r>
      <w:r w:rsidR="00BA1404" w:rsidRPr="00EA236B">
        <w:rPr>
          <w:rFonts w:ascii="Arial" w:hAnsi="Arial" w:cs="Arial"/>
          <w:color w:val="000000" w:themeColor="text1"/>
          <w:shd w:val="clear" w:color="auto" w:fill="FFFFFF"/>
        </w:rPr>
        <w:t>, standing on the practicalities of Yoga and Ayurveda.</w:t>
      </w:r>
    </w:p>
    <w:p w14:paraId="64C8876D" w14:textId="7BDACE9B" w:rsidR="00370375" w:rsidRPr="00360768" w:rsidRDefault="00000000" w:rsidP="00360768">
      <w:pPr>
        <w:pStyle w:val="Heading1"/>
        <w:jc w:val="center"/>
        <w:rPr>
          <w:rFonts w:ascii="Arial" w:hAnsi="Arial" w:cs="Arial"/>
          <w:b/>
          <w:bCs/>
          <w:color w:val="000000" w:themeColor="text1"/>
          <w:sz w:val="24"/>
          <w:szCs w:val="24"/>
        </w:rPr>
      </w:pPr>
      <w:bookmarkStart w:id="26" w:name="_Toc126667572"/>
      <w:r w:rsidRPr="00360768">
        <w:rPr>
          <w:rFonts w:ascii="Arial" w:hAnsi="Arial" w:cs="Arial"/>
          <w:b/>
          <w:bCs/>
          <w:color w:val="000000" w:themeColor="text1"/>
          <w:sz w:val="24"/>
          <w:szCs w:val="24"/>
        </w:rPr>
        <w:t xml:space="preserve">Chapter </w:t>
      </w:r>
      <w:r w:rsidR="00540B1D" w:rsidRPr="00360768">
        <w:rPr>
          <w:rFonts w:ascii="Arial" w:hAnsi="Arial" w:cs="Arial"/>
          <w:b/>
          <w:bCs/>
          <w:color w:val="000000" w:themeColor="text1"/>
          <w:sz w:val="24"/>
          <w:szCs w:val="24"/>
        </w:rPr>
        <w:t>5.0 Hybrid Working Environments</w:t>
      </w:r>
      <w:bookmarkEnd w:id="26"/>
    </w:p>
    <w:p w14:paraId="7C003CAE" w14:textId="77777777" w:rsidR="00820785" w:rsidRPr="00EA236B" w:rsidRDefault="00820785" w:rsidP="00370375">
      <w:pPr>
        <w:rPr>
          <w:b/>
          <w:bCs/>
          <w:color w:val="000000" w:themeColor="text1"/>
        </w:rPr>
      </w:pPr>
    </w:p>
    <w:p w14:paraId="3024E87B" w14:textId="341F2B0C" w:rsidR="00540B1D"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This chapter will </w:t>
      </w:r>
      <w:r w:rsidR="00B81BDF" w:rsidRPr="00EA236B">
        <w:rPr>
          <w:rFonts w:ascii="Arial" w:hAnsi="Arial" w:cs="Arial"/>
          <w:color w:val="000000" w:themeColor="text1"/>
          <w:shd w:val="clear" w:color="auto" w:fill="FFFFFF"/>
        </w:rPr>
        <w:t>investigate</w:t>
      </w:r>
      <w:r w:rsidRPr="00EA236B">
        <w:rPr>
          <w:rFonts w:ascii="Arial" w:hAnsi="Arial" w:cs="Arial"/>
          <w:color w:val="000000" w:themeColor="text1"/>
          <w:shd w:val="clear" w:color="auto" w:fill="FFFFFF"/>
        </w:rPr>
        <w:t xml:space="preserve"> </w:t>
      </w:r>
      <w:r w:rsidR="00B81BDF" w:rsidRPr="00EA236B">
        <w:rPr>
          <w:rFonts w:ascii="Arial" w:hAnsi="Arial" w:cs="Arial"/>
          <w:color w:val="000000" w:themeColor="text1"/>
          <w:shd w:val="clear" w:color="auto" w:fill="FFFFFF"/>
        </w:rPr>
        <w:t>the contemporary arguments and evolving rational</w:t>
      </w:r>
      <w:r w:rsidR="004B5831" w:rsidRPr="00EA236B">
        <w:rPr>
          <w:rFonts w:ascii="Arial" w:hAnsi="Arial" w:cs="Arial"/>
          <w:color w:val="000000" w:themeColor="text1"/>
          <w:shd w:val="clear" w:color="auto" w:fill="FFFFFF"/>
        </w:rPr>
        <w:t xml:space="preserve">e concerning management practices in hybrid working environments. Aguilar’s (1967) PESTLE analytical tool will be used as a framework in this chapter, outlining some external factors to analyse the impact on organisations. </w:t>
      </w:r>
      <w:r w:rsidR="008E1570" w:rsidRPr="00EA236B">
        <w:rPr>
          <w:rFonts w:ascii="Arial" w:hAnsi="Arial" w:cs="Arial"/>
          <w:color w:val="000000" w:themeColor="text1"/>
          <w:shd w:val="clear" w:color="auto" w:fill="FFFFFF"/>
        </w:rPr>
        <w:t xml:space="preserve">With the rise in technological advancement, and the recent pandemic surrounding COVID-19, there is an increased interest in hybrid working environments </w:t>
      </w:r>
      <w:r w:rsidR="004B5831" w:rsidRPr="00EA236B">
        <w:rPr>
          <w:rFonts w:ascii="Arial" w:hAnsi="Arial" w:cs="Arial"/>
          <w:color w:val="000000" w:themeColor="text1"/>
          <w:shd w:val="clear" w:color="auto" w:fill="FFFFFF"/>
        </w:rPr>
        <w:t xml:space="preserve">from a political perspective </w:t>
      </w:r>
      <w:r w:rsidR="00845CDF" w:rsidRPr="00EA236B">
        <w:rPr>
          <w:rFonts w:ascii="Arial" w:hAnsi="Arial" w:cs="Arial"/>
          <w:color w:val="000000" w:themeColor="text1"/>
          <w:shd w:val="clear" w:color="auto" w:fill="FFFFFF"/>
        </w:rPr>
        <w:t>(Rainoldi et al., 2022)</w:t>
      </w:r>
      <w:r w:rsidR="008E1570" w:rsidRPr="00EA236B">
        <w:rPr>
          <w:rFonts w:ascii="Arial" w:hAnsi="Arial" w:cs="Arial"/>
          <w:color w:val="000000" w:themeColor="text1"/>
          <w:shd w:val="clear" w:color="auto" w:fill="FFFFFF"/>
        </w:rPr>
        <w:t xml:space="preserve">. Hybrid work is the topic chosen for this chapter due to the sharp increase in remote workers and the topical trend causing some division amongst employees. For example, Elon Musk's recent upstir </w:t>
      </w:r>
      <w:r w:rsidR="004B5831" w:rsidRPr="00EA236B">
        <w:rPr>
          <w:rFonts w:ascii="Arial" w:hAnsi="Arial" w:cs="Arial"/>
          <w:color w:val="000000" w:themeColor="text1"/>
          <w:shd w:val="clear" w:color="auto" w:fill="FFFFFF"/>
        </w:rPr>
        <w:t xml:space="preserve">after acquiring Twitter </w:t>
      </w:r>
      <w:r w:rsidR="008E1570" w:rsidRPr="00EA236B">
        <w:rPr>
          <w:rFonts w:ascii="Arial" w:hAnsi="Arial" w:cs="Arial"/>
          <w:color w:val="000000" w:themeColor="text1"/>
          <w:shd w:val="clear" w:color="auto" w:fill="FFFFFF"/>
        </w:rPr>
        <w:t xml:space="preserve">demanded </w:t>
      </w:r>
      <w:r w:rsidR="004B5831" w:rsidRPr="00EA236B">
        <w:rPr>
          <w:rFonts w:ascii="Arial" w:hAnsi="Arial" w:cs="Arial"/>
          <w:color w:val="000000" w:themeColor="text1"/>
          <w:shd w:val="clear" w:color="auto" w:fill="FFFFFF"/>
        </w:rPr>
        <w:t xml:space="preserve">that </w:t>
      </w:r>
      <w:r w:rsidR="008E1570" w:rsidRPr="00EA236B">
        <w:rPr>
          <w:rFonts w:ascii="Arial" w:hAnsi="Arial" w:cs="Arial"/>
          <w:color w:val="000000" w:themeColor="text1"/>
          <w:shd w:val="clear" w:color="auto" w:fill="FFFFFF"/>
        </w:rPr>
        <w:t>workers</w:t>
      </w:r>
      <w:r w:rsidR="004B5831" w:rsidRPr="00EA236B">
        <w:rPr>
          <w:rFonts w:ascii="Arial" w:hAnsi="Arial" w:cs="Arial"/>
          <w:color w:val="000000" w:themeColor="text1"/>
          <w:shd w:val="clear" w:color="auto" w:fill="FFFFFF"/>
        </w:rPr>
        <w:t xml:space="preserve"> return</w:t>
      </w:r>
      <w:r w:rsidR="008E1570" w:rsidRPr="00EA236B">
        <w:rPr>
          <w:rFonts w:ascii="Arial" w:hAnsi="Arial" w:cs="Arial"/>
          <w:color w:val="000000" w:themeColor="text1"/>
          <w:shd w:val="clear" w:color="auto" w:fill="FFFFFF"/>
        </w:rPr>
        <w:t xml:space="preserve"> to the office </w:t>
      </w:r>
      <w:r w:rsidRPr="00EA236B">
        <w:rPr>
          <w:rFonts w:ascii="Arial" w:hAnsi="Arial" w:cs="Arial"/>
          <w:color w:val="000000" w:themeColor="text1"/>
          <w:shd w:val="clear" w:color="auto" w:fill="FFFFFF"/>
        </w:rPr>
        <w:t>to</w:t>
      </w:r>
      <w:r w:rsidR="008E1570" w:rsidRPr="00EA236B">
        <w:rPr>
          <w:rFonts w:ascii="Arial" w:hAnsi="Arial" w:cs="Arial"/>
          <w:color w:val="000000" w:themeColor="text1"/>
          <w:shd w:val="clear" w:color="auto" w:fill="FFFFFF"/>
        </w:rPr>
        <w:t xml:space="preserve"> curb the influx of staff working from home (</w:t>
      </w:r>
      <w:r w:rsidR="00845CDF" w:rsidRPr="00EA236B">
        <w:rPr>
          <w:rFonts w:ascii="Arial" w:hAnsi="Arial" w:cs="Arial"/>
          <w:color w:val="000000" w:themeColor="text1"/>
          <w:shd w:val="clear" w:color="auto" w:fill="FFFFFF"/>
        </w:rPr>
        <w:t>Bebchuk et al., 2023</w:t>
      </w:r>
      <w:r w:rsidR="008E1570" w:rsidRPr="00EA236B">
        <w:rPr>
          <w:rFonts w:ascii="Arial" w:hAnsi="Arial" w:cs="Arial"/>
          <w:color w:val="000000" w:themeColor="text1"/>
          <w:shd w:val="clear" w:color="auto" w:fill="FFFFFF"/>
        </w:rPr>
        <w:t xml:space="preserve">). </w:t>
      </w:r>
    </w:p>
    <w:p w14:paraId="12F78789" w14:textId="77777777" w:rsidR="00540B1D" w:rsidRPr="00EA236B" w:rsidRDefault="00540B1D" w:rsidP="008E1570">
      <w:pPr>
        <w:spacing w:line="360" w:lineRule="auto"/>
        <w:jc w:val="both"/>
        <w:rPr>
          <w:rFonts w:ascii="Arial" w:hAnsi="Arial" w:cs="Arial"/>
          <w:color w:val="000000" w:themeColor="text1"/>
          <w:shd w:val="clear" w:color="auto" w:fill="FFFFFF"/>
        </w:rPr>
      </w:pPr>
    </w:p>
    <w:p w14:paraId="789825E2" w14:textId="2AC33431" w:rsidR="008E1570" w:rsidRPr="00EA236B" w:rsidRDefault="00000000" w:rsidP="008D27E2">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However, as the Fourth Industrial Revolution takes shape, great interest and strategies have been considered concerning the future workplace</w:t>
      </w:r>
      <w:r w:rsidR="004B5831" w:rsidRPr="00EA236B">
        <w:rPr>
          <w:rFonts w:ascii="Arial" w:hAnsi="Arial" w:cs="Arial"/>
          <w:color w:val="000000" w:themeColor="text1"/>
          <w:shd w:val="clear" w:color="auto" w:fill="FFFFFF"/>
        </w:rPr>
        <w:t>.</w:t>
      </w:r>
      <w:r w:rsidR="00D9715A" w:rsidRPr="00EA236B">
        <w:rPr>
          <w:rFonts w:ascii="Arial" w:hAnsi="Arial" w:cs="Arial"/>
          <w:color w:val="000000" w:themeColor="text1"/>
          <w:shd w:val="clear" w:color="auto" w:fill="FFFFFF"/>
        </w:rPr>
        <w:t xml:space="preserve"> It can be argued that the concept of hybrid working environments has been hugely promoted from a political perspective in driving countries out of the pandemic, a political strategic plan initiated by the concept of the great reset of the 21</w:t>
      </w:r>
      <w:r w:rsidR="00D9715A" w:rsidRPr="00EA236B">
        <w:rPr>
          <w:rFonts w:ascii="Arial" w:hAnsi="Arial" w:cs="Arial"/>
          <w:color w:val="000000" w:themeColor="text1"/>
          <w:shd w:val="clear" w:color="auto" w:fill="FFFFFF"/>
          <w:vertAlign w:val="superscript"/>
        </w:rPr>
        <w:t>st</w:t>
      </w:r>
      <w:r w:rsidR="00D9715A" w:rsidRPr="00EA236B">
        <w:rPr>
          <w:rFonts w:ascii="Arial" w:hAnsi="Arial" w:cs="Arial"/>
          <w:color w:val="000000" w:themeColor="text1"/>
          <w:shd w:val="clear" w:color="auto" w:fill="FFFFFF"/>
        </w:rPr>
        <w:t xml:space="preserve"> century (</w:t>
      </w:r>
      <w:r w:rsidR="00845CDF" w:rsidRPr="00EA236B">
        <w:rPr>
          <w:rFonts w:ascii="ArialMT" w:hAnsi="ArialMT"/>
          <w:color w:val="000000" w:themeColor="text1"/>
        </w:rPr>
        <w:t>Grzegorczyk et al., 2021</w:t>
      </w:r>
      <w:r w:rsidR="00D9715A" w:rsidRPr="00EA236B">
        <w:rPr>
          <w:rFonts w:ascii="Arial" w:hAnsi="Arial" w:cs="Arial"/>
          <w:color w:val="000000" w:themeColor="text1"/>
          <w:shd w:val="clear" w:color="auto" w:fill="FFFFFF"/>
        </w:rPr>
        <w:t>).</w:t>
      </w:r>
      <w:r w:rsidR="004B5831" w:rsidRPr="00EA236B">
        <w:rPr>
          <w:rFonts w:ascii="Arial" w:hAnsi="Arial" w:cs="Arial"/>
          <w:color w:val="000000" w:themeColor="text1"/>
          <w:shd w:val="clear" w:color="auto" w:fill="FFFFFF"/>
        </w:rPr>
        <w:t xml:space="preserve"> </w:t>
      </w:r>
      <w:r w:rsidR="00EA6004" w:rsidRPr="00EA236B">
        <w:rPr>
          <w:rFonts w:ascii="Arial" w:hAnsi="Arial" w:cs="Arial"/>
          <w:color w:val="000000" w:themeColor="text1"/>
          <w:shd w:val="clear" w:color="auto" w:fill="FFFFFF"/>
        </w:rPr>
        <w:t xml:space="preserve">In return, the concept would boost the economy by getting individuals to work from their designated location without leaving the comfort of their own homes. </w:t>
      </w:r>
      <w:r w:rsidR="004B5831" w:rsidRPr="00EA236B">
        <w:rPr>
          <w:rFonts w:ascii="Arial" w:hAnsi="Arial" w:cs="Arial"/>
          <w:color w:val="000000" w:themeColor="text1"/>
          <w:shd w:val="clear" w:color="auto" w:fill="FFFFFF"/>
        </w:rPr>
        <w:t>H</w:t>
      </w:r>
      <w:r w:rsidRPr="00EA236B">
        <w:rPr>
          <w:rFonts w:ascii="Arial" w:hAnsi="Arial" w:cs="Arial"/>
          <w:color w:val="000000" w:themeColor="text1"/>
          <w:shd w:val="clear" w:color="auto" w:fill="FFFFFF"/>
        </w:rPr>
        <w:t xml:space="preserve">ybrid work </w:t>
      </w:r>
      <w:r w:rsidR="004B5831" w:rsidRPr="00EA236B">
        <w:rPr>
          <w:rFonts w:ascii="Arial" w:hAnsi="Arial" w:cs="Arial"/>
          <w:color w:val="000000" w:themeColor="text1"/>
          <w:shd w:val="clear" w:color="auto" w:fill="FFFFFF"/>
        </w:rPr>
        <w:t xml:space="preserve">is </w:t>
      </w:r>
      <w:r w:rsidRPr="00EA236B">
        <w:rPr>
          <w:rFonts w:ascii="Arial" w:hAnsi="Arial" w:cs="Arial"/>
          <w:color w:val="000000" w:themeColor="text1"/>
          <w:shd w:val="clear" w:color="auto" w:fill="FFFFFF"/>
        </w:rPr>
        <w:t>a significant concept in reducing staff turnover and increasing staff satisfaction</w:t>
      </w:r>
      <w:r w:rsidR="00332ECD" w:rsidRPr="00EA236B">
        <w:rPr>
          <w:rFonts w:ascii="Arial" w:hAnsi="Arial" w:cs="Arial"/>
          <w:color w:val="000000" w:themeColor="text1"/>
          <w:shd w:val="clear" w:color="auto" w:fill="FFFFFF"/>
        </w:rPr>
        <w:t xml:space="preserve">, initiating the social aspect of the PESTLE framework </w:t>
      </w:r>
      <w:r w:rsidRPr="00EA236B">
        <w:rPr>
          <w:rFonts w:ascii="Arial" w:hAnsi="Arial" w:cs="Arial"/>
          <w:color w:val="000000" w:themeColor="text1"/>
          <w:shd w:val="clear" w:color="auto" w:fill="FFFFFF"/>
        </w:rPr>
        <w:t>(Boxall and Purcell, 2010</w:t>
      </w:r>
      <w:r w:rsidR="00A43C45" w:rsidRPr="00EA236B">
        <w:rPr>
          <w:rFonts w:ascii="Arial" w:hAnsi="Arial" w:cs="Arial"/>
          <w:color w:val="000000" w:themeColor="text1"/>
          <w:shd w:val="clear" w:color="auto" w:fill="FFFFFF"/>
        </w:rPr>
        <w:t>, as cited in Malik, 2022</w:t>
      </w:r>
      <w:r w:rsidRPr="00EA236B">
        <w:rPr>
          <w:rFonts w:ascii="Arial" w:hAnsi="Arial" w:cs="Arial"/>
          <w:color w:val="000000" w:themeColor="text1"/>
          <w:shd w:val="clear" w:color="auto" w:fill="FFFFFF"/>
        </w:rPr>
        <w:t xml:space="preserve">). </w:t>
      </w:r>
    </w:p>
    <w:p w14:paraId="0BD3CC5D" w14:textId="77777777" w:rsidR="008E1570" w:rsidRPr="00EA236B" w:rsidRDefault="008E1570" w:rsidP="008E1570">
      <w:pPr>
        <w:spacing w:line="360" w:lineRule="auto"/>
        <w:jc w:val="both"/>
        <w:rPr>
          <w:rFonts w:ascii="Arial" w:hAnsi="Arial" w:cs="Arial"/>
          <w:color w:val="000000" w:themeColor="text1"/>
          <w:shd w:val="clear" w:color="auto" w:fill="FFFFFF"/>
        </w:rPr>
      </w:pPr>
    </w:p>
    <w:p w14:paraId="5753D2BE" w14:textId="618AEB5E"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Several leading consultancy groups classify hybrid work as the new remote work (Hilberath</w:t>
      </w:r>
      <w:r w:rsidR="00A2438A" w:rsidRPr="00EA236B">
        <w:rPr>
          <w:rFonts w:ascii="Arial" w:hAnsi="Arial" w:cs="Arial"/>
          <w:color w:val="000000" w:themeColor="text1"/>
          <w:shd w:val="clear" w:color="auto" w:fill="FFFFFF"/>
        </w:rPr>
        <w:t xml:space="preserve"> </w:t>
      </w:r>
      <w:r w:rsidRPr="00EA236B">
        <w:rPr>
          <w:rFonts w:ascii="Arial" w:hAnsi="Arial" w:cs="Arial"/>
          <w:color w:val="000000" w:themeColor="text1"/>
          <w:shd w:val="clear" w:color="auto" w:fill="FFFFFF"/>
        </w:rPr>
        <w:t>et al., 2020). However, albeit some similarities, there is often misinterpretation between remote work and telework, with the main differences as follows: teleworker</w:t>
      </w:r>
      <w:r w:rsidR="00525F2B" w:rsidRPr="00EA236B">
        <w:rPr>
          <w:rFonts w:ascii="Arial" w:hAnsi="Arial" w:cs="Arial"/>
          <w:color w:val="000000" w:themeColor="text1"/>
          <w:shd w:val="clear" w:color="auto" w:fill="FFFFFF"/>
        </w:rPr>
        <w:t>s</w:t>
      </w:r>
      <w:r w:rsidRPr="00EA236B">
        <w:rPr>
          <w:rFonts w:ascii="Arial" w:hAnsi="Arial" w:cs="Arial"/>
          <w:color w:val="000000" w:themeColor="text1"/>
          <w:shd w:val="clear" w:color="auto" w:fill="FFFFFF"/>
        </w:rPr>
        <w:t xml:space="preserve"> </w:t>
      </w:r>
      <w:r w:rsidR="00525F2B" w:rsidRPr="00EA236B">
        <w:rPr>
          <w:rFonts w:ascii="Arial" w:hAnsi="Arial" w:cs="Arial"/>
          <w:color w:val="000000" w:themeColor="text1"/>
          <w:shd w:val="clear" w:color="auto" w:fill="FFFFFF"/>
        </w:rPr>
        <w:t>are</w:t>
      </w:r>
      <w:r w:rsidRPr="00EA236B">
        <w:rPr>
          <w:rFonts w:ascii="Arial" w:hAnsi="Arial" w:cs="Arial"/>
          <w:color w:val="000000" w:themeColor="text1"/>
          <w:shd w:val="clear" w:color="auto" w:fill="FFFFFF"/>
        </w:rPr>
        <w:t xml:space="preserve"> occasionally required to attend the </w:t>
      </w:r>
      <w:r w:rsidRPr="00EA236B">
        <w:rPr>
          <w:rFonts w:ascii="Arial" w:hAnsi="Arial" w:cs="Arial"/>
          <w:color w:val="000000" w:themeColor="text1"/>
          <w:shd w:val="clear" w:color="auto" w:fill="FFFFFF"/>
        </w:rPr>
        <w:lastRenderedPageBreak/>
        <w:t>office, with the principal place of work regarded as the office, in contrast to working from home; although not in all circumstances</w:t>
      </w:r>
      <w:r w:rsidR="00371A1F" w:rsidRPr="00EA236B">
        <w:rPr>
          <w:rFonts w:ascii="Arial" w:hAnsi="Arial" w:cs="Arial"/>
          <w:color w:val="000000" w:themeColor="text1"/>
          <w:shd w:val="clear" w:color="auto" w:fill="FFFFFF"/>
        </w:rPr>
        <w:t xml:space="preserve"> (Choi, 201</w:t>
      </w:r>
      <w:r w:rsidR="0024453E" w:rsidRPr="00EA236B">
        <w:rPr>
          <w:rFonts w:ascii="Arial" w:hAnsi="Arial" w:cs="Arial"/>
          <w:color w:val="000000" w:themeColor="text1"/>
          <w:shd w:val="clear" w:color="auto" w:fill="FFFFFF"/>
        </w:rPr>
        <w:t>8</w:t>
      </w:r>
      <w:r w:rsidR="00371A1F" w:rsidRPr="00EA236B">
        <w:rPr>
          <w:rFonts w:ascii="Arial" w:hAnsi="Arial" w:cs="Arial"/>
          <w:color w:val="000000" w:themeColor="text1"/>
          <w:shd w:val="clear" w:color="auto" w:fill="FFFFFF"/>
        </w:rPr>
        <w:t>). The</w:t>
      </w:r>
      <w:r w:rsidRPr="00EA236B">
        <w:rPr>
          <w:rFonts w:ascii="Arial" w:hAnsi="Arial" w:cs="Arial"/>
          <w:color w:val="000000" w:themeColor="text1"/>
          <w:shd w:val="clear" w:color="auto" w:fill="FFFFFF"/>
        </w:rPr>
        <w:t xml:space="preserve"> concept of telework as a significant contributor to </w:t>
      </w:r>
      <w:r w:rsidR="00525F2B" w:rsidRPr="00EA236B">
        <w:rPr>
          <w:rFonts w:ascii="Arial" w:hAnsi="Arial" w:cs="Arial"/>
          <w:color w:val="000000" w:themeColor="text1"/>
          <w:shd w:val="clear" w:color="auto" w:fill="FFFFFF"/>
        </w:rPr>
        <w:t xml:space="preserve">the </w:t>
      </w:r>
      <w:r w:rsidRPr="00EA236B">
        <w:rPr>
          <w:rFonts w:ascii="Arial" w:hAnsi="Arial" w:cs="Arial"/>
          <w:color w:val="000000" w:themeColor="text1"/>
          <w:shd w:val="clear" w:color="auto" w:fill="FFFFFF"/>
        </w:rPr>
        <w:t xml:space="preserve">new working processes should significantly increase productivity on a global scale </w:t>
      </w:r>
      <w:r w:rsidR="00371A1F" w:rsidRPr="00EA236B">
        <w:rPr>
          <w:rFonts w:ascii="Arial" w:hAnsi="Arial" w:cs="Arial"/>
          <w:color w:val="000000" w:themeColor="text1"/>
          <w:shd w:val="clear" w:color="auto" w:fill="FFFFFF"/>
        </w:rPr>
        <w:t>(Tuckson et al., 2017)</w:t>
      </w:r>
      <w:r w:rsidRPr="00EA236B">
        <w:rPr>
          <w:rFonts w:ascii="Arial" w:hAnsi="Arial" w:cs="Arial"/>
          <w:color w:val="000000" w:themeColor="text1"/>
          <w:shd w:val="clear" w:color="auto" w:fill="FFFFFF"/>
        </w:rPr>
        <w:t xml:space="preserve">. The onslaught of COVID-19 has heightened the need to safeguard working environments to ensure employees' well-being is protected. The onus is on organisations to construct a balance, creating a blend of on-sight and remote working conditions, ensuring there is no unfair treatment to workers jeopardising their careers or opportunities (Grzegorczyk et al., 2021). </w:t>
      </w:r>
    </w:p>
    <w:p w14:paraId="45C89D63" w14:textId="77777777" w:rsidR="008E1570" w:rsidRPr="00EA236B" w:rsidRDefault="008E1570" w:rsidP="008E1570">
      <w:pPr>
        <w:spacing w:line="360" w:lineRule="auto"/>
        <w:jc w:val="both"/>
        <w:rPr>
          <w:rFonts w:ascii="Arial" w:hAnsi="Arial" w:cs="Arial"/>
          <w:color w:val="000000" w:themeColor="text1"/>
          <w:shd w:val="clear" w:color="auto" w:fill="FFFFFF"/>
        </w:rPr>
      </w:pPr>
    </w:p>
    <w:p w14:paraId="3C4ABB0D" w14:textId="77777777"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Contrastingly, remote workers are designed to work from their homes, further afield from the office which does not require workers to visit the office (Grzegorczyk et al., 2021). However, it can be argued that the latter is not always the set procedure. Therefore, flexible work is another growing trend which can often be misunderstood. According to Gov.UK (2022), flexible work is quoted as:</w:t>
      </w:r>
    </w:p>
    <w:p w14:paraId="19F6C4A1" w14:textId="77777777" w:rsidR="008E1570" w:rsidRPr="00EA236B" w:rsidRDefault="008E1570" w:rsidP="008E1570">
      <w:pPr>
        <w:spacing w:line="360" w:lineRule="auto"/>
        <w:jc w:val="both"/>
        <w:rPr>
          <w:rFonts w:ascii="Arial" w:hAnsi="Arial" w:cs="Arial"/>
          <w:color w:val="000000" w:themeColor="text1"/>
          <w:shd w:val="clear" w:color="auto" w:fill="FFFFFF"/>
        </w:rPr>
      </w:pPr>
    </w:p>
    <w:p w14:paraId="2AE22556" w14:textId="77777777" w:rsidR="008E1570" w:rsidRPr="00EA236B" w:rsidRDefault="00000000" w:rsidP="001531D5">
      <w:pPr>
        <w:spacing w:line="276" w:lineRule="auto"/>
        <w:jc w:val="both"/>
        <w:rPr>
          <w:rFonts w:ascii="Arial" w:hAnsi="Arial" w:cs="Arial"/>
          <w:b/>
          <w:bCs/>
          <w:color w:val="000000" w:themeColor="text1"/>
          <w:sz w:val="28"/>
          <w:szCs w:val="28"/>
          <w:shd w:val="clear" w:color="auto" w:fill="FFFFFF"/>
        </w:rPr>
      </w:pPr>
      <w:r w:rsidRPr="00EA236B">
        <w:rPr>
          <w:rFonts w:ascii="Arial" w:hAnsi="Arial" w:cs="Arial"/>
          <w:b/>
          <w:bCs/>
          <w:color w:val="000000" w:themeColor="text1"/>
          <w:sz w:val="28"/>
          <w:szCs w:val="28"/>
          <w:shd w:val="clear" w:color="auto" w:fill="FFFFFF"/>
        </w:rPr>
        <w:t xml:space="preserve">"Flexible working is a way of working that suits an employee's needs, for example, having flexible start and finish times, or working from home." </w:t>
      </w:r>
    </w:p>
    <w:p w14:paraId="40BF2DB5" w14:textId="77777777" w:rsidR="008E1570" w:rsidRPr="00EA236B" w:rsidRDefault="008E1570" w:rsidP="008E1570">
      <w:pPr>
        <w:spacing w:line="360" w:lineRule="auto"/>
        <w:jc w:val="both"/>
        <w:rPr>
          <w:rFonts w:ascii="Arial" w:hAnsi="Arial" w:cs="Arial"/>
          <w:color w:val="000000" w:themeColor="text1"/>
          <w:shd w:val="clear" w:color="auto" w:fill="FFFFFF"/>
        </w:rPr>
      </w:pPr>
    </w:p>
    <w:p w14:paraId="01494DF4" w14:textId="77777777"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 It can be argued that flexible work is not always a modus operandi for justifying the employees' needs, as some organisations adopt the approach to benefit the company (</w:t>
      </w:r>
      <w:r w:rsidR="0024453E" w:rsidRPr="00EA236B">
        <w:rPr>
          <w:rFonts w:ascii="Arial" w:hAnsi="Arial" w:cs="Arial"/>
          <w:color w:val="000000" w:themeColor="text1"/>
          <w:shd w:val="clear" w:color="auto" w:fill="FFFFFF"/>
        </w:rPr>
        <w:t>Choi, 2018</w:t>
      </w:r>
      <w:r w:rsidRPr="00EA236B">
        <w:rPr>
          <w:rFonts w:ascii="Arial" w:hAnsi="Arial" w:cs="Arial"/>
          <w:color w:val="000000" w:themeColor="text1"/>
          <w:shd w:val="clear" w:color="auto" w:fill="FFFFFF"/>
        </w:rPr>
        <w:t>). On the other hand, the hybrid working model consists of the combination of employees operating from within the designated work premises</w:t>
      </w:r>
      <w:r w:rsidR="00525F2B" w:rsidRPr="00EA236B">
        <w:rPr>
          <w:rFonts w:ascii="Arial" w:hAnsi="Arial" w:cs="Arial"/>
          <w:color w:val="000000" w:themeColor="text1"/>
          <w:shd w:val="clear" w:color="auto" w:fill="FFFFFF"/>
        </w:rPr>
        <w:t xml:space="preserve"> alongside</w:t>
      </w:r>
      <w:r w:rsidRPr="00EA236B">
        <w:rPr>
          <w:rFonts w:ascii="Arial" w:hAnsi="Arial" w:cs="Arial"/>
          <w:color w:val="000000" w:themeColor="text1"/>
          <w:shd w:val="clear" w:color="auto" w:fill="FFFFFF"/>
        </w:rPr>
        <w:t xml:space="preserve"> remote staff with the flexibility to choose their working environment. Meanwhile, time spent in office</w:t>
      </w:r>
      <w:r w:rsidR="00525F2B" w:rsidRPr="00EA236B">
        <w:rPr>
          <w:rFonts w:ascii="Arial" w:hAnsi="Arial" w:cs="Arial"/>
          <w:color w:val="000000" w:themeColor="text1"/>
          <w:shd w:val="clear" w:color="auto" w:fill="FFFFFF"/>
        </w:rPr>
        <w:t>s</w:t>
      </w:r>
      <w:r w:rsidRPr="00EA236B">
        <w:rPr>
          <w:rFonts w:ascii="Arial" w:hAnsi="Arial" w:cs="Arial"/>
          <w:color w:val="000000" w:themeColor="text1"/>
          <w:shd w:val="clear" w:color="auto" w:fill="FFFFFF"/>
        </w:rPr>
        <w:t xml:space="preserve"> could be assigned by teams or as deemed necessary </w:t>
      </w:r>
      <w:r w:rsidR="003969D8" w:rsidRPr="00EA236B">
        <w:rPr>
          <w:rFonts w:ascii="Arial" w:hAnsi="Arial" w:cs="Arial"/>
          <w:color w:val="000000" w:themeColor="text1"/>
          <w:shd w:val="clear" w:color="auto" w:fill="FFFFFF"/>
        </w:rPr>
        <w:t>(Migliore et al., 2021)</w:t>
      </w:r>
      <w:r w:rsidRPr="00EA236B">
        <w:rPr>
          <w:rFonts w:ascii="Arial" w:hAnsi="Arial" w:cs="Arial"/>
          <w:color w:val="000000" w:themeColor="text1"/>
          <w:shd w:val="clear" w:color="auto" w:fill="FFFFFF"/>
        </w:rPr>
        <w:t xml:space="preserve">. </w:t>
      </w:r>
    </w:p>
    <w:p w14:paraId="74402AE8" w14:textId="77777777" w:rsidR="008E1570" w:rsidRPr="00EA236B" w:rsidRDefault="008E1570" w:rsidP="008E1570">
      <w:pPr>
        <w:spacing w:line="360" w:lineRule="auto"/>
        <w:jc w:val="both"/>
        <w:rPr>
          <w:rFonts w:ascii="Arial" w:hAnsi="Arial" w:cs="Arial"/>
          <w:color w:val="000000" w:themeColor="text1"/>
          <w:shd w:val="clear" w:color="auto" w:fill="FFFFFF"/>
        </w:rPr>
      </w:pPr>
    </w:p>
    <w:p w14:paraId="5CBAF8FF" w14:textId="1DB6048F"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Notably, a critical analysis of flexible working has revealed the consequences of applying the method across specific sectors, as the process requires intricate management to ensure efficiency in productivity. Otherwise, the quality of work could diminish</w:t>
      </w:r>
      <w:r w:rsidR="004322BE"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xml:space="preserve"> resulting in low productivity from the usual on-sight workers, as a domino effect caused by diminished productivity from flexible workers </w:t>
      </w:r>
      <w:r w:rsidR="00EC2F5C" w:rsidRPr="00EA236B">
        <w:rPr>
          <w:rFonts w:ascii="Arial" w:hAnsi="Arial" w:cs="Arial"/>
          <w:color w:val="000000" w:themeColor="text1"/>
          <w:shd w:val="clear" w:color="auto" w:fill="FFFFFF"/>
        </w:rPr>
        <w:t>(Dhaini et al., 2018)</w:t>
      </w:r>
      <w:r w:rsidRPr="00EA236B">
        <w:rPr>
          <w:rFonts w:ascii="Arial" w:hAnsi="Arial" w:cs="Arial"/>
          <w:color w:val="000000" w:themeColor="text1"/>
          <w:shd w:val="clear" w:color="auto" w:fill="FFFFFF"/>
        </w:rPr>
        <w:t xml:space="preserve">. Some projects require face-to-face management and simulations to complete. </w:t>
      </w:r>
      <w:r w:rsidR="004322BE" w:rsidRPr="00EA236B">
        <w:rPr>
          <w:rFonts w:ascii="Arial" w:hAnsi="Arial" w:cs="Arial"/>
          <w:color w:val="000000" w:themeColor="text1"/>
          <w:shd w:val="clear" w:color="auto" w:fill="FFFFFF"/>
        </w:rPr>
        <w:t xml:space="preserve">On the other hand, </w:t>
      </w:r>
      <w:r w:rsidRPr="00EA236B">
        <w:rPr>
          <w:rFonts w:ascii="Arial" w:hAnsi="Arial" w:cs="Arial"/>
          <w:color w:val="000000" w:themeColor="text1"/>
          <w:shd w:val="clear" w:color="auto" w:fill="FFFFFF"/>
        </w:rPr>
        <w:t xml:space="preserve">Macgregor Theory X </w:t>
      </w:r>
      <w:r w:rsidR="004322BE" w:rsidRPr="00EA236B">
        <w:rPr>
          <w:rFonts w:ascii="Arial" w:hAnsi="Arial" w:cs="Arial"/>
          <w:color w:val="000000" w:themeColor="text1"/>
          <w:shd w:val="clear" w:color="auto" w:fill="FFFFFF"/>
        </w:rPr>
        <w:t xml:space="preserve">postulates that </w:t>
      </w:r>
      <w:r w:rsidRPr="00EA236B">
        <w:rPr>
          <w:rFonts w:ascii="Arial" w:hAnsi="Arial" w:cs="Arial"/>
          <w:color w:val="000000" w:themeColor="text1"/>
          <w:shd w:val="clear" w:color="auto" w:fill="FFFFFF"/>
        </w:rPr>
        <w:t xml:space="preserve">people are lazy and must be </w:t>
      </w:r>
      <w:r w:rsidR="0093733A" w:rsidRPr="00EA236B">
        <w:rPr>
          <w:rFonts w:ascii="Arial" w:hAnsi="Arial" w:cs="Arial"/>
          <w:color w:val="000000" w:themeColor="text1"/>
          <w:shd w:val="clear" w:color="auto" w:fill="FFFFFF"/>
        </w:rPr>
        <w:t>coerced</w:t>
      </w:r>
      <w:r w:rsidRPr="00EA236B">
        <w:rPr>
          <w:rFonts w:ascii="Arial" w:hAnsi="Arial" w:cs="Arial"/>
          <w:color w:val="000000" w:themeColor="text1"/>
          <w:shd w:val="clear" w:color="auto" w:fill="FFFFFF"/>
        </w:rPr>
        <w:t xml:space="preserve"> </w:t>
      </w:r>
      <w:r w:rsidR="00901595" w:rsidRPr="00EA236B">
        <w:rPr>
          <w:rFonts w:ascii="Arial" w:hAnsi="Arial" w:cs="Arial"/>
          <w:color w:val="000000" w:themeColor="text1"/>
          <w:shd w:val="clear" w:color="auto" w:fill="FFFFFF"/>
        </w:rPr>
        <w:t xml:space="preserve">and controlled (Bakoula and Galanakis, 2022). </w:t>
      </w:r>
      <w:r w:rsidR="00AC255C" w:rsidRPr="00EA236B">
        <w:rPr>
          <w:rFonts w:ascii="Arial" w:hAnsi="Arial" w:cs="Arial"/>
          <w:color w:val="000000" w:themeColor="text1"/>
          <w:shd w:val="clear" w:color="auto" w:fill="FFFFFF"/>
        </w:rPr>
        <w:t xml:space="preserve">Blake and Moulton’s leadership grid in figure 1.1 accentuates five leadership styles surrounding concern for production or people </w:t>
      </w:r>
      <w:r w:rsidR="0093733A" w:rsidRPr="00EA236B">
        <w:rPr>
          <w:rFonts w:ascii="Arial" w:hAnsi="Arial" w:cs="Arial"/>
          <w:color w:val="000000" w:themeColor="text1"/>
          <w:shd w:val="clear" w:color="auto" w:fill="FFFFFF"/>
        </w:rPr>
        <w:t>(Cai et al., 2019)</w:t>
      </w:r>
      <w:r w:rsidR="00AC255C" w:rsidRPr="00EA236B">
        <w:rPr>
          <w:rFonts w:ascii="Arial" w:hAnsi="Arial" w:cs="Arial"/>
          <w:color w:val="000000" w:themeColor="text1"/>
          <w:shd w:val="clear" w:color="auto" w:fill="FFFFFF"/>
        </w:rPr>
        <w:t>.</w:t>
      </w:r>
    </w:p>
    <w:p w14:paraId="6AD9A3BC" w14:textId="77777777" w:rsidR="008D27E2" w:rsidRPr="00EA236B" w:rsidRDefault="008D27E2" w:rsidP="008E1570">
      <w:pPr>
        <w:spacing w:line="360" w:lineRule="auto"/>
        <w:jc w:val="both"/>
        <w:rPr>
          <w:rFonts w:ascii="Arial" w:hAnsi="Arial" w:cs="Arial"/>
          <w:color w:val="000000" w:themeColor="text1"/>
          <w:shd w:val="clear" w:color="auto" w:fill="FFFFFF"/>
        </w:rPr>
      </w:pPr>
    </w:p>
    <w:p w14:paraId="0BEF379D" w14:textId="1766850A"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On the other hand, several scholars revealed that unexpected issues could result in a more extended resolution when an immediate resolution consisting of other team members is required (Hunter, 2019). However, hybrid work must not dictate workers' choice of work irrespective of being internal (Grzegorczyk et al., 2021). Nevertheless, the main goal should enable the execution of flexible working.</w:t>
      </w:r>
    </w:p>
    <w:p w14:paraId="530A8F46" w14:textId="57274493" w:rsidR="00FB07D1" w:rsidRPr="00EA236B" w:rsidRDefault="00FB07D1" w:rsidP="008E1570">
      <w:pPr>
        <w:spacing w:line="360" w:lineRule="auto"/>
        <w:jc w:val="both"/>
        <w:rPr>
          <w:rFonts w:ascii="Arial" w:hAnsi="Arial" w:cs="Arial"/>
          <w:color w:val="000000" w:themeColor="text1"/>
          <w:shd w:val="clear" w:color="auto" w:fill="FFFFFF"/>
        </w:rPr>
      </w:pPr>
    </w:p>
    <w:p w14:paraId="64A295C2" w14:textId="77777777" w:rsidR="00D44B2C" w:rsidRDefault="00FB07D1" w:rsidP="00D44B2C">
      <w:pPr>
        <w:keepNext/>
        <w:spacing w:line="360" w:lineRule="auto"/>
        <w:jc w:val="center"/>
      </w:pPr>
      <w:r w:rsidRPr="00EA236B">
        <w:rPr>
          <w:color w:val="000000" w:themeColor="text1"/>
        </w:rPr>
        <w:fldChar w:fldCharType="begin"/>
      </w:r>
      <w:r w:rsidRPr="00EA236B">
        <w:rPr>
          <w:color w:val="000000" w:themeColor="text1"/>
        </w:rPr>
        <w:instrText xml:space="preserve"> INCLUDEPICTURE "/Users/irie/Library/Group Containers/UBF8T346G9.ms/WebArchiveCopyPasteTempFiles/com.microsoft.Word/blake_mouton_managerial_grid7640828054503601425.png" \* MERGEFORMATINET </w:instrText>
      </w:r>
      <w:r w:rsidRPr="00EA236B">
        <w:rPr>
          <w:color w:val="000000" w:themeColor="text1"/>
        </w:rPr>
        <w:fldChar w:fldCharType="separate"/>
      </w:r>
      <w:r w:rsidRPr="00EA236B">
        <w:rPr>
          <w:noProof/>
          <w:color w:val="000000" w:themeColor="text1"/>
        </w:rPr>
        <w:drawing>
          <wp:inline distT="0" distB="0" distL="0" distR="0" wp14:anchorId="14F22583" wp14:editId="014704B8">
            <wp:extent cx="2954867" cy="2954867"/>
            <wp:effectExtent l="0" t="0" r="4445" b="4445"/>
            <wp:docPr id="4" name="Picture 4" descr="The Blake Mouton Managerial Grid | Leadership Grid: Examp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lake Mouton Managerial Grid | Leadership Grid: Example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91974" cy="2991974"/>
                    </a:xfrm>
                    <a:prstGeom prst="rect">
                      <a:avLst/>
                    </a:prstGeom>
                    <a:noFill/>
                    <a:ln>
                      <a:noFill/>
                    </a:ln>
                  </pic:spPr>
                </pic:pic>
              </a:graphicData>
            </a:graphic>
          </wp:inline>
        </w:drawing>
      </w:r>
      <w:r w:rsidRPr="00EA236B">
        <w:rPr>
          <w:color w:val="000000" w:themeColor="text1"/>
        </w:rPr>
        <w:fldChar w:fldCharType="end"/>
      </w:r>
    </w:p>
    <w:p w14:paraId="5CC1DB51" w14:textId="446A5FF7" w:rsidR="001A2D10" w:rsidRPr="00BB3B30" w:rsidRDefault="00D44B2C" w:rsidP="00D44B2C">
      <w:pPr>
        <w:pStyle w:val="Caption"/>
        <w:jc w:val="center"/>
        <w:rPr>
          <w:color w:val="000000" w:themeColor="text1"/>
        </w:rPr>
      </w:pPr>
      <w:bookmarkStart w:id="27" w:name="_Toc126669678"/>
      <w:r w:rsidRPr="00BB3B30">
        <w:rPr>
          <w:rFonts w:ascii="Arial" w:hAnsi="Arial" w:cs="Arial"/>
          <w:i w:val="0"/>
          <w:iCs w:val="0"/>
          <w:color w:val="000000" w:themeColor="text1"/>
          <w:sz w:val="24"/>
          <w:szCs w:val="24"/>
        </w:rPr>
        <w:t xml:space="preserve">Figure 1.1 </w:t>
      </w:r>
      <w:r w:rsidR="00BB3B30" w:rsidRPr="00BB3B30">
        <w:rPr>
          <w:rFonts w:ascii="Arial" w:hAnsi="Arial" w:cs="Arial"/>
          <w:i w:val="0"/>
          <w:iCs w:val="0"/>
          <w:color w:val="000000" w:themeColor="text1"/>
          <w:sz w:val="24"/>
          <w:szCs w:val="24"/>
        </w:rPr>
        <w:t>Blake and Moulton Leadership Grid (Mahr, 2022</w:t>
      </w:r>
      <w:r w:rsidR="00BB3B30" w:rsidRPr="00BB3B30">
        <w:rPr>
          <w:rFonts w:ascii="Arial" w:hAnsi="Arial" w:cs="Arial"/>
          <w:i w:val="0"/>
          <w:iCs w:val="0"/>
          <w:color w:val="000000" w:themeColor="text1"/>
          <w:sz w:val="24"/>
          <w:szCs w:val="24"/>
        </w:rPr>
        <w:t>)</w:t>
      </w:r>
      <w:bookmarkEnd w:id="27"/>
      <w:r w:rsidR="00BB3B30" w:rsidRPr="00BB3B30">
        <w:rPr>
          <w:color w:val="000000" w:themeColor="text1"/>
        </w:rPr>
        <w:t xml:space="preserve"> </w:t>
      </w:r>
    </w:p>
    <w:p w14:paraId="73A48624" w14:textId="331ABD1D" w:rsidR="008536B2" w:rsidRDefault="008536B2" w:rsidP="001A2D10">
      <w:pPr>
        <w:pStyle w:val="Caption"/>
        <w:jc w:val="center"/>
      </w:pPr>
    </w:p>
    <w:p w14:paraId="183D9F05" w14:textId="77777777" w:rsidR="008E1570" w:rsidRPr="00EA236B" w:rsidRDefault="008E1570" w:rsidP="008E1570">
      <w:pPr>
        <w:spacing w:line="360" w:lineRule="auto"/>
        <w:jc w:val="both"/>
        <w:rPr>
          <w:rFonts w:ascii="Arial" w:hAnsi="Arial" w:cs="Arial"/>
          <w:color w:val="000000" w:themeColor="text1"/>
          <w:shd w:val="clear" w:color="auto" w:fill="FFFFFF"/>
        </w:rPr>
      </w:pPr>
    </w:p>
    <w:p w14:paraId="0F0A40B6" w14:textId="77777777" w:rsidR="008E1570" w:rsidRPr="00BB3B30" w:rsidRDefault="00000000" w:rsidP="00FA2E1B">
      <w:pPr>
        <w:pStyle w:val="Heading2"/>
        <w:rPr>
          <w:rFonts w:ascii="Arial" w:hAnsi="Arial" w:cs="Arial"/>
          <w:b/>
          <w:bCs/>
          <w:color w:val="000000" w:themeColor="text1"/>
          <w:sz w:val="24"/>
          <w:szCs w:val="24"/>
          <w:shd w:val="clear" w:color="auto" w:fill="FFFFFF"/>
        </w:rPr>
      </w:pPr>
      <w:bookmarkStart w:id="28" w:name="_Toc126667573"/>
      <w:r w:rsidRPr="00BB3B30">
        <w:rPr>
          <w:rFonts w:ascii="Arial" w:hAnsi="Arial" w:cs="Arial"/>
          <w:b/>
          <w:bCs/>
          <w:color w:val="000000" w:themeColor="text1"/>
          <w:sz w:val="24"/>
          <w:szCs w:val="24"/>
          <w:shd w:val="clear" w:color="auto" w:fill="FFFFFF"/>
        </w:rPr>
        <w:t>5.1 Overview of Terminologies</w:t>
      </w:r>
      <w:bookmarkEnd w:id="28"/>
    </w:p>
    <w:p w14:paraId="2A0B6F40" w14:textId="77777777" w:rsidR="008E1570" w:rsidRPr="00EA236B" w:rsidRDefault="008E1570" w:rsidP="008E1570">
      <w:pPr>
        <w:spacing w:line="360" w:lineRule="auto"/>
        <w:jc w:val="both"/>
        <w:rPr>
          <w:rFonts w:ascii="Arial" w:hAnsi="Arial" w:cs="Arial"/>
          <w:color w:val="000000" w:themeColor="text1"/>
          <w:shd w:val="clear" w:color="auto" w:fill="FFFFFF"/>
        </w:rPr>
      </w:pPr>
    </w:p>
    <w:p w14:paraId="13B7BF39" w14:textId="77777777"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Choosing to research hybrid work has resulted in a plethora of other discoveries surrounding the topic of hybrid work, which surfaced.</w:t>
      </w:r>
      <w:r w:rsidR="004322BE" w:rsidRPr="00EA236B">
        <w:rPr>
          <w:rFonts w:ascii="Arial" w:hAnsi="Arial" w:cs="Arial"/>
          <w:color w:val="000000" w:themeColor="text1"/>
          <w:shd w:val="clear" w:color="auto" w:fill="FFFFFF"/>
        </w:rPr>
        <w:t xml:space="preserve"> There are different terminologies associated with hybrid working. </w:t>
      </w:r>
      <w:r w:rsidR="00A275AF" w:rsidRPr="00EA236B">
        <w:rPr>
          <w:rFonts w:ascii="Arial" w:hAnsi="Arial" w:cs="Arial"/>
          <w:color w:val="000000" w:themeColor="text1"/>
          <w:shd w:val="clear" w:color="auto" w:fill="FFFFFF"/>
        </w:rPr>
        <w:t>I</w:t>
      </w:r>
      <w:r w:rsidRPr="00EA236B">
        <w:rPr>
          <w:rFonts w:ascii="Arial" w:hAnsi="Arial" w:cs="Arial"/>
          <w:color w:val="000000" w:themeColor="text1"/>
          <w:shd w:val="clear" w:color="auto" w:fill="FFFFFF"/>
        </w:rPr>
        <w:t>n-depth analysis has shown that some disparities between the topics sometimes result in confusion. However, a similar approach is taken where these terminologies are concerned.</w:t>
      </w:r>
    </w:p>
    <w:p w14:paraId="0B2FA070" w14:textId="77777777" w:rsidR="008E1570" w:rsidRPr="00EA236B" w:rsidRDefault="008E1570" w:rsidP="008E1570">
      <w:pPr>
        <w:spacing w:line="360" w:lineRule="auto"/>
        <w:jc w:val="both"/>
        <w:rPr>
          <w:rFonts w:ascii="Arial" w:hAnsi="Arial" w:cs="Arial"/>
          <w:color w:val="000000" w:themeColor="text1"/>
          <w:shd w:val="clear" w:color="auto" w:fill="FFFFFF"/>
        </w:rPr>
      </w:pPr>
    </w:p>
    <w:p w14:paraId="3D2A9B0A" w14:textId="4EED4EF7" w:rsidR="008E1570" w:rsidRDefault="00D621B3" w:rsidP="00FA2E1B">
      <w:pPr>
        <w:pStyle w:val="Heading2"/>
        <w:rPr>
          <w:rFonts w:ascii="Arial" w:hAnsi="Arial" w:cs="Arial"/>
          <w:b/>
          <w:bCs/>
          <w:color w:val="000000" w:themeColor="text1"/>
          <w:sz w:val="24"/>
          <w:szCs w:val="24"/>
          <w:shd w:val="clear" w:color="auto" w:fill="FFFFFF"/>
        </w:rPr>
      </w:pPr>
      <w:bookmarkStart w:id="29" w:name="_Toc126667574"/>
      <w:r w:rsidRPr="00BB3B30">
        <w:rPr>
          <w:rFonts w:ascii="Arial" w:hAnsi="Arial" w:cs="Arial"/>
          <w:b/>
          <w:bCs/>
          <w:color w:val="000000" w:themeColor="text1"/>
          <w:sz w:val="24"/>
          <w:szCs w:val="24"/>
          <w:shd w:val="clear" w:color="auto" w:fill="FFFFFF"/>
        </w:rPr>
        <w:t>5.2 The Flexible Workplace</w:t>
      </w:r>
      <w:bookmarkEnd w:id="29"/>
    </w:p>
    <w:p w14:paraId="00FB3AEB" w14:textId="77777777" w:rsidR="00BB3B30" w:rsidRPr="00BB3B30" w:rsidRDefault="00BB3B30" w:rsidP="00BB3B30"/>
    <w:p w14:paraId="268AAADF" w14:textId="77777777"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Work-life balance has been a growing concern which is now accepted and encouraged across various countries, cultures, and organisations (Azar</w:t>
      </w:r>
      <w:r w:rsidR="003F1B67" w:rsidRPr="00EA236B">
        <w:rPr>
          <w:rFonts w:ascii="Arial" w:hAnsi="Arial" w:cs="Arial"/>
          <w:color w:val="000000" w:themeColor="text1"/>
          <w:shd w:val="clear" w:color="auto" w:fill="FFFFFF"/>
        </w:rPr>
        <w:t xml:space="preserve"> et al., </w:t>
      </w:r>
      <w:r w:rsidRPr="00EA236B">
        <w:rPr>
          <w:rFonts w:ascii="Arial" w:hAnsi="Arial" w:cs="Arial"/>
          <w:color w:val="000000" w:themeColor="text1"/>
          <w:shd w:val="clear" w:color="auto" w:fill="FFFFFF"/>
        </w:rPr>
        <w:t>2018). The concept is defined as an effective structure of an individual's time, harnessing a mixture of leisure activities, family life, and work, equally balancing the demands. In ensuring that work does not entirely consume an employee's lifestyle, which often attributes to a declining state of mental health, flexible work arrangements are stipulated by organisations as a means to enhance employees' well-being and improve productivity (</w:t>
      </w:r>
      <w:r w:rsidR="003F1B67" w:rsidRPr="00EA236B">
        <w:rPr>
          <w:rFonts w:ascii="Arial" w:hAnsi="Arial" w:cs="Arial"/>
          <w:color w:val="000000" w:themeColor="text1"/>
          <w:shd w:val="clear" w:color="auto" w:fill="FFFFFF"/>
        </w:rPr>
        <w:t>Azar et al., 2018</w:t>
      </w:r>
      <w:r w:rsidRPr="00EA236B">
        <w:rPr>
          <w:rFonts w:ascii="Arial" w:hAnsi="Arial" w:cs="Arial"/>
          <w:color w:val="000000" w:themeColor="text1"/>
          <w:shd w:val="clear" w:color="auto" w:fill="FFFFFF"/>
        </w:rPr>
        <w:t xml:space="preserve">). Notably, the socioeconomic development trends of 'modern workplaces' have helped in fostering what has become known as hybridisation and flexibilisation </w:t>
      </w:r>
      <w:r w:rsidR="003F1B67" w:rsidRPr="00EA236B">
        <w:rPr>
          <w:rFonts w:ascii="Arial" w:hAnsi="Arial" w:cs="Arial"/>
          <w:color w:val="000000" w:themeColor="text1"/>
          <w:shd w:val="clear" w:color="auto" w:fill="FFFFFF"/>
        </w:rPr>
        <w:t>(Orel et al., 2021)</w:t>
      </w:r>
      <w:r w:rsidRPr="00EA236B">
        <w:rPr>
          <w:rFonts w:ascii="Arial" w:hAnsi="Arial" w:cs="Arial"/>
          <w:color w:val="000000" w:themeColor="text1"/>
          <w:shd w:val="clear" w:color="auto" w:fill="FFFFFF"/>
        </w:rPr>
        <w:t>. The flexible labour market has continued to experience growth in contemporary office environments adjusting to the flexible workplace phenomena (</w:t>
      </w:r>
      <w:r w:rsidR="003F1B67" w:rsidRPr="00EA236B">
        <w:rPr>
          <w:rFonts w:ascii="Arial" w:hAnsi="Arial" w:cs="Arial"/>
          <w:color w:val="000000" w:themeColor="text1"/>
          <w:shd w:val="clear" w:color="auto" w:fill="FFFFFF"/>
        </w:rPr>
        <w:t>Orel et al., 2021</w:t>
      </w:r>
      <w:r w:rsidRPr="00EA236B">
        <w:rPr>
          <w:rFonts w:ascii="Arial" w:hAnsi="Arial" w:cs="Arial"/>
          <w:color w:val="000000" w:themeColor="text1"/>
          <w:shd w:val="clear" w:color="auto" w:fill="FFFFFF"/>
        </w:rPr>
        <w:t>). Nevertheless, th</w:t>
      </w:r>
      <w:r w:rsidR="003F1B67" w:rsidRPr="00EA236B">
        <w:rPr>
          <w:rFonts w:ascii="Arial" w:hAnsi="Arial" w:cs="Arial"/>
          <w:color w:val="000000" w:themeColor="text1"/>
          <w:shd w:val="clear" w:color="auto" w:fill="FFFFFF"/>
        </w:rPr>
        <w:t>e</w:t>
      </w:r>
      <w:r w:rsidRPr="00EA236B">
        <w:rPr>
          <w:rFonts w:ascii="Arial" w:hAnsi="Arial" w:cs="Arial"/>
          <w:color w:val="000000" w:themeColor="text1"/>
          <w:shd w:val="clear" w:color="auto" w:fill="FFFFFF"/>
        </w:rPr>
        <w:t xml:space="preserve"> phenomenon is not without its fair share of political controversies and debates, with the gig economy aligned to strengthening flexible ways of working (</w:t>
      </w:r>
      <w:r w:rsidR="00B204D4" w:rsidRPr="00EA236B">
        <w:rPr>
          <w:rFonts w:ascii="Arial" w:hAnsi="Arial" w:cs="Arial"/>
          <w:color w:val="000000" w:themeColor="text1"/>
          <w:shd w:val="clear" w:color="auto" w:fill="FFFFFF"/>
        </w:rPr>
        <w:t>Qiao et al., 2023</w:t>
      </w:r>
      <w:r w:rsidRPr="00EA236B">
        <w:rPr>
          <w:rFonts w:ascii="Arial" w:hAnsi="Arial" w:cs="Arial"/>
          <w:color w:val="000000" w:themeColor="text1"/>
          <w:shd w:val="clear" w:color="auto" w:fill="FFFFFF"/>
        </w:rPr>
        <w:t xml:space="preserve">).   </w:t>
      </w:r>
    </w:p>
    <w:p w14:paraId="30C9F77E" w14:textId="77777777" w:rsidR="008E1570" w:rsidRPr="00EA236B" w:rsidRDefault="008E1570" w:rsidP="008E1570">
      <w:pPr>
        <w:spacing w:line="360" w:lineRule="auto"/>
        <w:jc w:val="both"/>
        <w:rPr>
          <w:rFonts w:ascii="Arial" w:hAnsi="Arial" w:cs="Arial"/>
          <w:b/>
          <w:bCs/>
          <w:color w:val="000000" w:themeColor="text1"/>
          <w:shd w:val="clear" w:color="auto" w:fill="FFFFFF"/>
        </w:rPr>
      </w:pPr>
    </w:p>
    <w:p w14:paraId="4F286561" w14:textId="74C14023" w:rsidR="008E1570" w:rsidRDefault="00D621B3" w:rsidP="00FA2E1B">
      <w:pPr>
        <w:pStyle w:val="Heading2"/>
        <w:rPr>
          <w:rFonts w:ascii="Arial" w:hAnsi="Arial" w:cs="Arial"/>
          <w:b/>
          <w:bCs/>
          <w:color w:val="000000" w:themeColor="text1"/>
          <w:sz w:val="24"/>
          <w:szCs w:val="24"/>
          <w:shd w:val="clear" w:color="auto" w:fill="FFFFFF"/>
        </w:rPr>
      </w:pPr>
      <w:bookmarkStart w:id="30" w:name="_Toc126667575"/>
      <w:r w:rsidRPr="008A6192">
        <w:rPr>
          <w:rFonts w:ascii="Arial" w:hAnsi="Arial" w:cs="Arial"/>
          <w:b/>
          <w:bCs/>
          <w:color w:val="000000" w:themeColor="text1"/>
          <w:sz w:val="24"/>
          <w:szCs w:val="24"/>
          <w:shd w:val="clear" w:color="auto" w:fill="FFFFFF"/>
        </w:rPr>
        <w:t>5.3 Gig Economy</w:t>
      </w:r>
      <w:bookmarkEnd w:id="30"/>
    </w:p>
    <w:p w14:paraId="34C673FB" w14:textId="77777777" w:rsidR="008A6192" w:rsidRPr="008A6192" w:rsidRDefault="008A6192" w:rsidP="008A6192"/>
    <w:p w14:paraId="5BC61473" w14:textId="77777777"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The development of the Fourth Industrial Revolution has influenced several workforce changes globally, gaining momentum annually (Johannessen, 2018). One growing trend is the gig economy, where employers provide part-time or temporary working contracts regarded as zero-hour contracts. Critically, this economy lacks the usual job security and fringe benefits associated with substantive roles. On the other hand, this role is deemed beneficial to workers seeking supplemental income. Nevertheless, analysis has revealed a division between workers in organisations due to the rise in inequality amongst a highly paid group of influential and a large precariat.</w:t>
      </w:r>
    </w:p>
    <w:p w14:paraId="590B744A" w14:textId="77777777" w:rsidR="008E1570" w:rsidRPr="00EA236B" w:rsidRDefault="008E1570" w:rsidP="008E1570">
      <w:pPr>
        <w:spacing w:line="360" w:lineRule="auto"/>
        <w:jc w:val="both"/>
        <w:rPr>
          <w:rFonts w:ascii="Arial" w:hAnsi="Arial" w:cs="Arial"/>
          <w:color w:val="000000" w:themeColor="text1"/>
          <w:shd w:val="clear" w:color="auto" w:fill="FFFFFF"/>
        </w:rPr>
      </w:pPr>
    </w:p>
    <w:p w14:paraId="27792608" w14:textId="77777777"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Johannessen (2018) formally Introduced a typology for the precariat, the tentative work designed for the working poor. From a political aspect, the gig economy can be seen as offering no protection to casual workers or contract workers, which is deemed normal from a political-economic standpoint (</w:t>
      </w:r>
      <w:r w:rsidR="00B204D4" w:rsidRPr="00EA236B">
        <w:rPr>
          <w:rFonts w:ascii="Arial" w:hAnsi="Arial" w:cs="Arial"/>
          <w:color w:val="000000" w:themeColor="text1"/>
          <w:shd w:val="clear" w:color="auto" w:fill="FFFFFF"/>
        </w:rPr>
        <w:t>Qiao et al., 2023</w:t>
      </w:r>
      <w:r w:rsidRPr="00EA236B">
        <w:rPr>
          <w:rFonts w:ascii="Arial" w:hAnsi="Arial" w:cs="Arial"/>
          <w:color w:val="000000" w:themeColor="text1"/>
          <w:shd w:val="clear" w:color="auto" w:fill="FFFFFF"/>
        </w:rPr>
        <w:t>). The downside could result in the exploitation of gig workers within some organisations, leading to less productivity. For example, unsupported Hourly Paid Lecturers (HPL) within universities could have an adverse effect on student retention if excessive dependence is fixated on the gig economy (</w:t>
      </w:r>
      <w:r w:rsidR="00B204D4" w:rsidRPr="00EA236B">
        <w:rPr>
          <w:rFonts w:ascii="Arial" w:hAnsi="Arial" w:cs="Arial"/>
          <w:color w:val="000000" w:themeColor="text1"/>
          <w:shd w:val="clear" w:color="auto" w:fill="FFFFFF"/>
        </w:rPr>
        <w:t>Trolley</w:t>
      </w:r>
      <w:r w:rsidRPr="00EA236B">
        <w:rPr>
          <w:rFonts w:ascii="Arial" w:hAnsi="Arial" w:cs="Arial"/>
          <w:color w:val="000000" w:themeColor="text1"/>
          <w:shd w:val="clear" w:color="auto" w:fill="FFFFFF"/>
        </w:rPr>
        <w:t>, 2018). Despite the lack or reduction in job security, research has shown that the gig economy can attract well-educated individuals working remotely, earning above their usual fixed role salaries (Qiao</w:t>
      </w:r>
      <w:r w:rsidR="00B204D4" w:rsidRPr="00EA236B">
        <w:rPr>
          <w:rFonts w:ascii="Arial" w:hAnsi="Arial" w:cs="Arial"/>
          <w:color w:val="000000" w:themeColor="text1"/>
          <w:shd w:val="clear" w:color="auto" w:fill="FFFFFF"/>
        </w:rPr>
        <w:t xml:space="preserve"> et al., </w:t>
      </w:r>
      <w:r w:rsidRPr="00EA236B">
        <w:rPr>
          <w:rFonts w:ascii="Arial" w:hAnsi="Arial" w:cs="Arial"/>
          <w:color w:val="000000" w:themeColor="text1"/>
          <w:shd w:val="clear" w:color="auto" w:fill="FFFFFF"/>
        </w:rPr>
        <w:t>2023).</w:t>
      </w:r>
    </w:p>
    <w:p w14:paraId="6DB4D101" w14:textId="77777777" w:rsidR="008E1570" w:rsidRPr="00EA236B" w:rsidRDefault="008E1570" w:rsidP="008E1570">
      <w:pPr>
        <w:ind w:left="720"/>
        <w:textAlignment w:val="baseline"/>
        <w:rPr>
          <w:rFonts w:ascii="Helvetica" w:eastAsia="Times New Roman" w:hAnsi="Helvetica" w:cs="Times New Roman"/>
          <w:color w:val="000000" w:themeColor="text1"/>
          <w:sz w:val="20"/>
          <w:szCs w:val="20"/>
          <w:lang w:eastAsia="en-GB"/>
        </w:rPr>
      </w:pPr>
    </w:p>
    <w:p w14:paraId="4CC2F3DF" w14:textId="77777777" w:rsidR="008E1570" w:rsidRPr="00EA236B" w:rsidRDefault="008E1570" w:rsidP="008E1570">
      <w:pPr>
        <w:ind w:left="720"/>
        <w:textAlignment w:val="baseline"/>
        <w:rPr>
          <w:rFonts w:ascii="Helvetica" w:eastAsia="Times New Roman" w:hAnsi="Helvetica" w:cs="Times New Roman"/>
          <w:color w:val="000000" w:themeColor="text1"/>
          <w:sz w:val="20"/>
          <w:szCs w:val="20"/>
          <w:lang w:eastAsia="en-GB"/>
        </w:rPr>
      </w:pPr>
    </w:p>
    <w:p w14:paraId="6E128A0D" w14:textId="3C5C2200" w:rsidR="008E1570" w:rsidRDefault="00D621B3" w:rsidP="00FA2E1B">
      <w:pPr>
        <w:pStyle w:val="Heading2"/>
        <w:rPr>
          <w:rFonts w:ascii="Arial" w:hAnsi="Arial" w:cs="Arial"/>
          <w:b/>
          <w:bCs/>
          <w:color w:val="000000" w:themeColor="text1"/>
          <w:sz w:val="24"/>
          <w:szCs w:val="24"/>
          <w:shd w:val="clear" w:color="auto" w:fill="FFFFFF"/>
        </w:rPr>
      </w:pPr>
      <w:bookmarkStart w:id="31" w:name="_Toc126667576"/>
      <w:r w:rsidRPr="008A6192">
        <w:rPr>
          <w:rFonts w:ascii="Arial" w:hAnsi="Arial" w:cs="Arial"/>
          <w:b/>
          <w:bCs/>
          <w:color w:val="000000" w:themeColor="text1"/>
          <w:sz w:val="24"/>
          <w:szCs w:val="24"/>
          <w:shd w:val="clear" w:color="auto" w:fill="FFFFFF"/>
        </w:rPr>
        <w:t>5.4 Remote Working</w:t>
      </w:r>
      <w:bookmarkEnd w:id="31"/>
    </w:p>
    <w:p w14:paraId="35912E38" w14:textId="77777777" w:rsidR="008A6192" w:rsidRPr="008A6192" w:rsidRDefault="008A6192" w:rsidP="008A6192"/>
    <w:p w14:paraId="275881BC" w14:textId="6B84C17D"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Remote working entails an employee working from outside of the confinements of a company's traditional office space. This space could be the employee's home, private or shared office. This social trend has been driven by technological innovations and is progressively becoming prevalent in some fields, such as scientific research beneficial to the health sector (Hunter, 2019). This concept gives rise to unimagined advantages to sustaining work-life balance, resulting in improved creativity. A recent survey by telecoms group Vodafone confirmed the following:</w:t>
      </w:r>
    </w:p>
    <w:p w14:paraId="0975D49A" w14:textId="77777777" w:rsidR="008E1570" w:rsidRPr="00EA236B" w:rsidRDefault="008E1570" w:rsidP="008E1570">
      <w:pPr>
        <w:spacing w:line="360" w:lineRule="auto"/>
        <w:jc w:val="both"/>
        <w:rPr>
          <w:rFonts w:ascii="Arial" w:hAnsi="Arial" w:cs="Arial"/>
          <w:color w:val="000000" w:themeColor="text1"/>
          <w:shd w:val="clear" w:color="auto" w:fill="FFFFFF"/>
        </w:rPr>
      </w:pPr>
    </w:p>
    <w:p w14:paraId="0869E07B" w14:textId="77777777" w:rsidR="008E1570" w:rsidRPr="00EA236B" w:rsidRDefault="00000000" w:rsidP="002E174A">
      <w:pPr>
        <w:spacing w:line="276" w:lineRule="auto"/>
        <w:jc w:val="both"/>
        <w:rPr>
          <w:rFonts w:ascii="Arial" w:hAnsi="Arial" w:cs="Arial"/>
          <w:b/>
          <w:bCs/>
          <w:color w:val="000000" w:themeColor="text1"/>
          <w:sz w:val="28"/>
          <w:szCs w:val="28"/>
        </w:rPr>
      </w:pPr>
      <w:r w:rsidRPr="00EA236B">
        <w:rPr>
          <w:rStyle w:val="apple-converted-space"/>
          <w:rFonts w:ascii="Arial" w:hAnsi="Arial" w:cs="Arial"/>
          <w:b/>
          <w:bCs/>
          <w:color w:val="000000" w:themeColor="text1"/>
          <w:sz w:val="28"/>
          <w:szCs w:val="28"/>
          <w:shd w:val="clear" w:color="auto" w:fill="FFFFFF"/>
        </w:rPr>
        <w:t xml:space="preserve">“The </w:t>
      </w:r>
      <w:r w:rsidRPr="00EA236B">
        <w:rPr>
          <w:rFonts w:ascii="Arial" w:hAnsi="Arial" w:cs="Arial"/>
          <w:b/>
          <w:bCs/>
          <w:color w:val="000000" w:themeColor="text1"/>
          <w:sz w:val="28"/>
          <w:szCs w:val="28"/>
          <w:shd w:val="clear" w:color="auto" w:fill="FFFFFF"/>
        </w:rPr>
        <w:t>trend for flexible work arrangements is being driven not just by technical advances, but also cultural changes as workers themselves demand greater flexibility.”</w:t>
      </w:r>
    </w:p>
    <w:p w14:paraId="60D57B90" w14:textId="77777777" w:rsidR="008E1570" w:rsidRPr="00EA236B" w:rsidRDefault="008E1570" w:rsidP="008E1570">
      <w:pPr>
        <w:rPr>
          <w:b/>
          <w:bCs/>
          <w:color w:val="000000" w:themeColor="text1"/>
        </w:rPr>
      </w:pPr>
    </w:p>
    <w:p w14:paraId="78F23BF2" w14:textId="77777777" w:rsidR="008E1570" w:rsidRPr="00EA236B" w:rsidRDefault="008E1570" w:rsidP="008E1570">
      <w:pPr>
        <w:spacing w:line="360" w:lineRule="auto"/>
        <w:jc w:val="both"/>
        <w:rPr>
          <w:rFonts w:ascii="Arial" w:hAnsi="Arial" w:cs="Arial"/>
          <w:color w:val="000000" w:themeColor="text1"/>
          <w:shd w:val="clear" w:color="auto" w:fill="FFFFFF"/>
        </w:rPr>
      </w:pPr>
    </w:p>
    <w:p w14:paraId="7FF29DAF" w14:textId="77777777"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The survey has noted that globally, 75% of organisations have initiated the procedure of remote working policies, with 83% of these companies agreeing to an increase in productivity (Vodafone Survey, 2016). </w:t>
      </w:r>
    </w:p>
    <w:p w14:paraId="19983CA3" w14:textId="77777777" w:rsidR="008E1570" w:rsidRPr="00EA236B" w:rsidRDefault="008E1570" w:rsidP="008E1570">
      <w:pPr>
        <w:spacing w:line="360" w:lineRule="auto"/>
        <w:jc w:val="both"/>
        <w:rPr>
          <w:rFonts w:ascii="Arial" w:hAnsi="Arial" w:cs="Arial"/>
          <w:color w:val="000000" w:themeColor="text1"/>
          <w:shd w:val="clear" w:color="auto" w:fill="FFFFFF"/>
        </w:rPr>
      </w:pPr>
    </w:p>
    <w:p w14:paraId="005AE8A6" w14:textId="77777777"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Previously, having outlined some positive aspects of remote working, it is now necessary to consider the negative impact remote working can have on individuals and organisations. Chiefly, individuals are not equivalently apt to remote working. Hence, this aspect needs to be cogitated on individual merit, as others perform better by being motivated by the thrill of working in an office team (Hunter, 2019). Whilst this may be true, medical students are vastly enthused and often able to retain extraordinary productivity even when working remotely (</w:t>
      </w:r>
      <w:r w:rsidR="00AA7D29" w:rsidRPr="00EA236B">
        <w:rPr>
          <w:rFonts w:ascii="Arial" w:hAnsi="Arial" w:cs="Arial"/>
          <w:color w:val="000000" w:themeColor="text1"/>
          <w:shd w:val="clear" w:color="auto" w:fill="FFFFFF"/>
        </w:rPr>
        <w:t>Hunter, 2019</w:t>
      </w:r>
      <w:r w:rsidRPr="00EA236B">
        <w:rPr>
          <w:rFonts w:ascii="Arial" w:hAnsi="Arial" w:cs="Arial"/>
          <w:color w:val="000000" w:themeColor="text1"/>
          <w:shd w:val="clear" w:color="auto" w:fill="FFFFFF"/>
        </w:rPr>
        <w:t xml:space="preserve">). Next, the healthcare sector has a renowned setback where the emotional exhaustion of healthcare workers is concerned. There is some degree of connexion between exhaustion and factors concerning the healthcare working environment, leading to family divergences </w:t>
      </w:r>
      <w:r w:rsidR="00AA7D29" w:rsidRPr="00EA236B">
        <w:rPr>
          <w:rFonts w:ascii="Arial" w:hAnsi="Arial" w:cs="Arial"/>
          <w:color w:val="000000" w:themeColor="text1"/>
          <w:shd w:val="clear" w:color="auto" w:fill="FFFFFF"/>
        </w:rPr>
        <w:t>(Tuckson et al., 2017)</w:t>
      </w:r>
      <w:r w:rsidRPr="00EA236B">
        <w:rPr>
          <w:rFonts w:ascii="Arial" w:hAnsi="Arial" w:cs="Arial"/>
          <w:color w:val="000000" w:themeColor="text1"/>
          <w:shd w:val="clear" w:color="auto" w:fill="FFFFFF"/>
        </w:rPr>
        <w:t>. For this reason, it could be argued that remote working could be instrumental in strategising the concept of shift schedule flexibility. This concept could provide a hybrid working model.</w:t>
      </w:r>
    </w:p>
    <w:p w14:paraId="3A9BDAF5" w14:textId="77777777" w:rsidR="008E1570" w:rsidRPr="00EA236B" w:rsidRDefault="008E1570" w:rsidP="008E1570">
      <w:pPr>
        <w:spacing w:line="360" w:lineRule="auto"/>
        <w:jc w:val="both"/>
        <w:rPr>
          <w:rFonts w:ascii="Arial" w:hAnsi="Arial" w:cs="Arial"/>
          <w:color w:val="000000" w:themeColor="text1"/>
          <w:shd w:val="clear" w:color="auto" w:fill="FFFFFF"/>
        </w:rPr>
      </w:pPr>
    </w:p>
    <w:p w14:paraId="082BBAC2" w14:textId="1DA6FA7B" w:rsidR="008E1570" w:rsidRDefault="00D621B3" w:rsidP="00FA2E1B">
      <w:pPr>
        <w:pStyle w:val="Heading2"/>
        <w:rPr>
          <w:rFonts w:ascii="Arial" w:hAnsi="Arial" w:cs="Arial"/>
          <w:b/>
          <w:bCs/>
          <w:color w:val="000000" w:themeColor="text1"/>
          <w:sz w:val="24"/>
          <w:szCs w:val="24"/>
          <w:shd w:val="clear" w:color="auto" w:fill="FFFFFF"/>
        </w:rPr>
      </w:pPr>
      <w:bookmarkStart w:id="32" w:name="_Toc126667577"/>
      <w:r w:rsidRPr="008A6192">
        <w:rPr>
          <w:rFonts w:ascii="Arial" w:hAnsi="Arial" w:cs="Arial"/>
          <w:b/>
          <w:bCs/>
          <w:color w:val="000000" w:themeColor="text1"/>
          <w:sz w:val="24"/>
          <w:szCs w:val="24"/>
          <w:shd w:val="clear" w:color="auto" w:fill="FFFFFF"/>
        </w:rPr>
        <w:t>5.5 Hybrid Model</w:t>
      </w:r>
      <w:bookmarkEnd w:id="32"/>
    </w:p>
    <w:p w14:paraId="29E3F5E2" w14:textId="77777777" w:rsidR="008A6192" w:rsidRPr="008A6192" w:rsidRDefault="008A6192" w:rsidP="008A6192"/>
    <w:p w14:paraId="10A8467F" w14:textId="5265D7E7"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The hybrid model </w:t>
      </w:r>
      <w:r w:rsidR="001F2B42" w:rsidRPr="00EA236B">
        <w:rPr>
          <w:rFonts w:ascii="Arial" w:hAnsi="Arial" w:cs="Arial"/>
          <w:color w:val="000000" w:themeColor="text1"/>
          <w:shd w:val="clear" w:color="auto" w:fill="FFFFFF"/>
        </w:rPr>
        <w:t xml:space="preserve">in figure 1.2 </w:t>
      </w:r>
      <w:r w:rsidRPr="00EA236B">
        <w:rPr>
          <w:rFonts w:ascii="Arial" w:hAnsi="Arial" w:cs="Arial"/>
          <w:color w:val="000000" w:themeColor="text1"/>
          <w:shd w:val="clear" w:color="auto" w:fill="FFFFFF"/>
        </w:rPr>
        <w:t>is a phenomenon that has gathered increased recognition since the advent of COVID-19. This model enabled the work practice to continue in a manner which helps to contain the spread of the virus (</w:t>
      </w:r>
      <w:r w:rsidR="00DB3BF6" w:rsidRPr="00EA236B">
        <w:rPr>
          <w:rFonts w:ascii="Arial" w:hAnsi="Arial" w:cs="Arial"/>
          <w:color w:val="000000" w:themeColor="text1"/>
          <w:shd w:val="clear" w:color="auto" w:fill="FFFFFF"/>
        </w:rPr>
        <w:t>Hilberath et al., 2020</w:t>
      </w:r>
      <w:r w:rsidRPr="00EA236B">
        <w:rPr>
          <w:rFonts w:ascii="Arial" w:hAnsi="Arial" w:cs="Arial"/>
          <w:color w:val="000000" w:themeColor="text1"/>
          <w:shd w:val="clear" w:color="auto" w:fill="FFFFFF"/>
        </w:rPr>
        <w:t>). To elaborate, the process consists of a blend of office work and remote work, which can be provided part-time, full-time, or via flexible working arrangements as both parties organise (</w:t>
      </w:r>
      <w:r w:rsidR="00DB3BF6" w:rsidRPr="00EA236B">
        <w:rPr>
          <w:rFonts w:ascii="Arial" w:hAnsi="Arial" w:cs="Arial"/>
          <w:color w:val="000000" w:themeColor="text1"/>
          <w:shd w:val="clear" w:color="auto" w:fill="FFFFFF"/>
        </w:rPr>
        <w:t>Orel et al., 2021</w:t>
      </w:r>
      <w:r w:rsidRPr="00EA236B">
        <w:rPr>
          <w:rFonts w:ascii="Arial" w:hAnsi="Arial" w:cs="Arial"/>
          <w:color w:val="000000" w:themeColor="text1"/>
          <w:shd w:val="clear" w:color="auto" w:fill="FFFFFF"/>
        </w:rPr>
        <w:t xml:space="preserve">). </w:t>
      </w:r>
      <w:r w:rsidR="00C54708" w:rsidRPr="00EA236B">
        <w:rPr>
          <w:rFonts w:ascii="Arial" w:hAnsi="Arial" w:cs="Arial"/>
          <w:color w:val="000000" w:themeColor="text1"/>
          <w:shd w:val="clear" w:color="auto" w:fill="FFFFFF"/>
        </w:rPr>
        <w:t>In fact, i</w:t>
      </w:r>
      <w:r w:rsidRPr="00EA236B">
        <w:rPr>
          <w:rFonts w:ascii="Arial" w:hAnsi="Arial" w:cs="Arial"/>
          <w:color w:val="000000" w:themeColor="text1"/>
          <w:shd w:val="clear" w:color="auto" w:fill="FFFFFF"/>
        </w:rPr>
        <w:t>t is important to note that flexible work can be hybrid work. However, not all areas of flexible working are hybrid work. Despite this, hybrid work is a form of flexible working (</w:t>
      </w:r>
      <w:r w:rsidR="00796DDE" w:rsidRPr="00EA236B">
        <w:rPr>
          <w:rFonts w:ascii="Arial" w:hAnsi="Arial" w:cs="Arial"/>
          <w:color w:val="000000" w:themeColor="text1"/>
          <w:shd w:val="clear" w:color="auto" w:fill="FFFFFF"/>
        </w:rPr>
        <w:t>Hunter, 2019)</w:t>
      </w:r>
      <w:r w:rsidRPr="00EA236B">
        <w:rPr>
          <w:rFonts w:ascii="Arial" w:hAnsi="Arial" w:cs="Arial"/>
          <w:color w:val="000000" w:themeColor="text1"/>
          <w:shd w:val="clear" w:color="auto" w:fill="FFFFFF"/>
        </w:rPr>
        <w:t xml:space="preserve">. </w:t>
      </w:r>
    </w:p>
    <w:p w14:paraId="22A53B73" w14:textId="77777777" w:rsidR="008E1570" w:rsidRPr="00EA236B" w:rsidRDefault="008E1570" w:rsidP="008E1570">
      <w:pPr>
        <w:spacing w:line="360" w:lineRule="auto"/>
        <w:jc w:val="both"/>
        <w:rPr>
          <w:rFonts w:ascii="Arial" w:hAnsi="Arial" w:cs="Arial"/>
          <w:color w:val="000000" w:themeColor="text1"/>
          <w:shd w:val="clear" w:color="auto" w:fill="FFFFFF"/>
        </w:rPr>
      </w:pPr>
    </w:p>
    <w:p w14:paraId="37E65EEE" w14:textId="5108168E"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Telehealth and face-to-face patient treatments are important driving factors of hybrid healthcare. Hybrid work may have played a vital role in helping to maintain safety from a General Practioner’s (GP) surgery perspective, coming out of the recent pandemic. Importantly, technology plays a vital role in monitoring patients and video conferencing (</w:t>
      </w:r>
      <w:r w:rsidR="00796DDE" w:rsidRPr="00EA236B">
        <w:rPr>
          <w:rFonts w:ascii="Arial" w:hAnsi="Arial" w:cs="Arial"/>
          <w:color w:val="000000" w:themeColor="text1"/>
          <w:shd w:val="clear" w:color="auto" w:fill="FFFFFF"/>
        </w:rPr>
        <w:t>Tuckson et al., 2017).</w:t>
      </w:r>
      <w:r w:rsidRPr="00EA236B">
        <w:rPr>
          <w:rFonts w:ascii="Arial" w:hAnsi="Arial" w:cs="Arial"/>
          <w:color w:val="000000" w:themeColor="text1"/>
          <w:shd w:val="clear" w:color="auto" w:fill="FFFFFF"/>
        </w:rPr>
        <w:t xml:space="preserve"> One such example illumines a dermatology practice which had reopened after COVID-19 closure, in which some patients were uncomfortable with face-to-face contact. In return, options were introduced to patients presuming their illnesses met the benchmarks to be assessed using telehealth (video conferencing) </w:t>
      </w:r>
      <w:r w:rsidR="00796DDE" w:rsidRPr="00EA236B">
        <w:rPr>
          <w:rFonts w:ascii="Arial" w:hAnsi="Arial" w:cs="Arial"/>
          <w:color w:val="000000" w:themeColor="text1"/>
          <w:shd w:val="clear" w:color="auto" w:fill="FFFFFF"/>
        </w:rPr>
        <w:t>(Wong and Sa’aid Hazley, 2020)</w:t>
      </w:r>
      <w:r w:rsidRPr="00EA236B">
        <w:rPr>
          <w:rFonts w:ascii="Arial" w:hAnsi="Arial" w:cs="Arial"/>
          <w:color w:val="000000" w:themeColor="text1"/>
          <w:shd w:val="clear" w:color="auto" w:fill="FFFFFF"/>
        </w:rPr>
        <w:t>. Alternatively, telehealth visits were deemed suitable for patients with chronic illnesses such as acne.</w:t>
      </w:r>
    </w:p>
    <w:p w14:paraId="5CFDD9E1" w14:textId="524B5B06" w:rsidR="001F2B42" w:rsidRPr="00EA236B" w:rsidRDefault="001F2B42" w:rsidP="008E1570">
      <w:pPr>
        <w:spacing w:line="360" w:lineRule="auto"/>
        <w:jc w:val="both"/>
        <w:rPr>
          <w:rFonts w:ascii="Arial" w:hAnsi="Arial" w:cs="Arial"/>
          <w:color w:val="000000" w:themeColor="text1"/>
          <w:shd w:val="clear" w:color="auto" w:fill="FFFFFF"/>
        </w:rPr>
      </w:pPr>
    </w:p>
    <w:p w14:paraId="77D4F6B1" w14:textId="77777777" w:rsidR="00D44B2C" w:rsidRDefault="001F2B42" w:rsidP="00D44B2C">
      <w:pPr>
        <w:keepNext/>
        <w:spacing w:line="360" w:lineRule="auto"/>
        <w:jc w:val="center"/>
      </w:pPr>
      <w:r w:rsidRPr="00EA236B">
        <w:rPr>
          <w:noProof/>
          <w:color w:val="000000" w:themeColor="text1"/>
        </w:rPr>
        <w:lastRenderedPageBreak/>
        <w:drawing>
          <wp:inline distT="0" distB="0" distL="0" distR="0" wp14:anchorId="0AF51B71" wp14:editId="782A6EAD">
            <wp:extent cx="3479588" cy="1955855"/>
            <wp:effectExtent l="0" t="0" r="635" b="0"/>
            <wp:docPr id="1" name="Picture 1" descr="Image result for definition of hybrid workin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mg_7" descr="Image result for definition of hybrid working model"/>
                    <pic:cNvPicPr>
                      <a:picLocks noChangeAspect="1" noChangeArrowheads="1"/>
                    </pic:cNvPicPr>
                  </pic:nvPicPr>
                  <pic:blipFill>
                    <a:blip r:embed="rId13" r:link="rId14" cstate="print">
                      <a:extLst>
                        <a:ext uri="{28A0092B-C50C-407E-A947-70E740481C1C}">
                          <a14:useLocalDpi xmlns:a14="http://schemas.microsoft.com/office/drawing/2010/main" val="0"/>
                        </a:ext>
                      </a:extLst>
                    </a:blip>
                    <a:stretch>
                      <a:fillRect/>
                    </a:stretch>
                  </pic:blipFill>
                  <pic:spPr bwMode="auto">
                    <a:xfrm>
                      <a:off x="0" y="0"/>
                      <a:ext cx="3494515" cy="1964245"/>
                    </a:xfrm>
                    <a:prstGeom prst="rect">
                      <a:avLst/>
                    </a:prstGeom>
                    <a:noFill/>
                    <a:ln>
                      <a:noFill/>
                    </a:ln>
                  </pic:spPr>
                </pic:pic>
              </a:graphicData>
            </a:graphic>
          </wp:inline>
        </w:drawing>
      </w:r>
    </w:p>
    <w:p w14:paraId="26431ECB" w14:textId="29139F92" w:rsidR="001A2D10" w:rsidRPr="00A601FF" w:rsidRDefault="00D44B2C" w:rsidP="00D44B2C">
      <w:pPr>
        <w:pStyle w:val="Caption"/>
        <w:jc w:val="center"/>
        <w:rPr>
          <w:i w:val="0"/>
          <w:iCs w:val="0"/>
          <w:color w:val="000000" w:themeColor="text1"/>
        </w:rPr>
      </w:pPr>
      <w:bookmarkStart w:id="33" w:name="_Toc126669704"/>
      <w:r w:rsidRPr="00A601FF">
        <w:rPr>
          <w:rFonts w:ascii="Arial" w:hAnsi="Arial" w:cs="Arial"/>
          <w:i w:val="0"/>
          <w:iCs w:val="0"/>
          <w:color w:val="000000" w:themeColor="text1"/>
          <w:sz w:val="24"/>
          <w:szCs w:val="24"/>
        </w:rPr>
        <w:t>Figure 1.2 Hybrid Work</w:t>
      </w:r>
      <w:r w:rsidR="00A601FF" w:rsidRPr="00A601FF">
        <w:rPr>
          <w:rFonts w:ascii="Arial" w:hAnsi="Arial" w:cs="Arial"/>
          <w:i w:val="0"/>
          <w:iCs w:val="0"/>
          <w:color w:val="000000" w:themeColor="text1"/>
          <w:sz w:val="24"/>
          <w:szCs w:val="24"/>
        </w:rPr>
        <w:t xml:space="preserve">ing </w:t>
      </w:r>
      <w:bookmarkEnd w:id="33"/>
      <w:r w:rsidR="00F7430D">
        <w:rPr>
          <w:rFonts w:ascii="Arial" w:hAnsi="Arial" w:cs="Arial"/>
          <w:i w:val="0"/>
          <w:iCs w:val="0"/>
          <w:color w:val="000000" w:themeColor="text1"/>
          <w:sz w:val="24"/>
          <w:szCs w:val="24"/>
        </w:rPr>
        <w:t xml:space="preserve">(Author’s </w:t>
      </w:r>
      <w:r w:rsidR="00664D77">
        <w:rPr>
          <w:rFonts w:ascii="Arial" w:hAnsi="Arial" w:cs="Arial"/>
          <w:i w:val="0"/>
          <w:iCs w:val="0"/>
          <w:color w:val="000000" w:themeColor="text1"/>
          <w:sz w:val="24"/>
          <w:szCs w:val="24"/>
        </w:rPr>
        <w:t>Creation)</w:t>
      </w:r>
    </w:p>
    <w:p w14:paraId="08D54C37" w14:textId="77777777" w:rsidR="00C54708" w:rsidRPr="00EA236B" w:rsidRDefault="00C54708" w:rsidP="001F2B42">
      <w:pPr>
        <w:jc w:val="center"/>
        <w:rPr>
          <w:rFonts w:ascii="Arial" w:hAnsi="Arial" w:cs="Arial"/>
          <w:color w:val="000000" w:themeColor="text1"/>
          <w:shd w:val="clear" w:color="auto" w:fill="FFFFFF"/>
        </w:rPr>
      </w:pPr>
    </w:p>
    <w:p w14:paraId="1BD49420" w14:textId="77777777" w:rsidR="008E1570" w:rsidRPr="00EA236B" w:rsidRDefault="008E1570" w:rsidP="008E1570">
      <w:pPr>
        <w:spacing w:line="360" w:lineRule="auto"/>
        <w:jc w:val="both"/>
        <w:rPr>
          <w:rFonts w:ascii="Arial" w:hAnsi="Arial" w:cs="Arial"/>
          <w:b/>
          <w:bCs/>
          <w:color w:val="000000" w:themeColor="text1"/>
          <w:shd w:val="clear" w:color="auto" w:fill="FFFFFF"/>
        </w:rPr>
      </w:pPr>
    </w:p>
    <w:p w14:paraId="454343ED" w14:textId="2550A2AA" w:rsidR="008E1570" w:rsidRPr="00A601FF" w:rsidRDefault="00D621B3" w:rsidP="00FA2E1B">
      <w:pPr>
        <w:pStyle w:val="Heading2"/>
        <w:rPr>
          <w:rFonts w:ascii="Arial" w:hAnsi="Arial" w:cs="Arial"/>
          <w:b/>
          <w:bCs/>
          <w:color w:val="000000" w:themeColor="text1"/>
          <w:sz w:val="24"/>
          <w:szCs w:val="24"/>
          <w:shd w:val="clear" w:color="auto" w:fill="FFFFFF"/>
        </w:rPr>
      </w:pPr>
      <w:bookmarkStart w:id="34" w:name="_Toc126667578"/>
      <w:r w:rsidRPr="00A601FF">
        <w:rPr>
          <w:rFonts w:ascii="Arial" w:hAnsi="Arial" w:cs="Arial"/>
          <w:b/>
          <w:bCs/>
          <w:color w:val="000000" w:themeColor="text1"/>
          <w:sz w:val="24"/>
          <w:szCs w:val="24"/>
          <w:shd w:val="clear" w:color="auto" w:fill="FFFFFF"/>
        </w:rPr>
        <w:t>5.6 Telework</w:t>
      </w:r>
      <w:bookmarkEnd w:id="34"/>
    </w:p>
    <w:p w14:paraId="4091ACB2" w14:textId="77777777" w:rsidR="007748CC" w:rsidRPr="00EA236B" w:rsidRDefault="007748CC" w:rsidP="008E1570">
      <w:pPr>
        <w:spacing w:line="360" w:lineRule="auto"/>
        <w:jc w:val="both"/>
        <w:rPr>
          <w:rFonts w:ascii="Arial" w:hAnsi="Arial" w:cs="Arial"/>
          <w:b/>
          <w:bCs/>
          <w:color w:val="000000" w:themeColor="text1"/>
          <w:shd w:val="clear" w:color="auto" w:fill="FFFFFF"/>
        </w:rPr>
      </w:pPr>
    </w:p>
    <w:p w14:paraId="2F9AFB16" w14:textId="79D97E18"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Teleworkers are distinctive from remote staff as some in-person work is required occasionally, albeit not consistently. In addition, teleworkers are also more geographically positioned closer to the head office </w:t>
      </w:r>
      <w:r w:rsidR="00DC1A31" w:rsidRPr="00EA236B">
        <w:rPr>
          <w:rFonts w:ascii="Arial" w:hAnsi="Arial" w:cs="Arial"/>
          <w:color w:val="000000" w:themeColor="text1"/>
        </w:rPr>
        <w:t>(Wong and Sa’aid Hazley, 2020)</w:t>
      </w:r>
      <w:r w:rsidRPr="00EA236B">
        <w:rPr>
          <w:rFonts w:ascii="Arial" w:hAnsi="Arial" w:cs="Arial"/>
          <w:color w:val="000000" w:themeColor="text1"/>
          <w:shd w:val="clear" w:color="auto" w:fill="FFFFFF"/>
        </w:rPr>
        <w:t>. Upon critical analysis of telework, this concept could lead to increased productivity. Globally, COVID-19 has created a shift in visualising the future of work, simultaneously engendering new opportunities. For example, European Union (EU) policymakers agreed that a hybrid work model needs to be implemented within the single market (</w:t>
      </w:r>
      <w:r w:rsidR="00C50194" w:rsidRPr="00EA236B">
        <w:rPr>
          <w:rFonts w:ascii="Arial" w:hAnsi="Arial" w:cs="Arial"/>
          <w:color w:val="000000" w:themeColor="text1"/>
          <w:shd w:val="clear" w:color="auto" w:fill="FFFFFF"/>
        </w:rPr>
        <w:t>Grzegorczyk et al., 2021</w:t>
      </w:r>
      <w:r w:rsidRPr="00EA236B">
        <w:rPr>
          <w:rFonts w:ascii="Arial" w:hAnsi="Arial" w:cs="Arial"/>
          <w:color w:val="000000" w:themeColor="text1"/>
          <w:shd w:val="clear" w:color="auto" w:fill="FFFFFF"/>
        </w:rPr>
        <w:t>).</w:t>
      </w:r>
    </w:p>
    <w:p w14:paraId="27C74DB0" w14:textId="77777777" w:rsidR="00C54708" w:rsidRPr="00EA236B" w:rsidRDefault="00C54708" w:rsidP="008E1570">
      <w:pPr>
        <w:spacing w:line="360" w:lineRule="auto"/>
        <w:jc w:val="both"/>
        <w:rPr>
          <w:rFonts w:ascii="Arial" w:hAnsi="Arial" w:cs="Arial"/>
          <w:color w:val="000000" w:themeColor="text1"/>
          <w:shd w:val="clear" w:color="auto" w:fill="FFFFFF"/>
        </w:rPr>
      </w:pPr>
    </w:p>
    <w:p w14:paraId="679F4D56" w14:textId="77777777"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On the other hand, the long-term effects of telework have been linked to positively impacting the United Nations Sustainable Goals (</w:t>
      </w:r>
      <w:r w:rsidR="00C50194" w:rsidRPr="00EA236B">
        <w:rPr>
          <w:rFonts w:ascii="Arial" w:hAnsi="Arial" w:cs="Arial"/>
          <w:color w:val="000000" w:themeColor="text1"/>
          <w:shd w:val="clear" w:color="auto" w:fill="FFFFFF"/>
        </w:rPr>
        <w:t>Moglia et al., 2021</w:t>
      </w:r>
      <w:r w:rsidRPr="00EA236B">
        <w:rPr>
          <w:rFonts w:ascii="Arial" w:hAnsi="Arial" w:cs="Arial"/>
          <w:color w:val="000000" w:themeColor="text1"/>
          <w:shd w:val="clear" w:color="auto" w:fill="FFFFFF"/>
        </w:rPr>
        <w:t>). Notably, a new EU framework has been proposed in support of hybrid work. Conversely, this framework would surpass the previous agreement on telework compiled in 2002 (</w:t>
      </w:r>
      <w:r w:rsidR="00C50194" w:rsidRPr="00EA236B">
        <w:rPr>
          <w:rFonts w:ascii="Arial" w:hAnsi="Arial" w:cs="Arial"/>
          <w:color w:val="000000" w:themeColor="text1"/>
          <w:shd w:val="clear" w:color="auto" w:fill="FFFFFF"/>
        </w:rPr>
        <w:t>Moglia et al., 2021</w:t>
      </w:r>
      <w:r w:rsidRPr="00EA236B">
        <w:rPr>
          <w:rFonts w:ascii="Arial" w:hAnsi="Arial" w:cs="Arial"/>
          <w:color w:val="000000" w:themeColor="text1"/>
          <w:shd w:val="clear" w:color="auto" w:fill="FFFFFF"/>
        </w:rPr>
        <w:t>).</w:t>
      </w:r>
    </w:p>
    <w:p w14:paraId="6566CDFB" w14:textId="77777777" w:rsidR="008E1570" w:rsidRPr="00EA236B" w:rsidRDefault="008E1570" w:rsidP="008E1570">
      <w:pPr>
        <w:spacing w:line="360" w:lineRule="auto"/>
        <w:jc w:val="both"/>
        <w:rPr>
          <w:rFonts w:ascii="Arial" w:hAnsi="Arial" w:cs="Arial"/>
          <w:color w:val="000000" w:themeColor="text1"/>
          <w:shd w:val="clear" w:color="auto" w:fill="FFFFFF"/>
        </w:rPr>
      </w:pPr>
    </w:p>
    <w:p w14:paraId="33F90C0C" w14:textId="2CDAFE84" w:rsidR="008E1570"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For this report, the relevance of telework, being strongly supported since the </w:t>
      </w:r>
      <w:r w:rsidR="00C54708" w:rsidRPr="00EA236B">
        <w:rPr>
          <w:rFonts w:ascii="Arial" w:hAnsi="Arial" w:cs="Arial"/>
          <w:color w:val="000000" w:themeColor="text1"/>
          <w:shd w:val="clear" w:color="auto" w:fill="FFFFFF"/>
        </w:rPr>
        <w:t>pandemic,</w:t>
      </w:r>
      <w:r w:rsidRPr="00EA236B">
        <w:rPr>
          <w:rFonts w:ascii="Arial" w:hAnsi="Arial" w:cs="Arial"/>
          <w:color w:val="000000" w:themeColor="text1"/>
          <w:shd w:val="clear" w:color="auto" w:fill="FFFFFF"/>
        </w:rPr>
        <w:t xml:space="preserve"> and is expected to continue, has emerged as a valid perspective concerning telehealth and telemedicine. Figure 1.</w:t>
      </w:r>
      <w:r w:rsidR="00C54708" w:rsidRPr="00EA236B">
        <w:rPr>
          <w:rFonts w:ascii="Arial" w:hAnsi="Arial" w:cs="Arial"/>
          <w:color w:val="000000" w:themeColor="text1"/>
          <w:shd w:val="clear" w:color="auto" w:fill="FFFFFF"/>
        </w:rPr>
        <w:t>3</w:t>
      </w:r>
      <w:r w:rsidRPr="00EA236B">
        <w:rPr>
          <w:rFonts w:ascii="Arial" w:hAnsi="Arial" w:cs="Arial"/>
          <w:color w:val="000000" w:themeColor="text1"/>
          <w:shd w:val="clear" w:color="auto" w:fill="FFFFFF"/>
        </w:rPr>
        <w:t xml:space="preserve"> below illustrates the impact of telemedicine on the health sector. Telehealth concerns the interchange of medical data electronically to increase patient health. A recent survey outlined that 60% of healthcare facilities used telehealth. In addition, 40 to 50% of American hospitals are now using telehealth (</w:t>
      </w:r>
      <w:r w:rsidR="00C50194" w:rsidRPr="00EA236B">
        <w:rPr>
          <w:rFonts w:ascii="Arial" w:hAnsi="Arial" w:cs="Arial"/>
          <w:color w:val="000000" w:themeColor="text1"/>
          <w:shd w:val="clear" w:color="auto" w:fill="FFFFFF"/>
        </w:rPr>
        <w:t>Tuckson et al., 2017</w:t>
      </w:r>
      <w:r w:rsidRPr="00EA236B">
        <w:rPr>
          <w:rFonts w:ascii="Arial" w:hAnsi="Arial" w:cs="Arial"/>
          <w:color w:val="000000" w:themeColor="text1"/>
          <w:shd w:val="clear" w:color="auto" w:fill="FFFFFF"/>
        </w:rPr>
        <w:t>). Nevertheless, the long-term impact of ethics and sustainability should be measured to identify possible consequences for health and well-being, resistant communities, and gender equality</w:t>
      </w:r>
      <w:r w:rsidR="00C50194"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xml:space="preserve"> Therefore, it is necessary to amalgamate holistic strategies to allay risks.</w:t>
      </w:r>
    </w:p>
    <w:p w14:paraId="353C49DC" w14:textId="64EA5915" w:rsidR="00E05882" w:rsidRPr="00EA236B" w:rsidRDefault="00E05882" w:rsidP="008E1570">
      <w:pPr>
        <w:spacing w:line="360" w:lineRule="auto"/>
        <w:jc w:val="both"/>
        <w:rPr>
          <w:rFonts w:ascii="Arial" w:hAnsi="Arial" w:cs="Arial"/>
          <w:color w:val="000000" w:themeColor="text1"/>
          <w:shd w:val="clear" w:color="auto" w:fill="FFFFFF"/>
        </w:rPr>
      </w:pPr>
    </w:p>
    <w:p w14:paraId="2179A2C3" w14:textId="77777777" w:rsidR="00D44B2C" w:rsidRDefault="00E05882" w:rsidP="00D44B2C">
      <w:pPr>
        <w:keepNext/>
        <w:spacing w:line="360" w:lineRule="auto"/>
        <w:jc w:val="center"/>
      </w:pPr>
      <w:r w:rsidRPr="00EA236B">
        <w:rPr>
          <w:color w:val="000000" w:themeColor="text1"/>
        </w:rPr>
        <w:lastRenderedPageBreak/>
        <w:fldChar w:fldCharType="begin"/>
      </w:r>
      <w:r w:rsidRPr="00EA236B">
        <w:rPr>
          <w:color w:val="000000" w:themeColor="text1"/>
        </w:rPr>
        <w:instrText xml:space="preserve"> INCLUDEPICTURE "/Users/irie/Library/Group Containers/UBF8T346G9.ms/WebArchiveCopyPasteTempFiles/com.microsoft.Word/nejmsr1503323_f1.jpeg" \* MERGEFORMATINET </w:instrText>
      </w:r>
      <w:r w:rsidRPr="00EA236B">
        <w:rPr>
          <w:color w:val="000000" w:themeColor="text1"/>
        </w:rPr>
        <w:fldChar w:fldCharType="separate"/>
      </w:r>
      <w:r w:rsidRPr="00EA236B">
        <w:rPr>
          <w:noProof/>
          <w:color w:val="000000" w:themeColor="text1"/>
        </w:rPr>
        <w:drawing>
          <wp:inline distT="0" distB="0" distL="0" distR="0" wp14:anchorId="6F7FFBB1" wp14:editId="1BE7AD6A">
            <wp:extent cx="2881027" cy="3646000"/>
            <wp:effectExtent l="0" t="0" r="1905" b="0"/>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14623" cy="3688516"/>
                    </a:xfrm>
                    <a:prstGeom prst="rect">
                      <a:avLst/>
                    </a:prstGeom>
                    <a:noFill/>
                    <a:ln>
                      <a:noFill/>
                    </a:ln>
                  </pic:spPr>
                </pic:pic>
              </a:graphicData>
            </a:graphic>
          </wp:inline>
        </w:drawing>
      </w:r>
      <w:r w:rsidRPr="00EA236B">
        <w:rPr>
          <w:color w:val="000000" w:themeColor="text1"/>
        </w:rPr>
        <w:fldChar w:fldCharType="end"/>
      </w:r>
    </w:p>
    <w:p w14:paraId="6D14ADFD" w14:textId="4017ACC8" w:rsidR="001A2D10" w:rsidRPr="006819E7" w:rsidRDefault="00D44B2C" w:rsidP="00D44B2C">
      <w:pPr>
        <w:pStyle w:val="Caption"/>
        <w:jc w:val="center"/>
        <w:rPr>
          <w:rFonts w:ascii="Arial" w:hAnsi="Arial" w:cs="Arial"/>
          <w:i w:val="0"/>
          <w:iCs w:val="0"/>
          <w:color w:val="000000" w:themeColor="text1"/>
          <w:sz w:val="24"/>
          <w:szCs w:val="24"/>
        </w:rPr>
      </w:pPr>
      <w:bookmarkStart w:id="35" w:name="_Toc126669720"/>
      <w:r w:rsidRPr="006819E7">
        <w:rPr>
          <w:rFonts w:ascii="Arial" w:hAnsi="Arial" w:cs="Arial"/>
          <w:i w:val="0"/>
          <w:iCs w:val="0"/>
          <w:color w:val="000000" w:themeColor="text1"/>
          <w:sz w:val="24"/>
          <w:szCs w:val="24"/>
        </w:rPr>
        <w:t xml:space="preserve">Figure 1.3 Telemedicine </w:t>
      </w:r>
      <w:bookmarkEnd w:id="35"/>
      <w:r w:rsidR="006819E7" w:rsidRPr="006819E7">
        <w:rPr>
          <w:rFonts w:ascii="Arial" w:hAnsi="Arial" w:cs="Arial"/>
          <w:i w:val="0"/>
          <w:iCs w:val="0"/>
          <w:color w:val="000000" w:themeColor="text1"/>
          <w:sz w:val="24"/>
          <w:szCs w:val="24"/>
        </w:rPr>
        <w:t>(Tuckson et al., 2017)</w:t>
      </w:r>
    </w:p>
    <w:p w14:paraId="1FFF8241" w14:textId="77777777" w:rsidR="00E05882" w:rsidRPr="00EA236B" w:rsidRDefault="00E05882" w:rsidP="00E05882">
      <w:pPr>
        <w:spacing w:line="360" w:lineRule="auto"/>
        <w:jc w:val="center"/>
        <w:rPr>
          <w:rFonts w:ascii="Arial" w:hAnsi="Arial" w:cs="Arial"/>
          <w:color w:val="000000" w:themeColor="text1"/>
          <w:shd w:val="clear" w:color="auto" w:fill="FFFFFF"/>
        </w:rPr>
      </w:pPr>
    </w:p>
    <w:p w14:paraId="3AD622B2" w14:textId="77777777" w:rsidR="007748CC" w:rsidRPr="00EA236B" w:rsidRDefault="007748CC" w:rsidP="008E1570">
      <w:pPr>
        <w:spacing w:line="360" w:lineRule="auto"/>
        <w:jc w:val="both"/>
        <w:rPr>
          <w:rFonts w:ascii="Arial" w:hAnsi="Arial" w:cs="Arial"/>
          <w:b/>
          <w:bCs/>
          <w:color w:val="000000" w:themeColor="text1"/>
          <w:shd w:val="clear" w:color="auto" w:fill="FFFFFF"/>
        </w:rPr>
      </w:pPr>
    </w:p>
    <w:p w14:paraId="43FDC7A1" w14:textId="02BD6AC8" w:rsidR="008E1570" w:rsidRDefault="00D621B3" w:rsidP="00FA2E1B">
      <w:pPr>
        <w:pStyle w:val="Heading2"/>
        <w:rPr>
          <w:rFonts w:ascii="Arial" w:hAnsi="Arial" w:cs="Arial"/>
          <w:b/>
          <w:bCs/>
          <w:color w:val="000000" w:themeColor="text1"/>
          <w:sz w:val="24"/>
          <w:szCs w:val="24"/>
          <w:shd w:val="clear" w:color="auto" w:fill="FFFFFF"/>
        </w:rPr>
      </w:pPr>
      <w:bookmarkStart w:id="36" w:name="_Toc126667579"/>
      <w:r w:rsidRPr="00EC5372">
        <w:rPr>
          <w:rFonts w:ascii="Arial" w:hAnsi="Arial" w:cs="Arial"/>
          <w:b/>
          <w:bCs/>
          <w:color w:val="000000" w:themeColor="text1"/>
          <w:sz w:val="24"/>
          <w:szCs w:val="24"/>
          <w:shd w:val="clear" w:color="auto" w:fill="FFFFFF"/>
        </w:rPr>
        <w:t>5.7 Virtual Work</w:t>
      </w:r>
      <w:bookmarkEnd w:id="36"/>
    </w:p>
    <w:p w14:paraId="37B63121" w14:textId="77777777" w:rsidR="00EC5372" w:rsidRPr="00EC5372" w:rsidRDefault="00EC5372" w:rsidP="00EC5372"/>
    <w:p w14:paraId="0467D74C" w14:textId="295CB798" w:rsidR="00B73258"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The global development of the Fourth Industrial Revolution has continued to be experienced to the present day, with an exponential rise in technology and societal patterns giving rise to virtual work (Johannessen, Jon-Arild, 2018). Virtual workplaces are rapidly increasing, with a thorough business justification for their increased growth (Cascio, 2000). Nevertheless, factors such as setup cost, cultural confrontation, and privation of trust could be considered a disadvantage. Notably, telework and virtual teams are examples of virtual work, albeit not appropriate for all staff or work settings. The focus needs to be shifted to result oriented to achieve efficiency. Additionally, more improved supervision is required from managers to achieve productivity, customer retention, and retaining profits.</w:t>
      </w:r>
    </w:p>
    <w:p w14:paraId="17F81062" w14:textId="29415AA1" w:rsidR="008E1570" w:rsidRPr="00EC5372" w:rsidRDefault="00D621B3" w:rsidP="00EC5372">
      <w:pPr>
        <w:pStyle w:val="Heading1"/>
        <w:jc w:val="center"/>
        <w:rPr>
          <w:rFonts w:ascii="Arial" w:hAnsi="Arial" w:cs="Arial"/>
          <w:b/>
          <w:bCs/>
          <w:color w:val="000000" w:themeColor="text1"/>
          <w:sz w:val="24"/>
          <w:szCs w:val="24"/>
          <w:shd w:val="clear" w:color="auto" w:fill="FFFFFF"/>
        </w:rPr>
      </w:pPr>
      <w:bookmarkStart w:id="37" w:name="_Toc126667580"/>
      <w:r w:rsidRPr="00EC5372">
        <w:rPr>
          <w:rFonts w:ascii="Arial" w:hAnsi="Arial" w:cs="Arial"/>
          <w:b/>
          <w:bCs/>
          <w:color w:val="000000" w:themeColor="text1"/>
          <w:sz w:val="24"/>
          <w:szCs w:val="24"/>
          <w:shd w:val="clear" w:color="auto" w:fill="FFFFFF"/>
        </w:rPr>
        <w:t>6.0 The rationale for the Preferred Term Used</w:t>
      </w:r>
      <w:bookmarkEnd w:id="37"/>
    </w:p>
    <w:p w14:paraId="22992D63" w14:textId="77777777" w:rsidR="00E95970" w:rsidRPr="00EA236B" w:rsidRDefault="00E95970" w:rsidP="008E1570">
      <w:pPr>
        <w:spacing w:line="360" w:lineRule="auto"/>
        <w:jc w:val="both"/>
        <w:rPr>
          <w:rFonts w:ascii="Arial" w:hAnsi="Arial" w:cs="Arial"/>
          <w:b/>
          <w:bCs/>
          <w:color w:val="000000" w:themeColor="text1"/>
          <w:shd w:val="clear" w:color="auto" w:fill="FFFFFF"/>
        </w:rPr>
      </w:pPr>
    </w:p>
    <w:p w14:paraId="696EE1C4" w14:textId="77777777" w:rsidR="00F94E27"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In the new global economy, a hybrid working environment has been considered a crucial factor in the history of organisational development. Justification for hybrid work environment being the preferred choice stems from the fact that hybrid work has enabled organisations to operate globally</w:t>
      </w:r>
      <w:r w:rsidR="0015631F" w:rsidRPr="00EA236B">
        <w:rPr>
          <w:rFonts w:ascii="Arial" w:hAnsi="Arial" w:cs="Arial"/>
          <w:color w:val="000000" w:themeColor="text1"/>
          <w:shd w:val="clear" w:color="auto" w:fill="FFFFFF"/>
        </w:rPr>
        <w:t xml:space="preserve">, whilst enabling </w:t>
      </w:r>
      <w:r w:rsidRPr="00EA236B">
        <w:rPr>
          <w:rFonts w:ascii="Arial" w:hAnsi="Arial" w:cs="Arial"/>
          <w:color w:val="000000" w:themeColor="text1"/>
          <w:shd w:val="clear" w:color="auto" w:fill="FFFFFF"/>
        </w:rPr>
        <w:t xml:space="preserve">staff </w:t>
      </w:r>
      <w:r w:rsidR="0015631F" w:rsidRPr="00EA236B">
        <w:rPr>
          <w:rFonts w:ascii="Arial" w:hAnsi="Arial" w:cs="Arial"/>
          <w:color w:val="000000" w:themeColor="text1"/>
          <w:shd w:val="clear" w:color="auto" w:fill="FFFFFF"/>
        </w:rPr>
        <w:t xml:space="preserve">to have a high level of </w:t>
      </w:r>
      <w:r w:rsidRPr="00EA236B">
        <w:rPr>
          <w:rFonts w:ascii="Arial" w:hAnsi="Arial" w:cs="Arial"/>
          <w:color w:val="000000" w:themeColor="text1"/>
          <w:shd w:val="clear" w:color="auto" w:fill="FFFFFF"/>
        </w:rPr>
        <w:t>flexib</w:t>
      </w:r>
      <w:r w:rsidR="0015631F" w:rsidRPr="00EA236B">
        <w:rPr>
          <w:rFonts w:ascii="Arial" w:hAnsi="Arial" w:cs="Arial"/>
          <w:color w:val="000000" w:themeColor="text1"/>
          <w:shd w:val="clear" w:color="auto" w:fill="FFFFFF"/>
        </w:rPr>
        <w:t>ility</w:t>
      </w:r>
      <w:r w:rsidRPr="00EA236B">
        <w:rPr>
          <w:rFonts w:ascii="Arial" w:hAnsi="Arial" w:cs="Arial"/>
          <w:color w:val="000000" w:themeColor="text1"/>
          <w:shd w:val="clear" w:color="auto" w:fill="FFFFFF"/>
        </w:rPr>
        <w:t>.</w:t>
      </w:r>
      <w:r w:rsidR="0015631F" w:rsidRPr="00EA236B">
        <w:rPr>
          <w:rFonts w:ascii="Arial" w:hAnsi="Arial" w:cs="Arial"/>
          <w:color w:val="000000" w:themeColor="text1"/>
          <w:shd w:val="clear" w:color="auto" w:fill="FFFFFF"/>
        </w:rPr>
        <w:t xml:space="preserve"> However, investigating the scholars’ (</w:t>
      </w:r>
      <w:r w:rsidR="004C2252" w:rsidRPr="00EA236B">
        <w:rPr>
          <w:rFonts w:ascii="Arial" w:hAnsi="Arial" w:cs="Arial"/>
          <w:color w:val="000000" w:themeColor="text1"/>
          <w:shd w:val="clear" w:color="auto" w:fill="FFFFFF"/>
        </w:rPr>
        <w:t xml:space="preserve">Qiao et al., 2023; </w:t>
      </w:r>
      <w:r w:rsidR="004F005B" w:rsidRPr="00EA236B">
        <w:rPr>
          <w:rFonts w:ascii="Arial" w:hAnsi="Arial" w:cs="Arial"/>
          <w:color w:val="000000" w:themeColor="text1"/>
          <w:shd w:val="clear" w:color="auto" w:fill="FFFFFF"/>
        </w:rPr>
        <w:t>Tuckson et al.</w:t>
      </w:r>
      <w:r w:rsidR="004C2252" w:rsidRPr="00EA236B">
        <w:rPr>
          <w:rFonts w:ascii="Arial" w:hAnsi="Arial" w:cs="Arial"/>
          <w:color w:val="000000" w:themeColor="text1"/>
          <w:shd w:val="clear" w:color="auto" w:fill="FFFFFF"/>
        </w:rPr>
        <w:t>, 201</w:t>
      </w:r>
      <w:r w:rsidR="004F005B" w:rsidRPr="00EA236B">
        <w:rPr>
          <w:rFonts w:ascii="Arial" w:hAnsi="Arial" w:cs="Arial"/>
          <w:color w:val="000000" w:themeColor="text1"/>
          <w:shd w:val="clear" w:color="auto" w:fill="FFFFFF"/>
        </w:rPr>
        <w:t>7</w:t>
      </w:r>
      <w:r w:rsidR="0015631F" w:rsidRPr="00EA236B">
        <w:rPr>
          <w:rFonts w:ascii="Arial" w:hAnsi="Arial" w:cs="Arial"/>
          <w:color w:val="000000" w:themeColor="text1"/>
          <w:shd w:val="clear" w:color="auto" w:fill="FFFFFF"/>
        </w:rPr>
        <w:t>) work on the gig economy is a continuing concern with employees left without adequate security.</w:t>
      </w:r>
      <w:r w:rsidRPr="00EA236B">
        <w:rPr>
          <w:rFonts w:ascii="Arial" w:hAnsi="Arial" w:cs="Arial"/>
          <w:color w:val="000000" w:themeColor="text1"/>
          <w:shd w:val="clear" w:color="auto" w:fill="FFFFFF"/>
        </w:rPr>
        <w:t xml:space="preserve"> </w:t>
      </w:r>
    </w:p>
    <w:p w14:paraId="5DD7FBE3" w14:textId="77777777" w:rsidR="00F94E27" w:rsidRPr="00EA236B" w:rsidRDefault="00F94E27" w:rsidP="008E1570">
      <w:pPr>
        <w:spacing w:line="360" w:lineRule="auto"/>
        <w:jc w:val="both"/>
        <w:rPr>
          <w:rFonts w:ascii="Arial" w:hAnsi="Arial" w:cs="Arial"/>
          <w:color w:val="000000" w:themeColor="text1"/>
          <w:shd w:val="clear" w:color="auto" w:fill="FFFFFF"/>
        </w:rPr>
      </w:pPr>
    </w:p>
    <w:p w14:paraId="41E70B95" w14:textId="77777777" w:rsidR="0015631F"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Nevertheless, with work-life balance, an increasing concern spanning across cultures and corporations, the work of Azar</w:t>
      </w:r>
      <w:r w:rsidR="004C2252" w:rsidRPr="00EA236B">
        <w:rPr>
          <w:rFonts w:ascii="Arial" w:hAnsi="Arial" w:cs="Arial"/>
          <w:color w:val="000000" w:themeColor="text1"/>
          <w:shd w:val="clear" w:color="auto" w:fill="FFFFFF"/>
        </w:rPr>
        <w:t xml:space="preserve"> et al.</w:t>
      </w:r>
      <w:r w:rsidRPr="00EA236B">
        <w:rPr>
          <w:rFonts w:ascii="Arial" w:hAnsi="Arial" w:cs="Arial"/>
          <w:color w:val="000000" w:themeColor="text1"/>
          <w:shd w:val="clear" w:color="auto" w:fill="FFFFFF"/>
        </w:rPr>
        <w:t xml:space="preserve"> (2018) remains prominent in the field. Dvoulety and Ratten's (2021) terminology of hybridisation and flexibilisation is another way of defining virtual work and telework, which also falls under a hybrid working environment. The global growth in modern workplaces known for the hybrid working model has </w:t>
      </w:r>
      <w:r w:rsidR="00FE102C" w:rsidRPr="00EA236B">
        <w:rPr>
          <w:rFonts w:ascii="Arial" w:hAnsi="Arial" w:cs="Arial"/>
          <w:color w:val="000000" w:themeColor="text1"/>
          <w:shd w:val="clear" w:color="auto" w:fill="FFFFFF"/>
        </w:rPr>
        <w:t>made defending this concept valid. Scholars such as Hunter (</w:t>
      </w:r>
      <w:r w:rsidR="004C2252" w:rsidRPr="00EA236B">
        <w:rPr>
          <w:rFonts w:ascii="Arial" w:hAnsi="Arial" w:cs="Arial"/>
          <w:color w:val="000000" w:themeColor="text1"/>
          <w:shd w:val="clear" w:color="auto" w:fill="FFFFFF"/>
        </w:rPr>
        <w:t>2019</w:t>
      </w:r>
      <w:r w:rsidR="00FE102C" w:rsidRPr="00EA236B">
        <w:rPr>
          <w:rFonts w:ascii="Arial" w:hAnsi="Arial" w:cs="Arial"/>
          <w:color w:val="000000" w:themeColor="text1"/>
          <w:shd w:val="clear" w:color="auto" w:fill="FFFFFF"/>
        </w:rPr>
        <w:t>) remote work has helped to shape contemporary office work alongside organisations such as the open university which is a pioneer of remote work.</w:t>
      </w:r>
    </w:p>
    <w:p w14:paraId="57B41DFB" w14:textId="77777777" w:rsidR="00FE102C" w:rsidRPr="00EA236B" w:rsidRDefault="00FE102C" w:rsidP="008E1570">
      <w:pPr>
        <w:spacing w:line="360" w:lineRule="auto"/>
        <w:jc w:val="both"/>
        <w:rPr>
          <w:rFonts w:ascii="Arial" w:hAnsi="Arial" w:cs="Arial"/>
          <w:color w:val="000000" w:themeColor="text1"/>
          <w:shd w:val="clear" w:color="auto" w:fill="FFFFFF"/>
        </w:rPr>
      </w:pPr>
    </w:p>
    <w:p w14:paraId="33EF11A2" w14:textId="5F508704" w:rsidR="00FE102C" w:rsidRPr="00EC5372" w:rsidRDefault="00D621B3" w:rsidP="00FA2E1B">
      <w:pPr>
        <w:pStyle w:val="Heading2"/>
        <w:rPr>
          <w:rFonts w:ascii="Arial" w:hAnsi="Arial" w:cs="Arial"/>
          <w:b/>
          <w:bCs/>
          <w:color w:val="000000" w:themeColor="text1"/>
          <w:sz w:val="24"/>
          <w:szCs w:val="24"/>
          <w:shd w:val="clear" w:color="auto" w:fill="FFFFFF"/>
        </w:rPr>
      </w:pPr>
      <w:bookmarkStart w:id="38" w:name="_Toc126667581"/>
      <w:r w:rsidRPr="00EC5372">
        <w:rPr>
          <w:rFonts w:ascii="Arial" w:hAnsi="Arial" w:cs="Arial"/>
          <w:b/>
          <w:bCs/>
          <w:color w:val="000000" w:themeColor="text1"/>
          <w:sz w:val="24"/>
          <w:szCs w:val="24"/>
          <w:shd w:val="clear" w:color="auto" w:fill="FFFFFF"/>
        </w:rPr>
        <w:t>6.1 Health Context</w:t>
      </w:r>
      <w:bookmarkEnd w:id="38"/>
    </w:p>
    <w:p w14:paraId="75843975" w14:textId="77777777" w:rsidR="00FE102C" w:rsidRPr="00EA236B" w:rsidRDefault="00FE102C" w:rsidP="008E1570">
      <w:pPr>
        <w:spacing w:line="360" w:lineRule="auto"/>
        <w:jc w:val="both"/>
        <w:rPr>
          <w:rFonts w:ascii="Arial" w:hAnsi="Arial" w:cs="Arial"/>
          <w:color w:val="000000" w:themeColor="text1"/>
          <w:shd w:val="clear" w:color="auto" w:fill="FFFFFF"/>
        </w:rPr>
      </w:pPr>
    </w:p>
    <w:p w14:paraId="6C9D33E3" w14:textId="0EDF0345" w:rsidR="0031635A"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The changes experienced by the health sector over the past decade remain unprecedented. The health sector has gradually transformed to incorporate telehealth and telemedicine, enabling patients to be diagnosed and treated within their environment. Hospitals such as the Bumrungrud in </w:t>
      </w:r>
      <w:r w:rsidR="0071735D" w:rsidRPr="00EA236B">
        <w:rPr>
          <w:rFonts w:ascii="Arial" w:hAnsi="Arial" w:cs="Arial"/>
          <w:color w:val="000000" w:themeColor="text1"/>
          <w:shd w:val="clear" w:color="auto" w:fill="FFFFFF"/>
        </w:rPr>
        <w:t>Thailand</w:t>
      </w:r>
      <w:r w:rsidRPr="00EA236B">
        <w:rPr>
          <w:rFonts w:ascii="Arial" w:hAnsi="Arial" w:cs="Arial"/>
          <w:color w:val="000000" w:themeColor="text1"/>
          <w:shd w:val="clear" w:color="auto" w:fill="FFFFFF"/>
        </w:rPr>
        <w:t xml:space="preserve"> have implemented </w:t>
      </w:r>
      <w:r w:rsidR="00207ACB" w:rsidRPr="00EA236B">
        <w:rPr>
          <w:rFonts w:ascii="Arial" w:hAnsi="Arial" w:cs="Arial"/>
          <w:color w:val="000000" w:themeColor="text1"/>
          <w:shd w:val="clear" w:color="auto" w:fill="FFFFFF"/>
        </w:rPr>
        <w:t>telemedicine on demand and by appointment, enabling an at-home service (</w:t>
      </w:r>
      <w:r w:rsidR="00A03D16" w:rsidRPr="00EA236B">
        <w:rPr>
          <w:rFonts w:ascii="Arial" w:hAnsi="Arial" w:cs="Arial"/>
          <w:color w:val="000000" w:themeColor="text1"/>
          <w:shd w:val="clear" w:color="auto" w:fill="FFFFFF"/>
        </w:rPr>
        <w:t>Tuckson et al., 2017</w:t>
      </w:r>
      <w:r w:rsidR="00207ACB" w:rsidRPr="00EA236B">
        <w:rPr>
          <w:rFonts w:ascii="Arial" w:hAnsi="Arial" w:cs="Arial"/>
          <w:color w:val="000000" w:themeColor="text1"/>
          <w:shd w:val="clear" w:color="auto" w:fill="FFFFFF"/>
        </w:rPr>
        <w:t>).</w:t>
      </w:r>
      <w:r w:rsidR="009201F1" w:rsidRPr="00EA236B">
        <w:rPr>
          <w:rFonts w:ascii="Arial" w:hAnsi="Arial" w:cs="Arial"/>
          <w:color w:val="000000" w:themeColor="text1"/>
          <w:shd w:val="clear" w:color="auto" w:fill="FFFFFF"/>
        </w:rPr>
        <w:t xml:space="preserve"> </w:t>
      </w:r>
      <w:r w:rsidR="00CE5586" w:rsidRPr="00EA236B">
        <w:rPr>
          <w:rFonts w:ascii="Arial" w:hAnsi="Arial" w:cs="Arial"/>
          <w:color w:val="000000" w:themeColor="text1"/>
          <w:shd w:val="clear" w:color="auto" w:fill="FFFFFF"/>
        </w:rPr>
        <w:t xml:space="preserve">Recent trends in promoting a positive patient experience have led to a renewed interest in Bumrungrad’s hospital developing the APP mobile OOZOU  allowing patients to interact with the hospital worldwide </w:t>
      </w:r>
      <w:r w:rsidR="00A03D16" w:rsidRPr="00EA236B">
        <w:rPr>
          <w:rFonts w:ascii="Arial" w:hAnsi="Arial" w:cs="Arial"/>
          <w:color w:val="000000" w:themeColor="text1"/>
          <w:shd w:val="clear" w:color="auto" w:fill="FFFFFF"/>
        </w:rPr>
        <w:t>(Bumrungrad, 2022)</w:t>
      </w:r>
      <w:r w:rsidR="00CE5586" w:rsidRPr="00EA236B">
        <w:rPr>
          <w:rFonts w:ascii="Arial" w:hAnsi="Arial" w:cs="Arial"/>
          <w:color w:val="000000" w:themeColor="text1"/>
          <w:shd w:val="clear" w:color="auto" w:fill="FFFFFF"/>
        </w:rPr>
        <w:t xml:space="preserve">. </w:t>
      </w:r>
      <w:r w:rsidR="0071735D" w:rsidRPr="00EA236B">
        <w:rPr>
          <w:rFonts w:ascii="Arial" w:hAnsi="Arial" w:cs="Arial"/>
          <w:color w:val="000000" w:themeColor="text1"/>
          <w:shd w:val="clear" w:color="auto" w:fill="FFFFFF"/>
        </w:rPr>
        <w:t>On the other hand</w:t>
      </w:r>
      <w:r w:rsidR="00CE5586" w:rsidRPr="00EA236B">
        <w:rPr>
          <w:rFonts w:ascii="Arial" w:hAnsi="Arial" w:cs="Arial"/>
          <w:color w:val="000000" w:themeColor="text1"/>
          <w:shd w:val="clear" w:color="auto" w:fill="FFFFFF"/>
        </w:rPr>
        <w:t xml:space="preserve">, with India renowned for technology and IT, the culture has played a significant role per Hofsteade’s </w:t>
      </w:r>
      <w:r w:rsidRPr="00EA236B">
        <w:rPr>
          <w:rFonts w:ascii="Arial" w:hAnsi="Arial" w:cs="Arial"/>
          <w:color w:val="000000" w:themeColor="text1"/>
          <w:shd w:val="clear" w:color="auto" w:fill="FFFFFF"/>
        </w:rPr>
        <w:t xml:space="preserve">contrast of the </w:t>
      </w:r>
      <w:r w:rsidR="00CE5586" w:rsidRPr="00EA236B">
        <w:rPr>
          <w:rFonts w:ascii="Arial" w:hAnsi="Arial" w:cs="Arial"/>
          <w:color w:val="000000" w:themeColor="text1"/>
          <w:shd w:val="clear" w:color="auto" w:fill="FFFFFF"/>
        </w:rPr>
        <w:t xml:space="preserve">cultural dimensions </w:t>
      </w:r>
      <w:r w:rsidRPr="00EA236B">
        <w:rPr>
          <w:rFonts w:ascii="Arial" w:hAnsi="Arial" w:cs="Arial"/>
          <w:color w:val="000000" w:themeColor="text1"/>
          <w:shd w:val="clear" w:color="auto" w:fill="FFFFFF"/>
        </w:rPr>
        <w:t xml:space="preserve">between India and Thailand </w:t>
      </w:r>
      <w:r w:rsidR="00CE5586" w:rsidRPr="00EA236B">
        <w:rPr>
          <w:rFonts w:ascii="Arial" w:hAnsi="Arial" w:cs="Arial"/>
          <w:color w:val="000000" w:themeColor="text1"/>
          <w:shd w:val="clear" w:color="auto" w:fill="FFFFFF"/>
        </w:rPr>
        <w:t>shown below in figure 1.</w:t>
      </w:r>
      <w:r w:rsidR="00B73258" w:rsidRPr="00EA236B">
        <w:rPr>
          <w:rFonts w:ascii="Arial" w:hAnsi="Arial" w:cs="Arial"/>
          <w:color w:val="000000" w:themeColor="text1"/>
          <w:shd w:val="clear" w:color="auto" w:fill="FFFFFF"/>
        </w:rPr>
        <w:t>4</w:t>
      </w:r>
      <w:r w:rsidR="000C5CD5"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xml:space="preserve"> </w:t>
      </w:r>
      <w:r w:rsidR="001652F6" w:rsidRPr="00EA236B">
        <w:rPr>
          <w:rFonts w:ascii="Arial" w:hAnsi="Arial" w:cs="Arial"/>
          <w:color w:val="000000" w:themeColor="text1"/>
          <w:shd w:val="clear" w:color="auto" w:fill="FFFFFF"/>
        </w:rPr>
        <w:t>Notably, infrastructure plays a vital role with Bumrungrad’s hospital lobby replicating the décor and aesthetics of a five-star hotel (</w:t>
      </w:r>
      <w:r w:rsidR="00A03D16" w:rsidRPr="00EA236B">
        <w:rPr>
          <w:rFonts w:ascii="Arial" w:hAnsi="Arial" w:cs="Arial"/>
          <w:color w:val="000000" w:themeColor="text1"/>
          <w:shd w:val="clear" w:color="auto" w:fill="FFFFFF"/>
        </w:rPr>
        <w:t>Majeed and Kim, 2022).</w:t>
      </w:r>
    </w:p>
    <w:p w14:paraId="65DC8B5E" w14:textId="77777777" w:rsidR="00A03D16" w:rsidRPr="00EA236B" w:rsidRDefault="00A03D16" w:rsidP="008E1570">
      <w:pPr>
        <w:spacing w:line="360" w:lineRule="auto"/>
        <w:jc w:val="both"/>
        <w:rPr>
          <w:rFonts w:ascii="Arial" w:hAnsi="Arial" w:cs="Arial"/>
          <w:color w:val="000000" w:themeColor="text1"/>
          <w:shd w:val="clear" w:color="auto" w:fill="FFFFFF"/>
        </w:rPr>
      </w:pPr>
    </w:p>
    <w:p w14:paraId="58DB7162" w14:textId="12D92458" w:rsidR="0031635A" w:rsidRPr="00EA236B" w:rsidRDefault="00000000" w:rsidP="008E1570">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Conversely, Thailand</w:t>
      </w:r>
      <w:r w:rsidR="00D536C7" w:rsidRPr="00EA236B">
        <w:rPr>
          <w:rFonts w:ascii="Arial" w:hAnsi="Arial" w:cs="Arial"/>
          <w:color w:val="000000" w:themeColor="text1"/>
          <w:shd w:val="clear" w:color="auto" w:fill="FFFFFF"/>
        </w:rPr>
        <w:t>'s health system is a medical hub recognised as the main driver in generating revenue for various business services. For example, medical tourism, the sustainability of the pharmaceutical industry, restaurants, and hotels (</w:t>
      </w:r>
      <w:r w:rsidR="00A03D16" w:rsidRPr="00EA236B">
        <w:rPr>
          <w:rFonts w:ascii="Arial" w:hAnsi="Arial" w:cs="Arial"/>
          <w:color w:val="000000" w:themeColor="text1"/>
          <w:shd w:val="clear" w:color="auto" w:fill="FFFFFF"/>
        </w:rPr>
        <w:t>Ayae, 2017</w:t>
      </w:r>
      <w:r w:rsidR="00D536C7"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xml:space="preserve"> In contrast, the</w:t>
      </w:r>
      <w:r w:rsidR="00A03D16" w:rsidRPr="00EA236B">
        <w:rPr>
          <w:rFonts w:ascii="Arial" w:hAnsi="Arial" w:cs="Arial"/>
          <w:color w:val="000000" w:themeColor="text1"/>
          <w:shd w:val="clear" w:color="auto" w:fill="FFFFFF"/>
        </w:rPr>
        <w:t>re is a vast difference in</w:t>
      </w:r>
      <w:r w:rsidRPr="00EA236B">
        <w:rPr>
          <w:rFonts w:ascii="Arial" w:hAnsi="Arial" w:cs="Arial"/>
          <w:color w:val="000000" w:themeColor="text1"/>
          <w:shd w:val="clear" w:color="auto" w:fill="FFFFFF"/>
        </w:rPr>
        <w:t xml:space="preserve"> UK’s NHS </w:t>
      </w:r>
      <w:r w:rsidR="00A03D16" w:rsidRPr="00EA236B">
        <w:rPr>
          <w:rFonts w:ascii="Arial" w:hAnsi="Arial" w:cs="Arial"/>
          <w:color w:val="000000" w:themeColor="text1"/>
          <w:shd w:val="clear" w:color="auto" w:fill="FFFFFF"/>
        </w:rPr>
        <w:t xml:space="preserve">healthcare </w:t>
      </w:r>
      <w:r w:rsidRPr="00EA236B">
        <w:rPr>
          <w:rFonts w:ascii="Arial" w:hAnsi="Arial" w:cs="Arial"/>
          <w:color w:val="000000" w:themeColor="text1"/>
          <w:shd w:val="clear" w:color="auto" w:fill="FFFFFF"/>
        </w:rPr>
        <w:t>compared to India and Thailand. The NHS was formed in 1948 as a free at the point of delivery service for residents (NHS, 2022). The NHS is a public entity and is not concerned with being branded as a hub for medical tourists.</w:t>
      </w:r>
    </w:p>
    <w:p w14:paraId="2F53EDB5" w14:textId="41D2F2E6" w:rsidR="001F363D" w:rsidRPr="00EA236B" w:rsidRDefault="001F363D" w:rsidP="008E1570">
      <w:pPr>
        <w:spacing w:line="360" w:lineRule="auto"/>
        <w:jc w:val="both"/>
        <w:rPr>
          <w:rFonts w:ascii="Arial" w:hAnsi="Arial" w:cs="Arial"/>
          <w:color w:val="000000" w:themeColor="text1"/>
          <w:shd w:val="clear" w:color="auto" w:fill="FFFFFF"/>
        </w:rPr>
      </w:pPr>
    </w:p>
    <w:p w14:paraId="2A023755" w14:textId="77777777" w:rsidR="00D44B2C" w:rsidRDefault="001F363D" w:rsidP="00EC5372">
      <w:pPr>
        <w:keepNext/>
        <w:spacing w:line="360" w:lineRule="auto"/>
        <w:jc w:val="center"/>
      </w:pPr>
      <w:r w:rsidRPr="00EA236B">
        <w:rPr>
          <w:rFonts w:ascii="Arial" w:hAnsi="Arial" w:cs="Arial"/>
          <w:noProof/>
          <w:color w:val="000000" w:themeColor="text1"/>
          <w:shd w:val="clear" w:color="auto" w:fill="FFFFFF"/>
        </w:rPr>
        <w:lastRenderedPageBreak/>
        <w:drawing>
          <wp:inline distT="0" distB="0" distL="0" distR="0" wp14:anchorId="7AE5B584" wp14:editId="58F6D46C">
            <wp:extent cx="5727700" cy="3088005"/>
            <wp:effectExtent l="0" t="0" r="0" b="0"/>
            <wp:docPr id="3" name="Picture 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medium confidence"/>
                    <pic:cNvPicPr/>
                  </pic:nvPicPr>
                  <pic:blipFill>
                    <a:blip r:embed="rId16"/>
                    <a:stretch>
                      <a:fillRect/>
                    </a:stretch>
                  </pic:blipFill>
                  <pic:spPr>
                    <a:xfrm>
                      <a:off x="0" y="0"/>
                      <a:ext cx="5727700" cy="3088005"/>
                    </a:xfrm>
                    <a:prstGeom prst="rect">
                      <a:avLst/>
                    </a:prstGeom>
                  </pic:spPr>
                </pic:pic>
              </a:graphicData>
            </a:graphic>
          </wp:inline>
        </w:drawing>
      </w:r>
    </w:p>
    <w:p w14:paraId="413D151B" w14:textId="6E491BAB" w:rsidR="00D536C7" w:rsidRPr="00EC5372" w:rsidRDefault="00D44B2C" w:rsidP="00EC5372">
      <w:pPr>
        <w:pStyle w:val="Caption"/>
        <w:jc w:val="center"/>
        <w:rPr>
          <w:rFonts w:ascii="Arial" w:hAnsi="Arial" w:cs="Arial"/>
          <w:i w:val="0"/>
          <w:iCs w:val="0"/>
          <w:color w:val="000000" w:themeColor="text1"/>
          <w:sz w:val="24"/>
          <w:szCs w:val="24"/>
        </w:rPr>
      </w:pPr>
      <w:bookmarkStart w:id="39" w:name="_Toc126669733"/>
      <w:r w:rsidRPr="00EC5372">
        <w:rPr>
          <w:rFonts w:ascii="Arial" w:hAnsi="Arial" w:cs="Arial"/>
          <w:i w:val="0"/>
          <w:iCs w:val="0"/>
          <w:color w:val="000000" w:themeColor="text1"/>
          <w:sz w:val="24"/>
          <w:szCs w:val="24"/>
        </w:rPr>
        <w:t xml:space="preserve">Figure 1.4 Hofstede's </w:t>
      </w:r>
      <w:r w:rsidR="00EC5372" w:rsidRPr="00EC5372">
        <w:rPr>
          <w:rFonts w:ascii="Arial" w:hAnsi="Arial" w:cs="Arial"/>
          <w:i w:val="0"/>
          <w:iCs w:val="0"/>
          <w:color w:val="000000" w:themeColor="text1"/>
          <w:sz w:val="24"/>
          <w:szCs w:val="24"/>
        </w:rPr>
        <w:t xml:space="preserve">Cultural </w:t>
      </w:r>
      <w:r w:rsidRPr="00EC5372">
        <w:rPr>
          <w:rFonts w:ascii="Arial" w:hAnsi="Arial" w:cs="Arial"/>
          <w:i w:val="0"/>
          <w:iCs w:val="0"/>
          <w:color w:val="000000" w:themeColor="text1"/>
          <w:sz w:val="24"/>
          <w:szCs w:val="24"/>
        </w:rPr>
        <w:t xml:space="preserve">Comparison </w:t>
      </w:r>
      <w:bookmarkEnd w:id="39"/>
      <w:r w:rsidR="00EC5372" w:rsidRPr="00EC5372">
        <w:rPr>
          <w:rFonts w:ascii="Arial" w:hAnsi="Arial" w:cs="Arial"/>
          <w:i w:val="0"/>
          <w:iCs w:val="0"/>
          <w:color w:val="000000" w:themeColor="text1"/>
          <w:sz w:val="24"/>
          <w:szCs w:val="24"/>
        </w:rPr>
        <w:t>(Hofstede-Insights, 2020</w:t>
      </w:r>
      <w:r w:rsidR="00EC5372">
        <w:rPr>
          <w:rFonts w:ascii="Arial" w:hAnsi="Arial" w:cs="Arial"/>
          <w:i w:val="0"/>
          <w:iCs w:val="0"/>
          <w:color w:val="000000" w:themeColor="text1"/>
          <w:sz w:val="24"/>
          <w:szCs w:val="24"/>
        </w:rPr>
        <w:t>)</w:t>
      </w:r>
    </w:p>
    <w:p w14:paraId="5F5F81ED" w14:textId="77777777" w:rsidR="00D536C7" w:rsidRPr="00EA236B" w:rsidRDefault="00D536C7" w:rsidP="008E1570">
      <w:pPr>
        <w:spacing w:line="360" w:lineRule="auto"/>
        <w:jc w:val="both"/>
        <w:rPr>
          <w:rFonts w:ascii="Arial" w:hAnsi="Arial" w:cs="Arial"/>
          <w:color w:val="000000" w:themeColor="text1"/>
          <w:shd w:val="clear" w:color="auto" w:fill="FFFFFF"/>
        </w:rPr>
      </w:pPr>
    </w:p>
    <w:p w14:paraId="6E08481F" w14:textId="77777777" w:rsidR="0015631F" w:rsidRPr="00EC5372" w:rsidRDefault="0015631F" w:rsidP="008E1570">
      <w:pPr>
        <w:spacing w:line="360" w:lineRule="auto"/>
        <w:jc w:val="both"/>
        <w:rPr>
          <w:rFonts w:ascii="Arial" w:hAnsi="Arial" w:cs="Arial"/>
          <w:color w:val="000000" w:themeColor="text1"/>
          <w:shd w:val="clear" w:color="auto" w:fill="FFFFFF"/>
        </w:rPr>
      </w:pPr>
    </w:p>
    <w:p w14:paraId="4EC3C419" w14:textId="4E219259" w:rsidR="008E1570" w:rsidRPr="00EC5372" w:rsidRDefault="00D621B3" w:rsidP="00FA2E1B">
      <w:pPr>
        <w:pStyle w:val="Heading2"/>
        <w:rPr>
          <w:rFonts w:ascii="Arial" w:hAnsi="Arial" w:cs="Arial"/>
          <w:b/>
          <w:bCs/>
          <w:color w:val="000000" w:themeColor="text1"/>
          <w:sz w:val="24"/>
          <w:szCs w:val="24"/>
          <w:shd w:val="clear" w:color="auto" w:fill="FFFFFF"/>
        </w:rPr>
      </w:pPr>
      <w:bookmarkStart w:id="40" w:name="_Toc126667582"/>
      <w:r w:rsidRPr="00EC5372">
        <w:rPr>
          <w:rFonts w:ascii="Arial" w:hAnsi="Arial" w:cs="Arial"/>
          <w:b/>
          <w:bCs/>
          <w:color w:val="000000" w:themeColor="text1"/>
          <w:sz w:val="24"/>
          <w:szCs w:val="24"/>
          <w:shd w:val="clear" w:color="auto" w:fill="FFFFFF"/>
        </w:rPr>
        <w:t>6.2 Hybrid Work Conceptual Framework</w:t>
      </w:r>
      <w:bookmarkEnd w:id="40"/>
    </w:p>
    <w:p w14:paraId="4746D038" w14:textId="77777777" w:rsidR="007314B7" w:rsidRPr="00EA236B" w:rsidRDefault="007314B7" w:rsidP="008E1570">
      <w:pPr>
        <w:spacing w:line="360" w:lineRule="auto"/>
        <w:jc w:val="both"/>
        <w:rPr>
          <w:rFonts w:ascii="Times New Roman" w:hAnsi="Times New Roman" w:cs="Times New Roman"/>
          <w:color w:val="000000" w:themeColor="text1"/>
          <w:kern w:val="0"/>
          <w:sz w:val="22"/>
          <w:szCs w:val="22"/>
        </w:rPr>
      </w:pPr>
    </w:p>
    <w:p w14:paraId="02AEC5B8" w14:textId="1B1B747D" w:rsidR="00FF2CFD" w:rsidRPr="00EA236B" w:rsidRDefault="00000000" w:rsidP="008E1570">
      <w:pPr>
        <w:spacing w:line="360" w:lineRule="auto"/>
        <w:jc w:val="both"/>
        <w:rPr>
          <w:rFonts w:ascii="Arial" w:eastAsia="Calibri" w:hAnsi="Arial" w:cs="Arial"/>
          <w:color w:val="000000" w:themeColor="text1"/>
        </w:rPr>
      </w:pPr>
      <w:r w:rsidRPr="00EA236B">
        <w:rPr>
          <w:rFonts w:ascii="Arial" w:hAnsi="Arial" w:cs="Arial"/>
          <w:color w:val="000000" w:themeColor="text1"/>
          <w:kern w:val="0"/>
        </w:rPr>
        <w:t xml:space="preserve">There is a need to understand the independent and dependent variables concerning the perceptions of hybrid working environments in contemporary workplaces. </w:t>
      </w:r>
      <w:r w:rsidRPr="00EA236B">
        <w:rPr>
          <w:rFonts w:ascii="Arial" w:hAnsi="Arial" w:cs="Arial"/>
          <w:color w:val="000000" w:themeColor="text1"/>
          <w:sz w:val="22"/>
          <w:szCs w:val="22"/>
        </w:rPr>
        <w:t xml:space="preserve">Conceptual frameworks have been widely operative across several organisations, essential in performance analysis. </w:t>
      </w:r>
      <w:r w:rsidRPr="00EA236B">
        <w:rPr>
          <w:rFonts w:ascii="Arial" w:eastAsia="Calibri" w:hAnsi="Arial" w:cs="Arial"/>
          <w:color w:val="000000" w:themeColor="text1"/>
        </w:rPr>
        <w:t>The main concepts evolving from this chapter are flexible working, work productivity, and the need for knowledge workers. Several themes have emerged, which include telehealth, telemedicine, and teleworkers. The conceptual framework in figure 1.</w:t>
      </w:r>
      <w:r w:rsidR="00B73258" w:rsidRPr="00EA236B">
        <w:rPr>
          <w:rFonts w:ascii="Arial" w:eastAsia="Calibri" w:hAnsi="Arial" w:cs="Arial"/>
          <w:color w:val="000000" w:themeColor="text1"/>
        </w:rPr>
        <w:t>5</w:t>
      </w:r>
      <w:r w:rsidRPr="00EA236B">
        <w:rPr>
          <w:rFonts w:ascii="Arial" w:eastAsia="Calibri" w:hAnsi="Arial" w:cs="Arial"/>
          <w:color w:val="000000" w:themeColor="text1"/>
        </w:rPr>
        <w:t xml:space="preserve"> will enable the emerging factors of a hybrid working environment to </w:t>
      </w:r>
      <w:r w:rsidR="00345871" w:rsidRPr="00EA236B">
        <w:rPr>
          <w:rFonts w:ascii="Arial" w:eastAsia="Calibri" w:hAnsi="Arial" w:cs="Arial"/>
          <w:color w:val="000000" w:themeColor="text1"/>
        </w:rPr>
        <w:t>illustrate their relationship (Miles and Huberman, 1994).</w:t>
      </w:r>
    </w:p>
    <w:p w14:paraId="0F9EE28E" w14:textId="5D6611C3" w:rsidR="00EF565C" w:rsidRPr="00EA236B" w:rsidRDefault="00EF565C" w:rsidP="008E1570">
      <w:pPr>
        <w:spacing w:line="360" w:lineRule="auto"/>
        <w:jc w:val="both"/>
        <w:rPr>
          <w:rFonts w:ascii="Arial" w:eastAsia="Calibri" w:hAnsi="Arial" w:cs="Arial"/>
          <w:color w:val="000000" w:themeColor="text1"/>
        </w:rPr>
      </w:pPr>
    </w:p>
    <w:p w14:paraId="009FE19A" w14:textId="77777777" w:rsidR="00D44B2C" w:rsidRDefault="00EF565C" w:rsidP="009618B7">
      <w:pPr>
        <w:keepNext/>
        <w:spacing w:line="360" w:lineRule="auto"/>
        <w:jc w:val="center"/>
      </w:pPr>
      <w:r w:rsidRPr="00EA236B">
        <w:rPr>
          <w:rFonts w:ascii="Arial" w:hAnsi="Arial" w:cs="Arial"/>
          <w:b/>
          <w:bCs/>
          <w:noProof/>
          <w:color w:val="000000" w:themeColor="text1"/>
          <w:shd w:val="clear" w:color="auto" w:fill="FFFFFF"/>
        </w:rPr>
        <w:lastRenderedPageBreak/>
        <w:drawing>
          <wp:inline distT="0" distB="0" distL="0" distR="0" wp14:anchorId="1533EC68" wp14:editId="525547F9">
            <wp:extent cx="5727700" cy="4165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4165600"/>
                    </a:xfrm>
                    <a:prstGeom prst="rect">
                      <a:avLst/>
                    </a:prstGeom>
                  </pic:spPr>
                </pic:pic>
              </a:graphicData>
            </a:graphic>
          </wp:inline>
        </w:drawing>
      </w:r>
    </w:p>
    <w:p w14:paraId="4A722E83" w14:textId="6890A626" w:rsidR="00D44B2C" w:rsidRPr="009618B7" w:rsidRDefault="00D44B2C" w:rsidP="00EC5372">
      <w:pPr>
        <w:pStyle w:val="Caption"/>
        <w:jc w:val="center"/>
        <w:rPr>
          <w:rFonts w:ascii="Arial" w:hAnsi="Arial" w:cs="Arial"/>
          <w:i w:val="0"/>
          <w:iCs w:val="0"/>
          <w:color w:val="000000" w:themeColor="text1"/>
          <w:sz w:val="24"/>
          <w:szCs w:val="24"/>
        </w:rPr>
      </w:pPr>
      <w:bookmarkStart w:id="41" w:name="_Toc126669746"/>
      <w:r w:rsidRPr="009618B7">
        <w:rPr>
          <w:rFonts w:ascii="Arial" w:hAnsi="Arial" w:cs="Arial"/>
          <w:i w:val="0"/>
          <w:iCs w:val="0"/>
          <w:color w:val="000000" w:themeColor="text1"/>
          <w:sz w:val="24"/>
          <w:szCs w:val="24"/>
        </w:rPr>
        <w:t xml:space="preserve">Figure 1.5 Conceptual Framework </w:t>
      </w:r>
      <w:bookmarkEnd w:id="41"/>
      <w:r w:rsidR="00EC5372" w:rsidRPr="009618B7">
        <w:rPr>
          <w:rFonts w:ascii="Arial" w:hAnsi="Arial" w:cs="Arial"/>
          <w:i w:val="0"/>
          <w:iCs w:val="0"/>
          <w:color w:val="000000" w:themeColor="text1"/>
          <w:sz w:val="24"/>
          <w:szCs w:val="24"/>
        </w:rPr>
        <w:t>(Author’s Creation)</w:t>
      </w:r>
    </w:p>
    <w:p w14:paraId="1A10FB08" w14:textId="77777777" w:rsidR="008E1570" w:rsidRPr="00EA236B" w:rsidRDefault="008E1570" w:rsidP="008E1570">
      <w:pPr>
        <w:rPr>
          <w:rFonts w:ascii="Arial" w:hAnsi="Arial" w:cs="Arial"/>
          <w:color w:val="000000" w:themeColor="text1"/>
          <w:shd w:val="clear" w:color="auto" w:fill="FFFFFF"/>
        </w:rPr>
      </w:pPr>
    </w:p>
    <w:p w14:paraId="187B2B30" w14:textId="77777777" w:rsidR="008E1570" w:rsidRPr="00EA236B" w:rsidRDefault="008E1570" w:rsidP="008E1570">
      <w:pPr>
        <w:rPr>
          <w:rFonts w:ascii="Arial" w:hAnsi="Arial" w:cs="Arial"/>
          <w:color w:val="000000" w:themeColor="text1"/>
          <w:shd w:val="clear" w:color="auto" w:fill="FFFFFF"/>
        </w:rPr>
      </w:pPr>
    </w:p>
    <w:p w14:paraId="48349CA4" w14:textId="33819D04" w:rsidR="0097160C" w:rsidRDefault="0076145C" w:rsidP="00FA2E1B">
      <w:pPr>
        <w:pStyle w:val="Heading1"/>
        <w:rPr>
          <w:rFonts w:ascii="Arial" w:eastAsia="Times New Roman" w:hAnsi="Arial" w:cs="Arial"/>
          <w:b/>
          <w:bCs/>
          <w:color w:val="000000" w:themeColor="text1"/>
          <w:sz w:val="24"/>
          <w:szCs w:val="24"/>
          <w:lang w:eastAsia="en-GB"/>
        </w:rPr>
      </w:pPr>
      <w:bookmarkStart w:id="42" w:name="_Toc126667583"/>
      <w:r w:rsidRPr="009618B7">
        <w:rPr>
          <w:rFonts w:ascii="Arial" w:eastAsia="Times New Roman" w:hAnsi="Arial" w:cs="Arial"/>
          <w:b/>
          <w:bCs/>
          <w:color w:val="000000" w:themeColor="text1"/>
          <w:sz w:val="24"/>
          <w:szCs w:val="24"/>
          <w:lang w:eastAsia="en-GB"/>
        </w:rPr>
        <w:t>7.0 Analysis and Evaluation</w:t>
      </w:r>
      <w:bookmarkEnd w:id="42"/>
    </w:p>
    <w:p w14:paraId="0E718164" w14:textId="77777777" w:rsidR="009618B7" w:rsidRPr="009618B7" w:rsidRDefault="009618B7" w:rsidP="009618B7">
      <w:pPr>
        <w:rPr>
          <w:lang w:eastAsia="en-GB"/>
        </w:rPr>
      </w:pPr>
    </w:p>
    <w:p w14:paraId="245675D1" w14:textId="23F290EE" w:rsidR="00CD0348" w:rsidRPr="00EA236B" w:rsidRDefault="00000000" w:rsidP="00CD0348">
      <w:pPr>
        <w:spacing w:after="100" w:afterAutospacing="1"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 xml:space="preserve">Critical analysis of the chosen theorist and perspective revealed </w:t>
      </w:r>
      <w:r w:rsidR="00B022BD" w:rsidRPr="00EA236B">
        <w:rPr>
          <w:rFonts w:ascii="Arial" w:eastAsia="Times New Roman" w:hAnsi="Arial" w:cs="Arial"/>
          <w:color w:val="000000" w:themeColor="text1"/>
          <w:lang w:eastAsia="en-GB"/>
        </w:rPr>
        <w:t>the practices of Porter's Value-Based healthcare and Generic Strategies that are relevant in contemporary management. With the value of patients seen as paramount, strategies enable organisations to perform effectively considering trends in the global economy.</w:t>
      </w:r>
    </w:p>
    <w:p w14:paraId="2DBDEB81" w14:textId="337D9220" w:rsidR="0097160C" w:rsidRDefault="0076145C" w:rsidP="00FA2E1B">
      <w:pPr>
        <w:pStyle w:val="Heading2"/>
        <w:rPr>
          <w:rFonts w:ascii="Arial" w:eastAsia="Times New Roman" w:hAnsi="Arial" w:cs="Arial"/>
          <w:b/>
          <w:bCs/>
          <w:color w:val="000000" w:themeColor="text1"/>
          <w:sz w:val="24"/>
          <w:szCs w:val="24"/>
          <w:lang w:eastAsia="en-GB"/>
        </w:rPr>
      </w:pPr>
      <w:bookmarkStart w:id="43" w:name="_Toc126667584"/>
      <w:r w:rsidRPr="009618B7">
        <w:rPr>
          <w:rFonts w:ascii="Arial" w:eastAsia="Times New Roman" w:hAnsi="Arial" w:cs="Arial"/>
          <w:b/>
          <w:bCs/>
          <w:color w:val="000000" w:themeColor="text1"/>
          <w:sz w:val="24"/>
          <w:szCs w:val="24"/>
          <w:lang w:eastAsia="en-GB"/>
        </w:rPr>
        <w:t>7.1 Justification of the Perspective Chosen</w:t>
      </w:r>
      <w:bookmarkEnd w:id="43"/>
    </w:p>
    <w:p w14:paraId="735BA353" w14:textId="77777777" w:rsidR="009618B7" w:rsidRPr="009618B7" w:rsidRDefault="009618B7" w:rsidP="009618B7">
      <w:pPr>
        <w:rPr>
          <w:lang w:eastAsia="en-GB"/>
        </w:rPr>
      </w:pPr>
    </w:p>
    <w:p w14:paraId="6A0090D9" w14:textId="3E72C494" w:rsidR="0097160C" w:rsidRPr="00EA236B" w:rsidRDefault="008F3A2D" w:rsidP="0097160C">
      <w:pPr>
        <w:spacing w:after="100" w:afterAutospacing="1"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 xml:space="preserve">As demonstrated above in Chapter two, this report </w:t>
      </w:r>
      <w:r w:rsidR="0076145C" w:rsidRPr="00EA236B">
        <w:rPr>
          <w:rFonts w:ascii="Arial" w:eastAsia="Times New Roman" w:hAnsi="Arial" w:cs="Arial"/>
          <w:color w:val="000000" w:themeColor="text1"/>
          <w:lang w:eastAsia="en-GB"/>
        </w:rPr>
        <w:t>analyses</w:t>
      </w:r>
      <w:r w:rsidRPr="00EA236B">
        <w:rPr>
          <w:rFonts w:ascii="Arial" w:eastAsia="Times New Roman" w:hAnsi="Arial" w:cs="Arial"/>
          <w:color w:val="000000" w:themeColor="text1"/>
          <w:lang w:eastAsia="en-GB"/>
        </w:rPr>
        <w:t xml:space="preserve"> the healthcare sector, which the final thesis will follow. Based on the analysis of the three theorists and their perspectives, the work of Michael Porter directly supports the thesis. Several seminal contributions drive Porter's value-based healthcare model in contemporary management practices in many aspects of medical tourism (</w:t>
      </w:r>
      <w:r w:rsidR="007A717A" w:rsidRPr="00EA236B">
        <w:rPr>
          <w:rFonts w:ascii="Arial" w:eastAsia="Times New Roman" w:hAnsi="Arial" w:cs="Arial"/>
          <w:color w:val="000000" w:themeColor="text1"/>
          <w:lang w:eastAsia="en-GB"/>
        </w:rPr>
        <w:t>Porter, 2008</w:t>
      </w:r>
      <w:r w:rsidRPr="00EA236B">
        <w:rPr>
          <w:rFonts w:ascii="Arial" w:eastAsia="Times New Roman" w:hAnsi="Arial" w:cs="Arial"/>
          <w:color w:val="000000" w:themeColor="text1"/>
          <w:lang w:eastAsia="en-GB"/>
        </w:rPr>
        <w:t xml:space="preserve">). </w:t>
      </w:r>
    </w:p>
    <w:p w14:paraId="32C1BEA2" w14:textId="1D958EDB" w:rsidR="0097160C" w:rsidRDefault="0076145C" w:rsidP="00FA2E1B">
      <w:pPr>
        <w:pStyle w:val="Heading2"/>
        <w:rPr>
          <w:rFonts w:ascii="Arial" w:eastAsia="Times New Roman" w:hAnsi="Arial" w:cs="Arial"/>
          <w:b/>
          <w:bCs/>
          <w:color w:val="000000" w:themeColor="text1"/>
          <w:sz w:val="24"/>
          <w:szCs w:val="24"/>
          <w:lang w:eastAsia="en-GB"/>
        </w:rPr>
      </w:pPr>
      <w:bookmarkStart w:id="44" w:name="_Toc126667585"/>
      <w:r w:rsidRPr="009618B7">
        <w:rPr>
          <w:rFonts w:ascii="Arial" w:eastAsia="Times New Roman" w:hAnsi="Arial" w:cs="Arial"/>
          <w:b/>
          <w:bCs/>
          <w:color w:val="000000" w:themeColor="text1"/>
          <w:sz w:val="24"/>
          <w:szCs w:val="24"/>
          <w:lang w:eastAsia="en-GB"/>
        </w:rPr>
        <w:t>7.2 The rationale for Rejection of Perspective</w:t>
      </w:r>
      <w:bookmarkEnd w:id="44"/>
    </w:p>
    <w:p w14:paraId="0D962A06" w14:textId="77777777" w:rsidR="009618B7" w:rsidRPr="009618B7" w:rsidRDefault="009618B7" w:rsidP="009618B7">
      <w:pPr>
        <w:rPr>
          <w:lang w:eastAsia="en-GB"/>
        </w:rPr>
      </w:pPr>
    </w:p>
    <w:p w14:paraId="662FDD9F" w14:textId="64FC098C" w:rsidR="009618B7" w:rsidRPr="00EA236B" w:rsidRDefault="00000000" w:rsidP="0097160C">
      <w:pPr>
        <w:spacing w:after="100" w:afterAutospacing="1"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With a seismic shift in the number of women in management and executive roles, Fielder's contingency model has been rejected because of the sample size, predominantly men</w:t>
      </w:r>
      <w:r w:rsidRPr="00EA236B">
        <w:rPr>
          <w:rFonts w:ascii="Arial" w:eastAsia="Times New Roman" w:hAnsi="Arial" w:cs="Arial"/>
          <w:b/>
          <w:bCs/>
          <w:color w:val="000000" w:themeColor="text1"/>
          <w:lang w:eastAsia="en-GB"/>
        </w:rPr>
        <w:t xml:space="preserve"> </w:t>
      </w:r>
      <w:r w:rsidRPr="00EA236B">
        <w:rPr>
          <w:rFonts w:ascii="Arial" w:eastAsia="Times New Roman" w:hAnsi="Arial" w:cs="Arial"/>
          <w:color w:val="000000" w:themeColor="text1"/>
          <w:lang w:eastAsia="en-GB"/>
        </w:rPr>
        <w:t>(</w:t>
      </w:r>
      <w:r w:rsidR="00443AEF" w:rsidRPr="00EA236B">
        <w:rPr>
          <w:rFonts w:ascii="Arial" w:eastAsia="Times New Roman" w:hAnsi="Arial" w:cs="Arial"/>
          <w:color w:val="000000" w:themeColor="text1"/>
          <w:lang w:eastAsia="en-GB"/>
        </w:rPr>
        <w:t>Offenwanger et al., 2021</w:t>
      </w:r>
      <w:r w:rsidRPr="00EA236B">
        <w:rPr>
          <w:rFonts w:ascii="Arial" w:eastAsia="Times New Roman" w:hAnsi="Arial" w:cs="Arial"/>
          <w:color w:val="000000" w:themeColor="text1"/>
          <w:lang w:eastAsia="en-GB"/>
        </w:rPr>
        <w:t>). Upon evaluating Drucker’s (</w:t>
      </w:r>
      <w:r w:rsidR="00443AEF" w:rsidRPr="00EA236B">
        <w:rPr>
          <w:rFonts w:ascii="Arial" w:eastAsia="Times New Roman" w:hAnsi="Arial" w:cs="Arial"/>
          <w:color w:val="000000" w:themeColor="text1"/>
          <w:lang w:eastAsia="en-GB"/>
        </w:rPr>
        <w:t>1994</w:t>
      </w:r>
      <w:r w:rsidRPr="00EA236B">
        <w:rPr>
          <w:rFonts w:ascii="Arial" w:eastAsia="Times New Roman" w:hAnsi="Arial" w:cs="Arial"/>
          <w:color w:val="000000" w:themeColor="text1"/>
          <w:lang w:eastAsia="en-GB"/>
        </w:rPr>
        <w:t xml:space="preserve">) theory, the theory was rejected based on the CSR </w:t>
      </w:r>
      <w:r w:rsidRPr="00EA236B">
        <w:rPr>
          <w:rFonts w:ascii="Arial" w:eastAsia="Times New Roman" w:hAnsi="Arial" w:cs="Arial"/>
          <w:color w:val="000000" w:themeColor="text1"/>
          <w:lang w:eastAsia="en-GB"/>
        </w:rPr>
        <w:lastRenderedPageBreak/>
        <w:t xml:space="preserve">aspect. Several organisations implement CSR and sustainability as a marketing campaign, using trending words such as </w:t>
      </w:r>
      <w:r w:rsidR="009A0759" w:rsidRPr="00EA236B">
        <w:rPr>
          <w:rFonts w:ascii="Arial" w:eastAsia="Times New Roman" w:hAnsi="Arial" w:cs="Arial"/>
          <w:color w:val="000000" w:themeColor="text1"/>
          <w:lang w:eastAsia="en-GB"/>
        </w:rPr>
        <w:t>eco-friendly:</w:t>
      </w:r>
      <w:r w:rsidR="00443AEF" w:rsidRPr="00EA236B">
        <w:rPr>
          <w:rFonts w:ascii="Arial" w:eastAsia="Times New Roman" w:hAnsi="Arial" w:cs="Arial"/>
          <w:color w:val="000000" w:themeColor="text1"/>
          <w:lang w:eastAsia="en-GB"/>
        </w:rPr>
        <w:t xml:space="preserve"> greenwashing marketing</w:t>
      </w:r>
      <w:r w:rsidRPr="00EA236B">
        <w:rPr>
          <w:rFonts w:ascii="Arial" w:eastAsia="Times New Roman" w:hAnsi="Arial" w:cs="Arial"/>
          <w:color w:val="000000" w:themeColor="text1"/>
          <w:lang w:eastAsia="en-GB"/>
        </w:rPr>
        <w:t xml:space="preserve"> due to </w:t>
      </w:r>
      <w:r w:rsidR="00443AEF" w:rsidRPr="00EA236B">
        <w:rPr>
          <w:rFonts w:ascii="Arial" w:eastAsia="Times New Roman" w:hAnsi="Arial" w:cs="Arial"/>
          <w:color w:val="000000" w:themeColor="text1"/>
          <w:lang w:eastAsia="en-GB"/>
        </w:rPr>
        <w:t>the</w:t>
      </w:r>
      <w:r w:rsidRPr="00EA236B">
        <w:rPr>
          <w:rFonts w:ascii="Arial" w:eastAsia="Times New Roman" w:hAnsi="Arial" w:cs="Arial"/>
          <w:color w:val="000000" w:themeColor="text1"/>
          <w:lang w:eastAsia="en-GB"/>
        </w:rPr>
        <w:t xml:space="preserve"> </w:t>
      </w:r>
      <w:r w:rsidR="00443AEF" w:rsidRPr="00EA236B">
        <w:rPr>
          <w:rFonts w:ascii="Arial" w:eastAsia="Times New Roman" w:hAnsi="Arial" w:cs="Arial"/>
          <w:color w:val="000000" w:themeColor="text1"/>
          <w:lang w:eastAsia="en-GB"/>
        </w:rPr>
        <w:t>‘</w:t>
      </w:r>
      <w:r w:rsidRPr="00EA236B">
        <w:rPr>
          <w:rFonts w:ascii="Arial" w:eastAsia="Times New Roman" w:hAnsi="Arial" w:cs="Arial"/>
          <w:color w:val="000000" w:themeColor="text1"/>
          <w:lang w:eastAsia="en-GB"/>
        </w:rPr>
        <w:t>Greta Thunberg</w:t>
      </w:r>
      <w:r w:rsidR="00443AEF" w:rsidRPr="00EA236B">
        <w:rPr>
          <w:rFonts w:ascii="Arial" w:eastAsia="Times New Roman" w:hAnsi="Arial" w:cs="Arial"/>
          <w:color w:val="000000" w:themeColor="text1"/>
          <w:lang w:eastAsia="en-GB"/>
        </w:rPr>
        <w:t xml:space="preserve"> Effect’</w:t>
      </w:r>
      <w:r w:rsidRPr="00EA236B">
        <w:rPr>
          <w:rFonts w:ascii="Arial" w:eastAsia="Times New Roman" w:hAnsi="Arial" w:cs="Arial"/>
          <w:color w:val="000000" w:themeColor="text1"/>
          <w:lang w:eastAsia="en-GB"/>
        </w:rPr>
        <w:t xml:space="preserve"> </w:t>
      </w:r>
      <w:r w:rsidR="009A0759" w:rsidRPr="00EA236B">
        <w:rPr>
          <w:rFonts w:ascii="Arial" w:eastAsia="Times New Roman" w:hAnsi="Arial" w:cs="Arial"/>
          <w:color w:val="000000" w:themeColor="text1"/>
          <w:lang w:eastAsia="en-GB"/>
        </w:rPr>
        <w:t>(Feldman, 2021)</w:t>
      </w:r>
      <w:r w:rsidRPr="00EA236B">
        <w:rPr>
          <w:rFonts w:ascii="Arial" w:eastAsia="Times New Roman" w:hAnsi="Arial" w:cs="Arial"/>
          <w:color w:val="000000" w:themeColor="text1"/>
          <w:lang w:eastAsia="en-GB"/>
        </w:rPr>
        <w:t xml:space="preserve">. However, the organisation's primary goal is to make a profit, and CSR can pose problems in the organisation's effectiveness (Friedman, </w:t>
      </w:r>
      <w:r w:rsidR="006D538D" w:rsidRPr="00EA236B">
        <w:rPr>
          <w:rFonts w:ascii="Arial" w:eastAsia="Times New Roman" w:hAnsi="Arial" w:cs="Arial"/>
          <w:color w:val="000000" w:themeColor="text1"/>
          <w:lang w:eastAsia="en-GB"/>
        </w:rPr>
        <w:t>1970</w:t>
      </w:r>
      <w:r w:rsidRPr="00EA236B">
        <w:rPr>
          <w:rFonts w:ascii="Arial" w:eastAsia="Times New Roman" w:hAnsi="Arial" w:cs="Arial"/>
          <w:color w:val="000000" w:themeColor="text1"/>
          <w:lang w:eastAsia="en-GB"/>
        </w:rPr>
        <w:t xml:space="preserve">). </w:t>
      </w:r>
    </w:p>
    <w:p w14:paraId="6AAEC025" w14:textId="525F2612" w:rsidR="00802041" w:rsidRDefault="0076145C" w:rsidP="009618B7">
      <w:pPr>
        <w:pStyle w:val="Heading1"/>
        <w:jc w:val="center"/>
        <w:rPr>
          <w:rFonts w:ascii="Arial" w:eastAsia="Times New Roman" w:hAnsi="Arial" w:cs="Arial"/>
          <w:b/>
          <w:bCs/>
          <w:color w:val="000000" w:themeColor="text1"/>
          <w:sz w:val="24"/>
          <w:szCs w:val="24"/>
          <w:lang w:eastAsia="en-GB"/>
        </w:rPr>
      </w:pPr>
      <w:bookmarkStart w:id="45" w:name="_Toc126667586"/>
      <w:r w:rsidRPr="009618B7">
        <w:rPr>
          <w:rFonts w:ascii="Arial" w:eastAsia="Times New Roman" w:hAnsi="Arial" w:cs="Arial"/>
          <w:b/>
          <w:bCs/>
          <w:color w:val="000000" w:themeColor="text1"/>
          <w:sz w:val="24"/>
          <w:szCs w:val="24"/>
          <w:lang w:eastAsia="en-GB"/>
        </w:rPr>
        <w:t>8.0 Conclusion</w:t>
      </w:r>
      <w:bookmarkEnd w:id="45"/>
    </w:p>
    <w:p w14:paraId="27447355" w14:textId="77777777" w:rsidR="009618B7" w:rsidRPr="009618B7" w:rsidRDefault="009618B7" w:rsidP="009618B7">
      <w:pPr>
        <w:rPr>
          <w:lang w:eastAsia="en-GB"/>
        </w:rPr>
      </w:pPr>
    </w:p>
    <w:p w14:paraId="4D0E4EB7" w14:textId="1E1D13A8" w:rsidR="00802041" w:rsidRPr="00EA236B" w:rsidRDefault="00000000" w:rsidP="0097160C">
      <w:pPr>
        <w:spacing w:after="100" w:afterAutospacing="1"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 xml:space="preserve">Synergies bourne from the report reveals that strategic value management and trust management in organisations </w:t>
      </w:r>
      <w:r w:rsidR="00CA0240" w:rsidRPr="00EA236B">
        <w:rPr>
          <w:rFonts w:ascii="Arial" w:eastAsia="Times New Roman" w:hAnsi="Arial" w:cs="Arial"/>
          <w:color w:val="000000" w:themeColor="text1"/>
          <w:lang w:eastAsia="en-GB"/>
        </w:rPr>
        <w:t>a</w:t>
      </w:r>
      <w:r w:rsidRPr="00EA236B">
        <w:rPr>
          <w:rFonts w:ascii="Arial" w:eastAsia="Times New Roman" w:hAnsi="Arial" w:cs="Arial"/>
          <w:color w:val="000000" w:themeColor="text1"/>
          <w:lang w:eastAsia="en-GB"/>
        </w:rPr>
        <w:t>re vital to contemporary management. Several scholars accentuated the importance of a hybrid working environment being synonymous with the modern workplace.</w:t>
      </w:r>
      <w:r w:rsidR="00CA0240" w:rsidRPr="00EA236B">
        <w:rPr>
          <w:rFonts w:ascii="Arial" w:eastAsia="Times New Roman" w:hAnsi="Arial" w:cs="Arial"/>
          <w:color w:val="000000" w:themeColor="text1"/>
          <w:lang w:eastAsia="en-GB"/>
        </w:rPr>
        <w:t xml:space="preserve"> The first set of analyses examined the impact of varying theorist and their perspective on contemporary management. </w:t>
      </w:r>
      <w:r w:rsidR="00DA6A53" w:rsidRPr="00EA236B">
        <w:rPr>
          <w:rFonts w:ascii="Arial" w:eastAsia="Times New Roman" w:hAnsi="Arial" w:cs="Arial"/>
          <w:color w:val="000000" w:themeColor="text1"/>
          <w:lang w:eastAsia="en-GB"/>
        </w:rPr>
        <w:t>Strong evidence of hybrid work was found when comparing the two case studies involving India and Thailand. However, it can be argued that there were no significant differences between the terminologies used concerning hybrid working practices.</w:t>
      </w:r>
      <w:r w:rsidR="008405AD" w:rsidRPr="00EA236B">
        <w:rPr>
          <w:rFonts w:ascii="Arial" w:eastAsia="Times New Roman" w:hAnsi="Arial" w:cs="Arial"/>
          <w:color w:val="000000" w:themeColor="text1"/>
          <w:lang w:eastAsia="en-GB"/>
        </w:rPr>
        <w:t xml:space="preserve"> This report's results indicate an opportunity to take the concept of hybrid work in the health sector forward into a thesis.</w:t>
      </w:r>
    </w:p>
    <w:p w14:paraId="20239B95" w14:textId="11146D29" w:rsidR="001E5199" w:rsidRPr="00EA236B" w:rsidRDefault="001E5199" w:rsidP="0097160C">
      <w:pPr>
        <w:spacing w:after="100" w:afterAutospacing="1" w:line="360" w:lineRule="auto"/>
        <w:jc w:val="both"/>
        <w:rPr>
          <w:rFonts w:ascii="Arial" w:eastAsia="Times New Roman" w:hAnsi="Arial" w:cs="Arial"/>
          <w:color w:val="000000" w:themeColor="text1"/>
          <w:lang w:eastAsia="en-GB"/>
        </w:rPr>
      </w:pPr>
    </w:p>
    <w:p w14:paraId="57AC830D" w14:textId="102C7CAA" w:rsidR="001E5199" w:rsidRPr="00EA236B" w:rsidRDefault="001E5199" w:rsidP="0097160C">
      <w:pPr>
        <w:spacing w:after="100" w:afterAutospacing="1" w:line="360" w:lineRule="auto"/>
        <w:jc w:val="both"/>
        <w:rPr>
          <w:rFonts w:ascii="Arial" w:eastAsia="Times New Roman" w:hAnsi="Arial" w:cs="Arial"/>
          <w:color w:val="000000" w:themeColor="text1"/>
          <w:lang w:eastAsia="en-GB"/>
        </w:rPr>
      </w:pPr>
    </w:p>
    <w:p w14:paraId="15B751AA" w14:textId="34C49A4F" w:rsidR="001E5199" w:rsidRPr="00EA236B" w:rsidRDefault="001E5199" w:rsidP="0097160C">
      <w:pPr>
        <w:spacing w:after="100" w:afterAutospacing="1" w:line="360" w:lineRule="auto"/>
        <w:jc w:val="both"/>
        <w:rPr>
          <w:rFonts w:ascii="Arial" w:eastAsia="Times New Roman" w:hAnsi="Arial" w:cs="Arial"/>
          <w:color w:val="000000" w:themeColor="text1"/>
          <w:lang w:eastAsia="en-GB"/>
        </w:rPr>
      </w:pPr>
    </w:p>
    <w:p w14:paraId="7560A156" w14:textId="34073D11" w:rsidR="001E5199" w:rsidRDefault="001E5199" w:rsidP="0097160C">
      <w:pPr>
        <w:spacing w:after="100" w:afterAutospacing="1" w:line="360" w:lineRule="auto"/>
        <w:jc w:val="both"/>
        <w:rPr>
          <w:rFonts w:ascii="Arial" w:eastAsia="Times New Roman" w:hAnsi="Arial" w:cs="Arial"/>
          <w:color w:val="000000" w:themeColor="text1"/>
          <w:lang w:eastAsia="en-GB"/>
        </w:rPr>
      </w:pPr>
    </w:p>
    <w:p w14:paraId="14BE7CA9" w14:textId="6AC11DCF" w:rsidR="008A6192" w:rsidRDefault="008A6192" w:rsidP="0097160C">
      <w:pPr>
        <w:spacing w:after="100" w:afterAutospacing="1" w:line="360" w:lineRule="auto"/>
        <w:jc w:val="both"/>
        <w:rPr>
          <w:rFonts w:ascii="Arial" w:eastAsia="Times New Roman" w:hAnsi="Arial" w:cs="Arial"/>
          <w:color w:val="000000" w:themeColor="text1"/>
          <w:lang w:eastAsia="en-GB"/>
        </w:rPr>
      </w:pPr>
    </w:p>
    <w:p w14:paraId="0DA173CE" w14:textId="71A743A1" w:rsidR="008A6192" w:rsidRDefault="008A6192" w:rsidP="0097160C">
      <w:pPr>
        <w:spacing w:after="100" w:afterAutospacing="1" w:line="360" w:lineRule="auto"/>
        <w:jc w:val="both"/>
        <w:rPr>
          <w:rFonts w:ascii="Arial" w:eastAsia="Times New Roman" w:hAnsi="Arial" w:cs="Arial"/>
          <w:color w:val="000000" w:themeColor="text1"/>
          <w:lang w:eastAsia="en-GB"/>
        </w:rPr>
      </w:pPr>
    </w:p>
    <w:p w14:paraId="38DA59CC" w14:textId="6EE5D927" w:rsidR="008A6192" w:rsidRDefault="008A6192" w:rsidP="0097160C">
      <w:pPr>
        <w:spacing w:after="100" w:afterAutospacing="1" w:line="360" w:lineRule="auto"/>
        <w:jc w:val="both"/>
        <w:rPr>
          <w:rFonts w:ascii="Arial" w:eastAsia="Times New Roman" w:hAnsi="Arial" w:cs="Arial"/>
          <w:color w:val="000000" w:themeColor="text1"/>
          <w:lang w:eastAsia="en-GB"/>
        </w:rPr>
      </w:pPr>
    </w:p>
    <w:p w14:paraId="02C890FA" w14:textId="22DD309D" w:rsidR="008A6192" w:rsidRDefault="008A6192" w:rsidP="0097160C">
      <w:pPr>
        <w:spacing w:after="100" w:afterAutospacing="1" w:line="360" w:lineRule="auto"/>
        <w:jc w:val="both"/>
        <w:rPr>
          <w:rFonts w:ascii="Arial" w:eastAsia="Times New Roman" w:hAnsi="Arial" w:cs="Arial"/>
          <w:color w:val="000000" w:themeColor="text1"/>
          <w:lang w:eastAsia="en-GB"/>
        </w:rPr>
      </w:pPr>
    </w:p>
    <w:p w14:paraId="1A9EB1B5" w14:textId="3B13FBA0" w:rsidR="008A6192" w:rsidRDefault="008A6192" w:rsidP="0097160C">
      <w:pPr>
        <w:spacing w:after="100" w:afterAutospacing="1" w:line="360" w:lineRule="auto"/>
        <w:jc w:val="both"/>
        <w:rPr>
          <w:rFonts w:ascii="Arial" w:eastAsia="Times New Roman" w:hAnsi="Arial" w:cs="Arial"/>
          <w:color w:val="000000" w:themeColor="text1"/>
          <w:lang w:eastAsia="en-GB"/>
        </w:rPr>
      </w:pPr>
    </w:p>
    <w:p w14:paraId="08A8FC13" w14:textId="4A08B90B" w:rsidR="008A6192" w:rsidRDefault="008A6192" w:rsidP="0097160C">
      <w:pPr>
        <w:spacing w:after="100" w:afterAutospacing="1" w:line="360" w:lineRule="auto"/>
        <w:jc w:val="both"/>
        <w:rPr>
          <w:rFonts w:ascii="Arial" w:eastAsia="Times New Roman" w:hAnsi="Arial" w:cs="Arial"/>
          <w:color w:val="000000" w:themeColor="text1"/>
          <w:lang w:eastAsia="en-GB"/>
        </w:rPr>
      </w:pPr>
    </w:p>
    <w:p w14:paraId="4BAFA46D" w14:textId="57FC575F" w:rsidR="008A6192" w:rsidRDefault="008A6192" w:rsidP="0097160C">
      <w:pPr>
        <w:spacing w:after="100" w:afterAutospacing="1" w:line="360" w:lineRule="auto"/>
        <w:jc w:val="both"/>
        <w:rPr>
          <w:rFonts w:ascii="Arial" w:eastAsia="Times New Roman" w:hAnsi="Arial" w:cs="Arial"/>
          <w:color w:val="000000" w:themeColor="text1"/>
          <w:lang w:eastAsia="en-GB"/>
        </w:rPr>
      </w:pPr>
    </w:p>
    <w:p w14:paraId="06B0CD9A" w14:textId="77777777" w:rsidR="008A6192" w:rsidRPr="00EA236B" w:rsidRDefault="008A6192" w:rsidP="0097160C">
      <w:pPr>
        <w:spacing w:after="100" w:afterAutospacing="1" w:line="360" w:lineRule="auto"/>
        <w:jc w:val="both"/>
        <w:rPr>
          <w:rFonts w:ascii="Arial" w:eastAsia="Times New Roman" w:hAnsi="Arial" w:cs="Arial"/>
          <w:color w:val="000000" w:themeColor="text1"/>
          <w:lang w:eastAsia="en-GB"/>
        </w:rPr>
      </w:pPr>
    </w:p>
    <w:p w14:paraId="27E00CBF" w14:textId="6102C89E" w:rsidR="001E5199" w:rsidRPr="008A6192" w:rsidRDefault="001E5199" w:rsidP="00FA2E1B">
      <w:pPr>
        <w:pStyle w:val="Heading1"/>
        <w:rPr>
          <w:rFonts w:ascii="Arial" w:eastAsia="Times New Roman" w:hAnsi="Arial" w:cs="Arial"/>
          <w:b/>
          <w:bCs/>
          <w:color w:val="000000" w:themeColor="text1"/>
          <w:sz w:val="24"/>
          <w:szCs w:val="24"/>
          <w:lang w:eastAsia="en-GB"/>
        </w:rPr>
      </w:pPr>
      <w:bookmarkStart w:id="46" w:name="_Toc126667587"/>
      <w:r w:rsidRPr="008A6192">
        <w:rPr>
          <w:rFonts w:ascii="Arial" w:eastAsia="Times New Roman" w:hAnsi="Arial" w:cs="Arial"/>
          <w:b/>
          <w:bCs/>
          <w:color w:val="000000" w:themeColor="text1"/>
          <w:sz w:val="24"/>
          <w:szCs w:val="24"/>
          <w:lang w:eastAsia="en-GB"/>
        </w:rPr>
        <w:lastRenderedPageBreak/>
        <w:t>References</w:t>
      </w:r>
      <w:bookmarkEnd w:id="46"/>
    </w:p>
    <w:p w14:paraId="5955C1E5" w14:textId="0881CD5A" w:rsidR="001E5199" w:rsidRPr="00EA236B" w:rsidRDefault="001E5199" w:rsidP="001E5199">
      <w:pPr>
        <w:spacing w:line="360" w:lineRule="auto"/>
        <w:jc w:val="both"/>
        <w:rPr>
          <w:rFonts w:ascii="Arial" w:hAnsi="Arial" w:cs="Arial"/>
          <w:color w:val="000000" w:themeColor="text1"/>
        </w:rPr>
      </w:pPr>
      <w:r w:rsidRPr="00EA236B">
        <w:rPr>
          <w:rFonts w:ascii="Arial" w:hAnsi="Arial" w:cs="Arial"/>
          <w:color w:val="000000" w:themeColor="text1"/>
        </w:rPr>
        <w:t xml:space="preserve">Alhargan, A., Mohd, S., Ahmadi, H. and Sanzogni, L., </w:t>
      </w:r>
      <w:r w:rsidRPr="00EA236B">
        <w:rPr>
          <w:rFonts w:ascii="Arial" w:hAnsi="Arial" w:cs="Arial"/>
          <w:color w:val="000000" w:themeColor="text1"/>
        </w:rPr>
        <w:t>(</w:t>
      </w:r>
      <w:r w:rsidRPr="00EA236B">
        <w:rPr>
          <w:rFonts w:ascii="Arial" w:hAnsi="Arial" w:cs="Arial"/>
          <w:color w:val="000000" w:themeColor="text1"/>
        </w:rPr>
        <w:t>2021</w:t>
      </w:r>
      <w:r w:rsidRPr="00EA236B">
        <w:rPr>
          <w:rFonts w:ascii="Arial" w:hAnsi="Arial" w:cs="Arial"/>
          <w:color w:val="000000" w:themeColor="text1"/>
        </w:rPr>
        <w:t>)</w:t>
      </w:r>
      <w:r w:rsidRPr="00EA236B">
        <w:rPr>
          <w:rFonts w:ascii="Arial" w:hAnsi="Arial" w:cs="Arial"/>
          <w:color w:val="000000" w:themeColor="text1"/>
        </w:rPr>
        <w:t xml:space="preserve">. Evaluating medical </w:t>
      </w:r>
      <w:r w:rsidR="00D041B8" w:rsidRPr="00EA236B">
        <w:rPr>
          <w:rFonts w:ascii="Arial" w:hAnsi="Arial" w:cs="Arial"/>
          <w:color w:val="000000" w:themeColor="text1"/>
        </w:rPr>
        <w:t>travellers’</w:t>
      </w:r>
      <w:r w:rsidRPr="00EA236B">
        <w:rPr>
          <w:rFonts w:ascii="Arial" w:hAnsi="Arial" w:cs="Arial"/>
          <w:color w:val="000000" w:themeColor="text1"/>
        </w:rPr>
        <w:t xml:space="preserve"> satisfaction through online review analysis. </w:t>
      </w:r>
      <w:r w:rsidRPr="00EA236B">
        <w:rPr>
          <w:rFonts w:ascii="Arial" w:hAnsi="Arial" w:cs="Arial"/>
          <w:i/>
          <w:iCs/>
          <w:color w:val="000000" w:themeColor="text1"/>
        </w:rPr>
        <w:t>Journal of Hospitality and Tourism Management, </w:t>
      </w:r>
      <w:r w:rsidRPr="00EA236B">
        <w:rPr>
          <w:rFonts w:ascii="Arial" w:hAnsi="Arial" w:cs="Arial"/>
          <w:color w:val="000000" w:themeColor="text1"/>
        </w:rPr>
        <w:t>48, pp. 519-537.</w:t>
      </w:r>
    </w:p>
    <w:p w14:paraId="326BBEBD" w14:textId="77777777" w:rsidR="001E5199" w:rsidRPr="00EA236B" w:rsidRDefault="001E5199" w:rsidP="001E5199">
      <w:pPr>
        <w:spacing w:line="360" w:lineRule="auto"/>
        <w:jc w:val="both"/>
        <w:rPr>
          <w:rFonts w:ascii="Arial" w:hAnsi="Arial" w:cs="Arial"/>
          <w:color w:val="000000" w:themeColor="text1"/>
        </w:rPr>
      </w:pPr>
    </w:p>
    <w:p w14:paraId="49FC451C" w14:textId="69A6FAE3" w:rsidR="001E5199" w:rsidRPr="00EA236B" w:rsidRDefault="001E5199" w:rsidP="001E5199">
      <w:pPr>
        <w:spacing w:line="360" w:lineRule="auto"/>
        <w:jc w:val="both"/>
        <w:rPr>
          <w:rFonts w:ascii="Arial" w:hAnsi="Arial" w:cs="Arial"/>
          <w:color w:val="000000" w:themeColor="text1"/>
        </w:rPr>
      </w:pPr>
      <w:r w:rsidRPr="00EA236B">
        <w:rPr>
          <w:rFonts w:ascii="Arial" w:hAnsi="Arial" w:cs="Arial"/>
          <w:color w:val="000000" w:themeColor="text1"/>
          <w:shd w:val="clear" w:color="auto" w:fill="FFFFFF"/>
        </w:rPr>
        <w:t xml:space="preserve">Arvidsson, H. and Arvidsson, R.,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2019</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The Uppsala Model of internationalisation and beyond.</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International Journal of Finance and Administration</w:t>
      </w:r>
      <w:r w:rsidRPr="00EA236B">
        <w:rPr>
          <w:rFonts w:ascii="Arial" w:hAnsi="Arial" w:cs="Arial"/>
          <w:color w:val="000000" w:themeColor="text1"/>
          <w:shd w:val="clear" w:color="auto" w:fill="FFFFFF"/>
        </w:rPr>
        <w:t>,</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42</w:t>
      </w:r>
      <w:r w:rsidRPr="00EA236B">
        <w:rPr>
          <w:rFonts w:ascii="Arial" w:hAnsi="Arial" w:cs="Arial"/>
          <w:color w:val="000000" w:themeColor="text1"/>
          <w:shd w:val="clear" w:color="auto" w:fill="FFFFFF"/>
        </w:rPr>
        <w:t>(2), pp.221-239.</w:t>
      </w:r>
    </w:p>
    <w:p w14:paraId="6DF4119F" w14:textId="6A8131D3"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Asrar-ul-Haq, M. and Anwar, S. (2018) “The Many Faces of Leadership: Proposing Research Agenda through a review of literature,” </w:t>
      </w:r>
      <w:r w:rsidRPr="00EA236B">
        <w:rPr>
          <w:rFonts w:ascii="Arial" w:hAnsi="Arial" w:cs="Arial"/>
          <w:i/>
          <w:color w:val="000000" w:themeColor="text1"/>
        </w:rPr>
        <w:t>Future Business Journal</w:t>
      </w:r>
      <w:r w:rsidRPr="00EA236B">
        <w:rPr>
          <w:rFonts w:ascii="Arial" w:hAnsi="Arial" w:cs="Arial"/>
          <w:color w:val="000000" w:themeColor="text1"/>
        </w:rPr>
        <w:t xml:space="preserve">, 4(2), pp. 179–188. </w:t>
      </w:r>
    </w:p>
    <w:p w14:paraId="79614B55" w14:textId="77777777" w:rsidR="001E5199" w:rsidRPr="00EA236B" w:rsidRDefault="001E5199" w:rsidP="001E5199">
      <w:pPr>
        <w:spacing w:line="360" w:lineRule="auto"/>
        <w:ind w:left="720" w:hanging="720"/>
        <w:jc w:val="both"/>
        <w:rPr>
          <w:rFonts w:ascii="Arial" w:hAnsi="Arial" w:cs="Arial"/>
          <w:color w:val="000000" w:themeColor="text1"/>
        </w:rPr>
      </w:pPr>
    </w:p>
    <w:p w14:paraId="4754E16B" w14:textId="2493FA5C"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Astrup, E., 2020. Passport to Plastics: Cosmetic Surgery Tourism, Medical Malpractice, and the Automatic Establishment of Personal Jurisdiction by Way of the Joint Commission International.</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Ind. J. Global Legal Stud.</w:t>
      </w:r>
      <w:r w:rsidRPr="00EA236B">
        <w:rPr>
          <w:rFonts w:ascii="Arial" w:hAnsi="Arial" w:cs="Arial"/>
          <w:color w:val="000000" w:themeColor="text1"/>
          <w:shd w:val="clear" w:color="auto" w:fill="FFFFFF"/>
        </w:rPr>
        <w:t>,</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27</w:t>
      </w:r>
      <w:r w:rsidRPr="00EA236B">
        <w:rPr>
          <w:rFonts w:ascii="Arial" w:hAnsi="Arial" w:cs="Arial"/>
          <w:color w:val="000000" w:themeColor="text1"/>
          <w:shd w:val="clear" w:color="auto" w:fill="FFFFFF"/>
        </w:rPr>
        <w:t>, p.347.</w:t>
      </w:r>
    </w:p>
    <w:p w14:paraId="5BF86646" w14:textId="77777777" w:rsidR="001E5199" w:rsidRPr="00EA236B" w:rsidRDefault="001E5199" w:rsidP="001E5199">
      <w:pPr>
        <w:spacing w:line="360" w:lineRule="auto"/>
        <w:jc w:val="both"/>
        <w:rPr>
          <w:rFonts w:ascii="Arial" w:hAnsi="Arial" w:cs="Arial"/>
          <w:color w:val="000000" w:themeColor="text1"/>
          <w:shd w:val="clear" w:color="auto" w:fill="FFFFFF"/>
        </w:rPr>
      </w:pPr>
    </w:p>
    <w:p w14:paraId="1E58AC00" w14:textId="4D417FEA"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Ayae, S. (2017) </w:t>
      </w:r>
      <w:r w:rsidRPr="00EA236B">
        <w:rPr>
          <w:rFonts w:ascii="Arial" w:hAnsi="Arial" w:cs="Arial"/>
          <w:i/>
          <w:color w:val="000000" w:themeColor="text1"/>
        </w:rPr>
        <w:t xml:space="preserve">Medical tourism destination: A case study of </w:t>
      </w:r>
      <w:r w:rsidR="00D041B8" w:rsidRPr="00EA236B">
        <w:rPr>
          <w:rFonts w:ascii="Arial" w:hAnsi="Arial" w:cs="Arial"/>
          <w:i/>
          <w:color w:val="000000" w:themeColor="text1"/>
        </w:rPr>
        <w:t>Thailand</w:t>
      </w:r>
      <w:r w:rsidRPr="00EA236B">
        <w:rPr>
          <w:rFonts w:ascii="Arial" w:hAnsi="Arial" w:cs="Arial"/>
          <w:i/>
          <w:color w:val="000000" w:themeColor="text1"/>
        </w:rPr>
        <w:t xml:space="preserve"> tourism development strategy</w:t>
      </w:r>
      <w:r w:rsidRPr="00EA236B">
        <w:rPr>
          <w:rFonts w:ascii="Arial" w:hAnsi="Arial" w:cs="Arial"/>
          <w:color w:val="000000" w:themeColor="text1"/>
        </w:rPr>
        <w:t xml:space="preserve">, </w:t>
      </w:r>
      <w:r w:rsidRPr="00EA236B">
        <w:rPr>
          <w:rFonts w:ascii="Arial" w:hAnsi="Arial" w:cs="Arial"/>
          <w:i/>
          <w:color w:val="000000" w:themeColor="text1"/>
        </w:rPr>
        <w:t>UMY Repository</w:t>
      </w:r>
      <w:r w:rsidRPr="00EA236B">
        <w:rPr>
          <w:rFonts w:ascii="Arial" w:hAnsi="Arial" w:cs="Arial"/>
          <w:color w:val="000000" w:themeColor="text1"/>
        </w:rPr>
        <w:t xml:space="preserve">. FISIPOL UMY. Available at: http://repository.umy.ac.id/handle/123456789/11414 (Accessed: December 22, 2022). </w:t>
      </w:r>
    </w:p>
    <w:p w14:paraId="1F755B59" w14:textId="77777777" w:rsidR="001E5199" w:rsidRPr="00EA236B" w:rsidRDefault="001E5199" w:rsidP="001E5199">
      <w:pPr>
        <w:spacing w:line="360" w:lineRule="auto"/>
        <w:ind w:left="720" w:hanging="720"/>
        <w:jc w:val="both"/>
        <w:rPr>
          <w:rFonts w:ascii="Arial" w:hAnsi="Arial" w:cs="Arial"/>
          <w:color w:val="000000" w:themeColor="text1"/>
        </w:rPr>
      </w:pPr>
    </w:p>
    <w:p w14:paraId="4ACB4594" w14:textId="2DF8ACC5" w:rsidR="001E5199" w:rsidRPr="00EA236B" w:rsidRDefault="001E5199" w:rsidP="001E5199">
      <w:pPr>
        <w:spacing w:line="360" w:lineRule="auto"/>
        <w:jc w:val="both"/>
        <w:rPr>
          <w:rFonts w:ascii="Arial" w:hAnsi="Arial" w:cs="Arial"/>
          <w:color w:val="000000" w:themeColor="text1"/>
        </w:rPr>
      </w:pPr>
      <w:r w:rsidRPr="00EA236B">
        <w:rPr>
          <w:rFonts w:ascii="Arial" w:hAnsi="Arial" w:cs="Arial"/>
          <w:color w:val="000000" w:themeColor="text1"/>
        </w:rPr>
        <w:t xml:space="preserve">Azar, S., Khan, A. and Van Eerde, W., </w:t>
      </w:r>
      <w:r w:rsidRPr="00EA236B">
        <w:rPr>
          <w:rFonts w:ascii="Arial" w:hAnsi="Arial" w:cs="Arial"/>
          <w:color w:val="000000" w:themeColor="text1"/>
        </w:rPr>
        <w:t>(</w:t>
      </w:r>
      <w:r w:rsidRPr="00EA236B">
        <w:rPr>
          <w:rFonts w:ascii="Arial" w:hAnsi="Arial" w:cs="Arial"/>
          <w:color w:val="000000" w:themeColor="text1"/>
        </w:rPr>
        <w:t>2018</w:t>
      </w:r>
      <w:r w:rsidRPr="00EA236B">
        <w:rPr>
          <w:rFonts w:ascii="Arial" w:hAnsi="Arial" w:cs="Arial"/>
          <w:color w:val="000000" w:themeColor="text1"/>
        </w:rPr>
        <w:t>)</w:t>
      </w:r>
      <w:r w:rsidRPr="00EA236B">
        <w:rPr>
          <w:rFonts w:ascii="Arial" w:hAnsi="Arial" w:cs="Arial"/>
          <w:color w:val="000000" w:themeColor="text1"/>
        </w:rPr>
        <w:t>. Modelling linkages between flexible work arrangements' use and organizational outcomes. </w:t>
      </w:r>
      <w:r w:rsidRPr="00EA236B">
        <w:rPr>
          <w:rFonts w:ascii="Arial" w:hAnsi="Arial" w:cs="Arial"/>
          <w:i/>
          <w:iCs/>
          <w:color w:val="000000" w:themeColor="text1"/>
        </w:rPr>
        <w:t>Journal of Business Research, </w:t>
      </w:r>
      <w:r w:rsidRPr="00EA236B">
        <w:rPr>
          <w:rFonts w:ascii="Arial" w:hAnsi="Arial" w:cs="Arial"/>
          <w:color w:val="000000" w:themeColor="text1"/>
        </w:rPr>
        <w:t>91, pp. 134-143</w:t>
      </w:r>
    </w:p>
    <w:p w14:paraId="1191BD9A" w14:textId="77777777" w:rsidR="001E5199" w:rsidRPr="00EA236B" w:rsidRDefault="001E5199" w:rsidP="001E5199">
      <w:pPr>
        <w:spacing w:line="360" w:lineRule="auto"/>
        <w:jc w:val="both"/>
        <w:rPr>
          <w:rFonts w:ascii="Arial" w:hAnsi="Arial" w:cs="Arial"/>
          <w:color w:val="000000" w:themeColor="text1"/>
          <w:shd w:val="clear" w:color="auto" w:fill="FFFFFF"/>
        </w:rPr>
      </w:pPr>
    </w:p>
    <w:p w14:paraId="733926D7" w14:textId="19EAB5FF"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Bakoula, S. and Galanakis, M.,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2022</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The Evolution of McGregor’s X and Y Theory in the Contemporary Organizational Settings: A Systematic Literature Review.</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Psychology</w:t>
      </w:r>
      <w:r w:rsidRPr="00EA236B">
        <w:rPr>
          <w:rFonts w:ascii="Arial" w:hAnsi="Arial" w:cs="Arial"/>
          <w:color w:val="000000" w:themeColor="text1"/>
          <w:shd w:val="clear" w:color="auto" w:fill="FFFFFF"/>
        </w:rPr>
        <w:t>,</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12</w:t>
      </w:r>
      <w:r w:rsidRPr="00EA236B">
        <w:rPr>
          <w:rFonts w:ascii="Arial" w:hAnsi="Arial" w:cs="Arial"/>
          <w:color w:val="000000" w:themeColor="text1"/>
          <w:shd w:val="clear" w:color="auto" w:fill="FFFFFF"/>
        </w:rPr>
        <w:t>(12), pp.946-950.</w:t>
      </w:r>
    </w:p>
    <w:p w14:paraId="7293EB68" w14:textId="3B7F57CE" w:rsidR="001E5199" w:rsidRPr="00EA236B" w:rsidRDefault="001E5199" w:rsidP="001E5199">
      <w:pPr>
        <w:pStyle w:val="NormalWeb"/>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Bartunek, J.M.,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2020</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Accomplishing impact by performing our theories: It can be done, though not easily.</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The Journal of Applied Behavioral Science</w:t>
      </w:r>
      <w:r w:rsidRPr="00EA236B">
        <w:rPr>
          <w:rFonts w:ascii="Arial" w:hAnsi="Arial" w:cs="Arial"/>
          <w:color w:val="000000" w:themeColor="text1"/>
          <w:shd w:val="clear" w:color="auto" w:fill="FFFFFF"/>
        </w:rPr>
        <w:t>,</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56</w:t>
      </w:r>
      <w:r w:rsidRPr="00EA236B">
        <w:rPr>
          <w:rFonts w:ascii="Arial" w:hAnsi="Arial" w:cs="Arial"/>
          <w:color w:val="000000" w:themeColor="text1"/>
          <w:shd w:val="clear" w:color="auto" w:fill="FFFFFF"/>
        </w:rPr>
        <w:t>(1), pp.11-31.</w:t>
      </w:r>
    </w:p>
    <w:p w14:paraId="2FBAE4CD" w14:textId="0B379987" w:rsidR="001E5199" w:rsidRPr="00EA236B" w:rsidRDefault="001E5199" w:rsidP="001E5199">
      <w:pPr>
        <w:spacing w:after="105" w:line="360" w:lineRule="auto"/>
        <w:jc w:val="both"/>
        <w:rPr>
          <w:rFonts w:ascii="Arial" w:eastAsia="Times New Roman" w:hAnsi="Arial" w:cs="Arial"/>
          <w:color w:val="000000" w:themeColor="text1"/>
          <w:lang w:eastAsia="en-GB"/>
        </w:rPr>
      </w:pPr>
      <w:r w:rsidRPr="00EA236B">
        <w:rPr>
          <w:rFonts w:ascii="Arial" w:hAnsi="Arial" w:cs="Arial"/>
          <w:color w:val="000000" w:themeColor="text1"/>
          <w:shd w:val="clear" w:color="auto" w:fill="FFFFFF"/>
        </w:rPr>
        <w:t xml:space="preserve">Bebchuk, L.A., Kastiel, K. and Toniolo, A.,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2023</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xml:space="preserve">. How Twitter Pushed Stakeholders Under </w:t>
      </w:r>
      <w:r w:rsidR="00D041B8" w:rsidRPr="00EA236B">
        <w:rPr>
          <w:rFonts w:ascii="Arial" w:hAnsi="Arial" w:cs="Arial"/>
          <w:color w:val="000000" w:themeColor="text1"/>
          <w:shd w:val="clear" w:color="auto" w:fill="FFFFFF"/>
        </w:rPr>
        <w:t>the</w:t>
      </w:r>
      <w:r w:rsidRPr="00EA236B">
        <w:rPr>
          <w:rFonts w:ascii="Arial" w:hAnsi="Arial" w:cs="Arial"/>
          <w:color w:val="000000" w:themeColor="text1"/>
          <w:shd w:val="clear" w:color="auto" w:fill="FFFFFF"/>
        </w:rPr>
        <w:t xml:space="preserve"> Bus.</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Harvard Law School Program on Corporate Governance Working Paper</w:t>
      </w:r>
      <w:r w:rsidRPr="00EA236B">
        <w:rPr>
          <w:rFonts w:ascii="Arial" w:hAnsi="Arial" w:cs="Arial"/>
          <w:color w:val="000000" w:themeColor="text1"/>
          <w:shd w:val="clear" w:color="auto" w:fill="FFFFFF"/>
        </w:rPr>
        <w:t>, (2023-1).</w:t>
      </w:r>
    </w:p>
    <w:p w14:paraId="2FE8553B" w14:textId="206E0B55"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Brooks, C. (2023) </w:t>
      </w:r>
      <w:r w:rsidRPr="00EA236B">
        <w:rPr>
          <w:rFonts w:ascii="Arial" w:hAnsi="Arial" w:cs="Arial"/>
          <w:i/>
          <w:color w:val="000000" w:themeColor="text1"/>
        </w:rPr>
        <w:t>How to apply Peter Drucker's management theory</w:t>
      </w:r>
      <w:r w:rsidRPr="00EA236B">
        <w:rPr>
          <w:rFonts w:ascii="Arial" w:hAnsi="Arial" w:cs="Arial"/>
          <w:color w:val="000000" w:themeColor="text1"/>
        </w:rPr>
        <w:t xml:space="preserve">, </w:t>
      </w:r>
      <w:r w:rsidRPr="00EA236B">
        <w:rPr>
          <w:rFonts w:ascii="Arial" w:hAnsi="Arial" w:cs="Arial"/>
          <w:i/>
          <w:color w:val="000000" w:themeColor="text1"/>
        </w:rPr>
        <w:t>business.com</w:t>
      </w:r>
      <w:r w:rsidRPr="00EA236B">
        <w:rPr>
          <w:rFonts w:ascii="Arial" w:hAnsi="Arial" w:cs="Arial"/>
          <w:color w:val="000000" w:themeColor="text1"/>
        </w:rPr>
        <w:t xml:space="preserve">. Available at: https://www.business.com/articles/management-theory-of-peter-drucker/ (Accessed: February 1, 2023). </w:t>
      </w:r>
    </w:p>
    <w:p w14:paraId="38B5811D" w14:textId="77777777" w:rsidR="001E5199" w:rsidRPr="00EA236B" w:rsidRDefault="001E5199" w:rsidP="001E5199">
      <w:pPr>
        <w:spacing w:line="360" w:lineRule="auto"/>
        <w:ind w:left="720" w:hanging="720"/>
        <w:jc w:val="both"/>
        <w:rPr>
          <w:rFonts w:ascii="Arial" w:hAnsi="Arial" w:cs="Arial"/>
          <w:color w:val="000000" w:themeColor="text1"/>
        </w:rPr>
      </w:pPr>
    </w:p>
    <w:p w14:paraId="7F1A7A38" w14:textId="4A5EC06F"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Brozel, C.,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2022</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Developments in German e-tourism: An industry perspective. In</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Handbook of e-Tourism</w:t>
      </w:r>
      <w:r w:rsidRPr="00EA236B">
        <w:rPr>
          <w:rStyle w:val="apple-converted-space"/>
          <w:rFonts w:ascii="Arial" w:hAnsi="Arial" w:cs="Arial"/>
          <w:color w:val="000000" w:themeColor="text1"/>
          <w:shd w:val="clear" w:color="auto" w:fill="FFFFFF"/>
        </w:rPr>
        <w:t> </w:t>
      </w:r>
      <w:r w:rsidRPr="00EA236B">
        <w:rPr>
          <w:rFonts w:ascii="Arial" w:hAnsi="Arial" w:cs="Arial"/>
          <w:color w:val="000000" w:themeColor="text1"/>
          <w:shd w:val="clear" w:color="auto" w:fill="FFFFFF"/>
        </w:rPr>
        <w:t>(pp. 1-32). Cham: Springer International Publishing.</w:t>
      </w:r>
    </w:p>
    <w:p w14:paraId="30093772" w14:textId="77777777" w:rsidR="001E5199" w:rsidRPr="00EA236B" w:rsidRDefault="001E5199" w:rsidP="001E5199">
      <w:pPr>
        <w:spacing w:line="360" w:lineRule="auto"/>
        <w:jc w:val="both"/>
        <w:rPr>
          <w:rFonts w:ascii="Arial" w:hAnsi="Arial" w:cs="Arial"/>
          <w:color w:val="000000" w:themeColor="text1"/>
          <w:shd w:val="clear" w:color="auto" w:fill="FFFFFF"/>
        </w:rPr>
      </w:pPr>
    </w:p>
    <w:p w14:paraId="35CFA29E" w14:textId="6CA0D113"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lastRenderedPageBreak/>
        <w:t xml:space="preserve">Bumrungrad (2019) </w:t>
      </w:r>
      <w:r w:rsidRPr="00EA236B">
        <w:rPr>
          <w:rFonts w:ascii="Arial" w:hAnsi="Arial" w:cs="Arial"/>
          <w:i/>
          <w:color w:val="000000" w:themeColor="text1"/>
        </w:rPr>
        <w:t>PillPick System on the Asian market from the main entrance: first installation at Bumrungrad International Hospital.</w:t>
      </w:r>
      <w:r w:rsidRPr="00EA236B">
        <w:rPr>
          <w:rFonts w:ascii="Arial" w:hAnsi="Arial" w:cs="Arial"/>
          <w:color w:val="000000" w:themeColor="text1"/>
        </w:rPr>
        <w:t xml:space="preserve">, </w:t>
      </w:r>
      <w:r w:rsidRPr="00EA236B">
        <w:rPr>
          <w:rFonts w:ascii="Arial" w:hAnsi="Arial" w:cs="Arial"/>
          <w:i/>
          <w:color w:val="000000" w:themeColor="text1"/>
        </w:rPr>
        <w:t>BUMRUNGRAD INTERNATIONAL HOSPITAL BANGKOK, THAILAND</w:t>
      </w:r>
      <w:r w:rsidRPr="00EA236B">
        <w:rPr>
          <w:rFonts w:ascii="Arial" w:hAnsi="Arial" w:cs="Arial"/>
          <w:color w:val="000000" w:themeColor="text1"/>
        </w:rPr>
        <w:t xml:space="preserve">. Massar. Available at: https://massar.ru/wp-content/uploads/2019/10/hcs-ims-300-strong-memorial.pdf (Accessed: February 2, 2023). </w:t>
      </w:r>
    </w:p>
    <w:p w14:paraId="7081BCBC" w14:textId="77777777" w:rsidR="001E5199" w:rsidRPr="00EA236B" w:rsidRDefault="001E5199" w:rsidP="001E5199">
      <w:pPr>
        <w:spacing w:line="360" w:lineRule="auto"/>
        <w:ind w:left="720" w:hanging="720"/>
        <w:jc w:val="both"/>
        <w:rPr>
          <w:rFonts w:ascii="Arial" w:hAnsi="Arial" w:cs="Arial"/>
          <w:color w:val="000000" w:themeColor="text1"/>
        </w:rPr>
      </w:pPr>
    </w:p>
    <w:p w14:paraId="799E4D01" w14:textId="3C327BCC"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Bumrungrad (2022) </w:t>
      </w:r>
      <w:r w:rsidRPr="00EA236B">
        <w:rPr>
          <w:rFonts w:ascii="Arial" w:hAnsi="Arial" w:cs="Arial"/>
          <w:i/>
          <w:color w:val="000000" w:themeColor="text1"/>
        </w:rPr>
        <w:t>Bumrungrad case study: How we brought one of the world's top hospitals to Mobile.</w:t>
      </w:r>
      <w:r w:rsidRPr="00EA236B">
        <w:rPr>
          <w:rFonts w:ascii="Arial" w:hAnsi="Arial" w:cs="Arial"/>
          <w:color w:val="000000" w:themeColor="text1"/>
        </w:rPr>
        <w:t xml:space="preserve">, </w:t>
      </w:r>
      <w:r w:rsidRPr="00EA236B">
        <w:rPr>
          <w:rFonts w:ascii="Arial" w:hAnsi="Arial" w:cs="Arial"/>
          <w:i/>
          <w:color w:val="000000" w:themeColor="text1"/>
        </w:rPr>
        <w:t>oozou</w:t>
      </w:r>
      <w:r w:rsidRPr="00EA236B">
        <w:rPr>
          <w:rFonts w:ascii="Arial" w:hAnsi="Arial" w:cs="Arial"/>
          <w:color w:val="000000" w:themeColor="text1"/>
        </w:rPr>
        <w:t xml:space="preserve">. Available at: https://oozou.com/case_studies/bumrungrad (Accessed: February 3, 2023). </w:t>
      </w:r>
    </w:p>
    <w:p w14:paraId="77C4128E" w14:textId="77777777" w:rsidR="001E5199" w:rsidRPr="00EA236B" w:rsidRDefault="001E5199" w:rsidP="001E5199">
      <w:pPr>
        <w:spacing w:line="360" w:lineRule="auto"/>
        <w:ind w:left="720" w:hanging="720"/>
        <w:jc w:val="both"/>
        <w:rPr>
          <w:rFonts w:ascii="Arial" w:hAnsi="Arial" w:cs="Arial"/>
          <w:color w:val="000000" w:themeColor="text1"/>
        </w:rPr>
      </w:pPr>
    </w:p>
    <w:p w14:paraId="48FD15C0" w14:textId="63404A27" w:rsidR="001E5199" w:rsidRPr="00EA236B" w:rsidRDefault="001E5199" w:rsidP="001E5199">
      <w:pPr>
        <w:spacing w:after="105" w:line="360" w:lineRule="auto"/>
        <w:jc w:val="both"/>
        <w:rPr>
          <w:rFonts w:ascii="Arial" w:eastAsia="Times New Roman" w:hAnsi="Arial" w:cs="Arial"/>
          <w:color w:val="000000" w:themeColor="text1"/>
          <w:lang w:eastAsia="en-GB"/>
        </w:rPr>
      </w:pPr>
      <w:r w:rsidRPr="00EA236B">
        <w:rPr>
          <w:rFonts w:ascii="Arial" w:hAnsi="Arial" w:cs="Arial"/>
          <w:color w:val="000000" w:themeColor="text1"/>
          <w:shd w:val="clear" w:color="auto" w:fill="FFFFFF"/>
        </w:rPr>
        <w:t xml:space="preserve">Busolo, J., Onyango, G., Karugu, N. and Orodho, J.,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2019</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xml:space="preserve">. Leadership Behaviours and its </w:t>
      </w:r>
      <w:r w:rsidR="00D041B8" w:rsidRPr="00EA236B">
        <w:rPr>
          <w:rFonts w:ascii="Arial" w:hAnsi="Arial" w:cs="Arial"/>
          <w:color w:val="000000" w:themeColor="text1"/>
          <w:shd w:val="clear" w:color="auto" w:fill="FFFFFF"/>
        </w:rPr>
        <w:t>Relationship</w:t>
      </w:r>
      <w:r w:rsidRPr="00EA236B">
        <w:rPr>
          <w:rFonts w:ascii="Arial" w:hAnsi="Arial" w:cs="Arial"/>
          <w:color w:val="000000" w:themeColor="text1"/>
          <w:shd w:val="clear" w:color="auto" w:fill="FFFFFF"/>
        </w:rPr>
        <w:t xml:space="preserve"> with Female Principals ‘Management Experience: The Case of Vihiga County and Kisumu Municipality, Kenya.</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 xml:space="preserve">Greener Journal </w:t>
      </w:r>
      <w:r w:rsidR="00D041B8" w:rsidRPr="00EA236B">
        <w:rPr>
          <w:rFonts w:ascii="Arial" w:hAnsi="Arial" w:cs="Arial"/>
          <w:i/>
          <w:iCs/>
          <w:color w:val="000000" w:themeColor="text1"/>
        </w:rPr>
        <w:t>of</w:t>
      </w:r>
      <w:r w:rsidRPr="00EA236B">
        <w:rPr>
          <w:rFonts w:ascii="Arial" w:hAnsi="Arial" w:cs="Arial"/>
          <w:i/>
          <w:iCs/>
          <w:color w:val="000000" w:themeColor="text1"/>
        </w:rPr>
        <w:t xml:space="preserve"> Educational Research</w:t>
      </w:r>
      <w:r w:rsidRPr="00EA236B">
        <w:rPr>
          <w:rFonts w:ascii="Arial" w:hAnsi="Arial" w:cs="Arial"/>
          <w:color w:val="000000" w:themeColor="text1"/>
          <w:shd w:val="clear" w:color="auto" w:fill="FFFFFF"/>
        </w:rPr>
        <w:t>,</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9</w:t>
      </w:r>
      <w:r w:rsidRPr="00EA236B">
        <w:rPr>
          <w:rFonts w:ascii="Arial" w:hAnsi="Arial" w:cs="Arial"/>
          <w:color w:val="000000" w:themeColor="text1"/>
          <w:shd w:val="clear" w:color="auto" w:fill="FFFFFF"/>
        </w:rPr>
        <w:t>(1), pp.27-35.</w:t>
      </w:r>
      <w:r w:rsidRPr="00EA236B">
        <w:rPr>
          <w:rFonts w:ascii="Arial" w:eastAsia="Times New Roman" w:hAnsi="Arial" w:cs="Arial"/>
          <w:color w:val="000000" w:themeColor="text1"/>
          <w:lang w:eastAsia="en-GB"/>
        </w:rPr>
        <w:t xml:space="preserve"> </w:t>
      </w:r>
    </w:p>
    <w:p w14:paraId="6454AE89" w14:textId="77777777" w:rsidR="001E5199" w:rsidRPr="00EA236B" w:rsidRDefault="001E5199" w:rsidP="001E5199">
      <w:pPr>
        <w:spacing w:after="105" w:line="360" w:lineRule="auto"/>
        <w:jc w:val="both"/>
        <w:rPr>
          <w:rFonts w:ascii="Arial" w:eastAsia="Times New Roman" w:hAnsi="Arial" w:cs="Arial"/>
          <w:color w:val="000000" w:themeColor="text1"/>
          <w:lang w:eastAsia="en-GB"/>
        </w:rPr>
      </w:pPr>
    </w:p>
    <w:p w14:paraId="3038404A" w14:textId="1FB8B6DB"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Cai, D.A., Fink, E.L. and Walker, C.B. (2019) “Robert R. Blake, with recognition of Jane S. Mouton,” </w:t>
      </w:r>
      <w:r w:rsidRPr="00EA236B">
        <w:rPr>
          <w:rFonts w:ascii="Arial" w:hAnsi="Arial" w:cs="Arial"/>
          <w:i/>
          <w:color w:val="000000" w:themeColor="text1"/>
        </w:rPr>
        <w:t>Negotiation and Conflict Management Research</w:t>
      </w:r>
      <w:r w:rsidRPr="00EA236B">
        <w:rPr>
          <w:rFonts w:ascii="Arial" w:hAnsi="Arial" w:cs="Arial"/>
          <w:color w:val="000000" w:themeColor="text1"/>
        </w:rPr>
        <w:t xml:space="preserve"> [Preprint]. </w:t>
      </w:r>
    </w:p>
    <w:p w14:paraId="0C4BB76B" w14:textId="77777777" w:rsidR="001E5199" w:rsidRPr="00EA236B" w:rsidRDefault="001E5199" w:rsidP="001E5199">
      <w:pPr>
        <w:spacing w:line="360" w:lineRule="auto"/>
        <w:ind w:left="720" w:hanging="720"/>
        <w:jc w:val="both"/>
        <w:rPr>
          <w:rFonts w:ascii="Arial" w:hAnsi="Arial" w:cs="Arial"/>
          <w:color w:val="000000" w:themeColor="text1"/>
        </w:rPr>
      </w:pPr>
    </w:p>
    <w:p w14:paraId="7907330B" w14:textId="4FC83EC4"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Cannon Hunter, W. (2015) “Medical tourism: A new global niche,” </w:t>
      </w:r>
      <w:r w:rsidRPr="00EA236B">
        <w:rPr>
          <w:rFonts w:ascii="Arial" w:hAnsi="Arial" w:cs="Arial"/>
          <w:i/>
          <w:color w:val="000000" w:themeColor="text1"/>
        </w:rPr>
        <w:t>International Journal of Tourism Sciences</w:t>
      </w:r>
      <w:r w:rsidRPr="00EA236B">
        <w:rPr>
          <w:rFonts w:ascii="Arial" w:hAnsi="Arial" w:cs="Arial"/>
          <w:color w:val="000000" w:themeColor="text1"/>
        </w:rPr>
        <w:t xml:space="preserve">, 7(1), pp. 129–140. </w:t>
      </w:r>
    </w:p>
    <w:p w14:paraId="501CB633" w14:textId="77777777" w:rsidR="001E5199" w:rsidRPr="00EA236B" w:rsidRDefault="001E5199" w:rsidP="001E5199">
      <w:pPr>
        <w:spacing w:line="360" w:lineRule="auto"/>
        <w:ind w:left="720" w:hanging="720"/>
        <w:jc w:val="both"/>
        <w:rPr>
          <w:rFonts w:ascii="Arial" w:hAnsi="Arial" w:cs="Arial"/>
          <w:color w:val="000000" w:themeColor="text1"/>
        </w:rPr>
      </w:pPr>
    </w:p>
    <w:p w14:paraId="243E16DF" w14:textId="7886A9ED" w:rsidR="001E5199" w:rsidRPr="00EA236B" w:rsidRDefault="001E5199" w:rsidP="001E5199">
      <w:pPr>
        <w:spacing w:after="105" w:line="360" w:lineRule="auto"/>
        <w:jc w:val="both"/>
        <w:rPr>
          <w:rFonts w:ascii="Arial" w:eastAsia="Times New Roman" w:hAnsi="Arial" w:cs="Arial"/>
          <w:color w:val="000000" w:themeColor="text1"/>
          <w:lang w:eastAsia="en-GB"/>
        </w:rPr>
      </w:pPr>
      <w:r w:rsidRPr="00EA236B">
        <w:rPr>
          <w:rFonts w:ascii="Arial" w:eastAsia="Times New Roman" w:hAnsi="Arial" w:cs="Arial"/>
          <w:color w:val="000000" w:themeColor="text1"/>
          <w:lang w:eastAsia="en-GB"/>
        </w:rPr>
        <w:t>Carson, C. (2018). A historical view of Douglas McGregor's theory y. Management Decision, 43(3), 450–460.</w:t>
      </w:r>
    </w:p>
    <w:p w14:paraId="6131DC69" w14:textId="77777777" w:rsidR="001E5199" w:rsidRPr="00EA236B" w:rsidRDefault="001E5199" w:rsidP="001E5199">
      <w:pPr>
        <w:spacing w:after="105" w:line="360" w:lineRule="auto"/>
        <w:jc w:val="both"/>
        <w:rPr>
          <w:rFonts w:ascii="Arial" w:eastAsia="Times New Roman" w:hAnsi="Arial" w:cs="Arial"/>
          <w:color w:val="000000" w:themeColor="text1"/>
          <w:lang w:eastAsia="en-GB"/>
        </w:rPr>
      </w:pPr>
    </w:p>
    <w:p w14:paraId="7D0035CF"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Cascio, W.F. (2000) “Managing a virtual workplace,” </w:t>
      </w:r>
      <w:r w:rsidRPr="00EA236B">
        <w:rPr>
          <w:rFonts w:ascii="Arial" w:hAnsi="Arial" w:cs="Arial"/>
          <w:i/>
          <w:color w:val="000000" w:themeColor="text1"/>
        </w:rPr>
        <w:t>Academy of Management Perspectives</w:t>
      </w:r>
      <w:r w:rsidRPr="00EA236B">
        <w:rPr>
          <w:rFonts w:ascii="Arial" w:hAnsi="Arial" w:cs="Arial"/>
          <w:color w:val="000000" w:themeColor="text1"/>
        </w:rPr>
        <w:t xml:space="preserve">, 14(3), pp. 81–90. </w:t>
      </w:r>
    </w:p>
    <w:p w14:paraId="0C1D4D60" w14:textId="50E196F6"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Choi, S. (2018) “Managing flexible work arrangements in government: Testing the effects of institutional and managerial support,” </w:t>
      </w:r>
      <w:r w:rsidRPr="00EA236B">
        <w:rPr>
          <w:rFonts w:ascii="Arial" w:hAnsi="Arial" w:cs="Arial"/>
          <w:i/>
          <w:color w:val="000000" w:themeColor="text1"/>
        </w:rPr>
        <w:t>Public Personnel Management</w:t>
      </w:r>
      <w:r w:rsidRPr="00EA236B">
        <w:rPr>
          <w:rFonts w:ascii="Arial" w:hAnsi="Arial" w:cs="Arial"/>
          <w:color w:val="000000" w:themeColor="text1"/>
        </w:rPr>
        <w:t xml:space="preserve">, 47(1), pp. 26–50. </w:t>
      </w:r>
    </w:p>
    <w:p w14:paraId="79694E01" w14:textId="77777777" w:rsidR="001E5199" w:rsidRPr="00EA236B" w:rsidRDefault="001E5199" w:rsidP="001E5199">
      <w:pPr>
        <w:spacing w:line="360" w:lineRule="auto"/>
        <w:ind w:left="720" w:hanging="720"/>
        <w:jc w:val="both"/>
        <w:rPr>
          <w:rFonts w:ascii="Arial" w:hAnsi="Arial" w:cs="Arial"/>
          <w:color w:val="000000" w:themeColor="text1"/>
        </w:rPr>
      </w:pPr>
    </w:p>
    <w:p w14:paraId="5B2E0310" w14:textId="57E2791E"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Coe, G. and Banta, D. (2009) “Health Care Technology Transfer in Latin America and the Caribbean,” </w:t>
      </w:r>
      <w:r w:rsidRPr="00EA236B">
        <w:rPr>
          <w:rFonts w:ascii="Arial" w:hAnsi="Arial" w:cs="Arial"/>
          <w:i/>
          <w:color w:val="000000" w:themeColor="text1"/>
        </w:rPr>
        <w:t>International Journal of Technology Assessment in Health Care</w:t>
      </w:r>
      <w:r w:rsidRPr="00EA236B">
        <w:rPr>
          <w:rFonts w:ascii="Arial" w:hAnsi="Arial" w:cs="Arial"/>
          <w:color w:val="000000" w:themeColor="text1"/>
        </w:rPr>
        <w:t xml:space="preserve">, 8(02), pp. 255–267. </w:t>
      </w:r>
    </w:p>
    <w:p w14:paraId="264D5E60" w14:textId="77777777" w:rsidR="001E5199" w:rsidRPr="00EA236B" w:rsidRDefault="001E5199" w:rsidP="001E5199">
      <w:pPr>
        <w:spacing w:line="360" w:lineRule="auto"/>
        <w:ind w:left="720" w:hanging="720"/>
        <w:jc w:val="both"/>
        <w:rPr>
          <w:rFonts w:ascii="Arial" w:hAnsi="Arial" w:cs="Arial"/>
          <w:color w:val="000000" w:themeColor="text1"/>
        </w:rPr>
      </w:pPr>
    </w:p>
    <w:p w14:paraId="0F385694" w14:textId="012A40A0"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Cohen, W.A. (2014) </w:t>
      </w:r>
      <w:r w:rsidRPr="00EA236B">
        <w:rPr>
          <w:rFonts w:ascii="Arial" w:hAnsi="Arial" w:cs="Arial"/>
          <w:i/>
          <w:color w:val="000000" w:themeColor="text1"/>
        </w:rPr>
        <w:t>The practical Drucker applying the wisdom of the world's Greatest Management Thinker</w:t>
      </w:r>
      <w:r w:rsidRPr="00EA236B">
        <w:rPr>
          <w:rFonts w:ascii="Arial" w:hAnsi="Arial" w:cs="Arial"/>
          <w:color w:val="000000" w:themeColor="text1"/>
        </w:rPr>
        <w:t xml:space="preserve">. New York: AMACOM, American Management Association. </w:t>
      </w:r>
    </w:p>
    <w:p w14:paraId="4CFDF2FF" w14:textId="77777777" w:rsidR="001E5199" w:rsidRPr="00EA236B" w:rsidRDefault="001E5199" w:rsidP="001E5199">
      <w:pPr>
        <w:spacing w:line="360" w:lineRule="auto"/>
        <w:ind w:left="720" w:hanging="720"/>
        <w:jc w:val="both"/>
        <w:rPr>
          <w:rFonts w:ascii="Arial" w:hAnsi="Arial" w:cs="Arial"/>
          <w:color w:val="000000" w:themeColor="text1"/>
        </w:rPr>
      </w:pPr>
    </w:p>
    <w:p w14:paraId="7F5E3677" w14:textId="0D52A062" w:rsidR="001E5199" w:rsidRPr="00EA236B" w:rsidRDefault="001E5199" w:rsidP="001E5199">
      <w:pPr>
        <w:spacing w:line="360" w:lineRule="auto"/>
        <w:jc w:val="both"/>
        <w:rPr>
          <w:rFonts w:ascii="Arial" w:eastAsia="Times New Roman" w:hAnsi="Arial" w:cs="Arial"/>
          <w:color w:val="000000" w:themeColor="text1"/>
          <w:lang w:eastAsia="en-GB"/>
        </w:rPr>
      </w:pPr>
      <w:r w:rsidRPr="00EA236B">
        <w:rPr>
          <w:rFonts w:ascii="Arial" w:hAnsi="Arial" w:cs="Arial"/>
          <w:color w:val="000000" w:themeColor="text1"/>
          <w:shd w:val="clear" w:color="auto" w:fill="FFFFFF"/>
        </w:rPr>
        <w:lastRenderedPageBreak/>
        <w:t xml:space="preserve">Cortez, N.,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2008</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Patients without borders: the emerging global market for patients and the evolution of modern health care.</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Ind. LJ</w:t>
      </w:r>
      <w:r w:rsidRPr="00EA236B">
        <w:rPr>
          <w:rFonts w:ascii="Arial" w:hAnsi="Arial" w:cs="Arial"/>
          <w:color w:val="000000" w:themeColor="text1"/>
          <w:shd w:val="clear" w:color="auto" w:fill="FFFFFF"/>
        </w:rPr>
        <w:t>,</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83</w:t>
      </w:r>
      <w:r w:rsidRPr="00EA236B">
        <w:rPr>
          <w:rFonts w:ascii="Arial" w:hAnsi="Arial" w:cs="Arial"/>
          <w:color w:val="000000" w:themeColor="text1"/>
          <w:shd w:val="clear" w:color="auto" w:fill="FFFFFF"/>
        </w:rPr>
        <w:t>, p.71.</w:t>
      </w:r>
    </w:p>
    <w:p w14:paraId="5C5C771A" w14:textId="77777777" w:rsidR="001E5199" w:rsidRPr="00EA236B" w:rsidRDefault="001E5199" w:rsidP="001E5199">
      <w:pPr>
        <w:pStyle w:val="NormalWeb"/>
        <w:spacing w:line="360" w:lineRule="auto"/>
        <w:jc w:val="both"/>
        <w:rPr>
          <w:rFonts w:ascii="Arial" w:hAnsi="Arial" w:cs="Arial"/>
          <w:color w:val="000000" w:themeColor="text1"/>
        </w:rPr>
      </w:pPr>
      <w:r w:rsidRPr="00EA236B">
        <w:rPr>
          <w:rFonts w:ascii="Arial" w:hAnsi="Arial" w:cs="Arial"/>
          <w:color w:val="000000" w:themeColor="text1"/>
        </w:rPr>
        <w:t xml:space="preserve">Cox, L. (2016). </w:t>
      </w:r>
      <w:r w:rsidRPr="00EA236B">
        <w:rPr>
          <w:rFonts w:ascii="Arial" w:hAnsi="Arial" w:cs="Arial"/>
          <w:i/>
          <w:iCs/>
          <w:color w:val="000000" w:themeColor="text1"/>
        </w:rPr>
        <w:t xml:space="preserve">Understanding millennial generation X and baby boomer preferred leadership characteristics: Informing today’s leaders and followers </w:t>
      </w:r>
      <w:r w:rsidRPr="00EA236B">
        <w:rPr>
          <w:rFonts w:ascii="Arial" w:hAnsi="Arial" w:cs="Arial"/>
          <w:color w:val="000000" w:themeColor="text1"/>
        </w:rPr>
        <w:t xml:space="preserve">[Doctoral dissertation]. ProQuest Digital Dissertations. (UMI No. 10108672) </w:t>
      </w:r>
    </w:p>
    <w:p w14:paraId="625214A8" w14:textId="35DF8A6C"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Darves-Bornoz, A.L. and Resnick, M.J. (2017) “The evolution of financial incentives in the U.S. Health Care System,” </w:t>
      </w:r>
      <w:r w:rsidRPr="00EA236B">
        <w:rPr>
          <w:rFonts w:ascii="Arial" w:hAnsi="Arial" w:cs="Arial"/>
          <w:i/>
          <w:color w:val="000000" w:themeColor="text1"/>
        </w:rPr>
        <w:t>Urologic Oncology: Seminars and Original Investigations</w:t>
      </w:r>
      <w:r w:rsidRPr="00EA236B">
        <w:rPr>
          <w:rFonts w:ascii="Arial" w:hAnsi="Arial" w:cs="Arial"/>
          <w:color w:val="000000" w:themeColor="text1"/>
        </w:rPr>
        <w:t xml:space="preserve">, 35(1), pp. 1–4. </w:t>
      </w:r>
    </w:p>
    <w:p w14:paraId="5BCE1B43" w14:textId="77777777" w:rsidR="001E5199" w:rsidRPr="00EA236B" w:rsidRDefault="001E5199" w:rsidP="001E5199">
      <w:pPr>
        <w:spacing w:line="360" w:lineRule="auto"/>
        <w:ind w:left="720" w:hanging="720"/>
        <w:jc w:val="both"/>
        <w:rPr>
          <w:rFonts w:ascii="Arial" w:hAnsi="Arial" w:cs="Arial"/>
          <w:color w:val="000000" w:themeColor="text1"/>
        </w:rPr>
      </w:pPr>
    </w:p>
    <w:p w14:paraId="01EF66AC" w14:textId="5F9DD030"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D</w:t>
      </w:r>
      <w:r w:rsidRPr="00EA236B">
        <w:rPr>
          <w:rFonts w:ascii="Arial" w:hAnsi="Arial" w:cs="Arial"/>
          <w:color w:val="000000" w:themeColor="text1"/>
        </w:rPr>
        <w:t xml:space="preserve">e Bakker, F.G. </w:t>
      </w:r>
      <w:r w:rsidRPr="00EA236B">
        <w:rPr>
          <w:rFonts w:ascii="Arial" w:hAnsi="Arial" w:cs="Arial"/>
          <w:i/>
          <w:color w:val="000000" w:themeColor="text1"/>
        </w:rPr>
        <w:t>et al.</w:t>
      </w:r>
      <w:r w:rsidRPr="00EA236B">
        <w:rPr>
          <w:rFonts w:ascii="Arial" w:hAnsi="Arial" w:cs="Arial"/>
          <w:color w:val="000000" w:themeColor="text1"/>
        </w:rPr>
        <w:t xml:space="preserve"> (2020) “The elephant in the room: The nascent research agenda on corporations, Social Responsibility, and capitalism,” </w:t>
      </w:r>
      <w:r w:rsidRPr="00EA236B">
        <w:rPr>
          <w:rFonts w:ascii="Arial" w:hAnsi="Arial" w:cs="Arial"/>
          <w:i/>
          <w:color w:val="000000" w:themeColor="text1"/>
        </w:rPr>
        <w:t>Business &amp; Society</w:t>
      </w:r>
      <w:r w:rsidRPr="00EA236B">
        <w:rPr>
          <w:rFonts w:ascii="Arial" w:hAnsi="Arial" w:cs="Arial"/>
          <w:color w:val="000000" w:themeColor="text1"/>
        </w:rPr>
        <w:t xml:space="preserve">, 59(7), pp. 1295–1302. </w:t>
      </w:r>
    </w:p>
    <w:p w14:paraId="44489B5A" w14:textId="77777777" w:rsidR="001E5199" w:rsidRPr="00EA236B" w:rsidRDefault="001E5199" w:rsidP="001E5199">
      <w:pPr>
        <w:spacing w:line="360" w:lineRule="auto"/>
        <w:ind w:left="720" w:hanging="720"/>
        <w:jc w:val="both"/>
        <w:rPr>
          <w:rFonts w:ascii="Arial" w:hAnsi="Arial" w:cs="Arial"/>
          <w:color w:val="000000" w:themeColor="text1"/>
        </w:rPr>
      </w:pPr>
    </w:p>
    <w:p w14:paraId="58428EB4" w14:textId="307CA456"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Dhaini, S.R. </w:t>
      </w:r>
      <w:r w:rsidRPr="00EA236B">
        <w:rPr>
          <w:rFonts w:ascii="Arial" w:hAnsi="Arial" w:cs="Arial"/>
          <w:i/>
          <w:color w:val="000000" w:themeColor="text1"/>
        </w:rPr>
        <w:t>et al.</w:t>
      </w:r>
      <w:r w:rsidRPr="00EA236B">
        <w:rPr>
          <w:rFonts w:ascii="Arial" w:hAnsi="Arial" w:cs="Arial"/>
          <w:color w:val="000000" w:themeColor="text1"/>
        </w:rPr>
        <w:t xml:space="preserve"> (2018) “Work schedule flexibility is associated with emotional exhaustion among registered nurses in Swiss Hospitals: A cross-sectional study,” </w:t>
      </w:r>
      <w:r w:rsidRPr="00EA236B">
        <w:rPr>
          <w:rFonts w:ascii="Arial" w:hAnsi="Arial" w:cs="Arial"/>
          <w:i/>
          <w:color w:val="000000" w:themeColor="text1"/>
        </w:rPr>
        <w:t>International Journal of Nursing Studies</w:t>
      </w:r>
      <w:r w:rsidRPr="00EA236B">
        <w:rPr>
          <w:rFonts w:ascii="Arial" w:hAnsi="Arial" w:cs="Arial"/>
          <w:color w:val="000000" w:themeColor="text1"/>
        </w:rPr>
        <w:t xml:space="preserve">, 82(10), pp. 99–105. </w:t>
      </w:r>
    </w:p>
    <w:p w14:paraId="38B94C83" w14:textId="77777777" w:rsidR="001E5199" w:rsidRPr="00EA236B" w:rsidRDefault="001E5199" w:rsidP="001E5199">
      <w:pPr>
        <w:spacing w:line="360" w:lineRule="auto"/>
        <w:ind w:left="720" w:hanging="720"/>
        <w:jc w:val="both"/>
        <w:rPr>
          <w:rFonts w:ascii="Arial" w:hAnsi="Arial" w:cs="Arial"/>
          <w:color w:val="000000" w:themeColor="text1"/>
        </w:rPr>
      </w:pPr>
    </w:p>
    <w:p w14:paraId="0C696E68" w14:textId="168C19CB"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Drucker, P.F.,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2020</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 xml:space="preserve">The </w:t>
      </w:r>
      <w:r w:rsidR="00D041B8" w:rsidRPr="00EA236B">
        <w:rPr>
          <w:rFonts w:ascii="Arial" w:hAnsi="Arial" w:cs="Arial"/>
          <w:i/>
          <w:iCs/>
          <w:color w:val="000000" w:themeColor="text1"/>
        </w:rPr>
        <w:t>E</w:t>
      </w:r>
      <w:r w:rsidRPr="00EA236B">
        <w:rPr>
          <w:rFonts w:ascii="Arial" w:hAnsi="Arial" w:cs="Arial"/>
          <w:i/>
          <w:iCs/>
          <w:color w:val="000000" w:themeColor="text1"/>
        </w:rPr>
        <w:t xml:space="preserve">ssential </w:t>
      </w:r>
      <w:r w:rsidR="00D041B8" w:rsidRPr="00EA236B">
        <w:rPr>
          <w:rFonts w:ascii="Arial" w:hAnsi="Arial" w:cs="Arial"/>
          <w:i/>
          <w:iCs/>
          <w:color w:val="000000" w:themeColor="text1"/>
        </w:rPr>
        <w:t>Drucker</w:t>
      </w:r>
      <w:r w:rsidRPr="00EA236B">
        <w:rPr>
          <w:rFonts w:ascii="Arial" w:hAnsi="Arial" w:cs="Arial"/>
          <w:color w:val="000000" w:themeColor="text1"/>
          <w:shd w:val="clear" w:color="auto" w:fill="FFFFFF"/>
        </w:rPr>
        <w:t>. Routledge.</w:t>
      </w:r>
    </w:p>
    <w:p w14:paraId="100BA256" w14:textId="77777777" w:rsidR="001E5199" w:rsidRPr="00EA236B" w:rsidRDefault="001E5199" w:rsidP="001E5199">
      <w:pPr>
        <w:spacing w:line="360" w:lineRule="auto"/>
        <w:jc w:val="both"/>
        <w:rPr>
          <w:rFonts w:ascii="Arial" w:hAnsi="Arial" w:cs="Arial"/>
          <w:color w:val="000000" w:themeColor="text1"/>
          <w:shd w:val="clear" w:color="auto" w:fill="FFFFFF"/>
        </w:rPr>
      </w:pPr>
    </w:p>
    <w:p w14:paraId="43BD3C2F"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Drucker, P.F. (1994) </w:t>
      </w:r>
      <w:r w:rsidRPr="00EA236B">
        <w:rPr>
          <w:rFonts w:ascii="Arial" w:hAnsi="Arial" w:cs="Arial"/>
          <w:i/>
          <w:color w:val="000000" w:themeColor="text1"/>
        </w:rPr>
        <w:t>The theory of business</w:t>
      </w:r>
      <w:r w:rsidRPr="00EA236B">
        <w:rPr>
          <w:rFonts w:ascii="Arial" w:hAnsi="Arial" w:cs="Arial"/>
          <w:color w:val="000000" w:themeColor="text1"/>
        </w:rPr>
        <w:t xml:space="preserve">. Erscheinungsort nicht ermittelbar: Verlag nicht ermittelbar. </w:t>
      </w:r>
    </w:p>
    <w:p w14:paraId="4DBABDF3" w14:textId="4FC439E0" w:rsidR="001E5199" w:rsidRPr="00EA236B" w:rsidRDefault="001E5199" w:rsidP="001E5199">
      <w:pPr>
        <w:pStyle w:val="NormalWeb"/>
        <w:spacing w:line="360" w:lineRule="auto"/>
        <w:jc w:val="both"/>
        <w:rPr>
          <w:rFonts w:ascii="Arial" w:hAnsi="Arial" w:cs="Arial"/>
          <w:color w:val="000000" w:themeColor="text1"/>
        </w:rPr>
      </w:pPr>
      <w:r w:rsidRPr="00EA236B">
        <w:rPr>
          <w:rFonts w:ascii="Arial" w:hAnsi="Arial" w:cs="Arial"/>
          <w:color w:val="000000" w:themeColor="text1"/>
          <w:shd w:val="clear" w:color="auto" w:fill="FFFFFF"/>
        </w:rPr>
        <w:t xml:space="preserve">Ebrahim, A.H. and Ganguli, S.,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2019</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xml:space="preserve">. A comparative analysis of medical tourism competitiveness of India, </w:t>
      </w:r>
      <w:r w:rsidRPr="00EA236B">
        <w:rPr>
          <w:rFonts w:ascii="Arial" w:hAnsi="Arial" w:cs="Arial"/>
          <w:color w:val="000000" w:themeColor="text1"/>
          <w:shd w:val="clear" w:color="auto" w:fill="FFFFFF"/>
        </w:rPr>
        <w:t>Thailand,</w:t>
      </w:r>
      <w:r w:rsidRPr="00EA236B">
        <w:rPr>
          <w:rFonts w:ascii="Arial" w:hAnsi="Arial" w:cs="Arial"/>
          <w:color w:val="000000" w:themeColor="text1"/>
          <w:shd w:val="clear" w:color="auto" w:fill="FFFFFF"/>
        </w:rPr>
        <w:t xml:space="preserve"> and Singapore.</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Tourism: An International Interdisciplinary Journal</w:t>
      </w:r>
      <w:r w:rsidRPr="00EA236B">
        <w:rPr>
          <w:rFonts w:ascii="Arial" w:hAnsi="Arial" w:cs="Arial"/>
          <w:color w:val="000000" w:themeColor="text1"/>
          <w:shd w:val="clear" w:color="auto" w:fill="FFFFFF"/>
        </w:rPr>
        <w:t>,</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67</w:t>
      </w:r>
      <w:r w:rsidRPr="00EA236B">
        <w:rPr>
          <w:rFonts w:ascii="Arial" w:hAnsi="Arial" w:cs="Arial"/>
          <w:color w:val="000000" w:themeColor="text1"/>
          <w:shd w:val="clear" w:color="auto" w:fill="FFFFFF"/>
        </w:rPr>
        <w:t>(2), pp.102-115.</w:t>
      </w:r>
    </w:p>
    <w:p w14:paraId="1015FC2E" w14:textId="5606AAEE"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Ekpe, I., Mohamad, M.R., Mat, N. and Simpong, D.B.,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2016</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Socio-political influence and youth’s leadership participation in Malaysia: A conceptual model extending TPB.</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Mediterranean Journal of Social Sciences</w:t>
      </w:r>
      <w:r w:rsidRPr="00EA236B">
        <w:rPr>
          <w:rFonts w:ascii="Arial" w:hAnsi="Arial" w:cs="Arial"/>
          <w:color w:val="000000" w:themeColor="text1"/>
          <w:shd w:val="clear" w:color="auto" w:fill="FFFFFF"/>
        </w:rPr>
        <w:t>,</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7</w:t>
      </w:r>
      <w:r w:rsidRPr="00EA236B">
        <w:rPr>
          <w:rFonts w:ascii="Arial" w:hAnsi="Arial" w:cs="Arial"/>
          <w:color w:val="000000" w:themeColor="text1"/>
          <w:shd w:val="clear" w:color="auto" w:fill="FFFFFF"/>
        </w:rPr>
        <w:t>(3 S1), p.220.</w:t>
      </w:r>
    </w:p>
    <w:p w14:paraId="58D84613" w14:textId="77777777" w:rsidR="001E5199" w:rsidRPr="00EA236B" w:rsidRDefault="001E5199" w:rsidP="001E5199">
      <w:pPr>
        <w:spacing w:line="360" w:lineRule="auto"/>
        <w:jc w:val="both"/>
        <w:rPr>
          <w:rFonts w:ascii="Arial" w:hAnsi="Arial" w:cs="Arial"/>
          <w:color w:val="000000" w:themeColor="text1"/>
          <w:shd w:val="clear" w:color="auto" w:fill="FFFFFF"/>
        </w:rPr>
      </w:pPr>
    </w:p>
    <w:p w14:paraId="36782F94" w14:textId="7C052A0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Ernest and Young (2015) </w:t>
      </w:r>
      <w:r w:rsidRPr="00EA236B">
        <w:rPr>
          <w:rFonts w:ascii="Arial" w:hAnsi="Arial" w:cs="Arial"/>
          <w:i/>
          <w:color w:val="000000" w:themeColor="text1"/>
        </w:rPr>
        <w:t>Transparency report 2020 (PDF) - EY</w:t>
      </w:r>
      <w:r w:rsidRPr="00EA236B">
        <w:rPr>
          <w:rFonts w:ascii="Arial" w:hAnsi="Arial" w:cs="Arial"/>
          <w:color w:val="000000" w:themeColor="text1"/>
        </w:rPr>
        <w:t xml:space="preserve">, </w:t>
      </w:r>
      <w:r w:rsidRPr="00EA236B">
        <w:rPr>
          <w:rFonts w:ascii="Arial" w:hAnsi="Arial" w:cs="Arial"/>
          <w:i/>
          <w:color w:val="000000" w:themeColor="text1"/>
        </w:rPr>
        <w:t>assestsey.com</w:t>
      </w:r>
      <w:r w:rsidRPr="00EA236B">
        <w:rPr>
          <w:rFonts w:ascii="Arial" w:hAnsi="Arial" w:cs="Arial"/>
          <w:color w:val="000000" w:themeColor="text1"/>
        </w:rPr>
        <w:t xml:space="preserve">. Available at: https://assets.ey.com/content/dam/ey-sites/ey-com/en_us/home-index/ey-us-transparency-report-2020.pdf (Accessed: February 2, 2023). </w:t>
      </w:r>
    </w:p>
    <w:p w14:paraId="6D2A5AA8" w14:textId="77777777" w:rsidR="001E5199" w:rsidRPr="00EA236B" w:rsidRDefault="001E5199" w:rsidP="001E5199">
      <w:pPr>
        <w:spacing w:line="360" w:lineRule="auto"/>
        <w:ind w:left="720" w:hanging="720"/>
        <w:jc w:val="both"/>
        <w:rPr>
          <w:rFonts w:ascii="Arial" w:hAnsi="Arial" w:cs="Arial"/>
          <w:color w:val="000000" w:themeColor="text1"/>
        </w:rPr>
      </w:pPr>
    </w:p>
    <w:p w14:paraId="3BC60374" w14:textId="5A88BA40"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lastRenderedPageBreak/>
        <w:t>Feldman, J.M. (2021) “From the ‘</w:t>
      </w:r>
      <w:r w:rsidR="00D041B8" w:rsidRPr="00EA236B">
        <w:rPr>
          <w:rFonts w:ascii="Arial" w:hAnsi="Arial" w:cs="Arial"/>
          <w:color w:val="000000" w:themeColor="text1"/>
        </w:rPr>
        <w:t>G</w:t>
      </w:r>
      <w:r w:rsidRPr="00EA236B">
        <w:rPr>
          <w:rFonts w:ascii="Arial" w:hAnsi="Arial" w:cs="Arial"/>
          <w:color w:val="000000" w:themeColor="text1"/>
        </w:rPr>
        <w:t xml:space="preserve">reta </w:t>
      </w:r>
      <w:r w:rsidR="00D041B8" w:rsidRPr="00EA236B">
        <w:rPr>
          <w:rFonts w:ascii="Arial" w:hAnsi="Arial" w:cs="Arial"/>
          <w:color w:val="000000" w:themeColor="text1"/>
        </w:rPr>
        <w:t>Thunberg</w:t>
      </w:r>
      <w:r w:rsidRPr="00EA236B">
        <w:rPr>
          <w:rFonts w:ascii="Arial" w:hAnsi="Arial" w:cs="Arial"/>
          <w:color w:val="000000" w:themeColor="text1"/>
        </w:rPr>
        <w:t xml:space="preserve"> effect’ to green conversion of universities: The reconstructive praxis of discursive mobilizations,” </w:t>
      </w:r>
      <w:r w:rsidRPr="00EA236B">
        <w:rPr>
          <w:rFonts w:ascii="Arial" w:hAnsi="Arial" w:cs="Arial"/>
          <w:i/>
          <w:color w:val="000000" w:themeColor="text1"/>
        </w:rPr>
        <w:t>Discourse and Communication for Sustainable Education</w:t>
      </w:r>
      <w:r w:rsidRPr="00EA236B">
        <w:rPr>
          <w:rFonts w:ascii="Arial" w:hAnsi="Arial" w:cs="Arial"/>
          <w:color w:val="000000" w:themeColor="text1"/>
        </w:rPr>
        <w:t xml:space="preserve">, 12(1), pp. 121–139. </w:t>
      </w:r>
    </w:p>
    <w:p w14:paraId="4171E845" w14:textId="77777777" w:rsidR="001E5199" w:rsidRPr="00EA236B" w:rsidRDefault="001E5199" w:rsidP="001E5199">
      <w:pPr>
        <w:spacing w:line="360" w:lineRule="auto"/>
        <w:ind w:left="720" w:hanging="720"/>
        <w:jc w:val="both"/>
        <w:rPr>
          <w:rFonts w:ascii="Arial" w:hAnsi="Arial" w:cs="Arial"/>
          <w:color w:val="000000" w:themeColor="text1"/>
        </w:rPr>
      </w:pPr>
    </w:p>
    <w:p w14:paraId="367F45F1" w14:textId="4DB46B42"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Florida, R. and Mellander, C., </w:t>
      </w:r>
      <w:r w:rsidR="00811E53"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2020</w:t>
      </w:r>
      <w:r w:rsidR="00811E53"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The creative class and national economic performance.</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 xml:space="preserve">Development Studies in Regional Science: Essays in </w:t>
      </w:r>
      <w:r w:rsidR="00D041B8" w:rsidRPr="00EA236B">
        <w:rPr>
          <w:rFonts w:ascii="Arial" w:hAnsi="Arial" w:cs="Arial"/>
          <w:i/>
          <w:iCs/>
          <w:color w:val="000000" w:themeColor="text1"/>
        </w:rPr>
        <w:t>Honour</w:t>
      </w:r>
      <w:r w:rsidRPr="00EA236B">
        <w:rPr>
          <w:rFonts w:ascii="Arial" w:hAnsi="Arial" w:cs="Arial"/>
          <w:i/>
          <w:iCs/>
          <w:color w:val="000000" w:themeColor="text1"/>
        </w:rPr>
        <w:t xml:space="preserve"> of Kingsley E. Haynes</w:t>
      </w:r>
      <w:r w:rsidRPr="00EA236B">
        <w:rPr>
          <w:rFonts w:ascii="Arial" w:hAnsi="Arial" w:cs="Arial"/>
          <w:color w:val="000000" w:themeColor="text1"/>
          <w:shd w:val="clear" w:color="auto" w:fill="FFFFFF"/>
        </w:rPr>
        <w:t>, pp.553-575.</w:t>
      </w:r>
    </w:p>
    <w:p w14:paraId="4BAB0F5C" w14:textId="77777777" w:rsidR="001E5199" w:rsidRPr="00EA236B" w:rsidRDefault="001E5199" w:rsidP="001E5199">
      <w:pPr>
        <w:pStyle w:val="NormalWeb"/>
        <w:spacing w:line="360" w:lineRule="auto"/>
        <w:jc w:val="both"/>
        <w:rPr>
          <w:rFonts w:ascii="Arial" w:hAnsi="Arial" w:cs="Arial"/>
          <w:color w:val="000000" w:themeColor="text1"/>
        </w:rPr>
      </w:pPr>
      <w:r w:rsidRPr="00EA236B">
        <w:rPr>
          <w:rFonts w:ascii="Arial" w:hAnsi="Arial" w:cs="Arial"/>
          <w:color w:val="000000" w:themeColor="text1"/>
        </w:rPr>
        <w:t xml:space="preserve">Fore, C. (2012). </w:t>
      </w:r>
      <w:r w:rsidRPr="00EA236B">
        <w:rPr>
          <w:rFonts w:ascii="Arial" w:hAnsi="Arial" w:cs="Arial"/>
          <w:i/>
          <w:iCs/>
          <w:color w:val="000000" w:themeColor="text1"/>
        </w:rPr>
        <w:t xml:space="preserve">Next generation leadership: Millennials as leaders </w:t>
      </w:r>
      <w:r w:rsidRPr="00EA236B">
        <w:rPr>
          <w:rFonts w:ascii="Arial" w:hAnsi="Arial" w:cs="Arial"/>
          <w:color w:val="000000" w:themeColor="text1"/>
        </w:rPr>
        <w:t xml:space="preserve">[Doctorate dissertation]. Capella University. ProQuest Digital Dissertations. (UMI No. 3553334) </w:t>
      </w:r>
    </w:p>
    <w:p w14:paraId="7C7909F8" w14:textId="49E88139"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Freund, D. and Hernandez-Maskivker, G. (2021) “Women managers in tourism: Associations for building a Sustainable World,” </w:t>
      </w:r>
      <w:r w:rsidRPr="00EA236B">
        <w:rPr>
          <w:rFonts w:ascii="Arial" w:hAnsi="Arial" w:cs="Arial"/>
          <w:i/>
          <w:color w:val="000000" w:themeColor="text1"/>
        </w:rPr>
        <w:t>Tourism Management Perspectives</w:t>
      </w:r>
      <w:r w:rsidRPr="00EA236B">
        <w:rPr>
          <w:rFonts w:ascii="Arial" w:hAnsi="Arial" w:cs="Arial"/>
          <w:color w:val="000000" w:themeColor="text1"/>
        </w:rPr>
        <w:t xml:space="preserve">, 38(12), p. 100820. </w:t>
      </w:r>
    </w:p>
    <w:p w14:paraId="77B23F98" w14:textId="77777777" w:rsidR="001E5199" w:rsidRPr="00EA236B" w:rsidRDefault="001E5199" w:rsidP="001E5199">
      <w:pPr>
        <w:spacing w:line="360" w:lineRule="auto"/>
        <w:ind w:left="720" w:hanging="720"/>
        <w:jc w:val="both"/>
        <w:rPr>
          <w:rFonts w:ascii="Arial" w:hAnsi="Arial" w:cs="Arial"/>
          <w:color w:val="000000" w:themeColor="text1"/>
        </w:rPr>
      </w:pPr>
    </w:p>
    <w:p w14:paraId="4A806F39" w14:textId="504BED30"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Gabriel, A.G., Alcantara, G.M. and Alvarez, J.D. (2020) “How do millennial managers lead older employees? the </w:t>
      </w:r>
      <w:r w:rsidR="00D041B8" w:rsidRPr="00EA236B">
        <w:rPr>
          <w:rFonts w:ascii="Arial" w:hAnsi="Arial" w:cs="Arial"/>
          <w:color w:val="000000" w:themeColor="text1"/>
        </w:rPr>
        <w:t>Philippine</w:t>
      </w:r>
      <w:r w:rsidRPr="00EA236B">
        <w:rPr>
          <w:rFonts w:ascii="Arial" w:hAnsi="Arial" w:cs="Arial"/>
          <w:color w:val="000000" w:themeColor="text1"/>
        </w:rPr>
        <w:t xml:space="preserve"> workplace experience,” </w:t>
      </w:r>
      <w:r w:rsidRPr="00EA236B">
        <w:rPr>
          <w:rFonts w:ascii="Arial" w:hAnsi="Arial" w:cs="Arial"/>
          <w:i/>
          <w:color w:val="000000" w:themeColor="text1"/>
        </w:rPr>
        <w:t>SAGE Open</w:t>
      </w:r>
      <w:r w:rsidRPr="00EA236B">
        <w:rPr>
          <w:rFonts w:ascii="Arial" w:hAnsi="Arial" w:cs="Arial"/>
          <w:color w:val="000000" w:themeColor="text1"/>
        </w:rPr>
        <w:t xml:space="preserve">, 10(1), p. 215824402091465. </w:t>
      </w:r>
    </w:p>
    <w:p w14:paraId="3C37A890"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Ghasabeh, M.S., Soosay, C. and Reaiche, C. (2015) “The emerging role of Transformational leadership,” </w:t>
      </w:r>
      <w:r w:rsidRPr="00EA236B">
        <w:rPr>
          <w:rFonts w:ascii="Arial" w:hAnsi="Arial" w:cs="Arial"/>
          <w:i/>
          <w:color w:val="000000" w:themeColor="text1"/>
        </w:rPr>
        <w:t>The Journal of Developing Areas</w:t>
      </w:r>
      <w:r w:rsidRPr="00EA236B">
        <w:rPr>
          <w:rFonts w:ascii="Arial" w:hAnsi="Arial" w:cs="Arial"/>
          <w:color w:val="000000" w:themeColor="text1"/>
        </w:rPr>
        <w:t xml:space="preserve">, 49(6), pp. 459–467. </w:t>
      </w:r>
    </w:p>
    <w:p w14:paraId="3E4A6166"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Ghosh, T. and Mandal, S. (2018) “Medical tourism experience: Conceptualization, scale development, and validation,” </w:t>
      </w:r>
      <w:r w:rsidRPr="00EA236B">
        <w:rPr>
          <w:rFonts w:ascii="Arial" w:hAnsi="Arial" w:cs="Arial"/>
          <w:i/>
          <w:color w:val="000000" w:themeColor="text1"/>
        </w:rPr>
        <w:t>Journal of Travel Research</w:t>
      </w:r>
      <w:r w:rsidRPr="00EA236B">
        <w:rPr>
          <w:rFonts w:ascii="Arial" w:hAnsi="Arial" w:cs="Arial"/>
          <w:color w:val="000000" w:themeColor="text1"/>
        </w:rPr>
        <w:t xml:space="preserve">, 58(8), pp. 1288–1301. </w:t>
      </w:r>
    </w:p>
    <w:p w14:paraId="46874BAA"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Global Wellness Institute (2021) </w:t>
      </w:r>
      <w:r w:rsidRPr="00EA236B">
        <w:rPr>
          <w:rFonts w:ascii="Arial" w:hAnsi="Arial" w:cs="Arial"/>
          <w:i/>
          <w:color w:val="000000" w:themeColor="text1"/>
        </w:rPr>
        <w:t>2017 Global Wellness Economy Monitor</w:t>
      </w:r>
      <w:r w:rsidRPr="00EA236B">
        <w:rPr>
          <w:rFonts w:ascii="Arial" w:hAnsi="Arial" w:cs="Arial"/>
          <w:color w:val="000000" w:themeColor="text1"/>
        </w:rPr>
        <w:t xml:space="preserve">, </w:t>
      </w:r>
      <w:r w:rsidRPr="00EA236B">
        <w:rPr>
          <w:rFonts w:ascii="Arial" w:hAnsi="Arial" w:cs="Arial"/>
          <w:i/>
          <w:color w:val="000000" w:themeColor="text1"/>
        </w:rPr>
        <w:t>Global Wellness Institute</w:t>
      </w:r>
      <w:r w:rsidRPr="00EA236B">
        <w:rPr>
          <w:rFonts w:ascii="Arial" w:hAnsi="Arial" w:cs="Arial"/>
          <w:color w:val="000000" w:themeColor="text1"/>
        </w:rPr>
        <w:t xml:space="preserve">. Available at: https://globalwellnessinstitute.org/industry-research/global-wellness-economy-monitor-2017/ (Accessed: December 28, 2022). </w:t>
      </w:r>
    </w:p>
    <w:p w14:paraId="4F6E88C8" w14:textId="0C3EACE6"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Grandy, G. (2020) “Guest editorial,” </w:t>
      </w:r>
      <w:r w:rsidRPr="00EA236B">
        <w:rPr>
          <w:rFonts w:ascii="Arial" w:hAnsi="Arial" w:cs="Arial"/>
          <w:i/>
          <w:color w:val="000000" w:themeColor="text1"/>
        </w:rPr>
        <w:t>Gender in Management: An International Journal</w:t>
      </w:r>
      <w:r w:rsidRPr="00EA236B">
        <w:rPr>
          <w:rFonts w:ascii="Arial" w:hAnsi="Arial" w:cs="Arial"/>
          <w:color w:val="000000" w:themeColor="text1"/>
        </w:rPr>
        <w:t xml:space="preserve">, 35(3), pp. 257–260. </w:t>
      </w:r>
    </w:p>
    <w:p w14:paraId="5B7B9EA3" w14:textId="77777777" w:rsidR="001E5199" w:rsidRPr="00EA236B" w:rsidRDefault="001E5199" w:rsidP="001E5199">
      <w:pPr>
        <w:spacing w:line="360" w:lineRule="auto"/>
        <w:ind w:left="720" w:hanging="720"/>
        <w:jc w:val="both"/>
        <w:rPr>
          <w:rFonts w:ascii="Arial" w:hAnsi="Arial" w:cs="Arial"/>
          <w:color w:val="000000" w:themeColor="text1"/>
        </w:rPr>
      </w:pPr>
    </w:p>
    <w:p w14:paraId="5E823A32"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Griffin, R.W. (2022) </w:t>
      </w:r>
      <w:r w:rsidRPr="00EA236B">
        <w:rPr>
          <w:rFonts w:ascii="Arial" w:hAnsi="Arial" w:cs="Arial"/>
          <w:i/>
          <w:color w:val="000000" w:themeColor="text1"/>
        </w:rPr>
        <w:t>Management</w:t>
      </w:r>
      <w:r w:rsidRPr="00EA236B">
        <w:rPr>
          <w:rFonts w:ascii="Arial" w:hAnsi="Arial" w:cs="Arial"/>
          <w:color w:val="000000" w:themeColor="text1"/>
        </w:rPr>
        <w:t xml:space="preserve">. Mason: Cengage. </w:t>
      </w:r>
    </w:p>
    <w:p w14:paraId="44FF6C53" w14:textId="559B91A4" w:rsidR="001E5199" w:rsidRPr="00EA236B" w:rsidRDefault="001E5199" w:rsidP="001E5199">
      <w:pPr>
        <w:pStyle w:val="NormalWeb"/>
        <w:spacing w:line="360" w:lineRule="auto"/>
        <w:jc w:val="both"/>
        <w:rPr>
          <w:rFonts w:ascii="Arial" w:hAnsi="Arial" w:cs="Arial"/>
          <w:color w:val="000000" w:themeColor="text1"/>
        </w:rPr>
      </w:pPr>
      <w:r w:rsidRPr="00EA236B">
        <w:rPr>
          <w:rFonts w:ascii="Arial" w:hAnsi="Arial" w:cs="Arial"/>
          <w:color w:val="000000" w:themeColor="text1"/>
        </w:rPr>
        <w:t>Grzegorczyk, Monika; Mariniello, Mario; Nurski, Laura; Schraepen, Tom (2021</w:t>
      </w:r>
      <w:r w:rsidR="00D041B8" w:rsidRPr="00EA236B">
        <w:rPr>
          <w:rFonts w:ascii="Arial" w:hAnsi="Arial" w:cs="Arial"/>
          <w:color w:val="000000" w:themeColor="text1"/>
        </w:rPr>
        <w:t>):</w:t>
      </w:r>
      <w:r w:rsidRPr="00EA236B">
        <w:rPr>
          <w:rFonts w:ascii="Arial" w:hAnsi="Arial" w:cs="Arial"/>
          <w:color w:val="000000" w:themeColor="text1"/>
        </w:rPr>
        <w:t xml:space="preserve"> Blending the physical and virtual: A hybrid model for the future of work, Bruegel Policy Contribution, No. 14/2021, Bruegel, Brussels </w:t>
      </w:r>
    </w:p>
    <w:p w14:paraId="15EB9607" w14:textId="544AA80C"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Guerin, P.J., Singh-Phulgenda, S. and Strub-Wourgaft, N.,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2020</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The consequence of COVID-19 on the global supply of medical products: Why Indian generics matter for the world?.</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F1000Research</w:t>
      </w:r>
      <w:r w:rsidRPr="00EA236B">
        <w:rPr>
          <w:rFonts w:ascii="Arial" w:hAnsi="Arial" w:cs="Arial"/>
          <w:color w:val="000000" w:themeColor="text1"/>
          <w:shd w:val="clear" w:color="auto" w:fill="FFFFFF"/>
        </w:rPr>
        <w:t>,</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9</w:t>
      </w:r>
      <w:r w:rsidRPr="00EA236B">
        <w:rPr>
          <w:rFonts w:ascii="Arial" w:hAnsi="Arial" w:cs="Arial"/>
          <w:color w:val="000000" w:themeColor="text1"/>
          <w:shd w:val="clear" w:color="auto" w:fill="FFFFFF"/>
        </w:rPr>
        <w:t>.</w:t>
      </w:r>
    </w:p>
    <w:p w14:paraId="4F1DAAE7" w14:textId="77777777" w:rsidR="001E5199" w:rsidRPr="00EA236B" w:rsidRDefault="001E5199" w:rsidP="001E5199">
      <w:pPr>
        <w:spacing w:line="360" w:lineRule="auto"/>
        <w:jc w:val="both"/>
        <w:rPr>
          <w:rFonts w:ascii="Arial" w:hAnsi="Arial" w:cs="Arial"/>
          <w:color w:val="000000" w:themeColor="text1"/>
          <w:shd w:val="clear" w:color="auto" w:fill="FFFFFF"/>
        </w:rPr>
      </w:pPr>
    </w:p>
    <w:p w14:paraId="09E75746" w14:textId="63876D36"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Guest (2021) </w:t>
      </w:r>
      <w:r w:rsidR="00D041B8" w:rsidRPr="00EA236B">
        <w:rPr>
          <w:rFonts w:ascii="Arial" w:hAnsi="Arial" w:cs="Arial"/>
          <w:i/>
          <w:color w:val="000000" w:themeColor="text1"/>
        </w:rPr>
        <w:t>Financial Express</w:t>
      </w:r>
      <w:r w:rsidRPr="00EA236B">
        <w:rPr>
          <w:rFonts w:ascii="Arial" w:hAnsi="Arial" w:cs="Arial"/>
          <w:color w:val="000000" w:themeColor="text1"/>
        </w:rPr>
        <w:t xml:space="preserve">, </w:t>
      </w:r>
      <w:r w:rsidRPr="00EA236B">
        <w:rPr>
          <w:rFonts w:ascii="Arial" w:hAnsi="Arial" w:cs="Arial"/>
          <w:i/>
          <w:color w:val="000000" w:themeColor="text1"/>
        </w:rPr>
        <w:t>The Financial Express</w:t>
      </w:r>
      <w:r w:rsidRPr="00EA236B">
        <w:rPr>
          <w:rFonts w:ascii="Arial" w:hAnsi="Arial" w:cs="Arial"/>
          <w:color w:val="000000" w:themeColor="text1"/>
        </w:rPr>
        <w:t>. Available at: https://www.financialexpress.com/lifestyle/travel-tourism/medical-value-tourism-in-india-</w:t>
      </w:r>
      <w:r w:rsidRPr="00EA236B">
        <w:rPr>
          <w:rFonts w:ascii="Arial" w:hAnsi="Arial" w:cs="Arial"/>
          <w:color w:val="000000" w:themeColor="text1"/>
        </w:rPr>
        <w:lastRenderedPageBreak/>
        <w:t xml:space="preserve">what-makes-the-country-a-leading-medical-tourism-destination/2338644/ (Accessed: February 2, 2023). </w:t>
      </w:r>
    </w:p>
    <w:p w14:paraId="60B0C6BA" w14:textId="77777777" w:rsidR="001E5199" w:rsidRPr="00EA236B" w:rsidRDefault="001E5199" w:rsidP="001E5199">
      <w:pPr>
        <w:spacing w:line="360" w:lineRule="auto"/>
        <w:ind w:left="720" w:hanging="720"/>
        <w:jc w:val="both"/>
        <w:rPr>
          <w:rFonts w:ascii="Arial" w:hAnsi="Arial" w:cs="Arial"/>
          <w:color w:val="000000" w:themeColor="text1"/>
        </w:rPr>
      </w:pPr>
    </w:p>
    <w:p w14:paraId="0B0BCBE9" w14:textId="5DB0C07D"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Gunawan, I., Kusumaningrum, D.E. and Sumarsono, R.B.,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2019</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December. Investigation of Principal Leadership Based on Pesantren: Descriptive Study about Implementation of Human Resources Empowerment Models Based on Soft System Methodology. In</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The 4th International Conference on Education and Management (COEMA 2019)</w:t>
      </w:r>
      <w:r w:rsidRPr="00EA236B">
        <w:rPr>
          <w:rStyle w:val="apple-converted-space"/>
          <w:rFonts w:ascii="Arial" w:hAnsi="Arial" w:cs="Arial"/>
          <w:color w:val="000000" w:themeColor="text1"/>
          <w:shd w:val="clear" w:color="auto" w:fill="FFFFFF"/>
        </w:rPr>
        <w:t> </w:t>
      </w:r>
      <w:r w:rsidRPr="00EA236B">
        <w:rPr>
          <w:rFonts w:ascii="Arial" w:hAnsi="Arial" w:cs="Arial"/>
          <w:color w:val="000000" w:themeColor="text1"/>
          <w:shd w:val="clear" w:color="auto" w:fill="FFFFFF"/>
        </w:rPr>
        <w:t>(pp. 255-258). Atlantis Press.</w:t>
      </w:r>
    </w:p>
    <w:p w14:paraId="5E9A54F4" w14:textId="10384A14"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Henkel, T., Marion, J. and Bourdeau, D. (2019) “Project manager leadership </w:t>
      </w:r>
      <w:r w:rsidR="00D041B8" w:rsidRPr="00EA236B">
        <w:rPr>
          <w:rFonts w:ascii="Arial" w:hAnsi="Arial" w:cs="Arial"/>
          <w:color w:val="000000" w:themeColor="text1"/>
        </w:rPr>
        <w:t>behaviour</w:t>
      </w:r>
      <w:r w:rsidRPr="00EA236B">
        <w:rPr>
          <w:rFonts w:ascii="Arial" w:hAnsi="Arial" w:cs="Arial"/>
          <w:color w:val="000000" w:themeColor="text1"/>
        </w:rPr>
        <w:t xml:space="preserve">: Task-oriented versus relationship-oriented,” </w:t>
      </w:r>
      <w:r w:rsidRPr="00EA236B">
        <w:rPr>
          <w:rFonts w:ascii="Arial" w:hAnsi="Arial" w:cs="Arial"/>
          <w:i/>
          <w:color w:val="000000" w:themeColor="text1"/>
        </w:rPr>
        <w:t>Journal of Leadership Education</w:t>
      </w:r>
      <w:r w:rsidRPr="00EA236B">
        <w:rPr>
          <w:rFonts w:ascii="Arial" w:hAnsi="Arial" w:cs="Arial"/>
          <w:color w:val="000000" w:themeColor="text1"/>
        </w:rPr>
        <w:t xml:space="preserve">, 18(2). </w:t>
      </w:r>
    </w:p>
    <w:p w14:paraId="2CE1071A" w14:textId="77777777" w:rsidR="001E5199" w:rsidRPr="00EA236B" w:rsidRDefault="001E5199" w:rsidP="001E5199">
      <w:pPr>
        <w:spacing w:line="360" w:lineRule="auto"/>
        <w:ind w:left="720" w:hanging="720"/>
        <w:jc w:val="both"/>
        <w:rPr>
          <w:rFonts w:ascii="Arial" w:hAnsi="Arial" w:cs="Arial"/>
          <w:color w:val="000000" w:themeColor="text1"/>
        </w:rPr>
      </w:pPr>
    </w:p>
    <w:p w14:paraId="61B9EE07" w14:textId="59301C71"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Hilberath, C., Kilmann, J., Lovich, D., Tzanetti, T., Bailey, A., Beck, S., Kaufman, E., Khandelwal, B., Schuler, F. and Woolsey, K.,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2020</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Hybrid work is the new remote work.</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 xml:space="preserve">Boston Consulting </w:t>
      </w:r>
      <w:r w:rsidR="00D041B8" w:rsidRPr="00EA236B">
        <w:rPr>
          <w:rFonts w:ascii="Arial" w:hAnsi="Arial" w:cs="Arial"/>
          <w:i/>
          <w:iCs/>
          <w:color w:val="000000" w:themeColor="text1"/>
        </w:rPr>
        <w:t>Group. [</w:t>
      </w:r>
      <w:r w:rsidRPr="00EA236B">
        <w:rPr>
          <w:rFonts w:ascii="Arial" w:hAnsi="Arial" w:cs="Arial"/>
          <w:i/>
          <w:iCs/>
          <w:color w:val="000000" w:themeColor="text1"/>
        </w:rPr>
        <w:t>en línea], Recuperado de: https://www. bcg. com/publications/2020/managing-remote-work-and-optimizing-hybridworking-models</w:t>
      </w:r>
      <w:r w:rsidRPr="00EA236B">
        <w:rPr>
          <w:rFonts w:ascii="Arial" w:hAnsi="Arial" w:cs="Arial"/>
          <w:color w:val="000000" w:themeColor="text1"/>
          <w:shd w:val="clear" w:color="auto" w:fill="FFFFFF"/>
        </w:rPr>
        <w:t>.</w:t>
      </w:r>
    </w:p>
    <w:p w14:paraId="0033544E" w14:textId="77777777" w:rsidR="001E5199" w:rsidRPr="00EA236B" w:rsidRDefault="001E5199" w:rsidP="001E5199">
      <w:pPr>
        <w:spacing w:line="360" w:lineRule="auto"/>
        <w:jc w:val="both"/>
        <w:rPr>
          <w:rFonts w:ascii="Arial" w:hAnsi="Arial" w:cs="Arial"/>
          <w:color w:val="000000" w:themeColor="text1"/>
          <w:shd w:val="clear" w:color="auto" w:fill="FFFFFF"/>
        </w:rPr>
      </w:pPr>
    </w:p>
    <w:p w14:paraId="34ED7722" w14:textId="4C35E5DD"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Hopkins, L. </w:t>
      </w:r>
      <w:r w:rsidRPr="00EA236B">
        <w:rPr>
          <w:rFonts w:ascii="Arial" w:hAnsi="Arial" w:cs="Arial"/>
          <w:i/>
          <w:color w:val="000000" w:themeColor="text1"/>
        </w:rPr>
        <w:t>et al.</w:t>
      </w:r>
      <w:r w:rsidRPr="00EA236B">
        <w:rPr>
          <w:rFonts w:ascii="Arial" w:hAnsi="Arial" w:cs="Arial"/>
          <w:color w:val="000000" w:themeColor="text1"/>
        </w:rPr>
        <w:t xml:space="preserve"> (2010) “Medical tourism today: What is the state of existing knowledge?,” </w:t>
      </w:r>
      <w:r w:rsidRPr="00EA236B">
        <w:rPr>
          <w:rFonts w:ascii="Arial" w:hAnsi="Arial" w:cs="Arial"/>
          <w:i/>
          <w:color w:val="000000" w:themeColor="text1"/>
        </w:rPr>
        <w:t>Journal of Public Health Policy</w:t>
      </w:r>
      <w:r w:rsidRPr="00EA236B">
        <w:rPr>
          <w:rFonts w:ascii="Arial" w:hAnsi="Arial" w:cs="Arial"/>
          <w:color w:val="000000" w:themeColor="text1"/>
        </w:rPr>
        <w:t xml:space="preserve">, 31(2), pp. 185–198. </w:t>
      </w:r>
    </w:p>
    <w:p w14:paraId="4AC02B99" w14:textId="77777777" w:rsidR="001E5199" w:rsidRPr="00EA236B" w:rsidRDefault="001E5199" w:rsidP="001E5199">
      <w:pPr>
        <w:spacing w:line="360" w:lineRule="auto"/>
        <w:ind w:left="720" w:hanging="720"/>
        <w:jc w:val="both"/>
        <w:rPr>
          <w:rFonts w:ascii="Arial" w:hAnsi="Arial" w:cs="Arial"/>
          <w:color w:val="000000" w:themeColor="text1"/>
        </w:rPr>
      </w:pPr>
    </w:p>
    <w:p w14:paraId="15001F1B" w14:textId="49556C6A"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Hughes, R.L., Ginnett, R.C. and Curphy, G.J., 1998. Contingency theories of leadership.</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Leading organizations: Perspectives for a new era</w:t>
      </w:r>
      <w:r w:rsidRPr="00EA236B">
        <w:rPr>
          <w:rFonts w:ascii="Arial" w:hAnsi="Arial" w:cs="Arial"/>
          <w:color w:val="000000" w:themeColor="text1"/>
          <w:shd w:val="clear" w:color="auto" w:fill="FFFFFF"/>
        </w:rPr>
        <w:t>, pp.141-157.</w:t>
      </w:r>
    </w:p>
    <w:p w14:paraId="6D2D048F" w14:textId="77777777" w:rsidR="001E5199" w:rsidRPr="00EA236B" w:rsidRDefault="001E5199" w:rsidP="001E5199">
      <w:pPr>
        <w:spacing w:line="360" w:lineRule="auto"/>
        <w:jc w:val="both"/>
        <w:rPr>
          <w:rFonts w:ascii="Arial" w:hAnsi="Arial" w:cs="Arial"/>
          <w:color w:val="000000" w:themeColor="text1"/>
          <w:shd w:val="clear" w:color="auto" w:fill="FFFFFF"/>
        </w:rPr>
      </w:pPr>
    </w:p>
    <w:p w14:paraId="40B61AC9" w14:textId="7314CAEC"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Hunter, P. (2019) “Remote working in research,” </w:t>
      </w:r>
      <w:r w:rsidRPr="00EA236B">
        <w:rPr>
          <w:rFonts w:ascii="Arial" w:hAnsi="Arial" w:cs="Arial"/>
          <w:i/>
          <w:color w:val="000000" w:themeColor="text1"/>
        </w:rPr>
        <w:t>EMBO reports</w:t>
      </w:r>
      <w:r w:rsidRPr="00EA236B">
        <w:rPr>
          <w:rFonts w:ascii="Arial" w:hAnsi="Arial" w:cs="Arial"/>
          <w:color w:val="000000" w:themeColor="text1"/>
        </w:rPr>
        <w:t xml:space="preserve">, 20(1). </w:t>
      </w:r>
    </w:p>
    <w:p w14:paraId="7FB9AC01" w14:textId="77777777" w:rsidR="001E5199" w:rsidRPr="00EA236B" w:rsidRDefault="001E5199" w:rsidP="001E5199">
      <w:pPr>
        <w:spacing w:line="360" w:lineRule="auto"/>
        <w:ind w:left="720" w:hanging="720"/>
        <w:jc w:val="both"/>
        <w:rPr>
          <w:rFonts w:ascii="Arial" w:hAnsi="Arial" w:cs="Arial"/>
          <w:color w:val="000000" w:themeColor="text1"/>
        </w:rPr>
      </w:pPr>
    </w:p>
    <w:p w14:paraId="252E71E7" w14:textId="185B9795"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IBEF (2022) </w:t>
      </w:r>
      <w:r w:rsidRPr="00EA236B">
        <w:rPr>
          <w:rFonts w:ascii="Arial" w:hAnsi="Arial" w:cs="Arial"/>
          <w:i/>
          <w:color w:val="000000" w:themeColor="text1"/>
        </w:rPr>
        <w:t>India emerging as a medical tourism hub: IBEF</w:t>
      </w:r>
      <w:r w:rsidRPr="00EA236B">
        <w:rPr>
          <w:rFonts w:ascii="Arial" w:hAnsi="Arial" w:cs="Arial"/>
          <w:color w:val="000000" w:themeColor="text1"/>
        </w:rPr>
        <w:t xml:space="preserve">, </w:t>
      </w:r>
      <w:r w:rsidRPr="00EA236B">
        <w:rPr>
          <w:rFonts w:ascii="Arial" w:hAnsi="Arial" w:cs="Arial"/>
          <w:i/>
          <w:color w:val="000000" w:themeColor="text1"/>
        </w:rPr>
        <w:t>India Brand Equity Foundation</w:t>
      </w:r>
      <w:r w:rsidRPr="00EA236B">
        <w:rPr>
          <w:rFonts w:ascii="Arial" w:hAnsi="Arial" w:cs="Arial"/>
          <w:color w:val="000000" w:themeColor="text1"/>
        </w:rPr>
        <w:t xml:space="preserve">. IBEF. Available at: </w:t>
      </w:r>
      <w:hyperlink r:id="rId18" w:history="1">
        <w:r w:rsidRPr="00EA236B">
          <w:rPr>
            <w:rStyle w:val="Hyperlink"/>
            <w:rFonts w:ascii="Arial" w:hAnsi="Arial" w:cs="Arial"/>
            <w:color w:val="000000" w:themeColor="text1"/>
          </w:rPr>
          <w:t>https://www.ibef.org/blogs/india-emerging-as-a-medical-tourism</w:t>
        </w:r>
      </w:hyperlink>
      <w:r w:rsidRPr="00EA236B">
        <w:rPr>
          <w:rFonts w:ascii="Arial" w:hAnsi="Arial" w:cs="Arial"/>
          <w:color w:val="000000" w:themeColor="text1"/>
        </w:rPr>
        <w:t xml:space="preserve"> </w:t>
      </w:r>
      <w:r w:rsidRPr="00EA236B">
        <w:rPr>
          <w:rFonts w:ascii="Arial" w:hAnsi="Arial" w:cs="Arial"/>
          <w:color w:val="000000" w:themeColor="text1"/>
        </w:rPr>
        <w:t>hub</w:t>
      </w:r>
      <w:r w:rsidR="00D041B8" w:rsidRPr="00EA236B">
        <w:rPr>
          <w:rFonts w:ascii="Arial" w:hAnsi="Arial" w:cs="Arial"/>
          <w:color w:val="000000" w:themeColor="text1"/>
        </w:rPr>
        <w:t>#: ~</w:t>
      </w:r>
      <w:r w:rsidRPr="00EA236B">
        <w:rPr>
          <w:rFonts w:ascii="Arial" w:hAnsi="Arial" w:cs="Arial"/>
          <w:color w:val="000000" w:themeColor="text1"/>
        </w:rPr>
        <w:t xml:space="preserve">:text=According%20to%20estimates%20from%20the,7%25%20of%20the%20total%20FTAs. (Accessed: February 2, 2023). </w:t>
      </w:r>
    </w:p>
    <w:p w14:paraId="10494958" w14:textId="77777777" w:rsidR="001E5199" w:rsidRPr="00EA236B" w:rsidRDefault="001E5199" w:rsidP="001E5199">
      <w:pPr>
        <w:spacing w:line="360" w:lineRule="auto"/>
        <w:ind w:left="720" w:hanging="720"/>
        <w:jc w:val="both"/>
        <w:rPr>
          <w:rFonts w:ascii="Arial" w:hAnsi="Arial" w:cs="Arial"/>
          <w:color w:val="000000" w:themeColor="text1"/>
        </w:rPr>
      </w:pPr>
    </w:p>
    <w:p w14:paraId="01D47F71" w14:textId="76169A9C"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International Coaching Federation (2017) </w:t>
      </w:r>
      <w:r w:rsidRPr="00EA236B">
        <w:rPr>
          <w:rFonts w:ascii="Arial" w:hAnsi="Arial" w:cs="Arial"/>
          <w:i/>
          <w:color w:val="000000" w:themeColor="text1"/>
        </w:rPr>
        <w:t>New research highlights what Millennial Leaders and first-time managers need to succeed</w:t>
      </w:r>
      <w:r w:rsidRPr="00EA236B">
        <w:rPr>
          <w:rFonts w:ascii="Arial" w:hAnsi="Arial" w:cs="Arial"/>
          <w:color w:val="000000" w:themeColor="text1"/>
        </w:rPr>
        <w:t xml:space="preserve">, </w:t>
      </w:r>
      <w:r w:rsidRPr="00EA236B">
        <w:rPr>
          <w:rFonts w:ascii="Arial" w:hAnsi="Arial" w:cs="Arial"/>
          <w:i/>
          <w:color w:val="000000" w:themeColor="text1"/>
        </w:rPr>
        <w:t>International Coaching Federation</w:t>
      </w:r>
      <w:r w:rsidRPr="00EA236B">
        <w:rPr>
          <w:rFonts w:ascii="Arial" w:hAnsi="Arial" w:cs="Arial"/>
          <w:color w:val="000000" w:themeColor="text1"/>
        </w:rPr>
        <w:t xml:space="preserve">. Available at: https://coachingfederation.org/blog/new-research-highlights-millennial-leaders-first-time-managers-need-succeed (Accessed: February 1, 2023). </w:t>
      </w:r>
    </w:p>
    <w:p w14:paraId="5C363ECB" w14:textId="77777777" w:rsidR="001E5199" w:rsidRPr="00EA236B" w:rsidRDefault="001E5199" w:rsidP="001E5199">
      <w:pPr>
        <w:spacing w:line="360" w:lineRule="auto"/>
        <w:ind w:left="720" w:hanging="720"/>
        <w:jc w:val="both"/>
        <w:rPr>
          <w:rFonts w:ascii="Arial" w:hAnsi="Arial" w:cs="Arial"/>
          <w:color w:val="000000" w:themeColor="text1"/>
        </w:rPr>
      </w:pPr>
    </w:p>
    <w:p w14:paraId="5029C154" w14:textId="46144393"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Jawoosh, H.N., Hatim, A.D. and ABDUL RAZAK, M.O.H.D.R.A.D.Z.A.N.I. (2021) “Leadership theories in management and psychologist educational filed,” </w:t>
      </w:r>
      <w:r w:rsidR="00D041B8" w:rsidRPr="00EA236B">
        <w:rPr>
          <w:rFonts w:ascii="Arial" w:hAnsi="Arial" w:cs="Arial"/>
          <w:i/>
          <w:color w:val="000000" w:themeColor="text1"/>
        </w:rPr>
        <w:t>Modern</w:t>
      </w:r>
      <w:r w:rsidRPr="00EA236B">
        <w:rPr>
          <w:rFonts w:ascii="Arial" w:hAnsi="Arial" w:cs="Arial"/>
          <w:i/>
          <w:color w:val="000000" w:themeColor="text1"/>
        </w:rPr>
        <w:t xml:space="preserve"> Sport Journal</w:t>
      </w:r>
      <w:r w:rsidRPr="00EA236B">
        <w:rPr>
          <w:rFonts w:ascii="Arial" w:hAnsi="Arial" w:cs="Arial"/>
          <w:color w:val="000000" w:themeColor="text1"/>
        </w:rPr>
        <w:t xml:space="preserve">, 20(2), p. 0109. </w:t>
      </w:r>
    </w:p>
    <w:p w14:paraId="6CEAA4F5" w14:textId="2813CFC8"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lastRenderedPageBreak/>
        <w:t xml:space="preserve">Ji, Y.-H. and yang, S.-Y. (2016) “A qualitative case study on activation of creative tourism through the convergence of medical tourism service: Focused on local governance’s political trends and roles,” </w:t>
      </w:r>
      <w:r w:rsidRPr="00EA236B">
        <w:rPr>
          <w:rFonts w:ascii="Arial" w:hAnsi="Arial" w:cs="Arial"/>
          <w:i/>
          <w:color w:val="000000" w:themeColor="text1"/>
        </w:rPr>
        <w:t>Korea Journal of Tourism Research</w:t>
      </w:r>
      <w:r w:rsidRPr="00EA236B">
        <w:rPr>
          <w:rFonts w:ascii="Arial" w:hAnsi="Arial" w:cs="Arial"/>
          <w:color w:val="000000" w:themeColor="text1"/>
        </w:rPr>
        <w:t xml:space="preserve">, 31(4), pp. 151–170. </w:t>
      </w:r>
    </w:p>
    <w:p w14:paraId="1B1703ED" w14:textId="77777777" w:rsidR="001E5199" w:rsidRPr="00EA236B" w:rsidRDefault="001E5199" w:rsidP="001E5199">
      <w:pPr>
        <w:spacing w:line="360" w:lineRule="auto"/>
        <w:ind w:left="720" w:hanging="720"/>
        <w:jc w:val="both"/>
        <w:rPr>
          <w:rFonts w:ascii="Arial" w:hAnsi="Arial" w:cs="Arial"/>
          <w:color w:val="000000" w:themeColor="text1"/>
        </w:rPr>
      </w:pPr>
    </w:p>
    <w:p w14:paraId="00C73C00" w14:textId="6307098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Johannessen, J.-A. (2020) </w:t>
      </w:r>
      <w:r w:rsidRPr="00EA236B">
        <w:rPr>
          <w:rFonts w:ascii="Arial" w:hAnsi="Arial" w:cs="Arial"/>
          <w:i/>
          <w:color w:val="000000" w:themeColor="text1"/>
        </w:rPr>
        <w:t xml:space="preserve">The workplace of the future: The fourth industrial revolution, the </w:t>
      </w:r>
      <w:r w:rsidR="00D041B8" w:rsidRPr="00EA236B">
        <w:rPr>
          <w:rFonts w:ascii="Arial" w:hAnsi="Arial" w:cs="Arial"/>
          <w:i/>
          <w:color w:val="000000" w:themeColor="text1"/>
        </w:rPr>
        <w:t>Precariat,</w:t>
      </w:r>
      <w:r w:rsidRPr="00EA236B">
        <w:rPr>
          <w:rFonts w:ascii="Arial" w:hAnsi="Arial" w:cs="Arial"/>
          <w:i/>
          <w:color w:val="000000" w:themeColor="text1"/>
        </w:rPr>
        <w:t xml:space="preserve"> and the death of hierarchies</w:t>
      </w:r>
      <w:r w:rsidRPr="00EA236B">
        <w:rPr>
          <w:rFonts w:ascii="Arial" w:hAnsi="Arial" w:cs="Arial"/>
          <w:color w:val="000000" w:themeColor="text1"/>
        </w:rPr>
        <w:t xml:space="preserve">. Abingdon: Routledge. </w:t>
      </w:r>
    </w:p>
    <w:p w14:paraId="22F0F0E3" w14:textId="77777777" w:rsidR="001E5199" w:rsidRPr="00EA236B" w:rsidRDefault="001E5199" w:rsidP="001E5199">
      <w:pPr>
        <w:spacing w:line="360" w:lineRule="auto"/>
        <w:ind w:left="720" w:hanging="720"/>
        <w:jc w:val="both"/>
        <w:rPr>
          <w:rFonts w:ascii="Arial" w:hAnsi="Arial" w:cs="Arial"/>
          <w:color w:val="000000" w:themeColor="text1"/>
        </w:rPr>
      </w:pPr>
    </w:p>
    <w:p w14:paraId="76557C2D" w14:textId="5D436E2C"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Jutaviriya, K., Chumnanmak, R., Ostapirat, P. and Jaiborisudhi, W., </w:t>
      </w:r>
      <w:r w:rsidR="00811E53"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2022</w:t>
      </w:r>
      <w:r w:rsidR="00811E53"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Social and Institutional Networks in Cross-border Medical Services on the Thai-Lao Border.</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Journal of Mekong Societies</w:t>
      </w:r>
      <w:r w:rsidRPr="00EA236B">
        <w:rPr>
          <w:rFonts w:ascii="Arial" w:hAnsi="Arial" w:cs="Arial"/>
          <w:color w:val="000000" w:themeColor="text1"/>
          <w:shd w:val="clear" w:color="auto" w:fill="FFFFFF"/>
        </w:rPr>
        <w:t>,</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18</w:t>
      </w:r>
      <w:r w:rsidRPr="00EA236B">
        <w:rPr>
          <w:rFonts w:ascii="Arial" w:hAnsi="Arial" w:cs="Arial"/>
          <w:color w:val="000000" w:themeColor="text1"/>
          <w:shd w:val="clear" w:color="auto" w:fill="FFFFFF"/>
        </w:rPr>
        <w:t>(3), pp.89-109.</w:t>
      </w:r>
    </w:p>
    <w:p w14:paraId="4D8439A2" w14:textId="77777777" w:rsidR="001E5199" w:rsidRPr="00EA236B" w:rsidRDefault="001E5199" w:rsidP="001E5199">
      <w:pPr>
        <w:spacing w:line="360" w:lineRule="auto"/>
        <w:jc w:val="both"/>
        <w:rPr>
          <w:rFonts w:ascii="Arial" w:hAnsi="Arial" w:cs="Arial"/>
          <w:color w:val="000000" w:themeColor="text1"/>
          <w:shd w:val="clear" w:color="auto" w:fill="FFFFFF"/>
        </w:rPr>
      </w:pPr>
    </w:p>
    <w:p w14:paraId="4889C2AF" w14:textId="1BBCA271" w:rsidR="001E5199" w:rsidRPr="00EA236B" w:rsidRDefault="001E5199" w:rsidP="001E5199">
      <w:pPr>
        <w:spacing w:line="360" w:lineRule="auto"/>
        <w:jc w:val="both"/>
        <w:rPr>
          <w:rFonts w:ascii="Arial" w:hAnsi="Arial" w:cs="Arial"/>
          <w:color w:val="000000" w:themeColor="text1"/>
        </w:rPr>
      </w:pPr>
      <w:r w:rsidRPr="00EA236B">
        <w:rPr>
          <w:rFonts w:ascii="Arial" w:hAnsi="Arial" w:cs="Arial"/>
          <w:color w:val="000000" w:themeColor="text1"/>
        </w:rPr>
        <w:t xml:space="preserve">Kelly, R., Losekoot, E. and Wright-Stclair, V., </w:t>
      </w:r>
      <w:r w:rsidRPr="00EA236B">
        <w:rPr>
          <w:rFonts w:ascii="Arial" w:hAnsi="Arial" w:cs="Arial"/>
          <w:color w:val="000000" w:themeColor="text1"/>
        </w:rPr>
        <w:t>(</w:t>
      </w:r>
      <w:r w:rsidRPr="00EA236B">
        <w:rPr>
          <w:rFonts w:ascii="Arial" w:hAnsi="Arial" w:cs="Arial"/>
          <w:color w:val="000000" w:themeColor="text1"/>
        </w:rPr>
        <w:t>2016</w:t>
      </w:r>
      <w:r w:rsidRPr="00EA236B">
        <w:rPr>
          <w:rFonts w:ascii="Arial" w:hAnsi="Arial" w:cs="Arial"/>
          <w:color w:val="000000" w:themeColor="text1"/>
        </w:rPr>
        <w:t>)</w:t>
      </w:r>
      <w:r w:rsidRPr="00EA236B">
        <w:rPr>
          <w:rFonts w:ascii="Arial" w:hAnsi="Arial" w:cs="Arial"/>
          <w:color w:val="000000" w:themeColor="text1"/>
        </w:rPr>
        <w:t>. Hospitality in hospitals: The importance of caring about the patient. </w:t>
      </w:r>
      <w:r w:rsidRPr="00EA236B">
        <w:rPr>
          <w:rFonts w:ascii="Arial" w:hAnsi="Arial" w:cs="Arial"/>
          <w:i/>
          <w:iCs/>
          <w:color w:val="000000" w:themeColor="text1"/>
        </w:rPr>
        <w:t>Hospitality &amp; society, </w:t>
      </w:r>
      <w:r w:rsidRPr="00EA236B">
        <w:rPr>
          <w:rFonts w:ascii="Arial" w:hAnsi="Arial" w:cs="Arial"/>
          <w:b/>
          <w:bCs/>
          <w:color w:val="000000" w:themeColor="text1"/>
        </w:rPr>
        <w:t>6</w:t>
      </w:r>
      <w:r w:rsidRPr="00EA236B">
        <w:rPr>
          <w:rFonts w:ascii="Arial" w:hAnsi="Arial" w:cs="Arial"/>
          <w:color w:val="000000" w:themeColor="text1"/>
        </w:rPr>
        <w:t>(2), pp. 113-129.</w:t>
      </w:r>
    </w:p>
    <w:p w14:paraId="2EB0879E" w14:textId="77777777" w:rsidR="001E5199" w:rsidRPr="00EA236B" w:rsidRDefault="001E5199" w:rsidP="001E5199">
      <w:pPr>
        <w:spacing w:line="360" w:lineRule="auto"/>
        <w:jc w:val="both"/>
        <w:rPr>
          <w:rFonts w:ascii="Arial" w:hAnsi="Arial" w:cs="Arial"/>
          <w:color w:val="000000" w:themeColor="text1"/>
        </w:rPr>
      </w:pPr>
    </w:p>
    <w:p w14:paraId="67FE8E03"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Labonte, R. (2022) </w:t>
      </w:r>
      <w:r w:rsidRPr="00EA236B">
        <w:rPr>
          <w:rFonts w:ascii="Arial" w:hAnsi="Arial" w:cs="Arial"/>
          <w:i/>
          <w:color w:val="000000" w:themeColor="text1"/>
        </w:rPr>
        <w:t>Overview: Medical Tourism Today: What, Who, Why and Where?</w:t>
      </w:r>
      <w:r w:rsidRPr="00EA236B">
        <w:rPr>
          <w:rFonts w:ascii="Arial" w:hAnsi="Arial" w:cs="Arial"/>
          <w:color w:val="000000" w:themeColor="text1"/>
        </w:rPr>
        <w:t xml:space="preserve">, </w:t>
      </w:r>
      <w:r w:rsidRPr="00EA236B">
        <w:rPr>
          <w:rFonts w:ascii="Arial" w:hAnsi="Arial" w:cs="Arial"/>
          <w:i/>
          <w:color w:val="000000" w:themeColor="text1"/>
        </w:rPr>
        <w:t>Global Health Equity</w:t>
      </w:r>
      <w:r w:rsidRPr="00EA236B">
        <w:rPr>
          <w:rFonts w:ascii="Arial" w:hAnsi="Arial" w:cs="Arial"/>
          <w:color w:val="000000" w:themeColor="text1"/>
        </w:rPr>
        <w:t xml:space="preserve">. Available at: https://globalhealthequity.ca/wp-content/uploads/2020/07/Medical-Tourism-today.pdf (Accessed: February 4, 2023). </w:t>
      </w:r>
    </w:p>
    <w:p w14:paraId="2B9AEC26" w14:textId="454F8593"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Laviana, A.A., Luckenbaugh, A.N. and Resnick, M.J. (2020) “Trends in the cost of cancer care: Beyond drugs,” </w:t>
      </w:r>
      <w:r w:rsidRPr="00EA236B">
        <w:rPr>
          <w:rFonts w:ascii="Arial" w:hAnsi="Arial" w:cs="Arial"/>
          <w:i/>
          <w:color w:val="000000" w:themeColor="text1"/>
        </w:rPr>
        <w:t>Journal of Clinical Oncology</w:t>
      </w:r>
      <w:r w:rsidRPr="00EA236B">
        <w:rPr>
          <w:rFonts w:ascii="Arial" w:hAnsi="Arial" w:cs="Arial"/>
          <w:color w:val="000000" w:themeColor="text1"/>
        </w:rPr>
        <w:t xml:space="preserve">, 38(4), pp. 316–322. </w:t>
      </w:r>
    </w:p>
    <w:p w14:paraId="16C435B1" w14:textId="77777777" w:rsidR="001E5199" w:rsidRPr="00EA236B" w:rsidRDefault="001E5199" w:rsidP="001E5199">
      <w:pPr>
        <w:spacing w:line="360" w:lineRule="auto"/>
        <w:ind w:left="720" w:hanging="720"/>
        <w:jc w:val="both"/>
        <w:rPr>
          <w:rFonts w:ascii="Arial" w:hAnsi="Arial" w:cs="Arial"/>
          <w:color w:val="000000" w:themeColor="text1"/>
        </w:rPr>
      </w:pPr>
    </w:p>
    <w:p w14:paraId="71622639" w14:textId="0E5F06A9"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Leggat P. Medical tourism. Aust Fam Physician.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2015</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xml:space="preserve"> Jan-Feb;44(1-2):16-21. PMID: 25688954.</w:t>
      </w:r>
    </w:p>
    <w:p w14:paraId="11E0CC87" w14:textId="77777777" w:rsidR="001E5199" w:rsidRPr="00EA236B" w:rsidRDefault="001E5199" w:rsidP="001E5199">
      <w:pPr>
        <w:spacing w:line="360" w:lineRule="auto"/>
        <w:jc w:val="both"/>
        <w:rPr>
          <w:rFonts w:ascii="Arial" w:hAnsi="Arial" w:cs="Arial"/>
          <w:color w:val="000000" w:themeColor="text1"/>
          <w:shd w:val="clear" w:color="auto" w:fill="FFFFFF"/>
        </w:rPr>
      </w:pPr>
    </w:p>
    <w:p w14:paraId="5D61504B" w14:textId="6E8F3551"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Lemoine, G.J., Hartnell, C.A. and Leroy, H. (2019) “Taking stock of moral approaches to leadership: An integrative review of ethical, authentic, and servant leadership,” </w:t>
      </w:r>
      <w:r w:rsidRPr="00EA236B">
        <w:rPr>
          <w:rFonts w:ascii="Arial" w:hAnsi="Arial" w:cs="Arial"/>
          <w:i/>
          <w:color w:val="000000" w:themeColor="text1"/>
        </w:rPr>
        <w:t>Academy of Management Annals</w:t>
      </w:r>
      <w:r w:rsidRPr="00EA236B">
        <w:rPr>
          <w:rFonts w:ascii="Arial" w:hAnsi="Arial" w:cs="Arial"/>
          <w:color w:val="000000" w:themeColor="text1"/>
        </w:rPr>
        <w:t xml:space="preserve">, 13(1), pp. 148–187. </w:t>
      </w:r>
    </w:p>
    <w:p w14:paraId="06FD5FE9" w14:textId="77777777" w:rsidR="001E5199" w:rsidRPr="00EA236B" w:rsidRDefault="001E5199" w:rsidP="001E5199">
      <w:pPr>
        <w:spacing w:line="360" w:lineRule="auto"/>
        <w:ind w:left="720" w:hanging="720"/>
        <w:jc w:val="both"/>
        <w:rPr>
          <w:rFonts w:ascii="Arial" w:hAnsi="Arial" w:cs="Arial"/>
          <w:color w:val="000000" w:themeColor="text1"/>
        </w:rPr>
      </w:pPr>
    </w:p>
    <w:p w14:paraId="79522330" w14:textId="1D3CF8FA"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Linkletter, K. and Tabesh, P. (2022) “‘when asked what I do, I say: ‘I write’’: A systematic text analysis of Peter Drucker’s writings,” </w:t>
      </w:r>
      <w:r w:rsidRPr="00EA236B">
        <w:rPr>
          <w:rFonts w:ascii="Arial" w:hAnsi="Arial" w:cs="Arial"/>
          <w:i/>
          <w:color w:val="000000" w:themeColor="text1"/>
        </w:rPr>
        <w:t>Journal of Management History</w:t>
      </w:r>
      <w:r w:rsidRPr="00EA236B">
        <w:rPr>
          <w:rFonts w:ascii="Arial" w:hAnsi="Arial" w:cs="Arial"/>
          <w:color w:val="000000" w:themeColor="text1"/>
        </w:rPr>
        <w:t xml:space="preserve">, </w:t>
      </w:r>
      <w:r w:rsidR="00D041B8" w:rsidRPr="00EA236B">
        <w:rPr>
          <w:rFonts w:ascii="Arial" w:hAnsi="Arial" w:cs="Arial"/>
          <w:color w:val="000000" w:themeColor="text1"/>
        </w:rPr>
        <w:t>AoP (</w:t>
      </w:r>
      <w:r w:rsidRPr="00EA236B">
        <w:rPr>
          <w:rFonts w:ascii="Arial" w:hAnsi="Arial" w:cs="Arial"/>
          <w:color w:val="000000" w:themeColor="text1"/>
        </w:rPr>
        <w:t xml:space="preserve">AoP). </w:t>
      </w:r>
    </w:p>
    <w:p w14:paraId="7BDE5D2B" w14:textId="77777777" w:rsidR="001E5199" w:rsidRPr="00EA236B" w:rsidRDefault="001E5199" w:rsidP="001E5199">
      <w:pPr>
        <w:spacing w:line="360" w:lineRule="auto"/>
        <w:ind w:left="720" w:hanging="720"/>
        <w:jc w:val="both"/>
        <w:rPr>
          <w:rFonts w:ascii="Arial" w:hAnsi="Arial" w:cs="Arial"/>
          <w:color w:val="000000" w:themeColor="text1"/>
        </w:rPr>
      </w:pPr>
    </w:p>
    <w:p w14:paraId="5F1CCF63"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Lunt, N. </w:t>
      </w:r>
      <w:r w:rsidRPr="00EA236B">
        <w:rPr>
          <w:rFonts w:ascii="Arial" w:hAnsi="Arial" w:cs="Arial"/>
          <w:i/>
          <w:color w:val="000000" w:themeColor="text1"/>
        </w:rPr>
        <w:t>et al.</w:t>
      </w:r>
      <w:r w:rsidRPr="00EA236B">
        <w:rPr>
          <w:rFonts w:ascii="Arial" w:hAnsi="Arial" w:cs="Arial"/>
          <w:color w:val="000000" w:themeColor="text1"/>
        </w:rPr>
        <w:t xml:space="preserve"> (2014) “Implications for the NHS of inward and Outward Medical Tourism: A policy and economic analysis using literature review and mixed-methods approaches,” </w:t>
      </w:r>
      <w:r w:rsidRPr="00EA236B">
        <w:rPr>
          <w:rFonts w:ascii="Arial" w:hAnsi="Arial" w:cs="Arial"/>
          <w:i/>
          <w:color w:val="000000" w:themeColor="text1"/>
        </w:rPr>
        <w:t>Health Services and Delivery Research</w:t>
      </w:r>
      <w:r w:rsidRPr="00EA236B">
        <w:rPr>
          <w:rFonts w:ascii="Arial" w:hAnsi="Arial" w:cs="Arial"/>
          <w:color w:val="000000" w:themeColor="text1"/>
        </w:rPr>
        <w:t xml:space="preserve">, 2(2), pp. 1–234. </w:t>
      </w:r>
    </w:p>
    <w:p w14:paraId="6F4CF8FB" w14:textId="1CA93DF9"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Majeed, S. and Kim, W.G. (2022) “Toward understanding healthcare hospitality and the antecedents and outcomes of patient-guest hospital-hotel choice decisions: A scoping review,” </w:t>
      </w:r>
      <w:r w:rsidRPr="00EA236B">
        <w:rPr>
          <w:rFonts w:ascii="Arial" w:hAnsi="Arial" w:cs="Arial"/>
          <w:i/>
          <w:color w:val="000000" w:themeColor="text1"/>
        </w:rPr>
        <w:t>International Journal of Hospitality Management</w:t>
      </w:r>
      <w:r w:rsidRPr="00EA236B">
        <w:rPr>
          <w:rFonts w:ascii="Arial" w:hAnsi="Arial" w:cs="Arial"/>
          <w:color w:val="000000" w:themeColor="text1"/>
        </w:rPr>
        <w:t xml:space="preserve">, p. 103383. </w:t>
      </w:r>
    </w:p>
    <w:p w14:paraId="23BB3CF8" w14:textId="77777777" w:rsidR="001E5199" w:rsidRPr="00EA236B" w:rsidRDefault="001E5199" w:rsidP="001E5199">
      <w:pPr>
        <w:spacing w:line="360" w:lineRule="auto"/>
        <w:ind w:left="720" w:hanging="720"/>
        <w:jc w:val="both"/>
        <w:rPr>
          <w:rFonts w:ascii="Arial" w:hAnsi="Arial" w:cs="Arial"/>
          <w:color w:val="000000" w:themeColor="text1"/>
        </w:rPr>
      </w:pPr>
    </w:p>
    <w:p w14:paraId="76F8A439" w14:textId="611EC2D2"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lastRenderedPageBreak/>
        <w:t xml:space="preserve">Majumdar, K.K. (2018) “Medical tourism in India and its future prospects,” </w:t>
      </w:r>
      <w:r w:rsidRPr="00EA236B">
        <w:rPr>
          <w:rFonts w:ascii="Arial" w:hAnsi="Arial" w:cs="Arial"/>
          <w:i/>
          <w:color w:val="000000" w:themeColor="text1"/>
        </w:rPr>
        <w:t>International Journal of Preventive, Curative &amp; Community Medicine</w:t>
      </w:r>
      <w:r w:rsidRPr="00EA236B">
        <w:rPr>
          <w:rFonts w:ascii="Arial" w:hAnsi="Arial" w:cs="Arial"/>
          <w:color w:val="000000" w:themeColor="text1"/>
        </w:rPr>
        <w:t xml:space="preserve">, 04(02), pp. 10–14. </w:t>
      </w:r>
    </w:p>
    <w:p w14:paraId="7424CC20" w14:textId="77777777" w:rsidR="001E5199" w:rsidRPr="00EA236B" w:rsidRDefault="001E5199" w:rsidP="001E5199">
      <w:pPr>
        <w:spacing w:line="360" w:lineRule="auto"/>
        <w:ind w:left="720" w:hanging="720"/>
        <w:jc w:val="both"/>
        <w:rPr>
          <w:rFonts w:ascii="Arial" w:hAnsi="Arial" w:cs="Arial"/>
          <w:color w:val="000000" w:themeColor="text1"/>
        </w:rPr>
      </w:pPr>
    </w:p>
    <w:p w14:paraId="3BC12667" w14:textId="6CCD05E9"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Malik, A., </w:t>
      </w:r>
      <w:r w:rsidR="00811E53"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2022</w:t>
      </w:r>
      <w:r w:rsidR="00811E53"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HRM and ER: a strategic perspective. In</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Strategic Human Resource Management and Employment Relations: An International Perspective</w:t>
      </w:r>
      <w:r w:rsidRPr="00EA236B">
        <w:rPr>
          <w:rStyle w:val="apple-converted-space"/>
          <w:rFonts w:ascii="Arial" w:hAnsi="Arial" w:cs="Arial"/>
          <w:color w:val="000000" w:themeColor="text1"/>
          <w:shd w:val="clear" w:color="auto" w:fill="FFFFFF"/>
        </w:rPr>
        <w:t> </w:t>
      </w:r>
      <w:r w:rsidRPr="00EA236B">
        <w:rPr>
          <w:rFonts w:ascii="Arial" w:hAnsi="Arial" w:cs="Arial"/>
          <w:color w:val="000000" w:themeColor="text1"/>
          <w:shd w:val="clear" w:color="auto" w:fill="FFFFFF"/>
        </w:rPr>
        <w:t>(pp. 13-23). Cham: Springer International Publishing.</w:t>
      </w:r>
    </w:p>
    <w:p w14:paraId="230C2FF0" w14:textId="77777777" w:rsidR="001E5199" w:rsidRPr="00EA236B" w:rsidRDefault="001E5199" w:rsidP="001E5199">
      <w:pPr>
        <w:spacing w:line="360" w:lineRule="auto"/>
        <w:jc w:val="both"/>
        <w:rPr>
          <w:rFonts w:ascii="Arial" w:hAnsi="Arial" w:cs="Arial"/>
          <w:color w:val="000000" w:themeColor="text1"/>
          <w:shd w:val="clear" w:color="auto" w:fill="FFFFFF"/>
        </w:rPr>
      </w:pPr>
    </w:p>
    <w:p w14:paraId="7BEB1575" w14:textId="2597BFFD"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Mann, D.M. </w:t>
      </w:r>
      <w:r w:rsidRPr="00EA236B">
        <w:rPr>
          <w:rFonts w:ascii="Arial" w:hAnsi="Arial" w:cs="Arial"/>
          <w:i/>
          <w:color w:val="000000" w:themeColor="text1"/>
        </w:rPr>
        <w:t>et al.</w:t>
      </w:r>
      <w:r w:rsidRPr="00EA236B">
        <w:rPr>
          <w:rFonts w:ascii="Arial" w:hAnsi="Arial" w:cs="Arial"/>
          <w:color w:val="000000" w:themeColor="text1"/>
        </w:rPr>
        <w:t xml:space="preserve"> (2020) “Covid-19 transforms health care through telemedicine: Evidence from the field,” </w:t>
      </w:r>
      <w:r w:rsidRPr="00EA236B">
        <w:rPr>
          <w:rFonts w:ascii="Arial" w:hAnsi="Arial" w:cs="Arial"/>
          <w:i/>
          <w:color w:val="000000" w:themeColor="text1"/>
        </w:rPr>
        <w:t>Journal of the American Medical Informatics Association</w:t>
      </w:r>
      <w:r w:rsidRPr="00EA236B">
        <w:rPr>
          <w:rFonts w:ascii="Arial" w:hAnsi="Arial" w:cs="Arial"/>
          <w:color w:val="000000" w:themeColor="text1"/>
        </w:rPr>
        <w:t xml:space="preserve">, 27(7), pp. 1132–1135. </w:t>
      </w:r>
    </w:p>
    <w:p w14:paraId="4FAC7635" w14:textId="77777777" w:rsidR="001E5199" w:rsidRPr="00EA236B" w:rsidRDefault="001E5199" w:rsidP="001E5199">
      <w:pPr>
        <w:spacing w:line="360" w:lineRule="auto"/>
        <w:ind w:left="720" w:hanging="720"/>
        <w:jc w:val="both"/>
        <w:rPr>
          <w:rFonts w:ascii="Arial" w:hAnsi="Arial" w:cs="Arial"/>
          <w:color w:val="000000" w:themeColor="text1"/>
        </w:rPr>
      </w:pPr>
    </w:p>
    <w:p w14:paraId="04A313C2"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Mears, P. (2020) “Contributors to continuous quality improvement,” </w:t>
      </w:r>
      <w:r w:rsidRPr="00EA236B">
        <w:rPr>
          <w:rFonts w:ascii="Arial" w:hAnsi="Arial" w:cs="Arial"/>
          <w:i/>
          <w:color w:val="000000" w:themeColor="text1"/>
        </w:rPr>
        <w:t>Organization Teams</w:t>
      </w:r>
      <w:r w:rsidRPr="00EA236B">
        <w:rPr>
          <w:rFonts w:ascii="Arial" w:hAnsi="Arial" w:cs="Arial"/>
          <w:color w:val="000000" w:themeColor="text1"/>
        </w:rPr>
        <w:t xml:space="preserve"> [Preprint]. </w:t>
      </w:r>
    </w:p>
    <w:p w14:paraId="7F399C77" w14:textId="77777777" w:rsidR="001E5199" w:rsidRPr="00EA236B" w:rsidRDefault="001E5199" w:rsidP="001E5199">
      <w:pPr>
        <w:pStyle w:val="NormalWeb"/>
        <w:spacing w:line="360" w:lineRule="auto"/>
        <w:jc w:val="both"/>
        <w:rPr>
          <w:rFonts w:ascii="Arial" w:hAnsi="Arial" w:cs="Arial"/>
          <w:color w:val="000000" w:themeColor="text1"/>
        </w:rPr>
      </w:pPr>
      <w:r w:rsidRPr="00EA236B">
        <w:rPr>
          <w:rFonts w:ascii="Arial" w:hAnsi="Arial" w:cs="Arial"/>
          <w:color w:val="000000" w:themeColor="text1"/>
        </w:rPr>
        <w:t xml:space="preserve">Medyanik, K. (2016). </w:t>
      </w:r>
      <w:r w:rsidRPr="00EA236B">
        <w:rPr>
          <w:rFonts w:ascii="Arial" w:hAnsi="Arial" w:cs="Arial"/>
          <w:i/>
          <w:iCs/>
          <w:color w:val="000000" w:themeColor="text1"/>
        </w:rPr>
        <w:t xml:space="preserve">A holistic, qualitative case study regarding the leadership traits and styles of the millennial generation </w:t>
      </w:r>
      <w:r w:rsidRPr="00EA236B">
        <w:rPr>
          <w:rFonts w:ascii="Arial" w:hAnsi="Arial" w:cs="Arial"/>
          <w:color w:val="000000" w:themeColor="text1"/>
        </w:rPr>
        <w:t xml:space="preserve">[Doctoral dissertation]. ProQuest Digital Dissertations. (UMI No. 10163002) </w:t>
      </w:r>
    </w:p>
    <w:p w14:paraId="60347AC3" w14:textId="263FA0ED"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Migliore, A., Ceinar, I.M. and Tagliaro, C. (2021) “Beyond coworking: From flexible to hybrid spaces,” </w:t>
      </w:r>
      <w:r w:rsidRPr="00EA236B">
        <w:rPr>
          <w:rFonts w:ascii="Arial" w:hAnsi="Arial" w:cs="Arial"/>
          <w:i/>
          <w:color w:val="000000" w:themeColor="text1"/>
        </w:rPr>
        <w:t>Human Resource Management</w:t>
      </w:r>
      <w:r w:rsidRPr="00EA236B">
        <w:rPr>
          <w:rFonts w:ascii="Arial" w:hAnsi="Arial" w:cs="Arial"/>
          <w:color w:val="000000" w:themeColor="text1"/>
        </w:rPr>
        <w:t xml:space="preserve">, pp. 3–24. </w:t>
      </w:r>
    </w:p>
    <w:p w14:paraId="720D7D7C" w14:textId="77777777" w:rsidR="001E5199" w:rsidRPr="00EA236B" w:rsidRDefault="001E5199" w:rsidP="001E5199">
      <w:pPr>
        <w:spacing w:line="360" w:lineRule="auto"/>
        <w:ind w:left="720" w:hanging="720"/>
        <w:jc w:val="both"/>
        <w:rPr>
          <w:rFonts w:ascii="Arial" w:hAnsi="Arial" w:cs="Arial"/>
          <w:color w:val="000000" w:themeColor="text1"/>
        </w:rPr>
      </w:pPr>
    </w:p>
    <w:p w14:paraId="58567CA8"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Ministry of Tourism (2020) </w:t>
      </w:r>
      <w:r w:rsidRPr="00EA236B">
        <w:rPr>
          <w:rFonts w:ascii="Arial" w:hAnsi="Arial" w:cs="Arial"/>
          <w:i/>
          <w:color w:val="000000" w:themeColor="text1"/>
        </w:rPr>
        <w:t>Social Awareness Report - home | ministry of tourism</w:t>
      </w:r>
      <w:r w:rsidRPr="00EA236B">
        <w:rPr>
          <w:rFonts w:ascii="Arial" w:hAnsi="Arial" w:cs="Arial"/>
          <w:color w:val="000000" w:themeColor="text1"/>
        </w:rPr>
        <w:t xml:space="preserve">, </w:t>
      </w:r>
      <w:r w:rsidRPr="00EA236B">
        <w:rPr>
          <w:rFonts w:ascii="Arial" w:hAnsi="Arial" w:cs="Arial"/>
          <w:i/>
          <w:color w:val="000000" w:themeColor="text1"/>
        </w:rPr>
        <w:t>Indian Institute of Tourism and Travel Management</w:t>
      </w:r>
      <w:r w:rsidRPr="00EA236B">
        <w:rPr>
          <w:rFonts w:ascii="Arial" w:hAnsi="Arial" w:cs="Arial"/>
          <w:color w:val="000000" w:themeColor="text1"/>
        </w:rPr>
        <w:t xml:space="preserve">. Government of India. Available at: https://tourism.gov.in/sites/default/files/2020-04/SocialAwarenessReport.pdf (Accessed: February 2, 2023). </w:t>
      </w:r>
    </w:p>
    <w:p w14:paraId="08F90F81" w14:textId="13DA5013"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Moglia, M., Hopkins, J. and Bardoel, A.,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2021</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Telework, hybrid work and the United Nation’s Sustainable Development Goals: towards policy coherence.</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Sustainability</w:t>
      </w:r>
      <w:r w:rsidRPr="00EA236B">
        <w:rPr>
          <w:rFonts w:ascii="Arial" w:hAnsi="Arial" w:cs="Arial"/>
          <w:color w:val="000000" w:themeColor="text1"/>
          <w:shd w:val="clear" w:color="auto" w:fill="FFFFFF"/>
        </w:rPr>
        <w:t>,</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13</w:t>
      </w:r>
      <w:r w:rsidRPr="00EA236B">
        <w:rPr>
          <w:rFonts w:ascii="Arial" w:hAnsi="Arial" w:cs="Arial"/>
          <w:color w:val="000000" w:themeColor="text1"/>
          <w:shd w:val="clear" w:color="auto" w:fill="FFFFFF"/>
        </w:rPr>
        <w:t>(16), p.9222.</w:t>
      </w:r>
    </w:p>
    <w:p w14:paraId="393EA36C" w14:textId="77777777" w:rsidR="001E5199" w:rsidRPr="00EA236B" w:rsidRDefault="001E5199" w:rsidP="001E5199">
      <w:pPr>
        <w:spacing w:line="360" w:lineRule="auto"/>
        <w:jc w:val="both"/>
        <w:rPr>
          <w:rFonts w:ascii="Arial" w:hAnsi="Arial" w:cs="Arial"/>
          <w:b/>
          <w:bCs/>
          <w:color w:val="000000" w:themeColor="text1"/>
          <w:shd w:val="clear" w:color="auto" w:fill="FFFFFF"/>
        </w:rPr>
      </w:pPr>
    </w:p>
    <w:p w14:paraId="55D46C81" w14:textId="10AAD3C2" w:rsidR="001E5199" w:rsidRPr="00EA236B" w:rsidRDefault="001E5199" w:rsidP="001E5199">
      <w:pPr>
        <w:spacing w:line="360" w:lineRule="auto"/>
        <w:jc w:val="both"/>
        <w:rPr>
          <w:rFonts w:ascii="Arial" w:hAnsi="Arial" w:cs="Arial"/>
          <w:b/>
          <w:bCs/>
          <w:color w:val="000000" w:themeColor="text1"/>
        </w:rPr>
      </w:pPr>
      <w:r w:rsidRPr="00EA236B">
        <w:rPr>
          <w:rFonts w:ascii="Arial" w:hAnsi="Arial" w:cs="Arial"/>
          <w:color w:val="000000" w:themeColor="text1"/>
          <w:shd w:val="clear" w:color="auto" w:fill="FFFFFF"/>
        </w:rPr>
        <w:t xml:space="preserve">Momeni, K., Janati, A., Imani, A. and Khodayari-Zarnaq, R.,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2018</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Barriers to the development of medical tourism in East Azerbaijan province, Iran: A qualitative study.</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Tourism Management</w:t>
      </w:r>
      <w:r w:rsidRPr="00EA236B">
        <w:rPr>
          <w:rFonts w:ascii="Arial" w:hAnsi="Arial" w:cs="Arial"/>
          <w:color w:val="000000" w:themeColor="text1"/>
          <w:shd w:val="clear" w:color="auto" w:fill="FFFFFF"/>
        </w:rPr>
        <w:t>,</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69</w:t>
      </w:r>
      <w:r w:rsidRPr="00EA236B">
        <w:rPr>
          <w:rFonts w:ascii="Arial" w:hAnsi="Arial" w:cs="Arial"/>
          <w:color w:val="000000" w:themeColor="text1"/>
          <w:shd w:val="clear" w:color="auto" w:fill="FFFFFF"/>
        </w:rPr>
        <w:t>, pp.307-316.</w:t>
      </w:r>
    </w:p>
    <w:p w14:paraId="515363E2" w14:textId="77777777" w:rsidR="001E5199" w:rsidRPr="00EA236B" w:rsidRDefault="001E5199" w:rsidP="001E5199">
      <w:pPr>
        <w:pStyle w:val="NormalWeb"/>
        <w:spacing w:line="360" w:lineRule="auto"/>
        <w:jc w:val="both"/>
        <w:rPr>
          <w:rFonts w:ascii="Arial" w:hAnsi="Arial" w:cs="Arial"/>
          <w:color w:val="000000" w:themeColor="text1"/>
        </w:rPr>
      </w:pPr>
      <w:r w:rsidRPr="00EA236B">
        <w:rPr>
          <w:rFonts w:ascii="Arial" w:hAnsi="Arial" w:cs="Arial"/>
          <w:color w:val="000000" w:themeColor="text1"/>
        </w:rPr>
        <w:t xml:space="preserve">Morgan, H. (2015). </w:t>
      </w:r>
      <w:r w:rsidRPr="00EA236B">
        <w:rPr>
          <w:rFonts w:ascii="Arial" w:hAnsi="Arial" w:cs="Arial"/>
          <w:i/>
          <w:iCs/>
          <w:color w:val="000000" w:themeColor="text1"/>
        </w:rPr>
        <w:t xml:space="preserve">What kind of leaders are millennials? </w:t>
      </w:r>
      <w:r w:rsidRPr="00EA236B">
        <w:rPr>
          <w:rFonts w:ascii="Arial" w:hAnsi="Arial" w:cs="Arial"/>
          <w:color w:val="000000" w:themeColor="text1"/>
        </w:rPr>
        <w:t xml:space="preserve">https://money.usnews.com/money/blogs/outside-voices- careers/2015/07/22/what-kind-of-leaders-are-millennials </w:t>
      </w:r>
    </w:p>
    <w:p w14:paraId="072BB8D6" w14:textId="048A848F"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Mukhopadhyay, S. </w:t>
      </w:r>
      <w:r w:rsidRPr="00EA236B">
        <w:rPr>
          <w:rFonts w:ascii="Arial" w:hAnsi="Arial" w:cs="Arial"/>
          <w:i/>
          <w:color w:val="000000" w:themeColor="text1"/>
        </w:rPr>
        <w:t>et al.</w:t>
      </w:r>
      <w:r w:rsidRPr="00EA236B">
        <w:rPr>
          <w:rFonts w:ascii="Arial" w:hAnsi="Arial" w:cs="Arial"/>
          <w:color w:val="000000" w:themeColor="text1"/>
        </w:rPr>
        <w:t xml:space="preserve"> (2021) “Heavy metals in Indian traditional systems of Medicine: A Systematic Scoping Review and recommendations for Integrative Medicine Practice,” </w:t>
      </w:r>
      <w:r w:rsidRPr="00EA236B">
        <w:rPr>
          <w:rFonts w:ascii="Arial" w:hAnsi="Arial" w:cs="Arial"/>
          <w:i/>
          <w:color w:val="000000" w:themeColor="text1"/>
        </w:rPr>
        <w:t>The Journal of Alternative and Complementary Medicine</w:t>
      </w:r>
      <w:r w:rsidRPr="00EA236B">
        <w:rPr>
          <w:rFonts w:ascii="Arial" w:hAnsi="Arial" w:cs="Arial"/>
          <w:color w:val="000000" w:themeColor="text1"/>
        </w:rPr>
        <w:t xml:space="preserve">, 27(11), pp. 915–929. </w:t>
      </w:r>
    </w:p>
    <w:p w14:paraId="510C1593" w14:textId="77777777" w:rsidR="001E5199" w:rsidRPr="00EA236B" w:rsidRDefault="001E5199" w:rsidP="001E5199">
      <w:pPr>
        <w:spacing w:line="360" w:lineRule="auto"/>
        <w:ind w:left="720" w:hanging="720"/>
        <w:jc w:val="both"/>
        <w:rPr>
          <w:rFonts w:ascii="Arial" w:hAnsi="Arial" w:cs="Arial"/>
          <w:color w:val="000000" w:themeColor="text1"/>
        </w:rPr>
      </w:pPr>
    </w:p>
    <w:p w14:paraId="335E9427"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lastRenderedPageBreak/>
        <w:t xml:space="preserve">MVTCI (2020) </w:t>
      </w:r>
      <w:r w:rsidRPr="00EA236B">
        <w:rPr>
          <w:rFonts w:ascii="Arial" w:hAnsi="Arial" w:cs="Arial"/>
          <w:i/>
          <w:color w:val="000000" w:themeColor="text1"/>
        </w:rPr>
        <w:t>Medical Value Travel Council of India (MVTCI)</w:t>
      </w:r>
      <w:r w:rsidRPr="00EA236B">
        <w:rPr>
          <w:rFonts w:ascii="Arial" w:hAnsi="Arial" w:cs="Arial"/>
          <w:color w:val="000000" w:themeColor="text1"/>
        </w:rPr>
        <w:t xml:space="preserve">. Medical Value Tourism Council of India. Available at: http://mvtcouncil.org/ (Accessed: February 5, 2023). </w:t>
      </w:r>
    </w:p>
    <w:p w14:paraId="4E666EAA" w14:textId="57A48802"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Naranjo-Gil, D., Sánchez-Expósito, M. and Gómez-Ruiz, L. (2016) “Traditional vs. contemporary management control practices for developing public health policies,” </w:t>
      </w:r>
      <w:r w:rsidRPr="00EA236B">
        <w:rPr>
          <w:rFonts w:ascii="Arial" w:hAnsi="Arial" w:cs="Arial"/>
          <w:i/>
          <w:color w:val="000000" w:themeColor="text1"/>
        </w:rPr>
        <w:t>International Journal of Environmental Research and Public Health</w:t>
      </w:r>
      <w:r w:rsidRPr="00EA236B">
        <w:rPr>
          <w:rFonts w:ascii="Arial" w:hAnsi="Arial" w:cs="Arial"/>
          <w:color w:val="000000" w:themeColor="text1"/>
        </w:rPr>
        <w:t xml:space="preserve">, 13(7), p. 713. </w:t>
      </w:r>
    </w:p>
    <w:p w14:paraId="5E02AC3C" w14:textId="77777777" w:rsidR="001E5199" w:rsidRPr="00EA236B" w:rsidRDefault="001E5199" w:rsidP="001E5199">
      <w:pPr>
        <w:spacing w:line="360" w:lineRule="auto"/>
        <w:ind w:left="720" w:hanging="720"/>
        <w:jc w:val="both"/>
        <w:rPr>
          <w:rFonts w:ascii="Arial" w:hAnsi="Arial" w:cs="Arial"/>
          <w:color w:val="000000" w:themeColor="text1"/>
        </w:rPr>
      </w:pPr>
    </w:p>
    <w:p w14:paraId="4AB04912" w14:textId="27966F23"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Noree, T. (2015) “Medical tourism: A case study of Thailand,” </w:t>
      </w:r>
      <w:r w:rsidRPr="00EA236B">
        <w:rPr>
          <w:rFonts w:ascii="Arial" w:hAnsi="Arial" w:cs="Arial"/>
          <w:i/>
          <w:color w:val="000000" w:themeColor="text1"/>
        </w:rPr>
        <w:t>Handbook on Medical Tourism and Patient Mobility</w:t>
      </w:r>
      <w:r w:rsidRPr="00EA236B">
        <w:rPr>
          <w:rFonts w:ascii="Arial" w:hAnsi="Arial" w:cs="Arial"/>
          <w:color w:val="000000" w:themeColor="text1"/>
        </w:rPr>
        <w:t xml:space="preserve">, pp. 268–277. </w:t>
      </w:r>
    </w:p>
    <w:p w14:paraId="5132566C" w14:textId="77777777" w:rsidR="001E5199" w:rsidRPr="00EA236B" w:rsidRDefault="001E5199" w:rsidP="001E5199">
      <w:pPr>
        <w:spacing w:line="360" w:lineRule="auto"/>
        <w:ind w:left="720" w:hanging="720"/>
        <w:jc w:val="both"/>
        <w:rPr>
          <w:rFonts w:ascii="Arial" w:hAnsi="Arial" w:cs="Arial"/>
          <w:color w:val="000000" w:themeColor="text1"/>
        </w:rPr>
      </w:pPr>
    </w:p>
    <w:p w14:paraId="67F02528" w14:textId="132A5CBB"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Offenwanger, A. </w:t>
      </w:r>
      <w:r w:rsidRPr="00EA236B">
        <w:rPr>
          <w:rFonts w:ascii="Arial" w:hAnsi="Arial" w:cs="Arial"/>
          <w:i/>
          <w:color w:val="000000" w:themeColor="text1"/>
        </w:rPr>
        <w:t>et al.</w:t>
      </w:r>
      <w:r w:rsidRPr="00EA236B">
        <w:rPr>
          <w:rFonts w:ascii="Arial" w:hAnsi="Arial" w:cs="Arial"/>
          <w:color w:val="000000" w:themeColor="text1"/>
        </w:rPr>
        <w:t xml:space="preserve"> (2021) “Diagnosing bias in the gender representation of HCI research participants: How it happens and where we are,” </w:t>
      </w:r>
      <w:r w:rsidRPr="00EA236B">
        <w:rPr>
          <w:rFonts w:ascii="Arial" w:hAnsi="Arial" w:cs="Arial"/>
          <w:i/>
          <w:color w:val="000000" w:themeColor="text1"/>
        </w:rPr>
        <w:t>Proceedings of the 2021 CHI Conference on Human Factors in Computing Systems</w:t>
      </w:r>
      <w:r w:rsidRPr="00EA236B">
        <w:rPr>
          <w:rFonts w:ascii="Arial" w:hAnsi="Arial" w:cs="Arial"/>
          <w:color w:val="000000" w:themeColor="text1"/>
        </w:rPr>
        <w:t xml:space="preserve"> [Preprint]. </w:t>
      </w:r>
    </w:p>
    <w:p w14:paraId="5B343033" w14:textId="77777777" w:rsidR="001E5199" w:rsidRPr="00EA236B" w:rsidRDefault="001E5199" w:rsidP="001E5199">
      <w:pPr>
        <w:spacing w:line="360" w:lineRule="auto"/>
        <w:ind w:left="720" w:hanging="720"/>
        <w:jc w:val="both"/>
        <w:rPr>
          <w:rFonts w:ascii="Arial" w:hAnsi="Arial" w:cs="Arial"/>
          <w:color w:val="000000" w:themeColor="text1"/>
        </w:rPr>
      </w:pPr>
    </w:p>
    <w:p w14:paraId="02CE65C6" w14:textId="4345AADB"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Okasha, A.A. </w:t>
      </w:r>
      <w:r w:rsidRPr="00EA236B">
        <w:rPr>
          <w:rFonts w:ascii="Arial" w:hAnsi="Arial" w:cs="Arial"/>
          <w:i/>
          <w:color w:val="000000" w:themeColor="text1"/>
        </w:rPr>
        <w:t>et al.</w:t>
      </w:r>
      <w:r w:rsidRPr="00EA236B">
        <w:rPr>
          <w:rFonts w:ascii="Arial" w:hAnsi="Arial" w:cs="Arial"/>
          <w:color w:val="000000" w:themeColor="text1"/>
        </w:rPr>
        <w:t xml:space="preserve"> (2022) “Exploring the challenges for medical tourism in the </w:t>
      </w:r>
      <w:r w:rsidR="00D041B8" w:rsidRPr="00EA236B">
        <w:rPr>
          <w:rFonts w:ascii="Arial" w:hAnsi="Arial" w:cs="Arial"/>
          <w:color w:val="000000" w:themeColor="text1"/>
        </w:rPr>
        <w:t>U</w:t>
      </w:r>
      <w:r w:rsidRPr="00EA236B">
        <w:rPr>
          <w:rFonts w:ascii="Arial" w:hAnsi="Arial" w:cs="Arial"/>
          <w:color w:val="000000" w:themeColor="text1"/>
        </w:rPr>
        <w:t xml:space="preserve">nited </w:t>
      </w:r>
      <w:r w:rsidR="00D041B8" w:rsidRPr="00EA236B">
        <w:rPr>
          <w:rFonts w:ascii="Arial" w:hAnsi="Arial" w:cs="Arial"/>
          <w:color w:val="000000" w:themeColor="text1"/>
        </w:rPr>
        <w:t>Arab</w:t>
      </w:r>
      <w:r w:rsidRPr="00EA236B">
        <w:rPr>
          <w:rFonts w:ascii="Arial" w:hAnsi="Arial" w:cs="Arial"/>
          <w:color w:val="000000" w:themeColor="text1"/>
        </w:rPr>
        <w:t xml:space="preserve"> Emirates during the COVID-19 pandemic era: A stakeholder perspective,” </w:t>
      </w:r>
      <w:r w:rsidRPr="00EA236B">
        <w:rPr>
          <w:rFonts w:ascii="Arial" w:hAnsi="Arial" w:cs="Arial"/>
          <w:i/>
          <w:color w:val="000000" w:themeColor="text1"/>
        </w:rPr>
        <w:t>Worldwide Hospitality and Tourism Themes</w:t>
      </w:r>
      <w:r w:rsidRPr="00EA236B">
        <w:rPr>
          <w:rFonts w:ascii="Arial" w:hAnsi="Arial" w:cs="Arial"/>
          <w:color w:val="000000" w:themeColor="text1"/>
        </w:rPr>
        <w:t xml:space="preserve"> [Preprint]. </w:t>
      </w:r>
    </w:p>
    <w:p w14:paraId="6F570191" w14:textId="77777777" w:rsidR="001E5199" w:rsidRPr="00EA236B" w:rsidRDefault="001E5199" w:rsidP="001E5199">
      <w:pPr>
        <w:spacing w:line="360" w:lineRule="auto"/>
        <w:ind w:left="720" w:hanging="720"/>
        <w:jc w:val="both"/>
        <w:rPr>
          <w:rFonts w:ascii="Arial" w:hAnsi="Arial" w:cs="Arial"/>
          <w:color w:val="000000" w:themeColor="text1"/>
        </w:rPr>
      </w:pPr>
    </w:p>
    <w:p w14:paraId="4323022B" w14:textId="6DE8F643"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OLKIEWICZ, M. (2020) “The role of the stakeholder in the quality </w:t>
      </w:r>
      <w:r w:rsidR="00D041B8" w:rsidRPr="00EA236B">
        <w:rPr>
          <w:rFonts w:ascii="Arial" w:hAnsi="Arial" w:cs="Arial"/>
          <w:color w:val="000000" w:themeColor="text1"/>
        </w:rPr>
        <w:t>improvement of</w:t>
      </w:r>
      <w:r w:rsidRPr="00EA236B">
        <w:rPr>
          <w:rFonts w:ascii="Arial" w:hAnsi="Arial" w:cs="Arial"/>
          <w:color w:val="000000" w:themeColor="text1"/>
        </w:rPr>
        <w:t xml:space="preserve"> an organization,” </w:t>
      </w:r>
      <w:r w:rsidRPr="00EA236B">
        <w:rPr>
          <w:rFonts w:ascii="Arial" w:hAnsi="Arial" w:cs="Arial"/>
          <w:i/>
          <w:color w:val="000000" w:themeColor="text1"/>
        </w:rPr>
        <w:t>Scientific Papers of Silesian University of Technology. Organization and Management Series</w:t>
      </w:r>
      <w:r w:rsidRPr="00EA236B">
        <w:rPr>
          <w:rFonts w:ascii="Arial" w:hAnsi="Arial" w:cs="Arial"/>
          <w:color w:val="000000" w:themeColor="text1"/>
        </w:rPr>
        <w:t xml:space="preserve">, 2020(143). Available at: </w:t>
      </w:r>
      <w:hyperlink r:id="rId19" w:history="1">
        <w:r w:rsidRPr="00EA236B">
          <w:rPr>
            <w:rStyle w:val="Hyperlink"/>
            <w:rFonts w:ascii="Arial" w:hAnsi="Arial" w:cs="Arial"/>
            <w:color w:val="000000" w:themeColor="text1"/>
          </w:rPr>
          <w:t>https://doi.org/10.29119/1641-3466.2020.143.19</w:t>
        </w:r>
      </w:hyperlink>
      <w:r w:rsidRPr="00EA236B">
        <w:rPr>
          <w:rFonts w:ascii="Arial" w:hAnsi="Arial" w:cs="Arial"/>
          <w:color w:val="000000" w:themeColor="text1"/>
        </w:rPr>
        <w:t xml:space="preserve">. </w:t>
      </w:r>
    </w:p>
    <w:p w14:paraId="05101D81" w14:textId="77777777" w:rsidR="001E5199" w:rsidRPr="00EA236B" w:rsidRDefault="001E5199" w:rsidP="001E5199">
      <w:pPr>
        <w:spacing w:line="360" w:lineRule="auto"/>
        <w:ind w:left="720" w:hanging="720"/>
        <w:jc w:val="both"/>
        <w:rPr>
          <w:rFonts w:ascii="Arial" w:hAnsi="Arial" w:cs="Arial"/>
          <w:color w:val="000000" w:themeColor="text1"/>
        </w:rPr>
      </w:pPr>
    </w:p>
    <w:p w14:paraId="31171007" w14:textId="4E5D23DA"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Orel, M., Dvoulety, O. and Ratten, V. (2021) “The flexible workplace,” </w:t>
      </w:r>
      <w:r w:rsidRPr="00EA236B">
        <w:rPr>
          <w:rFonts w:ascii="Arial" w:hAnsi="Arial" w:cs="Arial"/>
          <w:i/>
          <w:color w:val="000000" w:themeColor="text1"/>
        </w:rPr>
        <w:t>Human Resource Management</w:t>
      </w:r>
      <w:r w:rsidRPr="00EA236B">
        <w:rPr>
          <w:rFonts w:ascii="Arial" w:hAnsi="Arial" w:cs="Arial"/>
          <w:color w:val="000000" w:themeColor="text1"/>
        </w:rPr>
        <w:t xml:space="preserve"> [Preprint]. </w:t>
      </w:r>
    </w:p>
    <w:p w14:paraId="663550DD" w14:textId="77777777" w:rsidR="001E5199" w:rsidRPr="00EA236B" w:rsidRDefault="001E5199" w:rsidP="001E5199">
      <w:pPr>
        <w:spacing w:line="360" w:lineRule="auto"/>
        <w:ind w:left="720" w:hanging="720"/>
        <w:jc w:val="both"/>
        <w:rPr>
          <w:rFonts w:ascii="Arial" w:hAnsi="Arial" w:cs="Arial"/>
          <w:color w:val="000000" w:themeColor="text1"/>
        </w:rPr>
      </w:pPr>
    </w:p>
    <w:p w14:paraId="5CCEB64E"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Pal, R. and Altay, N. (2019) “Identifying key success factors for Social Enterprises serving base</w:t>
      </w:r>
      <w:r w:rsidRPr="00EA236B">
        <w:rPr>
          <w:rFonts w:ascii="Cambria Math" w:hAnsi="Cambria Math" w:cs="Cambria Math"/>
          <w:color w:val="000000" w:themeColor="text1"/>
        </w:rPr>
        <w:t>‐</w:t>
      </w:r>
      <w:r w:rsidRPr="00EA236B">
        <w:rPr>
          <w:rFonts w:ascii="Arial" w:hAnsi="Arial" w:cs="Arial"/>
          <w:color w:val="000000" w:themeColor="text1"/>
        </w:rPr>
        <w:t>of</w:t>
      </w:r>
      <w:r w:rsidRPr="00EA236B">
        <w:rPr>
          <w:rFonts w:ascii="Cambria Math" w:hAnsi="Cambria Math" w:cs="Cambria Math"/>
          <w:color w:val="000000" w:themeColor="text1"/>
        </w:rPr>
        <w:t>‐</w:t>
      </w:r>
      <w:r w:rsidRPr="00EA236B">
        <w:rPr>
          <w:rFonts w:ascii="Arial" w:hAnsi="Arial" w:cs="Arial"/>
          <w:color w:val="000000" w:themeColor="text1"/>
        </w:rPr>
        <w:t xml:space="preserve">pyramid markets through analysis of value chain complexities,” </w:t>
      </w:r>
      <w:r w:rsidRPr="00EA236B">
        <w:rPr>
          <w:rFonts w:ascii="Arial" w:hAnsi="Arial" w:cs="Arial"/>
          <w:i/>
          <w:color w:val="000000" w:themeColor="text1"/>
        </w:rPr>
        <w:t>Journal of Business Logistics</w:t>
      </w:r>
      <w:r w:rsidRPr="00EA236B">
        <w:rPr>
          <w:rFonts w:ascii="Arial" w:hAnsi="Arial" w:cs="Arial"/>
          <w:color w:val="000000" w:themeColor="text1"/>
        </w:rPr>
        <w:t xml:space="preserve">, 40(2), pp. 161–179. </w:t>
      </w:r>
    </w:p>
    <w:p w14:paraId="0134BF68" w14:textId="3D1F7245" w:rsidR="001E5199" w:rsidRPr="00EA236B" w:rsidRDefault="001E5199" w:rsidP="001E5199">
      <w:pPr>
        <w:pStyle w:val="NormalWeb"/>
        <w:spacing w:line="360" w:lineRule="auto"/>
        <w:jc w:val="both"/>
        <w:rPr>
          <w:rFonts w:ascii="Arial" w:hAnsi="Arial" w:cs="Arial"/>
          <w:color w:val="000000" w:themeColor="text1"/>
        </w:rPr>
      </w:pPr>
      <w:r w:rsidRPr="00EA236B">
        <w:rPr>
          <w:rFonts w:ascii="Arial" w:hAnsi="Arial" w:cs="Arial"/>
          <w:color w:val="000000" w:themeColor="text1"/>
          <w:shd w:val="clear" w:color="auto" w:fill="FFFFFF"/>
        </w:rPr>
        <w:t xml:space="preserve">Paludi, M., Cox, </w:t>
      </w:r>
      <w:r w:rsidR="00D041B8" w:rsidRPr="00EA236B">
        <w:rPr>
          <w:rFonts w:ascii="Arial" w:hAnsi="Arial" w:cs="Arial"/>
          <w:color w:val="000000" w:themeColor="text1"/>
          <w:shd w:val="clear" w:color="auto" w:fill="FFFFFF"/>
        </w:rPr>
        <w:t>J.C.,</w:t>
      </w:r>
      <w:r w:rsidRPr="00EA236B">
        <w:rPr>
          <w:rFonts w:ascii="Arial" w:hAnsi="Arial" w:cs="Arial"/>
          <w:color w:val="000000" w:themeColor="text1"/>
          <w:shd w:val="clear" w:color="auto" w:fill="FFFFFF"/>
        </w:rPr>
        <w:t xml:space="preserve"> and Rogers, H.A.,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2019</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xml:space="preserve">. Ethical </w:t>
      </w:r>
      <w:r w:rsidR="00D041B8" w:rsidRPr="00EA236B">
        <w:rPr>
          <w:rFonts w:ascii="Arial" w:hAnsi="Arial" w:cs="Arial"/>
          <w:color w:val="000000" w:themeColor="text1"/>
          <w:shd w:val="clear" w:color="auto" w:fill="FFFFFF"/>
        </w:rPr>
        <w:t>behaviour</w:t>
      </w:r>
      <w:r w:rsidRPr="00EA236B">
        <w:rPr>
          <w:rFonts w:ascii="Arial" w:hAnsi="Arial" w:cs="Arial"/>
          <w:color w:val="000000" w:themeColor="text1"/>
          <w:shd w:val="clear" w:color="auto" w:fill="FFFFFF"/>
        </w:rPr>
        <w:t xml:space="preserve"> as we advance technology.</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Journal of Government Financial Management</w:t>
      </w:r>
      <w:r w:rsidRPr="00EA236B">
        <w:rPr>
          <w:rFonts w:ascii="Arial" w:hAnsi="Arial" w:cs="Arial"/>
          <w:color w:val="000000" w:themeColor="text1"/>
          <w:shd w:val="clear" w:color="auto" w:fill="FFFFFF"/>
        </w:rPr>
        <w:t>,</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68</w:t>
      </w:r>
      <w:r w:rsidRPr="00EA236B">
        <w:rPr>
          <w:rFonts w:ascii="Arial" w:hAnsi="Arial" w:cs="Arial"/>
          <w:color w:val="000000" w:themeColor="text1"/>
          <w:shd w:val="clear" w:color="auto" w:fill="FFFFFF"/>
        </w:rPr>
        <w:t>(1), pp.54-55.</w:t>
      </w:r>
    </w:p>
    <w:p w14:paraId="5F9FAFED"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Papadas, K.-K. </w:t>
      </w:r>
      <w:r w:rsidRPr="00EA236B">
        <w:rPr>
          <w:rFonts w:ascii="Arial" w:hAnsi="Arial" w:cs="Arial"/>
          <w:i/>
          <w:color w:val="000000" w:themeColor="text1"/>
        </w:rPr>
        <w:t>et al.</w:t>
      </w:r>
      <w:r w:rsidRPr="00EA236B">
        <w:rPr>
          <w:rFonts w:ascii="Arial" w:hAnsi="Arial" w:cs="Arial"/>
          <w:color w:val="000000" w:themeColor="text1"/>
        </w:rPr>
        <w:t xml:space="preserve"> (2019) “The interplay of strategic and internal green marketing orientation on competitive advantage,” </w:t>
      </w:r>
      <w:r w:rsidRPr="00EA236B">
        <w:rPr>
          <w:rFonts w:ascii="Arial" w:hAnsi="Arial" w:cs="Arial"/>
          <w:i/>
          <w:color w:val="000000" w:themeColor="text1"/>
        </w:rPr>
        <w:t>Journal of Business Research</w:t>
      </w:r>
      <w:r w:rsidRPr="00EA236B">
        <w:rPr>
          <w:rFonts w:ascii="Arial" w:hAnsi="Arial" w:cs="Arial"/>
          <w:color w:val="000000" w:themeColor="text1"/>
        </w:rPr>
        <w:t xml:space="preserve">, 104, pp. 632–643. </w:t>
      </w:r>
    </w:p>
    <w:p w14:paraId="0C2D0B51" w14:textId="620F5E18"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Peeraully, R. </w:t>
      </w:r>
      <w:r w:rsidRPr="00EA236B">
        <w:rPr>
          <w:rFonts w:ascii="Arial" w:hAnsi="Arial" w:cs="Arial"/>
          <w:i/>
          <w:color w:val="000000" w:themeColor="text1"/>
        </w:rPr>
        <w:t>et al.</w:t>
      </w:r>
      <w:r w:rsidRPr="00EA236B">
        <w:rPr>
          <w:rFonts w:ascii="Arial" w:hAnsi="Arial" w:cs="Arial"/>
          <w:color w:val="000000" w:themeColor="text1"/>
        </w:rPr>
        <w:t xml:space="preserve"> (2022) “Does decentralisation of surgical management improve outcomes for paediatric testicular torsion?,” </w:t>
      </w:r>
      <w:r w:rsidRPr="00EA236B">
        <w:rPr>
          <w:rFonts w:ascii="Arial" w:hAnsi="Arial" w:cs="Arial"/>
          <w:i/>
          <w:color w:val="000000" w:themeColor="text1"/>
        </w:rPr>
        <w:t xml:space="preserve">Journal of </w:t>
      </w:r>
      <w:r w:rsidR="00D041B8" w:rsidRPr="00EA236B">
        <w:rPr>
          <w:rFonts w:ascii="Arial" w:hAnsi="Arial" w:cs="Arial"/>
          <w:i/>
          <w:color w:val="000000" w:themeColor="text1"/>
        </w:rPr>
        <w:t>Paediatric</w:t>
      </w:r>
      <w:r w:rsidRPr="00EA236B">
        <w:rPr>
          <w:rFonts w:ascii="Arial" w:hAnsi="Arial" w:cs="Arial"/>
          <w:i/>
          <w:color w:val="000000" w:themeColor="text1"/>
        </w:rPr>
        <w:t xml:space="preserve"> Urology</w:t>
      </w:r>
      <w:r w:rsidRPr="00EA236B">
        <w:rPr>
          <w:rFonts w:ascii="Arial" w:hAnsi="Arial" w:cs="Arial"/>
          <w:color w:val="000000" w:themeColor="text1"/>
        </w:rPr>
        <w:t xml:space="preserve">, 18(3). </w:t>
      </w:r>
    </w:p>
    <w:p w14:paraId="0D3BD1A1" w14:textId="77777777" w:rsidR="001E5199" w:rsidRPr="00EA236B" w:rsidRDefault="001E5199" w:rsidP="001E5199">
      <w:pPr>
        <w:spacing w:line="360" w:lineRule="auto"/>
        <w:ind w:left="720" w:hanging="720"/>
        <w:jc w:val="both"/>
        <w:rPr>
          <w:rFonts w:ascii="Arial" w:hAnsi="Arial" w:cs="Arial"/>
          <w:color w:val="000000" w:themeColor="text1"/>
        </w:rPr>
      </w:pPr>
    </w:p>
    <w:p w14:paraId="3717D6CD" w14:textId="4AE5CD54"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lastRenderedPageBreak/>
        <w:t xml:space="preserve">Pitakdumrongkit, K. and Lim, G. (2020) “Neo-liberalism, the rise of the unelected and policymaking in Thailand: The case of the medical tourism industry,” </w:t>
      </w:r>
      <w:r w:rsidRPr="00EA236B">
        <w:rPr>
          <w:rFonts w:ascii="Arial" w:hAnsi="Arial" w:cs="Arial"/>
          <w:i/>
          <w:color w:val="000000" w:themeColor="text1"/>
        </w:rPr>
        <w:t>Journal of Contemporary Asia</w:t>
      </w:r>
      <w:r w:rsidRPr="00EA236B">
        <w:rPr>
          <w:rFonts w:ascii="Arial" w:hAnsi="Arial" w:cs="Arial"/>
          <w:color w:val="000000" w:themeColor="text1"/>
        </w:rPr>
        <w:t xml:space="preserve">, 51(3), pp. 447–468. </w:t>
      </w:r>
    </w:p>
    <w:p w14:paraId="6D02E010" w14:textId="77777777" w:rsidR="001E5199" w:rsidRPr="00EA236B" w:rsidRDefault="001E5199" w:rsidP="001E5199">
      <w:pPr>
        <w:spacing w:line="360" w:lineRule="auto"/>
        <w:ind w:left="720" w:hanging="720"/>
        <w:jc w:val="both"/>
        <w:rPr>
          <w:rFonts w:ascii="Arial" w:hAnsi="Arial" w:cs="Arial"/>
          <w:color w:val="000000" w:themeColor="text1"/>
        </w:rPr>
      </w:pPr>
    </w:p>
    <w:p w14:paraId="28984F0A" w14:textId="14CED87E"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Porter, M.E. (2008) “Value-based health care delivery,” </w:t>
      </w:r>
      <w:r w:rsidRPr="00EA236B">
        <w:rPr>
          <w:rFonts w:ascii="Arial" w:hAnsi="Arial" w:cs="Arial"/>
          <w:i/>
          <w:color w:val="000000" w:themeColor="text1"/>
        </w:rPr>
        <w:t>Annals of Surgery</w:t>
      </w:r>
      <w:r w:rsidRPr="00EA236B">
        <w:rPr>
          <w:rFonts w:ascii="Arial" w:hAnsi="Arial" w:cs="Arial"/>
          <w:color w:val="000000" w:themeColor="text1"/>
        </w:rPr>
        <w:t xml:space="preserve">, 248(4), pp. 503–509. Available at: </w:t>
      </w:r>
      <w:hyperlink r:id="rId20" w:history="1">
        <w:r w:rsidRPr="00EA236B">
          <w:rPr>
            <w:rStyle w:val="Hyperlink"/>
            <w:rFonts w:ascii="Arial" w:hAnsi="Arial" w:cs="Arial"/>
            <w:color w:val="000000" w:themeColor="text1"/>
          </w:rPr>
          <w:t>https://doi.org/10.1097/sla.0b013e31818a43af</w:t>
        </w:r>
      </w:hyperlink>
      <w:r w:rsidRPr="00EA236B">
        <w:rPr>
          <w:rFonts w:ascii="Arial" w:hAnsi="Arial" w:cs="Arial"/>
          <w:color w:val="000000" w:themeColor="text1"/>
        </w:rPr>
        <w:t xml:space="preserve">. </w:t>
      </w:r>
    </w:p>
    <w:p w14:paraId="0B2FAA09" w14:textId="77777777" w:rsidR="001E5199" w:rsidRPr="00EA236B" w:rsidRDefault="001E5199" w:rsidP="001E5199">
      <w:pPr>
        <w:spacing w:line="360" w:lineRule="auto"/>
        <w:ind w:left="720" w:hanging="720"/>
        <w:jc w:val="both"/>
        <w:rPr>
          <w:rFonts w:ascii="Arial" w:hAnsi="Arial" w:cs="Arial"/>
          <w:color w:val="000000" w:themeColor="text1"/>
        </w:rPr>
      </w:pPr>
    </w:p>
    <w:p w14:paraId="761D00EE" w14:textId="77777777" w:rsidR="001E5199" w:rsidRPr="00EA236B" w:rsidRDefault="001E5199" w:rsidP="001E5199">
      <w:pPr>
        <w:spacing w:line="360" w:lineRule="auto"/>
        <w:ind w:left="720" w:hanging="720"/>
        <w:jc w:val="both"/>
        <w:rPr>
          <w:rFonts w:ascii="Arial" w:hAnsi="Arial" w:cs="Arial"/>
          <w:b/>
          <w:bCs/>
          <w:color w:val="000000" w:themeColor="text1"/>
        </w:rPr>
      </w:pPr>
      <w:r w:rsidRPr="00EA236B">
        <w:rPr>
          <w:rFonts w:ascii="Arial" w:hAnsi="Arial" w:cs="Arial"/>
          <w:color w:val="000000" w:themeColor="text1"/>
        </w:rPr>
        <w:t>Qiao, S., Huang, G. and Yeh, A.G.-O. (2023) ‘Who are the gig workers? Evidence from mapping the residential locations of ride-hailing drivers by a big data approach’, </w:t>
      </w:r>
      <w:r w:rsidRPr="00EA236B">
        <w:rPr>
          <w:rFonts w:ascii="Arial" w:hAnsi="Arial" w:cs="Arial"/>
          <w:i/>
          <w:iCs/>
          <w:color w:val="000000" w:themeColor="text1"/>
        </w:rPr>
        <w:t>Cities</w:t>
      </w:r>
      <w:r w:rsidRPr="00EA236B">
        <w:rPr>
          <w:rFonts w:ascii="Arial" w:hAnsi="Arial" w:cs="Arial"/>
          <w:color w:val="000000" w:themeColor="text1"/>
        </w:rPr>
        <w:t xml:space="preserve">, 132. </w:t>
      </w:r>
    </w:p>
    <w:p w14:paraId="51B9A38B"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Rainoldi, M., Ladkin, A. and Buhalis, D. (2022) “Blending work and leisure: A future digital worker hybrid lifestyle perspective,” </w:t>
      </w:r>
      <w:r w:rsidRPr="00EA236B">
        <w:rPr>
          <w:rFonts w:ascii="Arial" w:hAnsi="Arial" w:cs="Arial"/>
          <w:i/>
          <w:color w:val="000000" w:themeColor="text1"/>
        </w:rPr>
        <w:t>Annals of Leisure Research</w:t>
      </w:r>
      <w:r w:rsidRPr="00EA236B">
        <w:rPr>
          <w:rFonts w:ascii="Arial" w:hAnsi="Arial" w:cs="Arial"/>
          <w:color w:val="000000" w:themeColor="text1"/>
        </w:rPr>
        <w:t xml:space="preserve">, pp. 1–21. </w:t>
      </w:r>
    </w:p>
    <w:p w14:paraId="59C3F9B7" w14:textId="3B605CBC"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Ratten, V., Álvarez-García, J. and del,, R.R.M.de la C. (2020) </w:t>
      </w:r>
      <w:r w:rsidRPr="00EA236B">
        <w:rPr>
          <w:rFonts w:ascii="Arial" w:hAnsi="Arial" w:cs="Arial"/>
          <w:i/>
          <w:color w:val="000000" w:themeColor="text1"/>
        </w:rPr>
        <w:t xml:space="preserve">Entrepreneurship, </w:t>
      </w:r>
      <w:r w:rsidR="00D041B8" w:rsidRPr="00EA236B">
        <w:rPr>
          <w:rFonts w:ascii="Arial" w:hAnsi="Arial" w:cs="Arial"/>
          <w:i/>
          <w:color w:val="000000" w:themeColor="text1"/>
        </w:rPr>
        <w:t>innovation,</w:t>
      </w:r>
      <w:r w:rsidRPr="00EA236B">
        <w:rPr>
          <w:rFonts w:ascii="Arial" w:hAnsi="Arial" w:cs="Arial"/>
          <w:i/>
          <w:color w:val="000000" w:themeColor="text1"/>
        </w:rPr>
        <w:t xml:space="preserve"> and inequality: Exploring territorial dynamics and development</w:t>
      </w:r>
      <w:r w:rsidRPr="00EA236B">
        <w:rPr>
          <w:rFonts w:ascii="Arial" w:hAnsi="Arial" w:cs="Arial"/>
          <w:color w:val="000000" w:themeColor="text1"/>
        </w:rPr>
        <w:t xml:space="preserve">. London: Routledge, Taylor &amp; Francis Group. </w:t>
      </w:r>
    </w:p>
    <w:p w14:paraId="5C19A490" w14:textId="77777777" w:rsidR="001E5199" w:rsidRPr="00EA236B" w:rsidRDefault="001E5199" w:rsidP="001E5199">
      <w:pPr>
        <w:spacing w:line="360" w:lineRule="auto"/>
        <w:ind w:left="720" w:hanging="720"/>
        <w:jc w:val="both"/>
        <w:rPr>
          <w:rFonts w:ascii="Arial" w:hAnsi="Arial" w:cs="Arial"/>
          <w:color w:val="000000" w:themeColor="text1"/>
        </w:rPr>
      </w:pPr>
    </w:p>
    <w:p w14:paraId="4E4FC2BD" w14:textId="5ECB194E"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Reitblat, C. </w:t>
      </w:r>
      <w:r w:rsidRPr="00EA236B">
        <w:rPr>
          <w:rFonts w:ascii="Arial" w:hAnsi="Arial" w:cs="Arial"/>
          <w:i/>
          <w:color w:val="000000" w:themeColor="text1"/>
        </w:rPr>
        <w:t>et al.</w:t>
      </w:r>
      <w:r w:rsidRPr="00EA236B">
        <w:rPr>
          <w:rFonts w:ascii="Arial" w:hAnsi="Arial" w:cs="Arial"/>
          <w:color w:val="000000" w:themeColor="text1"/>
        </w:rPr>
        <w:t xml:space="preserve"> (2021) “Value-based healthcare in urology: A Collaborative Review,” </w:t>
      </w:r>
      <w:r w:rsidRPr="00EA236B">
        <w:rPr>
          <w:rFonts w:ascii="Arial" w:hAnsi="Arial" w:cs="Arial"/>
          <w:i/>
          <w:color w:val="000000" w:themeColor="text1"/>
        </w:rPr>
        <w:t>European Urology</w:t>
      </w:r>
      <w:r w:rsidRPr="00EA236B">
        <w:rPr>
          <w:rFonts w:ascii="Arial" w:hAnsi="Arial" w:cs="Arial"/>
          <w:color w:val="000000" w:themeColor="text1"/>
        </w:rPr>
        <w:t xml:space="preserve">, 79(5), pp. 571–585. </w:t>
      </w:r>
    </w:p>
    <w:p w14:paraId="30969BE1" w14:textId="77777777" w:rsidR="001E5199" w:rsidRPr="00EA236B" w:rsidRDefault="001E5199" w:rsidP="001E5199">
      <w:pPr>
        <w:spacing w:line="360" w:lineRule="auto"/>
        <w:ind w:left="720" w:hanging="720"/>
        <w:jc w:val="both"/>
        <w:rPr>
          <w:rFonts w:ascii="Arial" w:hAnsi="Arial" w:cs="Arial"/>
          <w:color w:val="000000" w:themeColor="text1"/>
        </w:rPr>
      </w:pPr>
    </w:p>
    <w:p w14:paraId="64EE9DA8" w14:textId="53E39412"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Rosenstein, B. (2014) </w:t>
      </w:r>
      <w:r w:rsidRPr="00EA236B">
        <w:rPr>
          <w:rFonts w:ascii="Arial" w:hAnsi="Arial" w:cs="Arial"/>
          <w:i/>
          <w:color w:val="000000" w:themeColor="text1"/>
        </w:rPr>
        <w:t xml:space="preserve">Create your future the </w:t>
      </w:r>
      <w:r w:rsidR="00D041B8" w:rsidRPr="00EA236B">
        <w:rPr>
          <w:rFonts w:ascii="Arial" w:hAnsi="Arial" w:cs="Arial"/>
          <w:i/>
          <w:color w:val="000000" w:themeColor="text1"/>
        </w:rPr>
        <w:t>P</w:t>
      </w:r>
      <w:r w:rsidRPr="00EA236B">
        <w:rPr>
          <w:rFonts w:ascii="Arial" w:hAnsi="Arial" w:cs="Arial"/>
          <w:i/>
          <w:color w:val="000000" w:themeColor="text1"/>
        </w:rPr>
        <w:t xml:space="preserve">eter </w:t>
      </w:r>
      <w:r w:rsidR="00D041B8" w:rsidRPr="00EA236B">
        <w:rPr>
          <w:rFonts w:ascii="Arial" w:hAnsi="Arial" w:cs="Arial"/>
          <w:i/>
          <w:color w:val="000000" w:themeColor="text1"/>
        </w:rPr>
        <w:t>D</w:t>
      </w:r>
      <w:r w:rsidRPr="00EA236B">
        <w:rPr>
          <w:rFonts w:ascii="Arial" w:hAnsi="Arial" w:cs="Arial"/>
          <w:i/>
          <w:color w:val="000000" w:themeColor="text1"/>
        </w:rPr>
        <w:t>rucker way: Developing and applying a forward-focused mindset</w:t>
      </w:r>
      <w:r w:rsidRPr="00EA236B">
        <w:rPr>
          <w:rFonts w:ascii="Arial" w:hAnsi="Arial" w:cs="Arial"/>
          <w:color w:val="000000" w:themeColor="text1"/>
        </w:rPr>
        <w:t xml:space="preserve">. </w:t>
      </w:r>
    </w:p>
    <w:p w14:paraId="5F148D04" w14:textId="77777777" w:rsidR="001E5199" w:rsidRPr="00EA236B" w:rsidRDefault="001E5199" w:rsidP="001E5199">
      <w:pPr>
        <w:spacing w:line="360" w:lineRule="auto"/>
        <w:ind w:left="720" w:hanging="720"/>
        <w:jc w:val="both"/>
        <w:rPr>
          <w:rFonts w:ascii="Arial" w:hAnsi="Arial" w:cs="Arial"/>
          <w:color w:val="000000" w:themeColor="text1"/>
        </w:rPr>
      </w:pPr>
    </w:p>
    <w:p w14:paraId="31231D6F" w14:textId="3272B68F"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Sama, L.M., Stefanidis, A. and Horak, S. (2020) “Business ethics for a global society: Howard Bowen’s legacy and the foundations of United Nations’ Sustainable Development Goals,” </w:t>
      </w:r>
      <w:r w:rsidRPr="00EA236B">
        <w:rPr>
          <w:rFonts w:ascii="Arial" w:hAnsi="Arial" w:cs="Arial"/>
          <w:i/>
          <w:color w:val="000000" w:themeColor="text1"/>
        </w:rPr>
        <w:t>International Studies of Management &amp; Organization</w:t>
      </w:r>
      <w:r w:rsidRPr="00EA236B">
        <w:rPr>
          <w:rFonts w:ascii="Arial" w:hAnsi="Arial" w:cs="Arial"/>
          <w:color w:val="000000" w:themeColor="text1"/>
        </w:rPr>
        <w:t xml:space="preserve">, 50(3), pp. 201–208. </w:t>
      </w:r>
    </w:p>
    <w:p w14:paraId="75D25933" w14:textId="77777777" w:rsidR="001E5199" w:rsidRPr="00EA236B" w:rsidRDefault="001E5199" w:rsidP="001E5199">
      <w:pPr>
        <w:spacing w:line="360" w:lineRule="auto"/>
        <w:ind w:left="720" w:hanging="720"/>
        <w:jc w:val="both"/>
        <w:rPr>
          <w:rFonts w:ascii="Arial" w:hAnsi="Arial" w:cs="Arial"/>
          <w:color w:val="000000" w:themeColor="text1"/>
        </w:rPr>
      </w:pPr>
    </w:p>
    <w:p w14:paraId="2B2CF847" w14:textId="21B4DDC9"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Shala, B., Prebreza, A., and Ramosaj, B. (2021). The contingency theory of management as a factor of acknowledging the leaders-managers of our time study case: The practice of the contingency theory in the company avrios. Open Access Library Journal, 8(9), 1-20.</w:t>
      </w:r>
    </w:p>
    <w:p w14:paraId="32AD1CFF" w14:textId="77777777" w:rsidR="001E5199" w:rsidRPr="00EA236B" w:rsidRDefault="001E5199" w:rsidP="001E5199">
      <w:pPr>
        <w:spacing w:line="360" w:lineRule="auto"/>
        <w:ind w:left="720" w:hanging="720"/>
        <w:jc w:val="both"/>
        <w:rPr>
          <w:rFonts w:ascii="Arial" w:hAnsi="Arial" w:cs="Arial"/>
          <w:color w:val="000000" w:themeColor="text1"/>
        </w:rPr>
      </w:pPr>
    </w:p>
    <w:p w14:paraId="773D842C" w14:textId="363E2639"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Souza, S.D. (2020) </w:t>
      </w:r>
      <w:r w:rsidRPr="00EA236B">
        <w:rPr>
          <w:rFonts w:ascii="Arial" w:hAnsi="Arial" w:cs="Arial"/>
          <w:i/>
          <w:color w:val="000000" w:themeColor="text1"/>
        </w:rPr>
        <w:t>An experimental test of Fiedler's contingency model of Leadership Effectiveness: The effect of gender</w:t>
      </w:r>
      <w:r w:rsidRPr="00EA236B">
        <w:rPr>
          <w:rFonts w:ascii="Arial" w:hAnsi="Arial" w:cs="Arial"/>
          <w:color w:val="000000" w:themeColor="text1"/>
        </w:rPr>
        <w:t xml:space="preserve">, </w:t>
      </w:r>
      <w:r w:rsidRPr="00EA236B">
        <w:rPr>
          <w:rFonts w:ascii="Arial" w:hAnsi="Arial" w:cs="Arial"/>
          <w:i/>
          <w:color w:val="000000" w:themeColor="text1"/>
        </w:rPr>
        <w:t>Loyola eCommons</w:t>
      </w:r>
      <w:r w:rsidRPr="00EA236B">
        <w:rPr>
          <w:rFonts w:ascii="Arial" w:hAnsi="Arial" w:cs="Arial"/>
          <w:color w:val="000000" w:themeColor="text1"/>
        </w:rPr>
        <w:t xml:space="preserve">. Available at: https://ecommons.luc.edu/luc_theses/4366/ (Accessed: February 1, 2023). </w:t>
      </w:r>
    </w:p>
    <w:p w14:paraId="094D2C68" w14:textId="77777777" w:rsidR="001E5199" w:rsidRPr="00EA236B" w:rsidRDefault="001E5199" w:rsidP="001E5199">
      <w:pPr>
        <w:spacing w:line="360" w:lineRule="auto"/>
        <w:ind w:left="720" w:hanging="720"/>
        <w:jc w:val="both"/>
        <w:rPr>
          <w:rFonts w:ascii="Arial" w:hAnsi="Arial" w:cs="Arial"/>
          <w:color w:val="000000" w:themeColor="text1"/>
        </w:rPr>
      </w:pPr>
    </w:p>
    <w:p w14:paraId="0E0477A9"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Suppapitnarm, N. and Pongpirul, K. (2020) “Medical Specialist Distribution in a large private hospital network in Thailand,” </w:t>
      </w:r>
      <w:r w:rsidRPr="00EA236B">
        <w:rPr>
          <w:rFonts w:ascii="Arial" w:hAnsi="Arial" w:cs="Arial"/>
          <w:i/>
          <w:color w:val="000000" w:themeColor="text1"/>
        </w:rPr>
        <w:t>The Bangkok Medical Journal</w:t>
      </w:r>
      <w:r w:rsidRPr="00EA236B">
        <w:rPr>
          <w:rFonts w:ascii="Arial" w:hAnsi="Arial" w:cs="Arial"/>
          <w:color w:val="000000" w:themeColor="text1"/>
        </w:rPr>
        <w:t xml:space="preserve">, 16(1), pp. 67–73. </w:t>
      </w:r>
    </w:p>
    <w:p w14:paraId="5C6F429E" w14:textId="70AD4122"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lastRenderedPageBreak/>
        <w:t xml:space="preserve">Taanja, R. (2022) </w:t>
      </w:r>
      <w:r w:rsidRPr="00EA236B">
        <w:rPr>
          <w:rFonts w:ascii="Arial" w:hAnsi="Arial" w:cs="Arial"/>
          <w:i/>
          <w:color w:val="000000" w:themeColor="text1"/>
        </w:rPr>
        <w:t>Medical Value Travel – the boon for India's economic growth</w:t>
      </w:r>
      <w:r w:rsidRPr="00EA236B">
        <w:rPr>
          <w:rFonts w:ascii="Arial" w:hAnsi="Arial" w:cs="Arial"/>
          <w:color w:val="000000" w:themeColor="text1"/>
        </w:rPr>
        <w:t xml:space="preserve">, </w:t>
      </w:r>
      <w:r w:rsidRPr="00EA236B">
        <w:rPr>
          <w:rFonts w:ascii="Arial" w:hAnsi="Arial" w:cs="Arial"/>
          <w:i/>
          <w:color w:val="000000" w:themeColor="text1"/>
        </w:rPr>
        <w:t>Times of India Blog</w:t>
      </w:r>
      <w:r w:rsidRPr="00EA236B">
        <w:rPr>
          <w:rFonts w:ascii="Arial" w:hAnsi="Arial" w:cs="Arial"/>
          <w:color w:val="000000" w:themeColor="text1"/>
        </w:rPr>
        <w:t xml:space="preserve">. Available at: https://timesofindia.indiatimes.com/blogs/voices/medical-value-travel-the-boon-for-indias-economic-growth/ (Accessed: February 5, 2023). </w:t>
      </w:r>
    </w:p>
    <w:p w14:paraId="41A8ADC3" w14:textId="77777777" w:rsidR="001E5199" w:rsidRPr="00EA236B" w:rsidRDefault="001E5199" w:rsidP="001E5199">
      <w:pPr>
        <w:spacing w:line="360" w:lineRule="auto"/>
        <w:ind w:left="720" w:hanging="720"/>
        <w:jc w:val="both"/>
        <w:rPr>
          <w:rFonts w:ascii="Arial" w:hAnsi="Arial" w:cs="Arial"/>
          <w:color w:val="000000" w:themeColor="text1"/>
        </w:rPr>
      </w:pPr>
    </w:p>
    <w:p w14:paraId="335B9864" w14:textId="7F1EE7C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Tatum, M. (2020) “Will medical tourism survive covid-19?,” </w:t>
      </w:r>
      <w:r w:rsidRPr="00EA236B">
        <w:rPr>
          <w:rFonts w:ascii="Arial" w:hAnsi="Arial" w:cs="Arial"/>
          <w:i/>
          <w:color w:val="000000" w:themeColor="text1"/>
        </w:rPr>
        <w:t>BMJ</w:t>
      </w:r>
      <w:r w:rsidRPr="00EA236B">
        <w:rPr>
          <w:rFonts w:ascii="Arial" w:hAnsi="Arial" w:cs="Arial"/>
          <w:color w:val="000000" w:themeColor="text1"/>
        </w:rPr>
        <w:t xml:space="preserve">, p. m2677. </w:t>
      </w:r>
    </w:p>
    <w:p w14:paraId="5FAECA9B" w14:textId="77777777" w:rsidR="001E5199" w:rsidRPr="00EA236B" w:rsidRDefault="001E5199" w:rsidP="001E5199">
      <w:pPr>
        <w:spacing w:line="360" w:lineRule="auto"/>
        <w:ind w:left="720" w:hanging="720"/>
        <w:jc w:val="both"/>
        <w:rPr>
          <w:rFonts w:ascii="Arial" w:hAnsi="Arial" w:cs="Arial"/>
          <w:color w:val="000000" w:themeColor="text1"/>
        </w:rPr>
      </w:pPr>
    </w:p>
    <w:p w14:paraId="5BF20ADE" w14:textId="4F9F8C53"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Tremlett, G. (2009) “Scrounging foreigners? British expats accused of health tourism in Spain,” </w:t>
      </w:r>
      <w:r w:rsidRPr="00EA236B">
        <w:rPr>
          <w:rFonts w:ascii="Arial" w:hAnsi="Arial" w:cs="Arial"/>
          <w:i/>
          <w:color w:val="000000" w:themeColor="text1"/>
        </w:rPr>
        <w:t>The Guardian</w:t>
      </w:r>
      <w:r w:rsidRPr="00EA236B">
        <w:rPr>
          <w:rFonts w:ascii="Arial" w:hAnsi="Arial" w:cs="Arial"/>
          <w:color w:val="000000" w:themeColor="text1"/>
        </w:rPr>
        <w:t xml:space="preserve">. </w:t>
      </w:r>
    </w:p>
    <w:p w14:paraId="36D73B32" w14:textId="77777777" w:rsidR="001E5199" w:rsidRPr="00EA236B" w:rsidRDefault="001E5199" w:rsidP="001E5199">
      <w:pPr>
        <w:spacing w:line="360" w:lineRule="auto"/>
        <w:ind w:left="720" w:hanging="720"/>
        <w:jc w:val="both"/>
        <w:rPr>
          <w:rFonts w:ascii="Arial" w:hAnsi="Arial" w:cs="Arial"/>
          <w:color w:val="000000" w:themeColor="text1"/>
        </w:rPr>
      </w:pPr>
    </w:p>
    <w:p w14:paraId="6F97DEFB" w14:textId="3D2C3A6B"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Tuckson, R.V., Edmunds, </w:t>
      </w:r>
      <w:r w:rsidR="00D041B8" w:rsidRPr="00EA236B">
        <w:rPr>
          <w:rFonts w:ascii="Arial" w:hAnsi="Arial" w:cs="Arial"/>
          <w:color w:val="000000" w:themeColor="text1"/>
        </w:rPr>
        <w:t>M.,</w:t>
      </w:r>
      <w:r w:rsidRPr="00EA236B">
        <w:rPr>
          <w:rFonts w:ascii="Arial" w:hAnsi="Arial" w:cs="Arial"/>
          <w:color w:val="000000" w:themeColor="text1"/>
        </w:rPr>
        <w:t xml:space="preserve"> and Hodgkins, M.L. (2017) “Telehealth,” </w:t>
      </w:r>
      <w:r w:rsidRPr="00EA236B">
        <w:rPr>
          <w:rFonts w:ascii="Arial" w:hAnsi="Arial" w:cs="Arial"/>
          <w:i/>
          <w:color w:val="000000" w:themeColor="text1"/>
        </w:rPr>
        <w:t>New England Journal of Medicine</w:t>
      </w:r>
      <w:r w:rsidRPr="00EA236B">
        <w:rPr>
          <w:rFonts w:ascii="Arial" w:hAnsi="Arial" w:cs="Arial"/>
          <w:color w:val="000000" w:themeColor="text1"/>
        </w:rPr>
        <w:t xml:space="preserve">, 377(16), pp. 1585–1592. </w:t>
      </w:r>
    </w:p>
    <w:p w14:paraId="7226F65C" w14:textId="77777777" w:rsidR="001E5199" w:rsidRPr="00EA236B" w:rsidRDefault="001E5199" w:rsidP="001E5199">
      <w:pPr>
        <w:spacing w:line="360" w:lineRule="auto"/>
        <w:ind w:left="720" w:hanging="720"/>
        <w:jc w:val="both"/>
        <w:rPr>
          <w:rFonts w:ascii="Arial" w:hAnsi="Arial" w:cs="Arial"/>
          <w:color w:val="000000" w:themeColor="text1"/>
        </w:rPr>
      </w:pPr>
    </w:p>
    <w:p w14:paraId="30523873" w14:textId="5BC612F1"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Turner, P. (2021) “The making of the modern manager: Core Management competences and their attributes,” </w:t>
      </w:r>
      <w:r w:rsidRPr="00EA236B">
        <w:rPr>
          <w:rFonts w:ascii="Arial" w:hAnsi="Arial" w:cs="Arial"/>
          <w:i/>
          <w:color w:val="000000" w:themeColor="text1"/>
        </w:rPr>
        <w:t>The Making of the Modern Manager</w:t>
      </w:r>
      <w:r w:rsidRPr="00EA236B">
        <w:rPr>
          <w:rFonts w:ascii="Arial" w:hAnsi="Arial" w:cs="Arial"/>
          <w:color w:val="000000" w:themeColor="text1"/>
        </w:rPr>
        <w:t xml:space="preserve">, pp. 359–384. </w:t>
      </w:r>
    </w:p>
    <w:p w14:paraId="58D19A91" w14:textId="77777777" w:rsidR="001E5199" w:rsidRPr="00EA236B" w:rsidRDefault="001E5199" w:rsidP="001E5199">
      <w:pPr>
        <w:spacing w:line="360" w:lineRule="auto"/>
        <w:ind w:left="720" w:hanging="720"/>
        <w:jc w:val="both"/>
        <w:rPr>
          <w:rFonts w:ascii="Arial" w:hAnsi="Arial" w:cs="Arial"/>
          <w:color w:val="000000" w:themeColor="text1"/>
        </w:rPr>
      </w:pPr>
    </w:p>
    <w:p w14:paraId="5D4C5197" w14:textId="7C237F8B"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Turriago-Hoyos, A., Thoene, U. and Arjoon, S. (2016) “Knowledge workers and virtues in Peter Drucker’s management theory,” </w:t>
      </w:r>
      <w:r w:rsidRPr="00EA236B">
        <w:rPr>
          <w:rFonts w:ascii="Arial" w:hAnsi="Arial" w:cs="Arial"/>
          <w:i/>
          <w:color w:val="000000" w:themeColor="text1"/>
        </w:rPr>
        <w:t>SAGE Open</w:t>
      </w:r>
      <w:r w:rsidRPr="00EA236B">
        <w:rPr>
          <w:rFonts w:ascii="Arial" w:hAnsi="Arial" w:cs="Arial"/>
          <w:color w:val="000000" w:themeColor="text1"/>
        </w:rPr>
        <w:t xml:space="preserve">, 6(1), p. 215824401663963. </w:t>
      </w:r>
    </w:p>
    <w:p w14:paraId="78E0F3A6" w14:textId="77777777" w:rsidR="001E5199" w:rsidRPr="00EA236B" w:rsidRDefault="001E5199" w:rsidP="001E5199">
      <w:pPr>
        <w:spacing w:line="360" w:lineRule="auto"/>
        <w:ind w:left="720" w:hanging="720"/>
        <w:jc w:val="both"/>
        <w:rPr>
          <w:rFonts w:ascii="Arial" w:hAnsi="Arial" w:cs="Arial"/>
          <w:color w:val="000000" w:themeColor="text1"/>
        </w:rPr>
      </w:pPr>
    </w:p>
    <w:p w14:paraId="53E30870" w14:textId="110C3B79"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Valero, A. (2021) “Education and management practices,” </w:t>
      </w:r>
      <w:r w:rsidRPr="00EA236B">
        <w:rPr>
          <w:rFonts w:ascii="Arial" w:hAnsi="Arial" w:cs="Arial"/>
          <w:i/>
          <w:color w:val="000000" w:themeColor="text1"/>
        </w:rPr>
        <w:t>Oxford Review of Economic Policy</w:t>
      </w:r>
      <w:r w:rsidRPr="00EA236B">
        <w:rPr>
          <w:rFonts w:ascii="Arial" w:hAnsi="Arial" w:cs="Arial"/>
          <w:color w:val="000000" w:themeColor="text1"/>
        </w:rPr>
        <w:t xml:space="preserve">, 37(2), pp. 302–322. Available at: </w:t>
      </w:r>
      <w:hyperlink r:id="rId21" w:history="1">
        <w:r w:rsidRPr="00EA236B">
          <w:rPr>
            <w:rStyle w:val="Hyperlink"/>
            <w:rFonts w:ascii="Arial" w:hAnsi="Arial" w:cs="Arial"/>
            <w:color w:val="000000" w:themeColor="text1"/>
          </w:rPr>
          <w:t>https://doi.org/10.1093/oxrep/grab006</w:t>
        </w:r>
      </w:hyperlink>
      <w:r w:rsidRPr="00EA236B">
        <w:rPr>
          <w:rFonts w:ascii="Arial" w:hAnsi="Arial" w:cs="Arial"/>
          <w:color w:val="000000" w:themeColor="text1"/>
        </w:rPr>
        <w:t xml:space="preserve">. </w:t>
      </w:r>
    </w:p>
    <w:p w14:paraId="600BB944" w14:textId="77777777" w:rsidR="001E5199" w:rsidRPr="00EA236B" w:rsidRDefault="001E5199" w:rsidP="001E5199">
      <w:pPr>
        <w:spacing w:line="360" w:lineRule="auto"/>
        <w:ind w:left="720" w:hanging="720"/>
        <w:jc w:val="both"/>
        <w:rPr>
          <w:rFonts w:ascii="Arial" w:hAnsi="Arial" w:cs="Arial"/>
          <w:color w:val="000000" w:themeColor="text1"/>
        </w:rPr>
      </w:pPr>
    </w:p>
    <w:p w14:paraId="47C790D2" w14:textId="1D52554B"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Vartola, J., Lumijarvi, I. and Asaduzzaman, M., (2019) Decentralisation and New Public Management.</w:t>
      </w:r>
    </w:p>
    <w:p w14:paraId="7A9EEAE5" w14:textId="77777777" w:rsidR="001E5199" w:rsidRPr="00EA236B" w:rsidRDefault="001E5199" w:rsidP="001E5199">
      <w:pPr>
        <w:spacing w:line="360" w:lineRule="auto"/>
        <w:jc w:val="both"/>
        <w:rPr>
          <w:rFonts w:ascii="Arial" w:hAnsi="Arial" w:cs="Arial"/>
          <w:color w:val="000000" w:themeColor="text1"/>
          <w:shd w:val="clear" w:color="auto" w:fill="FFFFFF"/>
        </w:rPr>
      </w:pPr>
    </w:p>
    <w:p w14:paraId="4E0BA3DA"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Wareham, J. (2022) </w:t>
      </w:r>
      <w:r w:rsidRPr="00EA236B">
        <w:rPr>
          <w:rFonts w:ascii="Arial" w:hAnsi="Arial" w:cs="Arial"/>
          <w:i/>
          <w:color w:val="000000" w:themeColor="text1"/>
        </w:rPr>
        <w:t>New report shows where it's illegal to be transgender in 2020</w:t>
      </w:r>
      <w:r w:rsidRPr="00EA236B">
        <w:rPr>
          <w:rFonts w:ascii="Arial" w:hAnsi="Arial" w:cs="Arial"/>
          <w:color w:val="000000" w:themeColor="text1"/>
        </w:rPr>
        <w:t xml:space="preserve">, </w:t>
      </w:r>
      <w:r w:rsidRPr="00EA236B">
        <w:rPr>
          <w:rFonts w:ascii="Arial" w:hAnsi="Arial" w:cs="Arial"/>
          <w:i/>
          <w:color w:val="000000" w:themeColor="text1"/>
        </w:rPr>
        <w:t>Forbes</w:t>
      </w:r>
      <w:r w:rsidRPr="00EA236B">
        <w:rPr>
          <w:rFonts w:ascii="Arial" w:hAnsi="Arial" w:cs="Arial"/>
          <w:color w:val="000000" w:themeColor="text1"/>
        </w:rPr>
        <w:t xml:space="preserve">. Forbes Magazine. Available at: https://www.forbes.com/sites/jamiewareham/2020/09/30/this-is-where-its-illegal-to-be-transgender-in-2020/?sh=796025645748 (Accessed: February 5, 2023). </w:t>
      </w:r>
    </w:p>
    <w:p w14:paraId="2F99BAB0" w14:textId="36530B89"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Williams, P., (2022). Organisational culture: definitions, </w:t>
      </w:r>
      <w:r w:rsidRPr="00EA236B">
        <w:rPr>
          <w:rFonts w:ascii="Arial" w:hAnsi="Arial" w:cs="Arial"/>
          <w:color w:val="000000" w:themeColor="text1"/>
          <w:shd w:val="clear" w:color="auto" w:fill="FFFFFF"/>
        </w:rPr>
        <w:t>distinctions,</w:t>
      </w:r>
      <w:r w:rsidRPr="00EA236B">
        <w:rPr>
          <w:rFonts w:ascii="Arial" w:hAnsi="Arial" w:cs="Arial"/>
          <w:color w:val="000000" w:themeColor="text1"/>
          <w:shd w:val="clear" w:color="auto" w:fill="FFFFFF"/>
        </w:rPr>
        <w:t xml:space="preserve"> and functions. In</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Handbook of research methods for organisational culture</w:t>
      </w:r>
      <w:r w:rsidRPr="00EA236B">
        <w:rPr>
          <w:rStyle w:val="apple-converted-space"/>
          <w:rFonts w:ascii="Arial" w:hAnsi="Arial" w:cs="Arial"/>
          <w:color w:val="000000" w:themeColor="text1"/>
          <w:shd w:val="clear" w:color="auto" w:fill="FFFFFF"/>
        </w:rPr>
        <w:t> </w:t>
      </w:r>
      <w:r w:rsidRPr="00EA236B">
        <w:rPr>
          <w:rFonts w:ascii="Arial" w:hAnsi="Arial" w:cs="Arial"/>
          <w:color w:val="000000" w:themeColor="text1"/>
          <w:shd w:val="clear" w:color="auto" w:fill="FFFFFF"/>
        </w:rPr>
        <w:t>(pp. 5-22). Edward Elgar Publishing.</w:t>
      </w:r>
    </w:p>
    <w:p w14:paraId="2FCEC78B" w14:textId="77777777" w:rsidR="001E5199" w:rsidRPr="00EA236B" w:rsidRDefault="001E5199" w:rsidP="001E5199">
      <w:pPr>
        <w:spacing w:line="360" w:lineRule="auto"/>
        <w:jc w:val="both"/>
        <w:rPr>
          <w:rFonts w:ascii="Arial" w:hAnsi="Arial" w:cs="Arial"/>
          <w:color w:val="000000" w:themeColor="text1"/>
          <w:shd w:val="clear" w:color="auto" w:fill="FFFFFF"/>
        </w:rPr>
      </w:pPr>
    </w:p>
    <w:p w14:paraId="379BB945" w14:textId="15F66A3F" w:rsidR="001E5199" w:rsidRPr="00EA236B" w:rsidRDefault="001E5199" w:rsidP="001E5199">
      <w:pPr>
        <w:spacing w:line="360" w:lineRule="auto"/>
        <w:jc w:val="both"/>
        <w:rPr>
          <w:rFonts w:ascii="Arial" w:hAnsi="Arial" w:cs="Arial"/>
          <w:color w:val="000000" w:themeColor="text1"/>
          <w:shd w:val="clear" w:color="auto" w:fill="FFFFFF"/>
        </w:rPr>
      </w:pPr>
      <w:r w:rsidRPr="00EA236B">
        <w:rPr>
          <w:rFonts w:ascii="Arial" w:hAnsi="Arial" w:cs="Arial"/>
          <w:color w:val="000000" w:themeColor="text1"/>
          <w:shd w:val="clear" w:color="auto" w:fill="FFFFFF"/>
        </w:rPr>
        <w:t xml:space="preserve">Wilson, A., </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2010</w:t>
      </w:r>
      <w:r w:rsidRPr="00EA236B">
        <w:rPr>
          <w:rFonts w:ascii="Arial" w:hAnsi="Arial" w:cs="Arial"/>
          <w:color w:val="000000" w:themeColor="text1"/>
          <w:shd w:val="clear" w:color="auto" w:fill="FFFFFF"/>
        </w:rPr>
        <w:t>)</w:t>
      </w:r>
      <w:r w:rsidRPr="00EA236B">
        <w:rPr>
          <w:rFonts w:ascii="Arial" w:hAnsi="Arial" w:cs="Arial"/>
          <w:color w:val="000000" w:themeColor="text1"/>
          <w:shd w:val="clear" w:color="auto" w:fill="FFFFFF"/>
        </w:rPr>
        <w:t>. Medical tourism in Thailand.</w:t>
      </w:r>
      <w:r w:rsidRPr="00EA236B">
        <w:rPr>
          <w:rStyle w:val="apple-converted-space"/>
          <w:rFonts w:ascii="Arial" w:hAnsi="Arial" w:cs="Arial"/>
          <w:color w:val="000000" w:themeColor="text1"/>
          <w:shd w:val="clear" w:color="auto" w:fill="FFFFFF"/>
        </w:rPr>
        <w:t> </w:t>
      </w:r>
      <w:r w:rsidRPr="00EA236B">
        <w:rPr>
          <w:rFonts w:ascii="Arial" w:hAnsi="Arial" w:cs="Arial"/>
          <w:i/>
          <w:iCs/>
          <w:color w:val="000000" w:themeColor="text1"/>
        </w:rPr>
        <w:t>Asian biotech: Ethics and communities of fate</w:t>
      </w:r>
      <w:r w:rsidRPr="00EA236B">
        <w:rPr>
          <w:rFonts w:ascii="Arial" w:hAnsi="Arial" w:cs="Arial"/>
          <w:color w:val="000000" w:themeColor="text1"/>
          <w:shd w:val="clear" w:color="auto" w:fill="FFFFFF"/>
        </w:rPr>
        <w:t>, pp.118-143.</w:t>
      </w:r>
    </w:p>
    <w:p w14:paraId="2956B5F3" w14:textId="77777777" w:rsidR="001E5199" w:rsidRPr="00EA236B" w:rsidRDefault="001E5199" w:rsidP="001E5199">
      <w:pPr>
        <w:spacing w:line="360" w:lineRule="auto"/>
        <w:jc w:val="both"/>
        <w:rPr>
          <w:rFonts w:ascii="Arial" w:hAnsi="Arial" w:cs="Arial"/>
          <w:color w:val="000000" w:themeColor="text1"/>
          <w:shd w:val="clear" w:color="auto" w:fill="FFFFFF"/>
        </w:rPr>
      </w:pPr>
    </w:p>
    <w:p w14:paraId="6C1F62E8" w14:textId="7E8EF48E"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Wong, B.K. and Sa’aid Hazley, S.A. (2020) “The Future of Health Tourism in the Industrial Revolution 4.0 Era,” </w:t>
      </w:r>
      <w:r w:rsidRPr="00EA236B">
        <w:rPr>
          <w:rFonts w:ascii="Arial" w:hAnsi="Arial" w:cs="Arial"/>
          <w:i/>
          <w:color w:val="000000" w:themeColor="text1"/>
        </w:rPr>
        <w:t>Journal of Tourism Futures</w:t>
      </w:r>
      <w:r w:rsidRPr="00EA236B">
        <w:rPr>
          <w:rFonts w:ascii="Arial" w:hAnsi="Arial" w:cs="Arial"/>
          <w:color w:val="000000" w:themeColor="text1"/>
        </w:rPr>
        <w:t xml:space="preserve">, 7(2), pp. 267–272. </w:t>
      </w:r>
    </w:p>
    <w:p w14:paraId="4D48DE27" w14:textId="77777777" w:rsidR="001E5199" w:rsidRPr="00EA236B" w:rsidRDefault="001E5199" w:rsidP="001E5199">
      <w:pPr>
        <w:spacing w:line="360" w:lineRule="auto"/>
        <w:ind w:left="720" w:hanging="720"/>
        <w:jc w:val="both"/>
        <w:rPr>
          <w:rFonts w:ascii="Arial" w:hAnsi="Arial" w:cs="Arial"/>
          <w:color w:val="000000" w:themeColor="text1"/>
        </w:rPr>
      </w:pPr>
    </w:p>
    <w:p w14:paraId="0B224C21" w14:textId="77777777" w:rsidR="001E5199" w:rsidRPr="00EA236B" w:rsidRDefault="001E5199" w:rsidP="001E5199">
      <w:pPr>
        <w:spacing w:line="360" w:lineRule="auto"/>
        <w:ind w:left="720" w:hanging="720"/>
        <w:jc w:val="both"/>
        <w:rPr>
          <w:rFonts w:ascii="Arial" w:hAnsi="Arial" w:cs="Arial"/>
          <w:color w:val="000000" w:themeColor="text1"/>
        </w:rPr>
      </w:pPr>
      <w:r w:rsidRPr="00EA236B">
        <w:rPr>
          <w:rFonts w:ascii="Arial" w:hAnsi="Arial" w:cs="Arial"/>
          <w:color w:val="000000" w:themeColor="text1"/>
        </w:rPr>
        <w:t xml:space="preserve">Xu, T., Wang, W. and Du, J. (2020) “An integrative review of patients’ experience in the medical tourism,” </w:t>
      </w:r>
      <w:r w:rsidRPr="00EA236B">
        <w:rPr>
          <w:rFonts w:ascii="Arial" w:hAnsi="Arial" w:cs="Arial"/>
          <w:i/>
          <w:color w:val="000000" w:themeColor="text1"/>
        </w:rPr>
        <w:t>INQUIRY: The Journal of Health Care Organization, Provision, and Financing</w:t>
      </w:r>
      <w:r w:rsidRPr="00EA236B">
        <w:rPr>
          <w:rFonts w:ascii="Arial" w:hAnsi="Arial" w:cs="Arial"/>
          <w:color w:val="000000" w:themeColor="text1"/>
        </w:rPr>
        <w:t xml:space="preserve">, 57(10), pp. 676–649. </w:t>
      </w:r>
    </w:p>
    <w:p w14:paraId="44468094" w14:textId="77777777" w:rsidR="001E5199" w:rsidRPr="00EA236B" w:rsidRDefault="001E5199" w:rsidP="0097160C">
      <w:pPr>
        <w:spacing w:after="100" w:afterAutospacing="1" w:line="360" w:lineRule="auto"/>
        <w:jc w:val="both"/>
        <w:rPr>
          <w:rFonts w:ascii="Arial" w:eastAsia="Times New Roman" w:hAnsi="Arial" w:cs="Arial"/>
          <w:b/>
          <w:bCs/>
          <w:color w:val="000000" w:themeColor="text1"/>
          <w:lang w:eastAsia="en-GB"/>
        </w:rPr>
      </w:pPr>
    </w:p>
    <w:p w14:paraId="38EEA550" w14:textId="77777777" w:rsidR="00802041" w:rsidRPr="00EA236B" w:rsidRDefault="00802041" w:rsidP="0097160C">
      <w:pPr>
        <w:spacing w:after="100" w:afterAutospacing="1" w:line="360" w:lineRule="auto"/>
        <w:jc w:val="both"/>
        <w:rPr>
          <w:rFonts w:ascii="Arial" w:eastAsia="Times New Roman" w:hAnsi="Arial" w:cs="Arial"/>
          <w:color w:val="000000" w:themeColor="text1"/>
          <w:lang w:eastAsia="en-GB"/>
        </w:rPr>
      </w:pPr>
    </w:p>
    <w:p w14:paraId="3648B7F1" w14:textId="77777777" w:rsidR="0097160C" w:rsidRPr="00EA236B" w:rsidRDefault="0097160C" w:rsidP="0097160C">
      <w:pPr>
        <w:spacing w:after="100" w:afterAutospacing="1"/>
        <w:rPr>
          <w:rFonts w:ascii="Arial" w:eastAsia="Times New Roman" w:hAnsi="Arial" w:cs="Arial"/>
          <w:b/>
          <w:bCs/>
          <w:color w:val="000000" w:themeColor="text1"/>
          <w:lang w:eastAsia="en-GB"/>
        </w:rPr>
      </w:pPr>
    </w:p>
    <w:p w14:paraId="1EC57623" w14:textId="77777777" w:rsidR="0097160C" w:rsidRPr="00EA236B" w:rsidRDefault="0097160C" w:rsidP="0097160C">
      <w:pPr>
        <w:rPr>
          <w:rFonts w:ascii="Helvetica" w:hAnsi="Helvetica"/>
          <w:color w:val="000000" w:themeColor="text1"/>
          <w:sz w:val="20"/>
          <w:szCs w:val="20"/>
        </w:rPr>
      </w:pPr>
    </w:p>
    <w:p w14:paraId="1851F189" w14:textId="77777777" w:rsidR="0097160C" w:rsidRPr="00EA236B" w:rsidRDefault="0097160C" w:rsidP="0097160C">
      <w:pPr>
        <w:rPr>
          <w:rFonts w:ascii="Helvetica" w:hAnsi="Helvetica"/>
          <w:color w:val="000000" w:themeColor="text1"/>
          <w:sz w:val="20"/>
          <w:szCs w:val="20"/>
        </w:rPr>
      </w:pPr>
    </w:p>
    <w:p w14:paraId="420DFBBC" w14:textId="77777777" w:rsidR="0097160C" w:rsidRPr="00EA236B" w:rsidRDefault="0097160C" w:rsidP="0097160C">
      <w:pPr>
        <w:rPr>
          <w:b/>
          <w:bCs/>
          <w:color w:val="000000" w:themeColor="text1"/>
        </w:rPr>
      </w:pPr>
    </w:p>
    <w:p w14:paraId="2D7F31C4" w14:textId="77777777" w:rsidR="0097160C" w:rsidRPr="00EA236B" w:rsidRDefault="0097160C" w:rsidP="0097160C">
      <w:pPr>
        <w:rPr>
          <w:b/>
          <w:bCs/>
          <w:color w:val="000000" w:themeColor="text1"/>
        </w:rPr>
      </w:pPr>
    </w:p>
    <w:p w14:paraId="03A4F736" w14:textId="77777777" w:rsidR="00820785" w:rsidRPr="00EA236B" w:rsidRDefault="00820785" w:rsidP="00370375">
      <w:pPr>
        <w:rPr>
          <w:b/>
          <w:bCs/>
          <w:color w:val="000000" w:themeColor="text1"/>
        </w:rPr>
      </w:pPr>
    </w:p>
    <w:sectPr w:rsidR="00820785" w:rsidRPr="00EA236B" w:rsidSect="00B02513">
      <w:pgSz w:w="11900" w:h="16840"/>
      <w:pgMar w:top="720" w:right="720" w:bottom="720" w:left="72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34B48" w14:textId="77777777" w:rsidR="00972747" w:rsidRDefault="00972747">
      <w:r>
        <w:separator/>
      </w:r>
    </w:p>
  </w:endnote>
  <w:endnote w:type="continuationSeparator" w:id="0">
    <w:p w14:paraId="647114EA" w14:textId="77777777" w:rsidR="00972747" w:rsidRDefault="009727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TimesNewRomanPSMT">
    <w:altName w:val="Times New Roman"/>
    <w:panose1 w:val="020B0604020202020204"/>
    <w:charset w:val="00"/>
    <w:family w:val="roman"/>
    <w:notTrueType/>
    <w:pitch w:val="default"/>
  </w:font>
  <w:font w:name="Open Sans">
    <w:panose1 w:val="020B0604020202020204"/>
    <w:charset w:val="00"/>
    <w:family w:val="swiss"/>
    <w:pitch w:val="variable"/>
    <w:sig w:usb0="E00002EF" w:usb1="4000205B" w:usb2="00000028" w:usb3="00000000" w:csb0="0000019F" w:csb1="00000000"/>
  </w:font>
  <w:font w:name="ArialMT">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4978806"/>
      <w:docPartObj>
        <w:docPartGallery w:val="Page Numbers (Bottom of Page)"/>
        <w:docPartUnique/>
      </w:docPartObj>
    </w:sdtPr>
    <w:sdtContent>
      <w:p w14:paraId="7C9ACD2B" w14:textId="3BDEC51B" w:rsidR="00B02513" w:rsidRDefault="00B02513" w:rsidP="000A58D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73B83374" w14:textId="77777777" w:rsidR="00B02513" w:rsidRDefault="00B025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7993944"/>
      <w:docPartObj>
        <w:docPartGallery w:val="Page Numbers (Bottom of Page)"/>
        <w:docPartUnique/>
      </w:docPartObj>
    </w:sdtPr>
    <w:sdtContent>
      <w:p w14:paraId="291C819A" w14:textId="0F446B34" w:rsidR="00B02513" w:rsidRDefault="00B02513" w:rsidP="000A58D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D0320B" w14:textId="77777777" w:rsidR="00B02513" w:rsidRDefault="00B025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3DFA05" w14:textId="77777777" w:rsidR="00B02513" w:rsidRPr="00B02513" w:rsidRDefault="00B02513">
    <w:pPr>
      <w:pStyle w:val="Footer"/>
      <w:jc w:val="center"/>
      <w:rPr>
        <w:caps/>
        <w:noProof/>
        <w:color w:val="000000" w:themeColor="text1"/>
      </w:rPr>
    </w:pPr>
    <w:r w:rsidRPr="00B02513">
      <w:rPr>
        <w:caps/>
        <w:color w:val="000000" w:themeColor="text1"/>
      </w:rPr>
      <w:fldChar w:fldCharType="begin"/>
    </w:r>
    <w:r w:rsidRPr="00B02513">
      <w:rPr>
        <w:caps/>
        <w:color w:val="000000" w:themeColor="text1"/>
      </w:rPr>
      <w:instrText xml:space="preserve"> PAGE   \* MERGEFORMAT </w:instrText>
    </w:r>
    <w:r w:rsidRPr="00B02513">
      <w:rPr>
        <w:caps/>
        <w:color w:val="000000" w:themeColor="text1"/>
      </w:rPr>
      <w:fldChar w:fldCharType="separate"/>
    </w:r>
    <w:r w:rsidRPr="00B02513">
      <w:rPr>
        <w:caps/>
        <w:noProof/>
        <w:color w:val="000000" w:themeColor="text1"/>
      </w:rPr>
      <w:t>2</w:t>
    </w:r>
    <w:r w:rsidRPr="00B02513">
      <w:rPr>
        <w:caps/>
        <w:noProof/>
        <w:color w:val="000000" w:themeColor="text1"/>
      </w:rPr>
      <w:fldChar w:fldCharType="end"/>
    </w:r>
  </w:p>
  <w:p w14:paraId="05D8E7B7" w14:textId="568E0509" w:rsidR="00B02513" w:rsidRDefault="00B02513" w:rsidP="00B02513">
    <w:pPr>
      <w:pStyle w:val="Footer"/>
      <w:tabs>
        <w:tab w:val="clear" w:pos="4513"/>
        <w:tab w:val="clear" w:pos="9026"/>
        <w:tab w:val="left" w:pos="6333"/>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47F685" w14:textId="77777777" w:rsidR="00972747" w:rsidRDefault="00972747" w:rsidP="00CA1971">
      <w:r>
        <w:separator/>
      </w:r>
    </w:p>
  </w:footnote>
  <w:footnote w:type="continuationSeparator" w:id="0">
    <w:p w14:paraId="0B857ADC" w14:textId="77777777" w:rsidR="00972747" w:rsidRDefault="00972747" w:rsidP="00CA1971">
      <w:r>
        <w:continuationSeparator/>
      </w:r>
    </w:p>
  </w:footnote>
  <w:footnote w:id="1">
    <w:p w14:paraId="6AA3A08B" w14:textId="77777777" w:rsidR="00CA1971" w:rsidRDefault="00000000" w:rsidP="00CA1971">
      <w:pPr>
        <w:pStyle w:val="FootnoteText"/>
      </w:pPr>
      <w:r>
        <w:rPr>
          <w:rStyle w:val="FootnoteReference"/>
        </w:rPr>
        <w:t>1</w:t>
      </w:r>
      <w:r>
        <w:t xml:space="preserve"> According to Crosby and Bryson (2005, p. 22), stakeholders are the 'individuals, groups, or organisations that are affected by a public problem, have partial responsibility to act on it, or control important resources’.  </w:t>
      </w:r>
    </w:p>
    <w:p w14:paraId="2252D528" w14:textId="77777777" w:rsidR="00CA1971" w:rsidRDefault="00CA1971">
      <w:pPr>
        <w:pStyle w:val="FootnoteText"/>
      </w:pPr>
    </w:p>
  </w:footnote>
  <w:footnote w:id="2">
    <w:p w14:paraId="1180E81B" w14:textId="6F22F0A9" w:rsidR="0073315A" w:rsidRPr="00745CC5" w:rsidRDefault="0073315A">
      <w:pPr>
        <w:pStyle w:val="FootnoteText"/>
        <w:rPr>
          <w:rFonts w:ascii="Arial" w:hAnsi="Arial" w:cs="Arial"/>
          <w:sz w:val="18"/>
          <w:szCs w:val="18"/>
        </w:rPr>
      </w:pPr>
      <w:r>
        <w:rPr>
          <w:rStyle w:val="FootnoteReference"/>
        </w:rPr>
        <w:t>2</w:t>
      </w:r>
      <w:r>
        <w:t xml:space="preserve"> </w:t>
      </w:r>
      <w:r w:rsidRPr="00745CC5">
        <w:rPr>
          <w:rFonts w:ascii="Arial" w:hAnsi="Arial" w:cs="Arial"/>
          <w:sz w:val="18"/>
          <w:szCs w:val="18"/>
        </w:rPr>
        <w:t>ISO 9001 is the internationally recogni</w:t>
      </w:r>
      <w:r w:rsidR="00B86D0D" w:rsidRPr="00745CC5">
        <w:rPr>
          <w:rFonts w:ascii="Arial" w:hAnsi="Arial" w:cs="Arial"/>
          <w:sz w:val="18"/>
          <w:szCs w:val="18"/>
        </w:rPr>
        <w:t>s</w:t>
      </w:r>
      <w:r w:rsidRPr="00745CC5">
        <w:rPr>
          <w:rFonts w:ascii="Arial" w:hAnsi="Arial" w:cs="Arial"/>
          <w:sz w:val="18"/>
          <w:szCs w:val="18"/>
        </w:rPr>
        <w:t xml:space="preserve">ed </w:t>
      </w:r>
      <w:r w:rsidR="00B86D0D" w:rsidRPr="00745CC5">
        <w:rPr>
          <w:rFonts w:ascii="Arial" w:hAnsi="Arial" w:cs="Arial"/>
          <w:sz w:val="18"/>
          <w:szCs w:val="18"/>
        </w:rPr>
        <w:t xml:space="preserve">certification of </w:t>
      </w:r>
      <w:r w:rsidRPr="00745CC5">
        <w:rPr>
          <w:rFonts w:ascii="Arial" w:hAnsi="Arial" w:cs="Arial"/>
          <w:sz w:val="18"/>
          <w:szCs w:val="18"/>
        </w:rPr>
        <w:t>Quality Management System (QMS) standard that can benefit organi</w:t>
      </w:r>
      <w:r w:rsidR="00B86D0D" w:rsidRPr="00745CC5">
        <w:rPr>
          <w:rFonts w:ascii="Arial" w:hAnsi="Arial" w:cs="Arial"/>
          <w:sz w:val="18"/>
          <w:szCs w:val="18"/>
        </w:rPr>
        <w:t>s</w:t>
      </w:r>
      <w:r w:rsidRPr="00745CC5">
        <w:rPr>
          <w:rFonts w:ascii="Arial" w:hAnsi="Arial" w:cs="Arial"/>
          <w:sz w:val="18"/>
          <w:szCs w:val="18"/>
        </w:rPr>
        <w:t>ation</w:t>
      </w:r>
      <w:r w:rsidR="00B86D0D" w:rsidRPr="00745CC5">
        <w:rPr>
          <w:rFonts w:ascii="Arial" w:hAnsi="Arial" w:cs="Arial"/>
          <w:sz w:val="18"/>
          <w:szCs w:val="18"/>
        </w:rPr>
        <w:t>s</w:t>
      </w:r>
      <w:r w:rsidRPr="00745CC5">
        <w:rPr>
          <w:rFonts w:ascii="Arial" w:hAnsi="Arial" w:cs="Arial"/>
          <w:sz w:val="18"/>
          <w:szCs w:val="18"/>
        </w:rPr>
        <w:t xml:space="preserve">. </w:t>
      </w:r>
      <w:r w:rsidR="00087292" w:rsidRPr="00745CC5">
        <w:rPr>
          <w:rFonts w:ascii="Arial" w:hAnsi="Arial" w:cs="Arial"/>
          <w:sz w:val="18"/>
          <w:szCs w:val="18"/>
        </w:rPr>
        <w:t>It is d</w:t>
      </w:r>
      <w:r w:rsidRPr="00745CC5">
        <w:rPr>
          <w:rFonts w:ascii="Arial" w:hAnsi="Arial" w:cs="Arial"/>
          <w:sz w:val="18"/>
          <w:szCs w:val="18"/>
        </w:rPr>
        <w:t>esigned to be a powerful business improvement tool</w:t>
      </w:r>
      <w:r w:rsidR="00087292" w:rsidRPr="00745CC5">
        <w:rPr>
          <w:rFonts w:ascii="Arial" w:hAnsi="Arial" w:cs="Arial"/>
          <w:sz w:val="18"/>
          <w:szCs w:val="18"/>
        </w:rPr>
        <w:t xml:space="preserve"> (Lenning, 2020).</w:t>
      </w:r>
    </w:p>
  </w:footnote>
  <w:footnote w:id="3">
    <w:p w14:paraId="5CD4F263" w14:textId="0E3EA142" w:rsidR="005000EE" w:rsidRDefault="005000EE">
      <w:pPr>
        <w:pStyle w:val="FootnoteText"/>
      </w:pPr>
      <w:r>
        <w:rPr>
          <w:rStyle w:val="FootnoteReference"/>
        </w:rPr>
        <w:t>3</w:t>
      </w:r>
      <w:r>
        <w:t xml:space="preserve"> </w:t>
      </w:r>
      <w:r w:rsidR="00745CC5" w:rsidRPr="00745CC5">
        <w:rPr>
          <w:rFonts w:ascii="Arial" w:hAnsi="Arial" w:cs="Arial"/>
          <w:sz w:val="18"/>
          <w:szCs w:val="18"/>
        </w:rPr>
        <w:t>A cumulative effect produced when one event initiates a succession of similar events compare ripple effect (Webster, 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953DCF"/>
    <w:multiLevelType w:val="multilevel"/>
    <w:tmpl w:val="C846B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B73E98"/>
    <w:multiLevelType w:val="hybridMultilevel"/>
    <w:tmpl w:val="4FC22366"/>
    <w:lvl w:ilvl="0" w:tplc="0026156E">
      <w:start w:val="1"/>
      <w:numFmt w:val="decimal"/>
      <w:lvlText w:val="%1."/>
      <w:lvlJc w:val="left"/>
      <w:pPr>
        <w:ind w:left="720" w:hanging="360"/>
      </w:pPr>
      <w:rPr>
        <w:rFonts w:hint="default"/>
      </w:rPr>
    </w:lvl>
    <w:lvl w:ilvl="1" w:tplc="7A2A0BA2" w:tentative="1">
      <w:start w:val="1"/>
      <w:numFmt w:val="lowerLetter"/>
      <w:lvlText w:val="%2."/>
      <w:lvlJc w:val="left"/>
      <w:pPr>
        <w:ind w:left="1440" w:hanging="360"/>
      </w:pPr>
    </w:lvl>
    <w:lvl w:ilvl="2" w:tplc="927C16C4" w:tentative="1">
      <w:start w:val="1"/>
      <w:numFmt w:val="lowerRoman"/>
      <w:lvlText w:val="%3."/>
      <w:lvlJc w:val="right"/>
      <w:pPr>
        <w:ind w:left="2160" w:hanging="180"/>
      </w:pPr>
    </w:lvl>
    <w:lvl w:ilvl="3" w:tplc="DF58B722" w:tentative="1">
      <w:start w:val="1"/>
      <w:numFmt w:val="decimal"/>
      <w:lvlText w:val="%4."/>
      <w:lvlJc w:val="left"/>
      <w:pPr>
        <w:ind w:left="2880" w:hanging="360"/>
      </w:pPr>
    </w:lvl>
    <w:lvl w:ilvl="4" w:tplc="1F521264" w:tentative="1">
      <w:start w:val="1"/>
      <w:numFmt w:val="lowerLetter"/>
      <w:lvlText w:val="%5."/>
      <w:lvlJc w:val="left"/>
      <w:pPr>
        <w:ind w:left="3600" w:hanging="360"/>
      </w:pPr>
    </w:lvl>
    <w:lvl w:ilvl="5" w:tplc="DBDE9402" w:tentative="1">
      <w:start w:val="1"/>
      <w:numFmt w:val="lowerRoman"/>
      <w:lvlText w:val="%6."/>
      <w:lvlJc w:val="right"/>
      <w:pPr>
        <w:ind w:left="4320" w:hanging="180"/>
      </w:pPr>
    </w:lvl>
    <w:lvl w:ilvl="6" w:tplc="87D8CC88" w:tentative="1">
      <w:start w:val="1"/>
      <w:numFmt w:val="decimal"/>
      <w:lvlText w:val="%7."/>
      <w:lvlJc w:val="left"/>
      <w:pPr>
        <w:ind w:left="5040" w:hanging="360"/>
      </w:pPr>
    </w:lvl>
    <w:lvl w:ilvl="7" w:tplc="1C7C0C1E" w:tentative="1">
      <w:start w:val="1"/>
      <w:numFmt w:val="lowerLetter"/>
      <w:lvlText w:val="%8."/>
      <w:lvlJc w:val="left"/>
      <w:pPr>
        <w:ind w:left="5760" w:hanging="360"/>
      </w:pPr>
    </w:lvl>
    <w:lvl w:ilvl="8" w:tplc="1FBCD244" w:tentative="1">
      <w:start w:val="1"/>
      <w:numFmt w:val="lowerRoman"/>
      <w:lvlText w:val="%9."/>
      <w:lvlJc w:val="right"/>
      <w:pPr>
        <w:ind w:left="6480" w:hanging="180"/>
      </w:pPr>
    </w:lvl>
  </w:abstractNum>
  <w:abstractNum w:abstractNumId="2" w15:restartNumberingAfterBreak="0">
    <w:nsid w:val="59F71FFA"/>
    <w:multiLevelType w:val="multilevel"/>
    <w:tmpl w:val="091E417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F2513F6"/>
    <w:multiLevelType w:val="multilevel"/>
    <w:tmpl w:val="173CD2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6292848">
    <w:abstractNumId w:val="1"/>
  </w:num>
  <w:num w:numId="2" w16cid:durableId="807405959">
    <w:abstractNumId w:val="3"/>
  </w:num>
  <w:num w:numId="3" w16cid:durableId="1177038831">
    <w:abstractNumId w:val="0"/>
  </w:num>
  <w:num w:numId="4" w16cid:durableId="1600479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2C5"/>
    <w:rsid w:val="00007C73"/>
    <w:rsid w:val="000112A1"/>
    <w:rsid w:val="000329BA"/>
    <w:rsid w:val="00033360"/>
    <w:rsid w:val="0003548A"/>
    <w:rsid w:val="00035BF7"/>
    <w:rsid w:val="0003619B"/>
    <w:rsid w:val="00053D08"/>
    <w:rsid w:val="00056E99"/>
    <w:rsid w:val="00057579"/>
    <w:rsid w:val="000717E5"/>
    <w:rsid w:val="00071C42"/>
    <w:rsid w:val="00087292"/>
    <w:rsid w:val="000873F3"/>
    <w:rsid w:val="00093E78"/>
    <w:rsid w:val="000A2A0D"/>
    <w:rsid w:val="000A32A4"/>
    <w:rsid w:val="000B5A42"/>
    <w:rsid w:val="000B73AA"/>
    <w:rsid w:val="000C10D5"/>
    <w:rsid w:val="000C4AA7"/>
    <w:rsid w:val="000C5CD5"/>
    <w:rsid w:val="000C681A"/>
    <w:rsid w:val="000D1C1D"/>
    <w:rsid w:val="000D37BD"/>
    <w:rsid w:val="000D4AF4"/>
    <w:rsid w:val="000E218C"/>
    <w:rsid w:val="000E64D9"/>
    <w:rsid w:val="000F09D3"/>
    <w:rsid w:val="00100A4D"/>
    <w:rsid w:val="00105165"/>
    <w:rsid w:val="001141C7"/>
    <w:rsid w:val="00121BDF"/>
    <w:rsid w:val="001237EB"/>
    <w:rsid w:val="001272C5"/>
    <w:rsid w:val="00136F41"/>
    <w:rsid w:val="00140D3B"/>
    <w:rsid w:val="00147CA3"/>
    <w:rsid w:val="001531D5"/>
    <w:rsid w:val="0015631F"/>
    <w:rsid w:val="001652F6"/>
    <w:rsid w:val="00166ACE"/>
    <w:rsid w:val="00186BE3"/>
    <w:rsid w:val="00196E90"/>
    <w:rsid w:val="001A2D10"/>
    <w:rsid w:val="001A33A2"/>
    <w:rsid w:val="001A61A1"/>
    <w:rsid w:val="001A6B69"/>
    <w:rsid w:val="001B4A33"/>
    <w:rsid w:val="001B66C7"/>
    <w:rsid w:val="001C1820"/>
    <w:rsid w:val="001C3524"/>
    <w:rsid w:val="001C4FA7"/>
    <w:rsid w:val="001E5199"/>
    <w:rsid w:val="001E5672"/>
    <w:rsid w:val="001E70DD"/>
    <w:rsid w:val="001F0DA2"/>
    <w:rsid w:val="001F2B42"/>
    <w:rsid w:val="001F363D"/>
    <w:rsid w:val="001F7832"/>
    <w:rsid w:val="00207ACB"/>
    <w:rsid w:val="00215B89"/>
    <w:rsid w:val="00230382"/>
    <w:rsid w:val="002318DB"/>
    <w:rsid w:val="00233BDD"/>
    <w:rsid w:val="002403CF"/>
    <w:rsid w:val="0024453E"/>
    <w:rsid w:val="00265B32"/>
    <w:rsid w:val="0027039C"/>
    <w:rsid w:val="00276F52"/>
    <w:rsid w:val="00277976"/>
    <w:rsid w:val="0029058B"/>
    <w:rsid w:val="0029644D"/>
    <w:rsid w:val="002C0A73"/>
    <w:rsid w:val="002C6B89"/>
    <w:rsid w:val="002D6DD5"/>
    <w:rsid w:val="002E174A"/>
    <w:rsid w:val="002E7307"/>
    <w:rsid w:val="002F39CD"/>
    <w:rsid w:val="002F5EFE"/>
    <w:rsid w:val="002F716D"/>
    <w:rsid w:val="0030311A"/>
    <w:rsid w:val="00305EE7"/>
    <w:rsid w:val="00311A5F"/>
    <w:rsid w:val="0031635A"/>
    <w:rsid w:val="00317671"/>
    <w:rsid w:val="00332ECD"/>
    <w:rsid w:val="00335033"/>
    <w:rsid w:val="00340654"/>
    <w:rsid w:val="00341DCA"/>
    <w:rsid w:val="00345871"/>
    <w:rsid w:val="00360436"/>
    <w:rsid w:val="00360768"/>
    <w:rsid w:val="003650DF"/>
    <w:rsid w:val="003658D0"/>
    <w:rsid w:val="00370375"/>
    <w:rsid w:val="00371A1F"/>
    <w:rsid w:val="00372C32"/>
    <w:rsid w:val="0037677A"/>
    <w:rsid w:val="00382F6F"/>
    <w:rsid w:val="00384497"/>
    <w:rsid w:val="00385A48"/>
    <w:rsid w:val="003869BA"/>
    <w:rsid w:val="003969D8"/>
    <w:rsid w:val="003A33E5"/>
    <w:rsid w:val="003A423B"/>
    <w:rsid w:val="003B5323"/>
    <w:rsid w:val="003B5E48"/>
    <w:rsid w:val="003D09ED"/>
    <w:rsid w:val="003D1F55"/>
    <w:rsid w:val="003D2A05"/>
    <w:rsid w:val="003D4E7A"/>
    <w:rsid w:val="003E164E"/>
    <w:rsid w:val="003E576B"/>
    <w:rsid w:val="003E7937"/>
    <w:rsid w:val="003F1B67"/>
    <w:rsid w:val="00410FEB"/>
    <w:rsid w:val="004124A2"/>
    <w:rsid w:val="00414CC6"/>
    <w:rsid w:val="004322BE"/>
    <w:rsid w:val="00436783"/>
    <w:rsid w:val="00436F77"/>
    <w:rsid w:val="00441BB7"/>
    <w:rsid w:val="0044256C"/>
    <w:rsid w:val="00443AEF"/>
    <w:rsid w:val="004525F4"/>
    <w:rsid w:val="004550CC"/>
    <w:rsid w:val="0046343B"/>
    <w:rsid w:val="004656E3"/>
    <w:rsid w:val="004777BB"/>
    <w:rsid w:val="004B500F"/>
    <w:rsid w:val="004B5831"/>
    <w:rsid w:val="004B76FA"/>
    <w:rsid w:val="004C2252"/>
    <w:rsid w:val="004D23B2"/>
    <w:rsid w:val="004D791D"/>
    <w:rsid w:val="004E2B74"/>
    <w:rsid w:val="004F005B"/>
    <w:rsid w:val="004F62F4"/>
    <w:rsid w:val="005000EE"/>
    <w:rsid w:val="00514440"/>
    <w:rsid w:val="00516E2F"/>
    <w:rsid w:val="00525F2B"/>
    <w:rsid w:val="00526A17"/>
    <w:rsid w:val="00527B31"/>
    <w:rsid w:val="005365C2"/>
    <w:rsid w:val="00540B1D"/>
    <w:rsid w:val="0055416E"/>
    <w:rsid w:val="0055641E"/>
    <w:rsid w:val="0056215C"/>
    <w:rsid w:val="00571240"/>
    <w:rsid w:val="0058146F"/>
    <w:rsid w:val="00593CD7"/>
    <w:rsid w:val="005A084B"/>
    <w:rsid w:val="005C1D37"/>
    <w:rsid w:val="005C1D55"/>
    <w:rsid w:val="005D0E9F"/>
    <w:rsid w:val="006117E5"/>
    <w:rsid w:val="006178D7"/>
    <w:rsid w:val="006337C7"/>
    <w:rsid w:val="00643E79"/>
    <w:rsid w:val="00645439"/>
    <w:rsid w:val="00651016"/>
    <w:rsid w:val="00657707"/>
    <w:rsid w:val="00664D77"/>
    <w:rsid w:val="00670934"/>
    <w:rsid w:val="00672529"/>
    <w:rsid w:val="00673613"/>
    <w:rsid w:val="00677102"/>
    <w:rsid w:val="0068171F"/>
    <w:rsid w:val="006819E7"/>
    <w:rsid w:val="006824A2"/>
    <w:rsid w:val="0068315A"/>
    <w:rsid w:val="00695508"/>
    <w:rsid w:val="006A1238"/>
    <w:rsid w:val="006A1F1F"/>
    <w:rsid w:val="006A6505"/>
    <w:rsid w:val="006A6722"/>
    <w:rsid w:val="006A77A7"/>
    <w:rsid w:val="006B7137"/>
    <w:rsid w:val="006D538D"/>
    <w:rsid w:val="006D5C8E"/>
    <w:rsid w:val="006E04EE"/>
    <w:rsid w:val="006E6931"/>
    <w:rsid w:val="006F043A"/>
    <w:rsid w:val="00714878"/>
    <w:rsid w:val="007169EF"/>
    <w:rsid w:val="0071735D"/>
    <w:rsid w:val="00717CB4"/>
    <w:rsid w:val="007314B7"/>
    <w:rsid w:val="0073315A"/>
    <w:rsid w:val="00740FB6"/>
    <w:rsid w:val="0074527B"/>
    <w:rsid w:val="00745CC5"/>
    <w:rsid w:val="00752DF9"/>
    <w:rsid w:val="0076145C"/>
    <w:rsid w:val="007658F4"/>
    <w:rsid w:val="00765C1F"/>
    <w:rsid w:val="00770E56"/>
    <w:rsid w:val="007748CC"/>
    <w:rsid w:val="00784142"/>
    <w:rsid w:val="00785E03"/>
    <w:rsid w:val="00792EB7"/>
    <w:rsid w:val="00796DDE"/>
    <w:rsid w:val="007A3113"/>
    <w:rsid w:val="007A3645"/>
    <w:rsid w:val="007A717A"/>
    <w:rsid w:val="007B5B64"/>
    <w:rsid w:val="007B7F1E"/>
    <w:rsid w:val="007C505D"/>
    <w:rsid w:val="007D55B5"/>
    <w:rsid w:val="007F2DEA"/>
    <w:rsid w:val="007F5683"/>
    <w:rsid w:val="00801E78"/>
    <w:rsid w:val="00802041"/>
    <w:rsid w:val="00811E53"/>
    <w:rsid w:val="00816D36"/>
    <w:rsid w:val="00820785"/>
    <w:rsid w:val="008209B4"/>
    <w:rsid w:val="008310FB"/>
    <w:rsid w:val="00832105"/>
    <w:rsid w:val="00834D63"/>
    <w:rsid w:val="008405AD"/>
    <w:rsid w:val="00843607"/>
    <w:rsid w:val="00845CDF"/>
    <w:rsid w:val="008536B2"/>
    <w:rsid w:val="008610AF"/>
    <w:rsid w:val="00871147"/>
    <w:rsid w:val="008731D6"/>
    <w:rsid w:val="00876D19"/>
    <w:rsid w:val="008879DF"/>
    <w:rsid w:val="008A6192"/>
    <w:rsid w:val="008B53D4"/>
    <w:rsid w:val="008C4B2A"/>
    <w:rsid w:val="008D27E2"/>
    <w:rsid w:val="008E1570"/>
    <w:rsid w:val="008F13AC"/>
    <w:rsid w:val="008F3A2D"/>
    <w:rsid w:val="008F7E3E"/>
    <w:rsid w:val="00901595"/>
    <w:rsid w:val="009168B7"/>
    <w:rsid w:val="009201F1"/>
    <w:rsid w:val="00921F04"/>
    <w:rsid w:val="009303CD"/>
    <w:rsid w:val="0093733A"/>
    <w:rsid w:val="0094296C"/>
    <w:rsid w:val="009435B7"/>
    <w:rsid w:val="00954318"/>
    <w:rsid w:val="009544CD"/>
    <w:rsid w:val="00957A8B"/>
    <w:rsid w:val="009618B7"/>
    <w:rsid w:val="0097160C"/>
    <w:rsid w:val="00972747"/>
    <w:rsid w:val="00981552"/>
    <w:rsid w:val="009916E7"/>
    <w:rsid w:val="00992BF6"/>
    <w:rsid w:val="009A0759"/>
    <w:rsid w:val="009A207C"/>
    <w:rsid w:val="009A4735"/>
    <w:rsid w:val="009A5C46"/>
    <w:rsid w:val="009B5A41"/>
    <w:rsid w:val="009B764D"/>
    <w:rsid w:val="009D4F1F"/>
    <w:rsid w:val="009E334B"/>
    <w:rsid w:val="009E7816"/>
    <w:rsid w:val="00A03D16"/>
    <w:rsid w:val="00A15EF4"/>
    <w:rsid w:val="00A2404D"/>
    <w:rsid w:val="00A2438A"/>
    <w:rsid w:val="00A26B02"/>
    <w:rsid w:val="00A275AF"/>
    <w:rsid w:val="00A32D12"/>
    <w:rsid w:val="00A43C45"/>
    <w:rsid w:val="00A527A9"/>
    <w:rsid w:val="00A601FF"/>
    <w:rsid w:val="00A66AF5"/>
    <w:rsid w:val="00A83561"/>
    <w:rsid w:val="00A9331D"/>
    <w:rsid w:val="00A95719"/>
    <w:rsid w:val="00AA58D4"/>
    <w:rsid w:val="00AA7D29"/>
    <w:rsid w:val="00AC255C"/>
    <w:rsid w:val="00AD1C85"/>
    <w:rsid w:val="00AD53BB"/>
    <w:rsid w:val="00AE0BEE"/>
    <w:rsid w:val="00AE7C53"/>
    <w:rsid w:val="00B022BD"/>
    <w:rsid w:val="00B02513"/>
    <w:rsid w:val="00B0555C"/>
    <w:rsid w:val="00B058A3"/>
    <w:rsid w:val="00B079EE"/>
    <w:rsid w:val="00B158F4"/>
    <w:rsid w:val="00B160C6"/>
    <w:rsid w:val="00B204D4"/>
    <w:rsid w:val="00B20C23"/>
    <w:rsid w:val="00B40EC4"/>
    <w:rsid w:val="00B4744C"/>
    <w:rsid w:val="00B5001C"/>
    <w:rsid w:val="00B571CC"/>
    <w:rsid w:val="00B63E3E"/>
    <w:rsid w:val="00B73258"/>
    <w:rsid w:val="00B76E97"/>
    <w:rsid w:val="00B81BDF"/>
    <w:rsid w:val="00B86D0D"/>
    <w:rsid w:val="00BA1404"/>
    <w:rsid w:val="00BB325E"/>
    <w:rsid w:val="00BB39A5"/>
    <w:rsid w:val="00BB3B30"/>
    <w:rsid w:val="00BC0381"/>
    <w:rsid w:val="00BC14C8"/>
    <w:rsid w:val="00BC2865"/>
    <w:rsid w:val="00BC5AA9"/>
    <w:rsid w:val="00BD0F87"/>
    <w:rsid w:val="00BD109A"/>
    <w:rsid w:val="00BD3D51"/>
    <w:rsid w:val="00BE6C6A"/>
    <w:rsid w:val="00BF2702"/>
    <w:rsid w:val="00BF301E"/>
    <w:rsid w:val="00C15090"/>
    <w:rsid w:val="00C20548"/>
    <w:rsid w:val="00C31238"/>
    <w:rsid w:val="00C31476"/>
    <w:rsid w:val="00C3206B"/>
    <w:rsid w:val="00C34590"/>
    <w:rsid w:val="00C35C66"/>
    <w:rsid w:val="00C50194"/>
    <w:rsid w:val="00C54708"/>
    <w:rsid w:val="00C63818"/>
    <w:rsid w:val="00C70D97"/>
    <w:rsid w:val="00C831A7"/>
    <w:rsid w:val="00C94669"/>
    <w:rsid w:val="00CA0240"/>
    <w:rsid w:val="00CA1971"/>
    <w:rsid w:val="00CB243C"/>
    <w:rsid w:val="00CC0989"/>
    <w:rsid w:val="00CC6D31"/>
    <w:rsid w:val="00CD02C0"/>
    <w:rsid w:val="00CD0348"/>
    <w:rsid w:val="00CD0422"/>
    <w:rsid w:val="00CE385D"/>
    <w:rsid w:val="00CE505D"/>
    <w:rsid w:val="00CE5586"/>
    <w:rsid w:val="00D041B8"/>
    <w:rsid w:val="00D0536F"/>
    <w:rsid w:val="00D11E42"/>
    <w:rsid w:val="00D12F08"/>
    <w:rsid w:val="00D13F0F"/>
    <w:rsid w:val="00D155E9"/>
    <w:rsid w:val="00D30095"/>
    <w:rsid w:val="00D34BA4"/>
    <w:rsid w:val="00D34F4A"/>
    <w:rsid w:val="00D4231A"/>
    <w:rsid w:val="00D427C3"/>
    <w:rsid w:val="00D44B2C"/>
    <w:rsid w:val="00D536C7"/>
    <w:rsid w:val="00D544F1"/>
    <w:rsid w:val="00D578AE"/>
    <w:rsid w:val="00D621B3"/>
    <w:rsid w:val="00D64126"/>
    <w:rsid w:val="00D87033"/>
    <w:rsid w:val="00D87F37"/>
    <w:rsid w:val="00D9715A"/>
    <w:rsid w:val="00DA6A53"/>
    <w:rsid w:val="00DB3BF6"/>
    <w:rsid w:val="00DC13A9"/>
    <w:rsid w:val="00DC1A31"/>
    <w:rsid w:val="00DD073A"/>
    <w:rsid w:val="00E0240C"/>
    <w:rsid w:val="00E039C7"/>
    <w:rsid w:val="00E03ED2"/>
    <w:rsid w:val="00E05882"/>
    <w:rsid w:val="00E13A80"/>
    <w:rsid w:val="00E228DB"/>
    <w:rsid w:val="00E34B1C"/>
    <w:rsid w:val="00E371F7"/>
    <w:rsid w:val="00E46C01"/>
    <w:rsid w:val="00E517DE"/>
    <w:rsid w:val="00E74B04"/>
    <w:rsid w:val="00E763D5"/>
    <w:rsid w:val="00E82EFA"/>
    <w:rsid w:val="00E849DA"/>
    <w:rsid w:val="00E91B46"/>
    <w:rsid w:val="00E95970"/>
    <w:rsid w:val="00E96C8C"/>
    <w:rsid w:val="00EA236B"/>
    <w:rsid w:val="00EA5818"/>
    <w:rsid w:val="00EA6004"/>
    <w:rsid w:val="00EB1B47"/>
    <w:rsid w:val="00EB3DEB"/>
    <w:rsid w:val="00EC20AE"/>
    <w:rsid w:val="00EC2F5C"/>
    <w:rsid w:val="00EC5372"/>
    <w:rsid w:val="00ED5C32"/>
    <w:rsid w:val="00EE5EE1"/>
    <w:rsid w:val="00EF1F54"/>
    <w:rsid w:val="00EF265E"/>
    <w:rsid w:val="00EF3795"/>
    <w:rsid w:val="00EF565C"/>
    <w:rsid w:val="00F1169F"/>
    <w:rsid w:val="00F37420"/>
    <w:rsid w:val="00F513F6"/>
    <w:rsid w:val="00F55FA8"/>
    <w:rsid w:val="00F7430D"/>
    <w:rsid w:val="00F846F7"/>
    <w:rsid w:val="00F91C2A"/>
    <w:rsid w:val="00F94E27"/>
    <w:rsid w:val="00F950C9"/>
    <w:rsid w:val="00FA08BB"/>
    <w:rsid w:val="00FA2E1B"/>
    <w:rsid w:val="00FA7FF9"/>
    <w:rsid w:val="00FB07D1"/>
    <w:rsid w:val="00FB46C5"/>
    <w:rsid w:val="00FD4BA3"/>
    <w:rsid w:val="00FE102C"/>
    <w:rsid w:val="00FE657B"/>
    <w:rsid w:val="00FF0F94"/>
    <w:rsid w:val="00FF2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0F5BA"/>
  <w15:chartTrackingRefBased/>
  <w15:docId w15:val="{E6F7D015-B75C-334D-9C5F-E9C65F31E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9B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29B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7037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20785"/>
  </w:style>
  <w:style w:type="character" w:customStyle="1" w:styleId="exs">
    <w:name w:val="exs"/>
    <w:basedOn w:val="DefaultParagraphFont"/>
    <w:rsid w:val="00820785"/>
  </w:style>
  <w:style w:type="character" w:customStyle="1" w:styleId="hy">
    <w:name w:val="hy"/>
    <w:basedOn w:val="DefaultParagraphFont"/>
    <w:rsid w:val="00820785"/>
  </w:style>
  <w:style w:type="paragraph" w:styleId="ListParagraph">
    <w:name w:val="List Paragraph"/>
    <w:basedOn w:val="Normal"/>
    <w:uiPriority w:val="34"/>
    <w:qFormat/>
    <w:rsid w:val="00820785"/>
    <w:pPr>
      <w:ind w:left="720"/>
      <w:contextualSpacing/>
    </w:pPr>
    <w:rPr>
      <w:kern w:val="0"/>
      <w14:ligatures w14:val="none"/>
    </w:rPr>
  </w:style>
  <w:style w:type="character" w:styleId="Hyperlink">
    <w:name w:val="Hyperlink"/>
    <w:basedOn w:val="DefaultParagraphFont"/>
    <w:uiPriority w:val="99"/>
    <w:unhideWhenUsed/>
    <w:rsid w:val="008E1570"/>
    <w:rPr>
      <w:color w:val="0000FF"/>
      <w:u w:val="single"/>
    </w:rPr>
  </w:style>
  <w:style w:type="paragraph" w:styleId="FootnoteText">
    <w:name w:val="footnote text"/>
    <w:basedOn w:val="Normal"/>
    <w:link w:val="FootnoteTextChar"/>
    <w:uiPriority w:val="99"/>
    <w:semiHidden/>
    <w:unhideWhenUsed/>
    <w:rsid w:val="00CA1971"/>
    <w:rPr>
      <w:sz w:val="20"/>
      <w:szCs w:val="20"/>
    </w:rPr>
  </w:style>
  <w:style w:type="character" w:customStyle="1" w:styleId="FootnoteTextChar">
    <w:name w:val="Footnote Text Char"/>
    <w:basedOn w:val="DefaultParagraphFont"/>
    <w:link w:val="FootnoteText"/>
    <w:uiPriority w:val="99"/>
    <w:semiHidden/>
    <w:rsid w:val="00CA1971"/>
    <w:rPr>
      <w:sz w:val="20"/>
      <w:szCs w:val="20"/>
    </w:rPr>
  </w:style>
  <w:style w:type="character" w:styleId="FootnoteReference">
    <w:name w:val="footnote reference"/>
    <w:basedOn w:val="DefaultParagraphFont"/>
    <w:uiPriority w:val="99"/>
    <w:semiHidden/>
    <w:unhideWhenUsed/>
    <w:rsid w:val="00CA1971"/>
    <w:rPr>
      <w:vertAlign w:val="superscript"/>
    </w:rPr>
  </w:style>
  <w:style w:type="character" w:styleId="UnresolvedMention">
    <w:name w:val="Unresolved Mention"/>
    <w:basedOn w:val="DefaultParagraphFont"/>
    <w:uiPriority w:val="99"/>
    <w:semiHidden/>
    <w:unhideWhenUsed/>
    <w:rsid w:val="001E5199"/>
    <w:rPr>
      <w:color w:val="605E5C"/>
      <w:shd w:val="clear" w:color="auto" w:fill="E1DFDD"/>
    </w:rPr>
  </w:style>
  <w:style w:type="paragraph" w:styleId="NoSpacing">
    <w:name w:val="No Spacing"/>
    <w:link w:val="NoSpacingChar"/>
    <w:uiPriority w:val="1"/>
    <w:qFormat/>
    <w:rsid w:val="00EA236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A236B"/>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B02513"/>
    <w:pPr>
      <w:tabs>
        <w:tab w:val="center" w:pos="4513"/>
        <w:tab w:val="right" w:pos="9026"/>
      </w:tabs>
    </w:pPr>
  </w:style>
  <w:style w:type="character" w:customStyle="1" w:styleId="FooterChar">
    <w:name w:val="Footer Char"/>
    <w:basedOn w:val="DefaultParagraphFont"/>
    <w:link w:val="Footer"/>
    <w:uiPriority w:val="99"/>
    <w:rsid w:val="00B02513"/>
  </w:style>
  <w:style w:type="character" w:styleId="PageNumber">
    <w:name w:val="page number"/>
    <w:basedOn w:val="DefaultParagraphFont"/>
    <w:uiPriority w:val="99"/>
    <w:semiHidden/>
    <w:unhideWhenUsed/>
    <w:rsid w:val="00B02513"/>
  </w:style>
  <w:style w:type="paragraph" w:styleId="Header">
    <w:name w:val="header"/>
    <w:basedOn w:val="Normal"/>
    <w:link w:val="HeaderChar"/>
    <w:uiPriority w:val="99"/>
    <w:unhideWhenUsed/>
    <w:rsid w:val="00B02513"/>
    <w:pPr>
      <w:tabs>
        <w:tab w:val="center" w:pos="4513"/>
        <w:tab w:val="right" w:pos="9026"/>
      </w:tabs>
    </w:pPr>
  </w:style>
  <w:style w:type="character" w:customStyle="1" w:styleId="HeaderChar">
    <w:name w:val="Header Char"/>
    <w:basedOn w:val="DefaultParagraphFont"/>
    <w:link w:val="Header"/>
    <w:uiPriority w:val="99"/>
    <w:rsid w:val="00B02513"/>
  </w:style>
  <w:style w:type="character" w:customStyle="1" w:styleId="Heading1Char">
    <w:name w:val="Heading 1 Char"/>
    <w:basedOn w:val="DefaultParagraphFont"/>
    <w:link w:val="Heading1"/>
    <w:uiPriority w:val="9"/>
    <w:rsid w:val="000329BA"/>
    <w:rPr>
      <w:rFonts w:asciiTheme="majorHAnsi" w:eastAsiaTheme="majorEastAsia" w:hAnsiTheme="majorHAnsi" w:cstheme="majorBidi"/>
      <w:color w:val="2F5496" w:themeColor="accent1" w:themeShade="BF"/>
      <w:sz w:val="32"/>
      <w:szCs w:val="32"/>
    </w:rPr>
  </w:style>
  <w:style w:type="paragraph" w:styleId="TableofFigures">
    <w:name w:val="table of figures"/>
    <w:basedOn w:val="Normal"/>
    <w:next w:val="Normal"/>
    <w:uiPriority w:val="99"/>
    <w:unhideWhenUsed/>
    <w:rsid w:val="000329BA"/>
    <w:pPr>
      <w:ind w:left="480" w:hanging="480"/>
    </w:pPr>
    <w:rPr>
      <w:rFonts w:cstheme="minorHAnsi"/>
      <w:smallCaps/>
      <w:sz w:val="20"/>
      <w:szCs w:val="20"/>
    </w:rPr>
  </w:style>
  <w:style w:type="paragraph" w:styleId="TOCHeading">
    <w:name w:val="TOC Heading"/>
    <w:basedOn w:val="Heading1"/>
    <w:next w:val="Normal"/>
    <w:uiPriority w:val="39"/>
    <w:unhideWhenUsed/>
    <w:qFormat/>
    <w:rsid w:val="000329BA"/>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329BA"/>
    <w:pPr>
      <w:spacing w:before="120" w:after="120"/>
    </w:pPr>
    <w:rPr>
      <w:rFonts w:cstheme="minorHAnsi"/>
      <w:b/>
      <w:bCs/>
      <w:caps/>
      <w:sz w:val="20"/>
      <w:szCs w:val="20"/>
    </w:rPr>
  </w:style>
  <w:style w:type="paragraph" w:styleId="TOC2">
    <w:name w:val="toc 2"/>
    <w:basedOn w:val="Normal"/>
    <w:next w:val="Normal"/>
    <w:autoRedefine/>
    <w:uiPriority w:val="39"/>
    <w:unhideWhenUsed/>
    <w:rsid w:val="000329BA"/>
    <w:pPr>
      <w:ind w:left="240"/>
    </w:pPr>
    <w:rPr>
      <w:rFonts w:cstheme="minorHAnsi"/>
      <w:smallCaps/>
      <w:sz w:val="20"/>
      <w:szCs w:val="20"/>
    </w:rPr>
  </w:style>
  <w:style w:type="paragraph" w:styleId="TOC3">
    <w:name w:val="toc 3"/>
    <w:basedOn w:val="Normal"/>
    <w:next w:val="Normal"/>
    <w:autoRedefine/>
    <w:uiPriority w:val="39"/>
    <w:semiHidden/>
    <w:unhideWhenUsed/>
    <w:rsid w:val="000329BA"/>
    <w:pPr>
      <w:ind w:left="480"/>
    </w:pPr>
    <w:rPr>
      <w:rFonts w:cstheme="minorHAnsi"/>
      <w:i/>
      <w:iCs/>
      <w:sz w:val="20"/>
      <w:szCs w:val="20"/>
    </w:rPr>
  </w:style>
  <w:style w:type="paragraph" w:styleId="TOC4">
    <w:name w:val="toc 4"/>
    <w:basedOn w:val="Normal"/>
    <w:next w:val="Normal"/>
    <w:autoRedefine/>
    <w:uiPriority w:val="39"/>
    <w:semiHidden/>
    <w:unhideWhenUsed/>
    <w:rsid w:val="000329BA"/>
    <w:pPr>
      <w:ind w:left="720"/>
    </w:pPr>
    <w:rPr>
      <w:rFonts w:cstheme="minorHAnsi"/>
      <w:sz w:val="18"/>
      <w:szCs w:val="18"/>
    </w:rPr>
  </w:style>
  <w:style w:type="paragraph" w:styleId="TOC5">
    <w:name w:val="toc 5"/>
    <w:basedOn w:val="Normal"/>
    <w:next w:val="Normal"/>
    <w:autoRedefine/>
    <w:uiPriority w:val="39"/>
    <w:semiHidden/>
    <w:unhideWhenUsed/>
    <w:rsid w:val="000329BA"/>
    <w:pPr>
      <w:ind w:left="960"/>
    </w:pPr>
    <w:rPr>
      <w:rFonts w:cstheme="minorHAnsi"/>
      <w:sz w:val="18"/>
      <w:szCs w:val="18"/>
    </w:rPr>
  </w:style>
  <w:style w:type="paragraph" w:styleId="TOC6">
    <w:name w:val="toc 6"/>
    <w:basedOn w:val="Normal"/>
    <w:next w:val="Normal"/>
    <w:autoRedefine/>
    <w:uiPriority w:val="39"/>
    <w:semiHidden/>
    <w:unhideWhenUsed/>
    <w:rsid w:val="000329BA"/>
    <w:pPr>
      <w:ind w:left="1200"/>
    </w:pPr>
    <w:rPr>
      <w:rFonts w:cstheme="minorHAnsi"/>
      <w:sz w:val="18"/>
      <w:szCs w:val="18"/>
    </w:rPr>
  </w:style>
  <w:style w:type="paragraph" w:styleId="TOC7">
    <w:name w:val="toc 7"/>
    <w:basedOn w:val="Normal"/>
    <w:next w:val="Normal"/>
    <w:autoRedefine/>
    <w:uiPriority w:val="39"/>
    <w:semiHidden/>
    <w:unhideWhenUsed/>
    <w:rsid w:val="000329BA"/>
    <w:pPr>
      <w:ind w:left="1440"/>
    </w:pPr>
    <w:rPr>
      <w:rFonts w:cstheme="minorHAnsi"/>
      <w:sz w:val="18"/>
      <w:szCs w:val="18"/>
    </w:rPr>
  </w:style>
  <w:style w:type="paragraph" w:styleId="TOC8">
    <w:name w:val="toc 8"/>
    <w:basedOn w:val="Normal"/>
    <w:next w:val="Normal"/>
    <w:autoRedefine/>
    <w:uiPriority w:val="39"/>
    <w:semiHidden/>
    <w:unhideWhenUsed/>
    <w:rsid w:val="000329BA"/>
    <w:pPr>
      <w:ind w:left="1680"/>
    </w:pPr>
    <w:rPr>
      <w:rFonts w:cstheme="minorHAnsi"/>
      <w:sz w:val="18"/>
      <w:szCs w:val="18"/>
    </w:rPr>
  </w:style>
  <w:style w:type="paragraph" w:styleId="TOC9">
    <w:name w:val="toc 9"/>
    <w:basedOn w:val="Normal"/>
    <w:next w:val="Normal"/>
    <w:autoRedefine/>
    <w:uiPriority w:val="39"/>
    <w:semiHidden/>
    <w:unhideWhenUsed/>
    <w:rsid w:val="000329BA"/>
    <w:pPr>
      <w:ind w:left="1920"/>
    </w:pPr>
    <w:rPr>
      <w:rFonts w:cstheme="minorHAnsi"/>
      <w:sz w:val="18"/>
      <w:szCs w:val="18"/>
    </w:rPr>
  </w:style>
  <w:style w:type="character" w:customStyle="1" w:styleId="Heading2Char">
    <w:name w:val="Heading 2 Char"/>
    <w:basedOn w:val="DefaultParagraphFont"/>
    <w:link w:val="Heading2"/>
    <w:uiPriority w:val="9"/>
    <w:rsid w:val="000329BA"/>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8536B2"/>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hyperlink" Target="https://www.ibef.org/blogs/india-emerging-as-a-medical-tourism" TargetMode="External"/><Relationship Id="rId3" Type="http://schemas.openxmlformats.org/officeDocument/2006/relationships/numbering" Target="numbering.xml"/><Relationship Id="rId21" Type="http://schemas.openxmlformats.org/officeDocument/2006/relationships/hyperlink" Target="https://doi.org/10.1093/oxrep/grab006" TargetMode="Externa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5.emf"/><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doi.org/10.1097/sla.0b013e31818a43a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3.jpeg"/><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doi.org/10.29119/1641-3466.2020.143.19"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file:////Users/irie/Library/Group%2520Containers/UBF8T346G9.ms/WebArchiveCopyPasteTempFiles/com.microsoft.Word/9kAAAAASUVORK5CYII="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Doctor of Business Administration (UWTSD)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079E97-91E1-0942-BA04-F07CAF7D1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40</Pages>
  <Words>12968</Words>
  <Characters>73924</Characters>
  <Application>Microsoft Office Word</Application>
  <DocSecurity>0</DocSecurity>
  <Lines>616</Lines>
  <Paragraphs>173</Paragraphs>
  <ScaleCrop>false</ScaleCrop>
  <HeadingPairs>
    <vt:vector size="2" baseType="variant">
      <vt:variant>
        <vt:lpstr>Title</vt:lpstr>
      </vt:variant>
      <vt:variant>
        <vt:i4>1</vt:i4>
      </vt:variant>
    </vt:vector>
  </HeadingPairs>
  <TitlesOfParts>
    <vt:vector size="1" baseType="lpstr">
      <vt:lpstr/>
    </vt:vector>
  </TitlesOfParts>
  <Company>Module Lecturer: Dr Emma Roberts</Company>
  <LinksUpToDate>false</LinksUpToDate>
  <CharactersWithSpaces>86719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Module code: LCDB7008</dc:subject>
  <dc:creator>Rohan St Lawrence Dubrey (1905715)</dc:creator>
  <cp:lastModifiedBy>Rohan Dubrey (1905715)</cp:lastModifiedBy>
  <cp:revision>2</cp:revision>
  <dcterms:created xsi:type="dcterms:W3CDTF">2023-02-07T14:16:00Z</dcterms:created>
  <dcterms:modified xsi:type="dcterms:W3CDTF">2023-02-07T14:16:00Z</dcterms:modified>
</cp:coreProperties>
</file>