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B80BE1B" wp14:paraId="02559F04" wp14:textId="2143D018">
      <w:pPr>
        <w:bidi w:val="0"/>
        <w:rPr>
          <w:rFonts w:ascii="Calibri" w:hAnsi="Calibri" w:eastAsia="Calibri" w:cs="Calibri"/>
        </w:rPr>
      </w:pPr>
      <w:r w:rsidRPr="2B80BE1B" w:rsidR="0FB5233F">
        <w:rPr>
          <w:rFonts w:ascii="Calibri" w:hAnsi="Calibri" w:eastAsia="Calibri" w:cs="Calibri"/>
        </w:rPr>
        <w:t>Ai declaration:</w:t>
      </w:r>
    </w:p>
    <w:tbl>
      <w:tblPr>
        <w:tblStyle w:val="TableNormal"/>
        <w:bidiVisual w:val="0"/>
        <w:tblW w:w="0" w:type="auto"/>
        <w:tblLook w:val="06A0" w:firstRow="1" w:lastRow="0" w:firstColumn="1" w:lastColumn="0" w:noHBand="1" w:noVBand="1"/>
      </w:tblPr>
      <w:tblGrid>
        <w:gridCol w:w="1260"/>
        <w:gridCol w:w="7545"/>
        <w:gridCol w:w="855"/>
      </w:tblGrid>
      <w:tr w:rsidR="2B80BE1B" w:rsidTr="2B80BE1B" w14:paraId="5E5A4CC5">
        <w:trPr>
          <w:trHeight w:val="3270"/>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14894347" w14:textId="1BE21AF8">
            <w:pPr>
              <w:spacing w:before="240" w:beforeAutospacing="off" w:after="240" w:afterAutospacing="off"/>
            </w:pPr>
            <w:r w:rsidRPr="2B80BE1B" w:rsidR="2B80BE1B">
              <w:rPr>
                <w:rFonts w:ascii="Arial" w:hAnsi="Arial" w:eastAsia="Arial" w:cs="Arial"/>
                <w:color w:val="000000" w:themeColor="text1" w:themeTint="FF" w:themeShade="FF"/>
                <w:sz w:val="16"/>
                <w:szCs w:val="16"/>
              </w:rPr>
              <w:t>RESEARCH</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2B7A60E2" w14:textId="7A09EC14">
            <w:pPr>
              <w:spacing w:before="240" w:beforeAutospacing="off" w:after="240" w:afterAutospacing="off"/>
            </w:pPr>
            <w:r w:rsidRPr="2B80BE1B" w:rsidR="2B80BE1B">
              <w:rPr>
                <w:rFonts w:ascii="Arial" w:hAnsi="Arial" w:eastAsia="Arial" w:cs="Arial"/>
                <w:color w:val="000000" w:themeColor="text1" w:themeTint="FF" w:themeShade="FF"/>
                <w:sz w:val="16"/>
                <w:szCs w:val="16"/>
              </w:rPr>
              <w:t>For this assessment, you can use Generative AI to support you in research, including searching for bibliography, using tools to summarise, compare and interrogate materials.</w:t>
            </w:r>
          </w:p>
          <w:p w:rsidR="2B80BE1B" w:rsidP="2B80BE1B" w:rsidRDefault="2B80BE1B" w14:paraId="0711BD31" w14:textId="666E000F">
            <w:pPr>
              <w:spacing w:before="165" w:beforeAutospacing="off" w:after="165" w:afterAutospacing="off"/>
            </w:pPr>
          </w:p>
          <w:p w:rsidR="2B80BE1B" w:rsidP="2B80BE1B" w:rsidRDefault="2B80BE1B" w14:paraId="6993856E" w14:textId="01DFA65E">
            <w:pPr>
              <w:spacing w:before="240" w:beforeAutospacing="off" w:after="240" w:afterAutospacing="off"/>
            </w:pPr>
            <w:r w:rsidRPr="2B80BE1B" w:rsidR="2B80BE1B">
              <w:rPr>
                <w:rFonts w:ascii="Arial" w:hAnsi="Arial" w:eastAsia="Arial" w:cs="Arial"/>
                <w:i w:val="1"/>
                <w:iCs w:val="1"/>
                <w:color w:val="64822E"/>
                <w:sz w:val="16"/>
                <w:szCs w:val="16"/>
              </w:rPr>
              <w:t>Guidance specific to this assignment:</w:t>
            </w:r>
          </w:p>
          <w:p w:rsidR="2B80BE1B" w:rsidP="2B80BE1B" w:rsidRDefault="2B80BE1B" w14:paraId="083CC314" w14:textId="59C719A2">
            <w:pPr>
              <w:spacing w:before="165" w:beforeAutospacing="off" w:after="165" w:afterAutospacing="off"/>
            </w:pPr>
          </w:p>
          <w:p w:rsidR="2B80BE1B" w:rsidP="2B80BE1B" w:rsidRDefault="2B80BE1B" w14:paraId="1E9CA3CC" w14:textId="4FFE4F4C">
            <w:pPr>
              <w:spacing w:before="240" w:beforeAutospacing="off" w:after="240" w:afterAutospacing="off"/>
            </w:pPr>
            <w:r w:rsidRPr="2B80BE1B" w:rsidR="2B80BE1B">
              <w:rPr>
                <w:rFonts w:ascii="Arial" w:hAnsi="Arial" w:eastAsia="Arial" w:cs="Arial"/>
                <w:i w:val="1"/>
                <w:iCs w:val="1"/>
                <w:color w:val="64822E"/>
                <w:sz w:val="16"/>
                <w:szCs w:val="16"/>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2B80BE1B" w:rsidR="2B80BE1B">
              <w:rPr>
                <w:rFonts w:ascii="Arial" w:hAnsi="Arial" w:eastAsia="Arial" w:cs="Arial"/>
                <w:b w:val="1"/>
                <w:bCs w:val="1"/>
                <w:i w:val="1"/>
                <w:iCs w:val="1"/>
                <w:color w:val="64822E"/>
                <w:sz w:val="16"/>
                <w:szCs w:val="16"/>
              </w:rPr>
              <w:t>cannot and must</w:t>
            </w:r>
            <w:r w:rsidRPr="2B80BE1B" w:rsidR="2B80BE1B">
              <w:rPr>
                <w:rFonts w:ascii="Arial" w:hAnsi="Arial" w:eastAsia="Arial" w:cs="Arial"/>
                <w:i w:val="1"/>
                <w:iCs w:val="1"/>
                <w:color w:val="64822E"/>
                <w:sz w:val="16"/>
                <w:szCs w:val="16"/>
              </w:rPr>
              <w:t xml:space="preserve"> not simply prompt an AI tool to deliver you with the relevant research on a subject, and include this material in your work.</w:t>
            </w:r>
          </w:p>
          <w:p w:rsidR="2B80BE1B" w:rsidP="2B80BE1B" w:rsidRDefault="2B80BE1B" w14:paraId="468232DE" w14:textId="173FF0AE">
            <w:pPr>
              <w:spacing w:before="165" w:beforeAutospacing="off" w:after="165" w:afterAutospacing="off"/>
            </w:pPr>
          </w:p>
          <w:p w:rsidR="2B80BE1B" w:rsidP="2B80BE1B" w:rsidRDefault="2B80BE1B" w14:paraId="47441C94" w14:textId="04129DC9">
            <w:pPr>
              <w:spacing w:before="240" w:beforeAutospacing="off" w:after="240" w:afterAutospacing="off"/>
            </w:pP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3C6971C8" w14:textId="5A041C5C">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43633C17" w14:textId="3F4867A5">
            <w:pPr>
              <w:spacing w:before="165" w:beforeAutospacing="off" w:after="165" w:afterAutospacing="off"/>
            </w:pPr>
          </w:p>
          <w:p w:rsidR="2B80BE1B" w:rsidP="2B80BE1B" w:rsidRDefault="2B80BE1B" w14:paraId="096A4794" w14:textId="453EFECB">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r w:rsidR="2B80BE1B" w:rsidTr="2B80BE1B" w14:paraId="601649AC">
        <w:trPr>
          <w:trHeight w:val="2865"/>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434A985E" w14:textId="4E6840BA">
            <w:pPr>
              <w:spacing w:before="240" w:beforeAutospacing="off" w:after="240" w:afterAutospacing="off"/>
            </w:pPr>
            <w:r w:rsidRPr="2B80BE1B" w:rsidR="2B80BE1B">
              <w:rPr>
                <w:rFonts w:ascii="Arial" w:hAnsi="Arial" w:eastAsia="Arial" w:cs="Arial"/>
                <w:color w:val="000000" w:themeColor="text1" w:themeTint="FF" w:themeShade="FF"/>
                <w:sz w:val="16"/>
                <w:szCs w:val="16"/>
              </w:rPr>
              <w:t>STRUCTURE</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37CCE955" w14:textId="590B95E1">
            <w:pPr>
              <w:spacing w:before="240" w:beforeAutospacing="off" w:after="240" w:afterAutospacing="off"/>
            </w:pPr>
            <w:r w:rsidRPr="2B80BE1B" w:rsidR="2B80BE1B">
              <w:rPr>
                <w:rFonts w:ascii="Arial" w:hAnsi="Arial" w:eastAsia="Arial" w:cs="Arial"/>
                <w:color w:val="000000" w:themeColor="text1" w:themeTint="FF" w:themeShade="FF"/>
                <w:sz w:val="16"/>
                <w:szCs w:val="16"/>
              </w:rPr>
              <w:t>For this assessment, you can use Generative AI to support you in structuring your submission, including creating a draft argument structure, identifying parts and headings, etc.</w:t>
            </w:r>
          </w:p>
          <w:p w:rsidR="2B80BE1B" w:rsidP="2B80BE1B" w:rsidRDefault="2B80BE1B" w14:paraId="10C56114" w14:textId="47B4BD14">
            <w:pPr>
              <w:spacing w:before="165" w:beforeAutospacing="off" w:after="165" w:afterAutospacing="off"/>
            </w:pPr>
          </w:p>
          <w:p w:rsidR="2B80BE1B" w:rsidP="2B80BE1B" w:rsidRDefault="2B80BE1B" w14:paraId="1BCB4CBD" w14:textId="11CC7A6F">
            <w:pPr>
              <w:spacing w:before="240" w:beforeAutospacing="off" w:after="240" w:afterAutospacing="off"/>
            </w:pPr>
            <w:r w:rsidRPr="2B80BE1B" w:rsidR="2B80BE1B">
              <w:rPr>
                <w:rFonts w:ascii="Arial" w:hAnsi="Arial" w:eastAsia="Arial" w:cs="Arial"/>
                <w:i w:val="1"/>
                <w:iCs w:val="1"/>
                <w:color w:val="64822E"/>
                <w:sz w:val="16"/>
                <w:szCs w:val="16"/>
              </w:rPr>
              <w:t>Guidance specific to this assignment:</w:t>
            </w:r>
          </w:p>
          <w:p w:rsidR="2B80BE1B" w:rsidP="2B80BE1B" w:rsidRDefault="2B80BE1B" w14:paraId="581F89F5" w14:textId="0D6676A2">
            <w:pPr>
              <w:spacing w:before="165" w:beforeAutospacing="off" w:after="165" w:afterAutospacing="off"/>
            </w:pPr>
          </w:p>
          <w:p w:rsidR="2B80BE1B" w:rsidP="2B80BE1B" w:rsidRDefault="2B80BE1B" w14:paraId="51BF43F0" w14:textId="43188CA2">
            <w:pPr>
              <w:spacing w:before="240" w:beforeAutospacing="off" w:after="240" w:afterAutospacing="off"/>
            </w:pPr>
            <w:r w:rsidRPr="2B80BE1B" w:rsidR="2B80BE1B">
              <w:rPr>
                <w:rFonts w:ascii="Arial" w:hAnsi="Arial" w:eastAsia="Arial" w:cs="Arial"/>
                <w:i w:val="1"/>
                <w:iCs w:val="1"/>
                <w:color w:val="64822E"/>
                <w:sz w:val="16"/>
                <w:szCs w:val="16"/>
              </w:rPr>
              <w:t>You are permitted to use generative AI to create the outline structure only for your assignment, e.g. headings.  You cannot and must not simply prompt an AI tool to write on the topic of your assignment.</w:t>
            </w:r>
          </w:p>
          <w:p w:rsidR="2B80BE1B" w:rsidP="2B80BE1B" w:rsidRDefault="2B80BE1B" w14:paraId="6D517FCC" w14:textId="4E22C513">
            <w:pPr>
              <w:spacing w:before="150" w:beforeAutospacing="off" w:after="150" w:afterAutospacing="off"/>
            </w:pPr>
          </w:p>
          <w:p w:rsidR="2B80BE1B" w:rsidP="2B80BE1B" w:rsidRDefault="2B80BE1B" w14:paraId="593B19C9" w14:textId="0F351EEF">
            <w:pPr>
              <w:spacing w:before="165" w:beforeAutospacing="off" w:after="165" w:afterAutospacing="off"/>
            </w:pPr>
          </w:p>
          <w:p w:rsidR="2B80BE1B" w:rsidP="2B80BE1B" w:rsidRDefault="2B80BE1B" w14:paraId="4B16359F" w14:textId="768A0C6F">
            <w:pPr>
              <w:spacing w:before="165" w:beforeAutospacing="off" w:after="165" w:afterAutospacing="off"/>
            </w:pPr>
          </w:p>
          <w:p w:rsidR="2B80BE1B" w:rsidP="2B80BE1B" w:rsidRDefault="2B80BE1B" w14:paraId="640E044E" w14:textId="1341CE81">
            <w:pPr>
              <w:spacing w:before="240" w:beforeAutospacing="off" w:after="240" w:afterAutospacing="off"/>
            </w:pP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4A78A1DB" w14:textId="55FF02FD">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53AC48DE" w14:textId="723F102D">
            <w:pPr>
              <w:spacing w:before="165" w:beforeAutospacing="off" w:after="165" w:afterAutospacing="off"/>
            </w:pPr>
          </w:p>
          <w:p w:rsidR="2B80BE1B" w:rsidP="2B80BE1B" w:rsidRDefault="2B80BE1B" w14:paraId="2362353D" w14:textId="481C8140">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r w:rsidR="2B80BE1B" w:rsidTr="2B80BE1B" w14:paraId="25610922">
        <w:trPr>
          <w:trHeight w:val="2685"/>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45B8FBDF" w14:textId="747CD38E">
            <w:pPr>
              <w:spacing w:before="240" w:beforeAutospacing="off" w:after="240" w:afterAutospacing="off"/>
            </w:pPr>
            <w:r w:rsidRPr="2B80BE1B" w:rsidR="2B80BE1B">
              <w:rPr>
                <w:rFonts w:ascii="Arial" w:hAnsi="Arial" w:eastAsia="Arial" w:cs="Arial"/>
                <w:color w:val="000000" w:themeColor="text1" w:themeTint="FF" w:themeShade="FF"/>
                <w:sz w:val="16"/>
                <w:szCs w:val="16"/>
              </w:rPr>
              <w:t>PROOFREADING</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3289F57F" w14:textId="26981B8D">
            <w:pPr>
              <w:spacing w:before="240" w:beforeAutospacing="off" w:after="240" w:afterAutospacing="off"/>
            </w:pPr>
            <w:r w:rsidRPr="2B80BE1B" w:rsidR="2B80BE1B">
              <w:rPr>
                <w:rFonts w:ascii="Arial" w:hAnsi="Arial" w:eastAsia="Arial" w:cs="Arial"/>
                <w:color w:val="000000" w:themeColor="text1" w:themeTint="FF" w:themeShade="FF"/>
                <w:sz w:val="16"/>
                <w:szCs w:val="16"/>
              </w:rPr>
              <w:t>For this assessment, you can use Generative AI to check your own text/creation for grammatical and syntactical mistakes, including rephrasing of your own work within specific standards.</w:t>
            </w:r>
          </w:p>
          <w:p w:rsidR="2B80BE1B" w:rsidP="2B80BE1B" w:rsidRDefault="2B80BE1B" w14:paraId="5AF0E85D" w14:textId="090BD357">
            <w:pPr>
              <w:spacing w:before="240" w:beforeAutospacing="off" w:after="240" w:afterAutospacing="off"/>
            </w:pPr>
            <w:r w:rsidRPr="2B80BE1B" w:rsidR="2B80BE1B">
              <w:rPr>
                <w:rFonts w:ascii="Arial" w:hAnsi="Arial" w:eastAsia="Arial" w:cs="Arial"/>
                <w:i w:val="1"/>
                <w:iCs w:val="1"/>
                <w:color w:val="64822E"/>
                <w:sz w:val="16"/>
                <w:szCs w:val="16"/>
              </w:rPr>
              <w:t xml:space="preserve">Guidance specific to this assignment: </w:t>
            </w:r>
          </w:p>
          <w:p w:rsidR="2B80BE1B" w:rsidP="2B80BE1B" w:rsidRDefault="2B80BE1B" w14:paraId="50EC64AF" w14:textId="5C0D0F19">
            <w:pPr>
              <w:spacing w:before="165" w:beforeAutospacing="off" w:after="165" w:afterAutospacing="off"/>
            </w:pPr>
          </w:p>
          <w:p w:rsidR="2B80BE1B" w:rsidP="2B80BE1B" w:rsidRDefault="2B80BE1B" w14:paraId="441C325D" w14:textId="56E47569">
            <w:pPr>
              <w:spacing w:before="240" w:beforeAutospacing="off" w:after="240" w:afterAutospacing="off"/>
            </w:pPr>
            <w:r w:rsidRPr="2B80BE1B" w:rsidR="2B80BE1B">
              <w:rPr>
                <w:rFonts w:ascii="Arial" w:hAnsi="Arial" w:eastAsia="Arial" w:cs="Arial"/>
                <w:i w:val="1"/>
                <w:iCs w:val="1"/>
                <w:color w:val="64822E"/>
                <w:sz w:val="16"/>
                <w:szCs w:val="16"/>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2B80BE1B" w:rsidP="2B80BE1B" w:rsidRDefault="2B80BE1B" w14:paraId="2B757630" w14:textId="09C9B440">
            <w:pPr>
              <w:spacing w:before="240" w:beforeAutospacing="off" w:after="240" w:afterAutospacing="off"/>
            </w:pP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0D1DD989" w14:textId="478A8901">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5582796A" w14:textId="5A489541">
            <w:pPr>
              <w:spacing w:before="165" w:beforeAutospacing="off" w:after="165" w:afterAutospacing="off"/>
            </w:pPr>
          </w:p>
          <w:p w:rsidR="2B80BE1B" w:rsidP="2B80BE1B" w:rsidRDefault="2B80BE1B" w14:paraId="154E28A4" w14:textId="59433D20">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r w:rsidR="2B80BE1B" w:rsidTr="2B80BE1B" w14:paraId="1B4788CD">
        <w:trPr>
          <w:trHeight w:val="555"/>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69F7EF43" w14:textId="4171A4E9">
            <w:pPr>
              <w:spacing w:before="240" w:beforeAutospacing="off" w:after="240" w:afterAutospacing="off"/>
            </w:pPr>
            <w:r w:rsidRPr="2B80BE1B" w:rsidR="2B80BE1B">
              <w:rPr>
                <w:rFonts w:ascii="Arial" w:hAnsi="Arial" w:eastAsia="Arial" w:cs="Arial"/>
                <w:color w:val="000000" w:themeColor="text1" w:themeTint="FF" w:themeShade="FF"/>
                <w:sz w:val="16"/>
                <w:szCs w:val="16"/>
              </w:rPr>
              <w:t>WRITING</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03D2C6AA" w14:textId="5861DC7D">
            <w:pPr>
              <w:spacing w:before="240" w:beforeAutospacing="off" w:after="240" w:afterAutospacing="off"/>
            </w:pPr>
            <w:r w:rsidRPr="2B80BE1B" w:rsidR="2B80BE1B">
              <w:rPr>
                <w:rFonts w:ascii="Arial" w:hAnsi="Arial" w:eastAsia="Arial" w:cs="Arial"/>
                <w:color w:val="000000" w:themeColor="text1" w:themeTint="FF" w:themeShade="FF"/>
                <w:sz w:val="16"/>
                <w:szCs w:val="16"/>
              </w:rPr>
              <w:t>For this assessment, you can use Generative AI to create text for submission.</w:t>
            </w: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7F956818" w14:textId="408B766C">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0D2A9D20" w14:textId="0700D457">
            <w:pPr>
              <w:spacing w:before="165" w:beforeAutospacing="off" w:after="165" w:afterAutospacing="off"/>
            </w:pPr>
          </w:p>
          <w:p w:rsidR="2B80BE1B" w:rsidP="2B80BE1B" w:rsidRDefault="2B80BE1B" w14:paraId="0853B6D3" w14:textId="5ACA44E3">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r w:rsidR="2B80BE1B" w:rsidTr="2B80BE1B" w14:paraId="625CEC00">
        <w:trPr>
          <w:trHeight w:val="2880"/>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1AACBFD0" w14:textId="768A0F7A">
            <w:pPr>
              <w:spacing w:before="240" w:beforeAutospacing="off" w:after="240" w:afterAutospacing="off"/>
            </w:pPr>
            <w:r w:rsidRPr="2B80BE1B" w:rsidR="2B80BE1B">
              <w:rPr>
                <w:rFonts w:ascii="Arial" w:hAnsi="Arial" w:eastAsia="Arial" w:cs="Arial"/>
                <w:color w:val="000000" w:themeColor="text1" w:themeTint="FF" w:themeShade="FF"/>
                <w:sz w:val="16"/>
                <w:szCs w:val="16"/>
              </w:rPr>
              <w:t>CREATIVE</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16F672BC" w14:textId="1D468FB3">
            <w:pPr>
              <w:spacing w:before="240" w:beforeAutospacing="off" w:after="240" w:afterAutospacing="off"/>
            </w:pPr>
            <w:r w:rsidRPr="2B80BE1B" w:rsidR="2B80BE1B">
              <w:rPr>
                <w:rFonts w:ascii="Arial" w:hAnsi="Arial" w:eastAsia="Arial" w:cs="Arial"/>
                <w:color w:val="000000" w:themeColor="text1" w:themeTint="FF" w:themeShade="FF"/>
                <w:sz w:val="16"/>
                <w:szCs w:val="16"/>
              </w:rPr>
              <w:t>For this assessment, you can use Generative AI to create creative materials, such as images.</w:t>
            </w:r>
          </w:p>
          <w:p w:rsidR="2B80BE1B" w:rsidP="2B80BE1B" w:rsidRDefault="2B80BE1B" w14:paraId="5A6BEB6F" w14:textId="4FD17224">
            <w:pPr>
              <w:spacing w:before="165" w:beforeAutospacing="off" w:after="165" w:afterAutospacing="off"/>
            </w:pPr>
          </w:p>
          <w:p w:rsidR="2B80BE1B" w:rsidP="2B80BE1B" w:rsidRDefault="2B80BE1B" w14:paraId="774F06DB" w14:textId="6A1D9691">
            <w:pPr>
              <w:spacing w:before="240" w:beforeAutospacing="off" w:after="240" w:afterAutospacing="off"/>
            </w:pPr>
            <w:r w:rsidRPr="2B80BE1B" w:rsidR="2B80BE1B">
              <w:rPr>
                <w:rFonts w:ascii="Arial" w:hAnsi="Arial" w:eastAsia="Arial" w:cs="Arial"/>
                <w:i w:val="1"/>
                <w:iCs w:val="1"/>
                <w:color w:val="64822E"/>
                <w:sz w:val="16"/>
                <w:szCs w:val="16"/>
              </w:rPr>
              <w:t xml:space="preserve">Guidance specific to this assignment: </w:t>
            </w:r>
          </w:p>
          <w:p w:rsidR="2B80BE1B" w:rsidP="2B80BE1B" w:rsidRDefault="2B80BE1B" w14:paraId="60193815" w14:textId="6EAF31BF">
            <w:pPr>
              <w:spacing w:before="165" w:beforeAutospacing="off" w:after="165" w:afterAutospacing="off"/>
            </w:pPr>
          </w:p>
          <w:p w:rsidR="2B80BE1B" w:rsidP="2B80BE1B" w:rsidRDefault="2B80BE1B" w14:paraId="663424F3" w14:textId="6690423F">
            <w:pPr>
              <w:spacing w:before="240" w:beforeAutospacing="off" w:after="240" w:afterAutospacing="off"/>
            </w:pPr>
            <w:r w:rsidRPr="2B80BE1B" w:rsidR="2B80BE1B">
              <w:rPr>
                <w:rFonts w:ascii="Arial" w:hAnsi="Arial" w:eastAsia="Arial" w:cs="Arial"/>
                <w:i w:val="1"/>
                <w:iCs w:val="1"/>
                <w:color w:val="64822E"/>
                <w:sz w:val="16"/>
                <w:szCs w:val="16"/>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rsidR="2B80BE1B" w:rsidP="2B80BE1B" w:rsidRDefault="2B80BE1B" w14:paraId="7F3A46CD" w14:textId="43A1E1AF">
            <w:pPr>
              <w:spacing w:before="165" w:beforeAutospacing="off" w:after="165" w:afterAutospacing="off"/>
            </w:pPr>
          </w:p>
          <w:p w:rsidR="2B80BE1B" w:rsidP="2B80BE1B" w:rsidRDefault="2B80BE1B" w14:paraId="2FF8CC53" w14:textId="54D432D8">
            <w:pPr>
              <w:spacing w:before="240" w:beforeAutospacing="off" w:after="240" w:afterAutospacing="off"/>
            </w:pP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0FB1B0BD" w14:textId="65460C51">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6B9AC69C" w14:textId="0E658457">
            <w:pPr>
              <w:spacing w:before="165" w:beforeAutospacing="off" w:after="165" w:afterAutospacing="off"/>
            </w:pPr>
          </w:p>
          <w:p w:rsidR="2B80BE1B" w:rsidP="2B80BE1B" w:rsidRDefault="2B80BE1B" w14:paraId="4AA051B2" w14:textId="17F9A234">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r w:rsidR="2B80BE1B" w:rsidTr="2B80BE1B" w14:paraId="2E7C3812">
        <w:trPr>
          <w:trHeight w:val="540"/>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30EC2A82" w14:textId="09C1FDDB">
            <w:pPr>
              <w:spacing w:before="240" w:beforeAutospacing="off" w:after="240" w:afterAutospacing="off"/>
            </w:pPr>
            <w:r w:rsidRPr="2B80BE1B" w:rsidR="2B80BE1B">
              <w:rPr>
                <w:rFonts w:ascii="Arial" w:hAnsi="Arial" w:eastAsia="Arial" w:cs="Arial"/>
                <w:color w:val="000000" w:themeColor="text1" w:themeTint="FF" w:themeShade="FF"/>
                <w:sz w:val="16"/>
                <w:szCs w:val="16"/>
              </w:rPr>
              <w:t>PROGRAMING</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13B5D1F3" w14:textId="44C1EDC6">
            <w:pPr>
              <w:spacing w:before="240" w:beforeAutospacing="off" w:after="240" w:afterAutospacing="off"/>
            </w:pPr>
            <w:r w:rsidRPr="2B80BE1B" w:rsidR="2B80BE1B">
              <w:rPr>
                <w:rFonts w:ascii="Arial" w:hAnsi="Arial" w:eastAsia="Arial" w:cs="Arial"/>
                <w:color w:val="000000" w:themeColor="text1" w:themeTint="FF" w:themeShade="FF"/>
                <w:sz w:val="16"/>
                <w:szCs w:val="16"/>
              </w:rPr>
              <w:t>For this assessment, you can use Generative AI to create and check code.</w:t>
            </w: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2D21CDE1" w14:textId="6E4740F5">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17E8573F" w14:textId="1836D598">
            <w:pPr>
              <w:spacing w:before="165" w:beforeAutospacing="off" w:after="165" w:afterAutospacing="off"/>
            </w:pPr>
          </w:p>
          <w:p w:rsidR="2B80BE1B" w:rsidP="2B80BE1B" w:rsidRDefault="2B80BE1B" w14:paraId="5C7C2B38" w14:textId="1B35026F">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r w:rsidR="2B80BE1B" w:rsidTr="2B80BE1B" w14:paraId="4C174B63">
        <w:trPr>
          <w:trHeight w:val="750"/>
        </w:trPr>
        <w:tc>
          <w:tcPr>
            <w:tcW w:w="12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58A2033D" w14:textId="2B3173C1">
            <w:pPr>
              <w:spacing w:before="240" w:beforeAutospacing="off" w:after="240" w:afterAutospacing="off"/>
            </w:pPr>
            <w:r w:rsidRPr="2B80BE1B" w:rsidR="2B80BE1B">
              <w:rPr>
                <w:rFonts w:ascii="Arial" w:hAnsi="Arial" w:eastAsia="Arial" w:cs="Arial"/>
                <w:color w:val="000000" w:themeColor="text1" w:themeTint="FF" w:themeShade="FF"/>
                <w:sz w:val="16"/>
                <w:szCs w:val="16"/>
              </w:rPr>
              <w:t>NONE</w:t>
            </w:r>
          </w:p>
        </w:tc>
        <w:tc>
          <w:tcPr>
            <w:tcW w:w="75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31D518AB" w14:textId="7DB95C54">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For this assessment, you are not allowed to use </w:t>
            </w:r>
            <w:r w:rsidRPr="2B80BE1B" w:rsidR="2B80BE1B">
              <w:rPr>
                <w:rFonts w:ascii="Arial" w:hAnsi="Arial" w:eastAsia="Arial" w:cs="Arial"/>
                <w:b w:val="1"/>
                <w:bCs w:val="1"/>
                <w:color w:val="000000" w:themeColor="text1" w:themeTint="FF" w:themeShade="FF"/>
                <w:sz w:val="16"/>
                <w:szCs w:val="16"/>
              </w:rPr>
              <w:t>any</w:t>
            </w:r>
            <w:r w:rsidRPr="2B80BE1B" w:rsidR="2B80BE1B">
              <w:rPr>
                <w:rFonts w:ascii="Arial" w:hAnsi="Arial" w:eastAsia="Arial" w:cs="Arial"/>
                <w:color w:val="000000" w:themeColor="text1" w:themeTint="FF" w:themeShade="FF"/>
                <w:sz w:val="16"/>
                <w:szCs w:val="16"/>
              </w:rPr>
              <w:t>type of Generative AI support. This includes research support, structure support, writing/proofreading support and creative support.</w:t>
            </w:r>
          </w:p>
        </w:tc>
        <w:tc>
          <w:tcPr>
            <w:tcW w:w="8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B80BE1B" w:rsidP="2B80BE1B" w:rsidRDefault="2B80BE1B" w14:paraId="5B3B5C23" w14:textId="55E2E9D1">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Yes </w:t>
            </w:r>
            <w:r w:rsidRPr="2B80BE1B" w:rsidR="2B80BE1B">
              <w:rPr>
                <w:rFonts w:ascii="Apple Symbols" w:hAnsi="Apple Symbols" w:eastAsia="Apple Symbols" w:cs="Apple Symbols"/>
                <w:color w:val="000000" w:themeColor="text1" w:themeTint="FF" w:themeShade="FF"/>
                <w:sz w:val="16"/>
                <w:szCs w:val="16"/>
              </w:rPr>
              <w:t>☐</w:t>
            </w:r>
          </w:p>
          <w:p w:rsidR="2B80BE1B" w:rsidP="2B80BE1B" w:rsidRDefault="2B80BE1B" w14:paraId="36860FC9" w14:textId="1CE1D878">
            <w:pPr>
              <w:spacing w:before="165" w:beforeAutospacing="off" w:after="165" w:afterAutospacing="off"/>
            </w:pPr>
          </w:p>
          <w:p w:rsidR="2B80BE1B" w:rsidP="2B80BE1B" w:rsidRDefault="2B80BE1B" w14:paraId="4ABC1683" w14:textId="458BA7F8">
            <w:pPr>
              <w:spacing w:before="240" w:beforeAutospacing="off" w:after="240" w:afterAutospacing="off"/>
            </w:pPr>
            <w:r w:rsidRPr="2B80BE1B" w:rsidR="2B80BE1B">
              <w:rPr>
                <w:rFonts w:ascii="Arial" w:hAnsi="Arial" w:eastAsia="Arial" w:cs="Arial"/>
                <w:color w:val="000000" w:themeColor="text1" w:themeTint="FF" w:themeShade="FF"/>
                <w:sz w:val="16"/>
                <w:szCs w:val="16"/>
              </w:rPr>
              <w:t xml:space="preserve">No  </w:t>
            </w:r>
            <w:r w:rsidRPr="2B80BE1B" w:rsidR="2B80BE1B">
              <w:rPr>
                <w:rFonts w:ascii="Apple Symbols" w:hAnsi="Apple Symbols" w:eastAsia="Apple Symbols" w:cs="Apple Symbols"/>
                <w:color w:val="000000" w:themeColor="text1" w:themeTint="FF" w:themeShade="FF"/>
                <w:sz w:val="16"/>
                <w:szCs w:val="16"/>
              </w:rPr>
              <w:t>☒</w:t>
            </w:r>
          </w:p>
        </w:tc>
      </w:tr>
    </w:tbl>
    <w:p xmlns:wp14="http://schemas.microsoft.com/office/word/2010/wordml" wp14:paraId="1AC6E90D" wp14:textId="61D2EC38"/>
    <w:p xmlns:wp14="http://schemas.microsoft.com/office/word/2010/wordml" w:rsidP="2B80BE1B" wp14:paraId="1959ECBC" wp14:textId="1DCA2CEF">
      <w:pPr>
        <w:pStyle w:val="Normal"/>
      </w:pPr>
    </w:p>
    <w:p xmlns:wp14="http://schemas.microsoft.com/office/word/2010/wordml" w:rsidP="2B80BE1B" wp14:paraId="5E5787A5" wp14:textId="60FCBE9D">
      <w:pPr>
        <w:pStyle w:val="Normal"/>
      </w:pPr>
      <w:r w:rsidRPr="2B80BE1B" w:rsidR="7E8E9714">
        <w:rPr>
          <w:rFonts w:ascii="Calibri" w:hAnsi="Calibri" w:eastAsia="Calibri" w:cs="Calibri"/>
        </w:rPr>
        <w:t xml:space="preserve">Link to sway - </w:t>
      </w:r>
      <w:r w:rsidRPr="2B80BE1B" w:rsidR="0354D269">
        <w:rPr>
          <w:rFonts w:ascii="Calibri" w:hAnsi="Calibri" w:eastAsia="Calibri" w:cs="Calibri"/>
        </w:rPr>
        <w:t xml:space="preserve"> </w:t>
      </w:r>
      <w:hyperlink r:id="R888da28f013c4a0a">
        <w:r w:rsidRPr="2B80BE1B" w:rsidR="0354D269">
          <w:rPr>
            <w:rStyle w:val="Hyperlink"/>
            <w:rFonts w:ascii="Calibri" w:hAnsi="Calibri" w:eastAsia="Calibri" w:cs="Calibri"/>
          </w:rPr>
          <w:t>https://sway.cloud.microsoft/S7RwobkMm0QVeL3z?ref=Link</w:t>
        </w:r>
      </w:hyperlink>
      <w:r w:rsidR="0354D269">
        <w:rPr/>
        <w:t xml:space="preserve"> </w:t>
      </w:r>
    </w:p>
    <w:tbl>
      <w:tblPr>
        <w:tblStyle w:val="TableNormal"/>
        <w:bidiVisual w:val="0"/>
        <w:tblW w:w="0" w:type="auto"/>
        <w:tblBorders>
          <w:top w:val="single" w:color="D2D2D2" w:sz="6"/>
          <w:left w:val="single" w:color="D2D2D2" w:sz="6"/>
          <w:bottom w:val="single" w:color="D2D2D2" w:sz="6"/>
          <w:right w:val="single" w:color="D2D2D2" w:sz="6"/>
        </w:tblBorders>
        <w:tblLook w:val="06A0" w:firstRow="1" w:lastRow="0" w:firstColumn="1" w:lastColumn="0" w:noHBand="1" w:noVBand="1"/>
      </w:tblPr>
      <w:tblGrid>
        <w:gridCol w:w="8700"/>
      </w:tblGrid>
      <w:tr w:rsidR="2B80BE1B" w:rsidTr="2B80BE1B" w14:paraId="5F1137AD">
        <w:trPr>
          <w:trHeight w:val="300"/>
        </w:trPr>
        <w:tc>
          <w:tcPr>
            <w:tcW w:w="8700" w:type="dxa"/>
            <w:tcMar/>
            <w:vAlign w:val="center"/>
          </w:tcPr>
          <w:p w:rsidR="0354D269" w:rsidP="2B80BE1B" w:rsidRDefault="0354D269" w14:paraId="71EA6C02" w14:textId="62F3B5B8">
            <w:pPr>
              <w:spacing w:before="0" w:beforeAutospacing="off" w:after="0" w:afterAutospacing="off"/>
              <w:jc w:val="center"/>
            </w:pPr>
            <w:r w:rsidR="0354D269">
              <w:drawing>
                <wp:inline wp14:editId="149DDC26" wp14:anchorId="0014619F">
                  <wp:extent cx="5715000" cy="1714500"/>
                  <wp:effectExtent l="0" t="0" r="0" b="0"/>
                  <wp:docPr id="1053454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53454912" name="Picture 105345491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18263678">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5715000" cy="1714500"/>
                          </a:xfrm>
                          <a:prstGeom xmlns:a="http://schemas.openxmlformats.org/drawingml/2006/main" prst="rect">
                            <a:avLst xmlns:a="http://schemas.openxmlformats.org/drawingml/2006/main"/>
                          </a:prstGeom>
                        </pic:spPr>
                      </pic:pic>
                    </a:graphicData>
                  </a:graphic>
                </wp:inline>
              </w:drawing>
            </w:r>
          </w:p>
        </w:tc>
      </w:tr>
      <w:tr w:rsidR="2B80BE1B" w:rsidTr="2B80BE1B" w14:paraId="19DE9022">
        <w:trPr>
          <w:trHeight w:val="300"/>
        </w:trPr>
        <w:tc>
          <w:tcPr>
            <w:tcW w:w="8700" w:type="dxa"/>
            <w:tcMar>
              <w:top w:w="195" w:type="dxa"/>
              <w:left w:w="300" w:type="dxa"/>
              <w:right w:w="300" w:type="dxa"/>
            </w:tcMar>
            <w:vAlign w:val="top"/>
          </w:tcPr>
          <w:p w:rsidR="2B80BE1B" w:rsidP="2B80BE1B" w:rsidRDefault="2B80BE1B" w14:paraId="6DB2B232" w14:textId="49220A5D">
            <w:pPr>
              <w:spacing w:before="0" w:beforeAutospacing="off" w:after="0" w:afterAutospacing="off" w:line="420" w:lineRule="auto"/>
              <w:jc w:val="center"/>
            </w:pPr>
            <w:hyperlink r:id="R83dad8b3a31443bb">
              <w:r w:rsidRPr="2B80BE1B" w:rsidR="2B80BE1B">
                <w:rPr>
                  <w:rStyle w:val="Hyperlink"/>
                  <w:rFonts w:ascii="Segoe UI Semilight" w:hAnsi="Segoe UI Semilight" w:eastAsia="Segoe UI Semilight" w:cs="Segoe UI Semilight"/>
                  <w:strike w:val="0"/>
                  <w:dstrike w:val="0"/>
                  <w:color w:val="424242"/>
                  <w:sz w:val="31"/>
                  <w:szCs w:val="31"/>
                  <w:u w:val="none"/>
                </w:rPr>
                <w:t xml:space="preserve">Blog 1: How attachment shapes emotional development </w:t>
              </w:r>
            </w:hyperlink>
          </w:p>
        </w:tc>
      </w:tr>
      <w:tr w:rsidR="2B80BE1B" w:rsidTr="2B80BE1B" w14:paraId="46645789">
        <w:trPr>
          <w:trHeight w:val="300"/>
        </w:trPr>
        <w:tc>
          <w:tcPr>
            <w:tcW w:w="8700" w:type="dxa"/>
            <w:tcMar>
              <w:top w:w="195" w:type="dxa"/>
              <w:left w:w="300" w:type="dxa"/>
              <w:right w:w="300" w:type="dxa"/>
            </w:tcMar>
            <w:vAlign w:val="top"/>
          </w:tcPr>
          <w:p w:rsidR="2B80BE1B" w:rsidP="2B80BE1B" w:rsidRDefault="2B80BE1B" w14:paraId="792AB1B6" w14:textId="0AD49B14">
            <w:pPr>
              <w:spacing w:before="0" w:beforeAutospacing="off" w:after="0" w:afterAutospacing="off" w:line="225" w:lineRule="auto"/>
              <w:jc w:val="left"/>
            </w:pPr>
            <w:r w:rsidRPr="2B80BE1B" w:rsidR="2B80BE1B">
              <w:rPr>
                <w:rFonts w:ascii="Segoe UI" w:hAnsi="Segoe UI" w:eastAsia="Segoe UI" w:cs="Segoe UI"/>
                <w:color w:val="424242"/>
                <w:sz w:val="19"/>
                <w:szCs w:val="19"/>
              </w:rPr>
              <w:t>Emotional development is considered from birth, before the child reaches their later developmental milestones, emphasised by Bowlby (1969). During this time frame, without realising, babies…</w:t>
            </w:r>
          </w:p>
        </w:tc>
      </w:tr>
      <w:tr w:rsidR="2B80BE1B" w:rsidTr="2B80BE1B" w14:paraId="62FD4C4D">
        <w:trPr>
          <w:trHeight w:val="300"/>
        </w:trPr>
        <w:tc>
          <w:tcPr>
            <w:tcW w:w="8700" w:type="dxa"/>
            <w:tcMar>
              <w:top w:w="300" w:type="dxa"/>
              <w:left w:w="300" w:type="dxa"/>
              <w:bottom w:w="300" w:type="dxa"/>
              <w:right w:w="300" w:type="dxa"/>
            </w:tcMar>
            <w:vAlign w:val="center"/>
          </w:tcPr>
          <w:tbl>
            <w:tblPr>
              <w:tblStyle w:val="TableNormal"/>
              <w:bidiVisual w:val="0"/>
              <w:tblW w:w="0" w:type="auto"/>
              <w:tblLook w:val="06A0" w:firstRow="1" w:lastRow="0" w:firstColumn="1" w:lastColumn="0" w:noHBand="1" w:noVBand="1"/>
            </w:tblPr>
            <w:tblGrid>
              <w:gridCol w:w="8100"/>
            </w:tblGrid>
            <w:tr w:rsidR="2B80BE1B" w:rsidTr="2B80BE1B" w14:paraId="76FA7351">
              <w:trPr>
                <w:trHeight w:val="300"/>
              </w:trPr>
              <w:tc>
                <w:tcPr>
                  <w:tcW w:w="8100" w:type="dxa"/>
                  <w:shd w:val="clear" w:color="auto" w:fill="008272"/>
                  <w:tcMar>
                    <w:top w:w="45" w:type="dxa"/>
                    <w:left w:w="300" w:type="dxa"/>
                    <w:bottom w:w="45" w:type="dxa"/>
                    <w:right w:w="300" w:type="dxa"/>
                  </w:tcMar>
                  <w:vAlign w:val="center"/>
                </w:tcPr>
                <w:p w:rsidR="2B80BE1B" w:rsidP="2B80BE1B" w:rsidRDefault="2B80BE1B" w14:paraId="6EFF8404" w14:textId="6B369212">
                  <w:pPr>
                    <w:bidi w:val="0"/>
                    <w:spacing w:before="0" w:beforeAutospacing="off" w:after="0" w:afterAutospacing="off" w:line="300" w:lineRule="auto"/>
                    <w:jc w:val="center"/>
                  </w:pPr>
                  <w:hyperlink r:id="R341007ff749441d6">
                    <w:r w:rsidRPr="2B80BE1B" w:rsidR="2B80BE1B">
                      <w:rPr>
                        <w:rStyle w:val="Hyperlink"/>
                        <w:rFonts w:ascii="Segoe UI Semilight" w:hAnsi="Segoe UI Semilight" w:eastAsia="Segoe UI Semilight" w:cs="Segoe UI Semilight"/>
                        <w:strike w:val="0"/>
                        <w:dstrike w:val="0"/>
                        <w:color w:val="FFFFFF" w:themeColor="background1" w:themeTint="FF" w:themeShade="FF"/>
                        <w:sz w:val="22"/>
                        <w:szCs w:val="22"/>
                        <w:u w:val="none"/>
                      </w:rPr>
                      <w:t>Go to this Sway</w:t>
                    </w:r>
                  </w:hyperlink>
                </w:p>
              </w:tc>
            </w:tr>
          </w:tbl>
          <w:p w:rsidR="2B80BE1B" w:rsidRDefault="2B80BE1B" w14:paraId="5F02468B"/>
        </w:tc>
      </w:tr>
    </w:tbl>
    <w:p w:rsidR="2B80BE1B" w:rsidRDefault="2B80BE1B" w14:paraId="45620BA5" w14:textId="3CD5CB4B"/>
    <w:p w:rsidR="7E8E9714" w:rsidP="2B80BE1B" w:rsidRDefault="7E8E9714" w14:paraId="137CB53E" w14:textId="2CD60388">
      <w:pPr>
        <w:pStyle w:val="Normal"/>
        <w:rPr>
          <w:rFonts w:ascii="Calibri" w:hAnsi="Calibri" w:eastAsia="Calibri" w:cs="Calibri"/>
          <w:b w:val="1"/>
          <w:bCs w:val="1"/>
        </w:rPr>
      </w:pPr>
      <w:r w:rsidRPr="2B80BE1B" w:rsidR="7E8E9714">
        <w:rPr>
          <w:rFonts w:ascii="Calibri" w:hAnsi="Calibri" w:eastAsia="Calibri" w:cs="Calibri"/>
          <w:b w:val="1"/>
          <w:bCs w:val="1"/>
        </w:rPr>
        <w:t xml:space="preserve">Reference list: </w:t>
      </w:r>
    </w:p>
    <w:p w:rsidR="19A1342B" w:rsidP="2B80BE1B" w:rsidRDefault="19A1342B" w14:paraId="78CE3962" w14:textId="54B3483A">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Ainsworth, M.D.S. and Bell (1970). ‘Attachment, Exploration, and Separation: Illustrated by the </w:t>
      </w:r>
      <w:r w:rsidRPr="2B80BE1B" w:rsidR="19A1342B">
        <w:rPr>
          <w:rFonts w:ascii="Calibri" w:hAnsi="Calibri" w:eastAsia="Calibri" w:cs="Calibri"/>
          <w:noProof w:val="0"/>
          <w:color w:val="000000" w:themeColor="text1" w:themeTint="FF" w:themeShade="FF"/>
          <w:sz w:val="24"/>
          <w:szCs w:val="24"/>
          <w:lang w:val="en-GB"/>
        </w:rPr>
        <w:t>Behavior</w:t>
      </w:r>
      <w:r w:rsidRPr="2B80BE1B" w:rsidR="19A1342B">
        <w:rPr>
          <w:rFonts w:ascii="Calibri" w:hAnsi="Calibri" w:eastAsia="Calibri" w:cs="Calibri"/>
          <w:noProof w:val="0"/>
          <w:color w:val="000000" w:themeColor="text1" w:themeTint="FF" w:themeShade="FF"/>
          <w:sz w:val="24"/>
          <w:szCs w:val="24"/>
          <w:lang w:val="en-GB"/>
        </w:rPr>
        <w:t xml:space="preserve"> of One-Year-Olds in a Strange Situation,’ Child Development. </w:t>
      </w:r>
      <w:r w:rsidRPr="2B80BE1B" w:rsidR="19A1342B">
        <w:rPr>
          <w:rFonts w:ascii="Calibri" w:hAnsi="Calibri" w:eastAsia="Calibri" w:cs="Calibri"/>
          <w:i w:val="1"/>
          <w:iCs w:val="1"/>
          <w:noProof w:val="0"/>
          <w:color w:val="000000" w:themeColor="text1" w:themeTint="FF" w:themeShade="FF"/>
          <w:sz w:val="24"/>
          <w:szCs w:val="24"/>
          <w:lang w:val="en-GB"/>
        </w:rPr>
        <w:t xml:space="preserve">Child </w:t>
      </w:r>
      <w:r w:rsidRPr="2B80BE1B" w:rsidR="19A1342B">
        <w:rPr>
          <w:rFonts w:ascii="Calibri" w:hAnsi="Calibri" w:eastAsia="Calibri" w:cs="Calibri"/>
          <w:i w:val="1"/>
          <w:iCs w:val="1"/>
          <w:noProof w:val="0"/>
          <w:color w:val="000000" w:themeColor="text1" w:themeTint="FF" w:themeShade="FF"/>
          <w:sz w:val="24"/>
          <w:szCs w:val="24"/>
          <w:lang w:val="en-GB"/>
        </w:rPr>
        <w:t xml:space="preserve">Development </w:t>
      </w:r>
      <w:r w:rsidRPr="2B80BE1B" w:rsidR="19A1342B">
        <w:rPr>
          <w:rFonts w:ascii="Calibri" w:hAnsi="Calibri" w:eastAsia="Calibri" w:cs="Calibri"/>
          <w:noProof w:val="0"/>
          <w:color w:val="000000" w:themeColor="text1" w:themeTint="FF" w:themeShade="FF"/>
          <w:sz w:val="24"/>
          <w:szCs w:val="24"/>
          <w:lang w:val="en-GB"/>
        </w:rPr>
        <w:t>,</w:t>
      </w:r>
      <w:r w:rsidRPr="2B80BE1B" w:rsidR="19A1342B">
        <w:rPr>
          <w:rFonts w:ascii="Calibri" w:hAnsi="Calibri" w:eastAsia="Calibri" w:cs="Calibri"/>
          <w:noProof w:val="0"/>
          <w:color w:val="000000" w:themeColor="text1" w:themeTint="FF" w:themeShade="FF"/>
          <w:sz w:val="24"/>
          <w:szCs w:val="24"/>
          <w:lang w:val="en-GB"/>
        </w:rPr>
        <w:t xml:space="preserve"> [online] Vol.41(NO.1), </w:t>
      </w:r>
      <w:r w:rsidRPr="2B80BE1B" w:rsidR="19A1342B">
        <w:rPr>
          <w:rFonts w:ascii="Calibri" w:hAnsi="Calibri" w:eastAsia="Calibri" w:cs="Calibri"/>
          <w:noProof w:val="0"/>
          <w:color w:val="000000" w:themeColor="text1" w:themeTint="FF" w:themeShade="FF"/>
          <w:sz w:val="24"/>
          <w:szCs w:val="24"/>
          <w:lang w:val="en-GB"/>
        </w:rPr>
        <w:t>p.pp</w:t>
      </w:r>
      <w:r w:rsidRPr="2B80BE1B" w:rsidR="19A1342B">
        <w:rPr>
          <w:rFonts w:ascii="Calibri" w:hAnsi="Calibri" w:eastAsia="Calibri" w:cs="Calibri"/>
          <w:noProof w:val="0"/>
          <w:color w:val="000000" w:themeColor="text1" w:themeTint="FF" w:themeShade="FF"/>
          <w:sz w:val="24"/>
          <w:szCs w:val="24"/>
          <w:lang w:val="en-GB"/>
        </w:rPr>
        <w:t xml:space="preserve">. 49–67.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://doi.org/10.2307/1127388. [online].</w:t>
      </w:r>
    </w:p>
    <w:p w:rsidR="19A1342B" w:rsidP="2B80BE1B" w:rsidRDefault="19A1342B" w14:paraId="215D8B5E" w14:textId="553E102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Boyd, D.R. and Bee, H. (2014) The developing child. 13th ed. (new international edition). Harlow: Pearson</w:t>
      </w:r>
      <w:r w:rsidRPr="2B80BE1B" w:rsidR="19A1342B">
        <w:rPr>
          <w:rFonts w:ascii="Calibri" w:hAnsi="Calibri" w:eastAsia="Calibri" w:cs="Calibri"/>
          <w:noProof w:val="0"/>
          <w:color w:val="000000" w:themeColor="text1" w:themeTint="FF" w:themeShade="FF"/>
          <w:sz w:val="24"/>
          <w:szCs w:val="24"/>
          <w:lang w:val="en-GB"/>
        </w:rPr>
        <w:t>. .</w:t>
      </w:r>
    </w:p>
    <w:p w:rsidR="19A1342B" w:rsidP="2B80BE1B" w:rsidRDefault="19A1342B" w14:paraId="6EE7E078" w14:textId="635FDAD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Aubrey, </w:t>
      </w:r>
      <w:r w:rsidRPr="2B80BE1B" w:rsidR="19A1342B">
        <w:rPr>
          <w:rFonts w:ascii="Calibri" w:hAnsi="Calibri" w:eastAsia="Calibri" w:cs="Calibri"/>
          <w:noProof w:val="0"/>
          <w:color w:val="000000" w:themeColor="text1" w:themeTint="FF" w:themeShade="FF"/>
          <w:sz w:val="24"/>
          <w:szCs w:val="24"/>
          <w:lang w:val="en-GB"/>
        </w:rPr>
        <w:t>C.</w:t>
      </w:r>
      <w:r w:rsidRPr="2B80BE1B" w:rsidR="19A1342B">
        <w:rPr>
          <w:rFonts w:ascii="Calibri" w:hAnsi="Calibri" w:eastAsia="Calibri" w:cs="Calibri"/>
          <w:noProof w:val="0"/>
          <w:color w:val="000000" w:themeColor="text1" w:themeTint="FF" w:themeShade="FF"/>
          <w:sz w:val="24"/>
          <w:szCs w:val="24"/>
          <w:lang w:val="en-GB"/>
        </w:rPr>
        <w:t xml:space="preserve"> and Ward, K. (2013). Early years practitioners’ views on early personal, </w:t>
      </w:r>
      <w:r w:rsidRPr="2B80BE1B" w:rsidR="19A1342B">
        <w:rPr>
          <w:rFonts w:ascii="Calibri" w:hAnsi="Calibri" w:eastAsia="Calibri" w:cs="Calibri"/>
          <w:noProof w:val="0"/>
          <w:color w:val="000000" w:themeColor="text1" w:themeTint="FF" w:themeShade="FF"/>
          <w:sz w:val="24"/>
          <w:szCs w:val="24"/>
          <w:lang w:val="en-GB"/>
        </w:rPr>
        <w:t>social</w:t>
      </w:r>
      <w:r w:rsidRPr="2B80BE1B" w:rsidR="19A1342B">
        <w:rPr>
          <w:rFonts w:ascii="Calibri" w:hAnsi="Calibri" w:eastAsia="Calibri" w:cs="Calibri"/>
          <w:noProof w:val="0"/>
          <w:color w:val="000000" w:themeColor="text1" w:themeTint="FF" w:themeShade="FF"/>
          <w:sz w:val="24"/>
          <w:szCs w:val="24"/>
          <w:lang w:val="en-GB"/>
        </w:rPr>
        <w:t xml:space="preserve"> and emotional development. </w:t>
      </w:r>
      <w:r w:rsidRPr="2B80BE1B" w:rsidR="19A1342B">
        <w:rPr>
          <w:rFonts w:ascii="Calibri" w:hAnsi="Calibri" w:eastAsia="Calibri" w:cs="Calibri"/>
          <w:i w:val="1"/>
          <w:iCs w:val="1"/>
          <w:noProof w:val="0"/>
          <w:color w:val="000000" w:themeColor="text1" w:themeTint="FF" w:themeShade="FF"/>
          <w:sz w:val="24"/>
          <w:szCs w:val="24"/>
          <w:lang w:val="en-GB"/>
        </w:rPr>
        <w:t>Emotional and Behavioural Difficulties</w:t>
      </w:r>
      <w:r w:rsidRPr="2B80BE1B" w:rsidR="19A1342B">
        <w:rPr>
          <w:rFonts w:ascii="Calibri" w:hAnsi="Calibri" w:eastAsia="Calibri" w:cs="Calibri"/>
          <w:noProof w:val="0"/>
          <w:color w:val="000000" w:themeColor="text1" w:themeTint="FF" w:themeShade="FF"/>
          <w:sz w:val="24"/>
          <w:szCs w:val="24"/>
          <w:lang w:val="en-GB"/>
        </w:rPr>
        <w:t xml:space="preserve">, [online] 18(4), pp.435–447.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://doi.org/10.1080/13632752.2013.807541.</w:t>
      </w:r>
    </w:p>
    <w:p w:rsidR="19A1342B" w:rsidP="2B80BE1B" w:rsidRDefault="19A1342B" w14:paraId="0BF4651C" w14:textId="7D2F5CCF">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Belyh</w:t>
      </w:r>
      <w:r w:rsidRPr="2B80BE1B" w:rsidR="19A1342B">
        <w:rPr>
          <w:rFonts w:ascii="Calibri" w:hAnsi="Calibri" w:eastAsia="Calibri" w:cs="Calibri"/>
          <w:noProof w:val="0"/>
          <w:color w:val="000000" w:themeColor="text1" w:themeTint="FF" w:themeShade="FF"/>
          <w:sz w:val="24"/>
          <w:szCs w:val="24"/>
          <w:lang w:val="en-GB"/>
        </w:rPr>
        <w:t xml:space="preserve">, A. (2018). </w:t>
      </w:r>
      <w:r w:rsidRPr="2B80BE1B" w:rsidR="19A1342B">
        <w:rPr>
          <w:rFonts w:ascii="Calibri" w:hAnsi="Calibri" w:eastAsia="Calibri" w:cs="Calibri"/>
          <w:i w:val="1"/>
          <w:iCs w:val="1"/>
          <w:noProof w:val="0"/>
          <w:color w:val="000000" w:themeColor="text1" w:themeTint="FF" w:themeShade="FF"/>
          <w:sz w:val="24"/>
          <w:szCs w:val="24"/>
          <w:lang w:val="en-GB"/>
        </w:rPr>
        <w:t>Piaget’s Theory of Cognitive Development</w:t>
      </w:r>
      <w:r w:rsidRPr="2B80BE1B" w:rsidR="19A1342B">
        <w:rPr>
          <w:rFonts w:ascii="Calibri" w:hAnsi="Calibri" w:eastAsia="Calibri" w:cs="Calibri"/>
          <w:noProof w:val="0"/>
          <w:color w:val="000000" w:themeColor="text1" w:themeTint="FF" w:themeShade="FF"/>
          <w:sz w:val="24"/>
          <w:szCs w:val="24"/>
          <w:lang w:val="en-GB"/>
        </w:rPr>
        <w:t xml:space="preserve">. [online] </w:t>
      </w:r>
      <w:r w:rsidRPr="2B80BE1B" w:rsidR="19A1342B">
        <w:rPr>
          <w:rFonts w:ascii="Calibri" w:hAnsi="Calibri" w:eastAsia="Calibri" w:cs="Calibri"/>
          <w:noProof w:val="0"/>
          <w:color w:val="000000" w:themeColor="text1" w:themeTint="FF" w:themeShade="FF"/>
          <w:sz w:val="24"/>
          <w:szCs w:val="24"/>
          <w:lang w:val="en-GB"/>
        </w:rPr>
        <w:t>Cleverism</w:t>
      </w:r>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5b790e4f2dad416b">
        <w:r w:rsidRPr="2B80BE1B" w:rsidR="19A1342B">
          <w:rPr>
            <w:rStyle w:val="Hyperlink"/>
            <w:rFonts w:ascii="Calibri" w:hAnsi="Calibri" w:eastAsia="Calibri" w:cs="Calibri"/>
            <w:noProof w:val="0"/>
            <w:sz w:val="24"/>
            <w:szCs w:val="24"/>
            <w:lang w:val="en-GB"/>
          </w:rPr>
          <w:t>https://cleverism.com/piagets-theory/</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 [IMAGE].</w:t>
      </w:r>
    </w:p>
    <w:p w:rsidR="19A1342B" w:rsidP="2B80BE1B" w:rsidRDefault="19A1342B" w14:paraId="123F108B" w14:textId="7E112DE5">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Bergen, D. (2013). Does pretend play matter? Searching for evidence: Comment on Lillard et al. (2013). </w:t>
      </w:r>
      <w:r w:rsidRPr="2B80BE1B" w:rsidR="19A1342B">
        <w:rPr>
          <w:rFonts w:ascii="Calibri" w:hAnsi="Calibri" w:eastAsia="Calibri" w:cs="Calibri"/>
          <w:i w:val="1"/>
          <w:iCs w:val="1"/>
          <w:noProof w:val="0"/>
          <w:color w:val="000000" w:themeColor="text1" w:themeTint="FF" w:themeShade="FF"/>
          <w:sz w:val="24"/>
          <w:szCs w:val="24"/>
          <w:lang w:val="en-GB"/>
        </w:rPr>
        <w:t>Psychological Bulletin</w:t>
      </w:r>
      <w:r w:rsidRPr="2B80BE1B" w:rsidR="19A1342B">
        <w:rPr>
          <w:rFonts w:ascii="Calibri" w:hAnsi="Calibri" w:eastAsia="Calibri" w:cs="Calibri"/>
          <w:noProof w:val="0"/>
          <w:color w:val="000000" w:themeColor="text1" w:themeTint="FF" w:themeShade="FF"/>
          <w:sz w:val="24"/>
          <w:szCs w:val="24"/>
          <w:lang w:val="en-GB"/>
        </w:rPr>
        <w:t xml:space="preserve">, 139(1), pp.45–48.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://doi.org/10.1037/a0030246.</w:t>
      </w:r>
    </w:p>
    <w:p w:rsidR="19A1342B" w:rsidP="2B80BE1B" w:rsidRDefault="19A1342B" w14:paraId="49B41264" w14:textId="40E40FC8">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Botting, N. (2005). Non-verbal cognitive development and language impairment. </w:t>
      </w:r>
      <w:r w:rsidRPr="2B80BE1B" w:rsidR="19A1342B">
        <w:rPr>
          <w:rFonts w:ascii="Calibri" w:hAnsi="Calibri" w:eastAsia="Calibri" w:cs="Calibri"/>
          <w:i w:val="1"/>
          <w:iCs w:val="1"/>
          <w:noProof w:val="0"/>
          <w:color w:val="000000" w:themeColor="text1" w:themeTint="FF" w:themeShade="FF"/>
          <w:sz w:val="24"/>
          <w:szCs w:val="24"/>
          <w:lang w:val="en-GB"/>
        </w:rPr>
        <w:t>Journal of Child Psychology and Psychiatry</w:t>
      </w:r>
      <w:r w:rsidRPr="2B80BE1B" w:rsidR="19A1342B">
        <w:rPr>
          <w:rFonts w:ascii="Calibri" w:hAnsi="Calibri" w:eastAsia="Calibri" w:cs="Calibri"/>
          <w:noProof w:val="0"/>
          <w:color w:val="000000" w:themeColor="text1" w:themeTint="FF" w:themeShade="FF"/>
          <w:sz w:val="24"/>
          <w:szCs w:val="24"/>
          <w:lang w:val="en-GB"/>
        </w:rPr>
        <w:t xml:space="preserve">, 46(3), pp.317–326.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://doi.org/10.1111/j.1469-7610.2004.00355.x.</w:t>
      </w:r>
    </w:p>
    <w:p w:rsidR="19A1342B" w:rsidP="2B80BE1B" w:rsidRDefault="19A1342B" w14:paraId="25CB4012" w14:textId="275A67A8">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Bowlby, J. (1969). </w:t>
      </w:r>
      <w:r w:rsidRPr="2B80BE1B" w:rsidR="19A1342B">
        <w:rPr>
          <w:rFonts w:ascii="Calibri" w:hAnsi="Calibri" w:eastAsia="Calibri" w:cs="Calibri"/>
          <w:i w:val="1"/>
          <w:iCs w:val="1"/>
          <w:noProof w:val="0"/>
          <w:color w:val="000000" w:themeColor="text1" w:themeTint="FF" w:themeShade="FF"/>
          <w:sz w:val="24"/>
          <w:szCs w:val="24"/>
          <w:lang w:val="en-GB"/>
        </w:rPr>
        <w:t>Attachment and loss</w:t>
      </w:r>
      <w:r w:rsidRPr="2B80BE1B" w:rsidR="19A1342B">
        <w:rPr>
          <w:rFonts w:ascii="Calibri" w:hAnsi="Calibri" w:eastAsia="Calibri" w:cs="Calibri"/>
          <w:noProof w:val="0"/>
          <w:color w:val="000000" w:themeColor="text1" w:themeTint="FF" w:themeShade="FF"/>
          <w:sz w:val="24"/>
          <w:szCs w:val="24"/>
          <w:lang w:val="en-GB"/>
        </w:rPr>
        <w:t>. New York: Basic Books.</w:t>
      </w:r>
    </w:p>
    <w:p w:rsidR="19A1342B" w:rsidP="2B80BE1B" w:rsidRDefault="19A1342B" w14:paraId="5991A1AB" w14:textId="4155ABE1">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Bradbury, </w:t>
      </w:r>
      <w:r w:rsidRPr="2B80BE1B" w:rsidR="19A1342B">
        <w:rPr>
          <w:rFonts w:ascii="Calibri" w:hAnsi="Calibri" w:eastAsia="Calibri" w:cs="Calibri"/>
          <w:noProof w:val="0"/>
          <w:color w:val="000000" w:themeColor="text1" w:themeTint="FF" w:themeShade="FF"/>
          <w:sz w:val="24"/>
          <w:szCs w:val="24"/>
          <w:lang w:val="en-GB"/>
        </w:rPr>
        <w:t>A.</w:t>
      </w:r>
      <w:r w:rsidRPr="2B80BE1B" w:rsidR="19A1342B">
        <w:rPr>
          <w:rFonts w:ascii="Calibri" w:hAnsi="Calibri" w:eastAsia="Calibri" w:cs="Calibri"/>
          <w:noProof w:val="0"/>
          <w:color w:val="000000" w:themeColor="text1" w:themeTint="FF" w:themeShade="FF"/>
          <w:sz w:val="24"/>
          <w:szCs w:val="24"/>
          <w:lang w:val="en-GB"/>
        </w:rPr>
        <w:t xml:space="preserve"> and Vince, S. (2025). Food Banks in Schools and Nurseries. (1).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://doi.org/10.56687/9781447375548.</w:t>
      </w:r>
    </w:p>
    <w:p w:rsidR="19A1342B" w:rsidP="2B80BE1B" w:rsidRDefault="19A1342B" w14:paraId="20273B8A" w14:textId="1AE2DC10">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Brown, </w:t>
      </w:r>
      <w:r w:rsidRPr="2B80BE1B" w:rsidR="19A1342B">
        <w:rPr>
          <w:rFonts w:ascii="Calibri" w:hAnsi="Calibri" w:eastAsia="Calibri" w:cs="Calibri"/>
          <w:noProof w:val="0"/>
          <w:color w:val="000000" w:themeColor="text1" w:themeTint="FF" w:themeShade="FF"/>
          <w:sz w:val="24"/>
          <w:szCs w:val="24"/>
          <w:lang w:val="en-GB"/>
        </w:rPr>
        <w:t>R.</w:t>
      </w:r>
      <w:r w:rsidRPr="2B80BE1B" w:rsidR="19A1342B">
        <w:rPr>
          <w:rFonts w:ascii="Calibri" w:hAnsi="Calibri" w:eastAsia="Calibri" w:cs="Calibri"/>
          <w:noProof w:val="0"/>
          <w:color w:val="000000" w:themeColor="text1" w:themeTint="FF" w:themeShade="FF"/>
          <w:sz w:val="24"/>
          <w:szCs w:val="24"/>
          <w:lang w:val="en-GB"/>
        </w:rPr>
        <w:t xml:space="preserve"> and Ogden, J. (2004). ‘Children’s eating attitudes and behaviour: a study of the modelling and control theories of parental influence</w:t>
      </w:r>
      <w:r w:rsidRPr="2B80BE1B" w:rsidR="19A1342B">
        <w:rPr>
          <w:rFonts w:ascii="Calibri" w:hAnsi="Calibri" w:eastAsia="Calibri" w:cs="Calibri"/>
          <w:noProof w:val="0"/>
          <w:color w:val="000000" w:themeColor="text1" w:themeTint="FF" w:themeShade="FF"/>
          <w:sz w:val="24"/>
          <w:szCs w:val="24"/>
          <w:lang w:val="en-GB"/>
        </w:rPr>
        <w:t>’,.</w:t>
      </w:r>
      <w:r w:rsidRPr="2B80BE1B" w:rsidR="19A1342B">
        <w:rPr>
          <w:rFonts w:ascii="Calibri" w:hAnsi="Calibri" w:eastAsia="Calibri" w:cs="Calibri"/>
          <w:noProof w:val="0"/>
          <w:color w:val="000000" w:themeColor="text1" w:themeTint="FF" w:themeShade="FF"/>
          <w:sz w:val="24"/>
          <w:szCs w:val="24"/>
          <w:lang w:val="en-GB"/>
        </w:rPr>
        <w:t xml:space="preserve"> </w:t>
      </w:r>
      <w:r w:rsidRPr="2B80BE1B" w:rsidR="19A1342B">
        <w:rPr>
          <w:rFonts w:ascii="Calibri" w:hAnsi="Calibri" w:eastAsia="Calibri" w:cs="Calibri"/>
          <w:i w:val="1"/>
          <w:iCs w:val="1"/>
          <w:noProof w:val="0"/>
          <w:color w:val="000000" w:themeColor="text1" w:themeTint="FF" w:themeShade="FF"/>
          <w:sz w:val="24"/>
          <w:szCs w:val="24"/>
          <w:lang w:val="en-GB"/>
        </w:rPr>
        <w:t>Health education research</w:t>
      </w:r>
      <w:r w:rsidRPr="2B80BE1B" w:rsidR="19A1342B">
        <w:rPr>
          <w:rFonts w:ascii="Calibri" w:hAnsi="Calibri" w:eastAsia="Calibri" w:cs="Calibri"/>
          <w:noProof w:val="0"/>
          <w:color w:val="000000" w:themeColor="text1" w:themeTint="FF" w:themeShade="FF"/>
          <w:sz w:val="24"/>
          <w:szCs w:val="24"/>
          <w:lang w:val="en-GB"/>
        </w:rPr>
        <w:t xml:space="preserve">, 19(3), </w:t>
      </w:r>
      <w:r w:rsidRPr="2B80BE1B" w:rsidR="19A1342B">
        <w:rPr>
          <w:rFonts w:ascii="Calibri" w:hAnsi="Calibri" w:eastAsia="Calibri" w:cs="Calibri"/>
          <w:noProof w:val="0"/>
          <w:color w:val="000000" w:themeColor="text1" w:themeTint="FF" w:themeShade="FF"/>
          <w:sz w:val="24"/>
          <w:szCs w:val="24"/>
          <w:lang w:val="en-GB"/>
        </w:rPr>
        <w:t>p.pp</w:t>
      </w:r>
      <w:r w:rsidRPr="2B80BE1B" w:rsidR="19A1342B">
        <w:rPr>
          <w:rFonts w:ascii="Calibri" w:hAnsi="Calibri" w:eastAsia="Calibri" w:cs="Calibri"/>
          <w:noProof w:val="0"/>
          <w:color w:val="000000" w:themeColor="text1" w:themeTint="FF" w:themeShade="FF"/>
          <w:sz w:val="24"/>
          <w:szCs w:val="24"/>
          <w:lang w:val="en-GB"/>
        </w:rPr>
        <w:t xml:space="preserve">. 261–271.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://doi.org/10.1093/her/cyg040..</w:t>
      </w:r>
    </w:p>
    <w:p w:rsidR="19A1342B" w:rsidP="2B80BE1B" w:rsidRDefault="19A1342B" w14:paraId="2FF00D6E" w14:textId="5BBD8DF3">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Bruner, J.S. and Olver, R.R. (1963). Development of Equivalence Transformations in Children. </w:t>
      </w:r>
      <w:r w:rsidRPr="2B80BE1B" w:rsidR="19A1342B">
        <w:rPr>
          <w:rFonts w:ascii="Calibri" w:hAnsi="Calibri" w:eastAsia="Calibri" w:cs="Calibri"/>
          <w:i w:val="1"/>
          <w:iCs w:val="1"/>
          <w:noProof w:val="0"/>
          <w:color w:val="000000" w:themeColor="text1" w:themeTint="FF" w:themeShade="FF"/>
          <w:sz w:val="24"/>
          <w:szCs w:val="24"/>
          <w:lang w:val="en-GB"/>
        </w:rPr>
        <w:t>Monographs of the Society for Research in Child Development</w:t>
      </w:r>
      <w:r w:rsidRPr="2B80BE1B" w:rsidR="19A1342B">
        <w:rPr>
          <w:rFonts w:ascii="Calibri" w:hAnsi="Calibri" w:eastAsia="Calibri" w:cs="Calibri"/>
          <w:noProof w:val="0"/>
          <w:color w:val="000000" w:themeColor="text1" w:themeTint="FF" w:themeShade="FF"/>
          <w:sz w:val="24"/>
          <w:szCs w:val="24"/>
          <w:lang w:val="en-GB"/>
        </w:rPr>
        <w:t xml:space="preserve">, 28(2), p.125.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://doi.org/10.2307/1165675.</w:t>
      </w:r>
    </w:p>
    <w:p w:rsidR="19A1342B" w:rsidP="2B80BE1B" w:rsidRDefault="19A1342B" w14:paraId="7C0F02EE" w14:textId="3898A890">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Chen, S.H., Cohodes, E., Bush, N.R. and Lieberman, A.F. (2020). Child and caregiver executive function in trauma-exposed families: Relations with children’s </w:t>
      </w:r>
      <w:r w:rsidRPr="2B80BE1B" w:rsidR="19A1342B">
        <w:rPr>
          <w:rFonts w:ascii="Calibri" w:hAnsi="Calibri" w:eastAsia="Calibri" w:cs="Calibri"/>
          <w:noProof w:val="0"/>
          <w:color w:val="000000" w:themeColor="text1" w:themeTint="FF" w:themeShade="FF"/>
          <w:sz w:val="24"/>
          <w:szCs w:val="24"/>
          <w:lang w:val="en-GB"/>
        </w:rPr>
        <w:t>behavioral</w:t>
      </w:r>
      <w:r w:rsidRPr="2B80BE1B" w:rsidR="19A1342B">
        <w:rPr>
          <w:rFonts w:ascii="Calibri" w:hAnsi="Calibri" w:eastAsia="Calibri" w:cs="Calibri"/>
          <w:noProof w:val="0"/>
          <w:color w:val="000000" w:themeColor="text1" w:themeTint="FF" w:themeShade="FF"/>
          <w:sz w:val="24"/>
          <w:szCs w:val="24"/>
          <w:lang w:val="en-GB"/>
        </w:rPr>
        <w:t xml:space="preserve"> and cognitive functioning. </w:t>
      </w:r>
      <w:r w:rsidRPr="2B80BE1B" w:rsidR="19A1342B">
        <w:rPr>
          <w:rFonts w:ascii="Calibri" w:hAnsi="Calibri" w:eastAsia="Calibri" w:cs="Calibri"/>
          <w:i w:val="1"/>
          <w:iCs w:val="1"/>
          <w:noProof w:val="0"/>
          <w:color w:val="000000" w:themeColor="text1" w:themeTint="FF" w:themeShade="FF"/>
          <w:sz w:val="24"/>
          <w:szCs w:val="24"/>
          <w:lang w:val="en-GB"/>
        </w:rPr>
        <w:t>Journal of Experimental Child Psychology</w:t>
      </w:r>
      <w:r w:rsidRPr="2B80BE1B" w:rsidR="19A1342B">
        <w:rPr>
          <w:rFonts w:ascii="Calibri" w:hAnsi="Calibri" w:eastAsia="Calibri" w:cs="Calibri"/>
          <w:noProof w:val="0"/>
          <w:color w:val="000000" w:themeColor="text1" w:themeTint="FF" w:themeShade="FF"/>
          <w:sz w:val="24"/>
          <w:szCs w:val="24"/>
          <w:lang w:val="en-GB"/>
        </w:rPr>
        <w:t xml:space="preserve">, 200(1), p.104946.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://doi.org/10.1016/j.jecp.2020.104946.</w:t>
      </w:r>
    </w:p>
    <w:p w:rsidR="19A1342B" w:rsidP="2B80BE1B" w:rsidRDefault="19A1342B" w14:paraId="51448FF4" w14:textId="6F6E895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Cherry, K. (2024). </w:t>
      </w:r>
      <w:r w:rsidRPr="2B80BE1B" w:rsidR="19A1342B">
        <w:rPr>
          <w:rFonts w:ascii="Calibri" w:hAnsi="Calibri" w:eastAsia="Calibri" w:cs="Calibri"/>
          <w:i w:val="1"/>
          <w:iCs w:val="1"/>
          <w:noProof w:val="0"/>
          <w:color w:val="000000" w:themeColor="text1" w:themeTint="FF" w:themeShade="FF"/>
          <w:sz w:val="24"/>
          <w:szCs w:val="24"/>
          <w:lang w:val="en-GB"/>
        </w:rPr>
        <w:t>Piaget’s 4 stages of cognitive development explained</w:t>
      </w:r>
      <w:r w:rsidRPr="2B80BE1B" w:rsidR="19A1342B">
        <w:rPr>
          <w:rFonts w:ascii="Calibri" w:hAnsi="Calibri" w:eastAsia="Calibri" w:cs="Calibri"/>
          <w:noProof w:val="0"/>
          <w:color w:val="000000" w:themeColor="text1" w:themeTint="FF" w:themeShade="FF"/>
          <w:sz w:val="24"/>
          <w:szCs w:val="24"/>
          <w:lang w:val="en-GB"/>
        </w:rPr>
        <w:t xml:space="preserve">. [online] </w:t>
      </w:r>
      <w:r w:rsidRPr="2B80BE1B" w:rsidR="19A1342B">
        <w:rPr>
          <w:rFonts w:ascii="Calibri" w:hAnsi="Calibri" w:eastAsia="Calibri" w:cs="Calibri"/>
          <w:noProof w:val="0"/>
          <w:color w:val="000000" w:themeColor="text1" w:themeTint="FF" w:themeShade="FF"/>
          <w:sz w:val="24"/>
          <w:szCs w:val="24"/>
          <w:lang w:val="en-GB"/>
        </w:rPr>
        <w:t>Verywell</w:t>
      </w:r>
      <w:r w:rsidRPr="2B80BE1B" w:rsidR="19A1342B">
        <w:rPr>
          <w:rFonts w:ascii="Calibri" w:hAnsi="Calibri" w:eastAsia="Calibri" w:cs="Calibri"/>
          <w:noProof w:val="0"/>
          <w:color w:val="000000" w:themeColor="text1" w:themeTint="FF" w:themeShade="FF"/>
          <w:sz w:val="24"/>
          <w:szCs w:val="24"/>
          <w:lang w:val="en-GB"/>
        </w:rPr>
        <w:t xml:space="preserve"> Mind. Available at: </w:t>
      </w:r>
      <w:hyperlink r:id="R11481e2cc0b747c9">
        <w:r w:rsidRPr="2B80BE1B" w:rsidR="19A1342B">
          <w:rPr>
            <w:rStyle w:val="Hyperlink"/>
            <w:rFonts w:ascii="Calibri" w:hAnsi="Calibri" w:eastAsia="Calibri" w:cs="Calibri"/>
            <w:noProof w:val="0"/>
            <w:sz w:val="24"/>
            <w:szCs w:val="24"/>
            <w:lang w:val="en-GB"/>
          </w:rPr>
          <w:t>https://www.verywellmind.com/piagets-stages-of-cognitive-development-2795457</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 [IMAGE].</w:t>
      </w:r>
    </w:p>
    <w:p w:rsidR="19A1342B" w:rsidP="2B80BE1B" w:rsidRDefault="19A1342B" w14:paraId="30424E52" w14:textId="4C110B7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Denise Roberts Boyd, Johnson, </w:t>
      </w:r>
      <w:r w:rsidRPr="2B80BE1B" w:rsidR="19A1342B">
        <w:rPr>
          <w:rFonts w:ascii="Calibri" w:hAnsi="Calibri" w:eastAsia="Calibri" w:cs="Calibri"/>
          <w:noProof w:val="0"/>
          <w:color w:val="000000" w:themeColor="text1" w:themeTint="FF" w:themeShade="FF"/>
          <w:sz w:val="24"/>
          <w:szCs w:val="24"/>
          <w:lang w:val="en-GB"/>
        </w:rPr>
        <w:t>P.A.</w:t>
      </w:r>
      <w:r w:rsidRPr="2B80BE1B" w:rsidR="19A1342B">
        <w:rPr>
          <w:rFonts w:ascii="Calibri" w:hAnsi="Calibri" w:eastAsia="Calibri" w:cs="Calibri"/>
          <w:noProof w:val="0"/>
          <w:color w:val="000000" w:themeColor="text1" w:themeTint="FF" w:themeShade="FF"/>
          <w:sz w:val="24"/>
          <w:szCs w:val="24"/>
          <w:lang w:val="en-GB"/>
        </w:rPr>
        <w:t xml:space="preserve"> and Bee, H.L. (2017). </w:t>
      </w:r>
      <w:r w:rsidRPr="2B80BE1B" w:rsidR="19A1342B">
        <w:rPr>
          <w:rFonts w:ascii="Calibri" w:hAnsi="Calibri" w:eastAsia="Calibri" w:cs="Calibri"/>
          <w:i w:val="1"/>
          <w:iCs w:val="1"/>
          <w:noProof w:val="0"/>
          <w:color w:val="000000" w:themeColor="text1" w:themeTint="FF" w:themeShade="FF"/>
          <w:sz w:val="24"/>
          <w:szCs w:val="24"/>
          <w:lang w:val="en-GB"/>
        </w:rPr>
        <w:t>Lifespan development</w:t>
      </w:r>
      <w:r w:rsidRPr="2B80BE1B" w:rsidR="19A1342B">
        <w:rPr>
          <w:rFonts w:ascii="Calibri" w:hAnsi="Calibri" w:eastAsia="Calibri" w:cs="Calibri"/>
          <w:noProof w:val="0"/>
          <w:color w:val="000000" w:themeColor="text1" w:themeTint="FF" w:themeShade="FF"/>
          <w:sz w:val="24"/>
          <w:szCs w:val="24"/>
          <w:lang w:val="en-GB"/>
        </w:rPr>
        <w:t>. Toronto: Pearson Canada Inc.</w:t>
      </w:r>
    </w:p>
    <w:p w:rsidR="19A1342B" w:rsidP="2B80BE1B" w:rsidRDefault="19A1342B" w14:paraId="7025C925" w14:textId="1CB7FF73">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Department for Education (2015). </w:t>
      </w:r>
      <w:r w:rsidRPr="2B80BE1B" w:rsidR="19A1342B">
        <w:rPr>
          <w:rFonts w:ascii="Calibri" w:hAnsi="Calibri" w:eastAsia="Calibri" w:cs="Calibri"/>
          <w:i w:val="1"/>
          <w:iCs w:val="1"/>
          <w:noProof w:val="0"/>
          <w:color w:val="000000" w:themeColor="text1" w:themeTint="FF" w:themeShade="FF"/>
          <w:sz w:val="24"/>
          <w:szCs w:val="24"/>
          <w:lang w:val="en-GB"/>
        </w:rPr>
        <w:t>Special Educational Needs and Disability Code of Practice: 0 to 25 Years</w:t>
      </w:r>
      <w:r w:rsidRPr="2B80BE1B" w:rsidR="19A1342B">
        <w:rPr>
          <w:rFonts w:ascii="Calibri" w:hAnsi="Calibri" w:eastAsia="Calibri" w:cs="Calibri"/>
          <w:noProof w:val="0"/>
          <w:color w:val="000000" w:themeColor="text1" w:themeTint="FF" w:themeShade="FF"/>
          <w:sz w:val="24"/>
          <w:szCs w:val="24"/>
          <w:lang w:val="en-GB"/>
        </w:rPr>
        <w:t xml:space="preserve">. [online] </w:t>
      </w:r>
      <w:r w:rsidRPr="2B80BE1B" w:rsidR="19A1342B">
        <w:rPr>
          <w:rFonts w:ascii="Calibri" w:hAnsi="Calibri" w:eastAsia="Calibri" w:cs="Calibri"/>
          <w:i w:val="1"/>
          <w:iCs w:val="1"/>
          <w:noProof w:val="0"/>
          <w:color w:val="000000" w:themeColor="text1" w:themeTint="FF" w:themeShade="FF"/>
          <w:sz w:val="24"/>
          <w:szCs w:val="24"/>
          <w:lang w:val="en-GB"/>
        </w:rPr>
        <w:t>GOV.UK</w:t>
      </w:r>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9e3894420dfd47a1">
        <w:r w:rsidRPr="2B80BE1B" w:rsidR="19A1342B">
          <w:rPr>
            <w:rStyle w:val="Hyperlink"/>
            <w:rFonts w:ascii="Calibri" w:hAnsi="Calibri" w:eastAsia="Calibri" w:cs="Calibri"/>
            <w:noProof w:val="0"/>
            <w:sz w:val="24"/>
            <w:szCs w:val="24"/>
            <w:lang w:val="en-GB"/>
          </w:rPr>
          <w:t>https://assets.publishing.service.gov.uk/media/5a7dcb85ed915d2ac884d995/SEND_Code_of_Practice_January_2015.pdf</w:t>
        </w:r>
      </w:hyperlink>
      <w:r w:rsidRPr="2B80BE1B" w:rsidR="19A1342B">
        <w:rPr>
          <w:rFonts w:ascii="Calibri" w:hAnsi="Calibri" w:eastAsia="Calibri" w:cs="Calibri"/>
          <w:noProof w:val="0"/>
          <w:color w:val="000000" w:themeColor="text1" w:themeTint="FF" w:themeShade="FF"/>
          <w:sz w:val="24"/>
          <w:szCs w:val="24"/>
          <w:lang w:val="en-GB"/>
        </w:rPr>
        <w:t xml:space="preserve"> [Accessed 16 Feb. 2026].</w:t>
      </w:r>
    </w:p>
    <w:p w:rsidR="19A1342B" w:rsidP="2B80BE1B" w:rsidRDefault="19A1342B" w14:paraId="54302E7B" w14:textId="1066B51E">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Doolin, E. (2020). </w:t>
      </w:r>
      <w:r w:rsidRPr="2B80BE1B" w:rsidR="19A1342B">
        <w:rPr>
          <w:rFonts w:ascii="Calibri" w:hAnsi="Calibri" w:eastAsia="Calibri" w:cs="Calibri"/>
          <w:i w:val="1"/>
          <w:iCs w:val="1"/>
          <w:noProof w:val="0"/>
          <w:color w:val="000000" w:themeColor="text1" w:themeTint="FF" w:themeShade="FF"/>
          <w:sz w:val="24"/>
          <w:szCs w:val="24"/>
          <w:lang w:val="en-GB"/>
        </w:rPr>
        <w:t>Psychology of Education</w:t>
      </w:r>
      <w:r w:rsidRPr="2B80BE1B" w:rsidR="19A1342B">
        <w:rPr>
          <w:rFonts w:ascii="Calibri" w:hAnsi="Calibri" w:eastAsia="Calibri" w:cs="Calibri"/>
          <w:noProof w:val="0"/>
          <w:color w:val="000000" w:themeColor="text1" w:themeTint="FF" w:themeShade="FF"/>
          <w:sz w:val="24"/>
          <w:szCs w:val="24"/>
          <w:lang w:val="en-GB"/>
        </w:rPr>
        <w:t xml:space="preserve">. [online] Teacher Eimear. Available at: </w:t>
      </w:r>
      <w:hyperlink r:id="R27adbef588d74a6a">
        <w:r w:rsidRPr="2B80BE1B" w:rsidR="19A1342B">
          <w:rPr>
            <w:rStyle w:val="Hyperlink"/>
            <w:rFonts w:ascii="Calibri" w:hAnsi="Calibri" w:eastAsia="Calibri" w:cs="Calibri"/>
            <w:noProof w:val="0"/>
            <w:sz w:val="24"/>
            <w:szCs w:val="24"/>
            <w:lang w:val="en-GB"/>
          </w:rPr>
          <w:t>https://eimeardoolin.wordpress.com/psychology-of-education/</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 [IMAGE].</w:t>
      </w:r>
    </w:p>
    <w:p w:rsidR="19A1342B" w:rsidP="2B80BE1B" w:rsidRDefault="19A1342B" w14:paraId="6FADA052" w14:textId="5B95F7DA">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Early Years Foundation (2025). </w:t>
      </w:r>
      <w:r w:rsidRPr="2B80BE1B" w:rsidR="19A1342B">
        <w:rPr>
          <w:rFonts w:ascii="Calibri" w:hAnsi="Calibri" w:eastAsia="Calibri" w:cs="Calibri"/>
          <w:i w:val="1"/>
          <w:iCs w:val="1"/>
          <w:noProof w:val="0"/>
          <w:color w:val="000000" w:themeColor="text1" w:themeTint="FF" w:themeShade="FF"/>
          <w:sz w:val="24"/>
          <w:szCs w:val="24"/>
          <w:lang w:val="en-GB"/>
        </w:rPr>
        <w:t xml:space="preserve">Early years foundation stage statutory framework </w:t>
      </w:r>
      <w:r w:rsidRPr="2B80BE1B" w:rsidR="19A1342B">
        <w:rPr>
          <w:rFonts w:ascii="Calibri" w:hAnsi="Calibri" w:eastAsia="Calibri" w:cs="Calibri"/>
          <w:i w:val="1"/>
          <w:iCs w:val="1"/>
          <w:noProof w:val="0"/>
          <w:color w:val="000000" w:themeColor="text1" w:themeTint="FF" w:themeShade="FF"/>
          <w:sz w:val="24"/>
          <w:szCs w:val="24"/>
          <w:lang w:val="en-GB"/>
        </w:rPr>
        <w:t>For</w:t>
      </w:r>
      <w:r w:rsidRPr="2B80BE1B" w:rsidR="19A1342B">
        <w:rPr>
          <w:rFonts w:ascii="Calibri" w:hAnsi="Calibri" w:eastAsia="Calibri" w:cs="Calibri"/>
          <w:i w:val="1"/>
          <w:iCs w:val="1"/>
          <w:noProof w:val="0"/>
          <w:color w:val="000000" w:themeColor="text1" w:themeTint="FF" w:themeShade="FF"/>
          <w:sz w:val="24"/>
          <w:szCs w:val="24"/>
          <w:lang w:val="en-GB"/>
        </w:rPr>
        <w:t xml:space="preserve"> group and school-based providers Setting the standards for learning, </w:t>
      </w:r>
      <w:r w:rsidRPr="2B80BE1B" w:rsidR="19A1342B">
        <w:rPr>
          <w:rFonts w:ascii="Calibri" w:hAnsi="Calibri" w:eastAsia="Calibri" w:cs="Calibri"/>
          <w:i w:val="1"/>
          <w:iCs w:val="1"/>
          <w:noProof w:val="0"/>
          <w:color w:val="000000" w:themeColor="text1" w:themeTint="FF" w:themeShade="FF"/>
          <w:sz w:val="24"/>
          <w:szCs w:val="24"/>
          <w:lang w:val="en-GB"/>
        </w:rPr>
        <w:t>development</w:t>
      </w:r>
      <w:r w:rsidRPr="2B80BE1B" w:rsidR="19A1342B">
        <w:rPr>
          <w:rFonts w:ascii="Calibri" w:hAnsi="Calibri" w:eastAsia="Calibri" w:cs="Calibri"/>
          <w:i w:val="1"/>
          <w:iCs w:val="1"/>
          <w:noProof w:val="0"/>
          <w:color w:val="000000" w:themeColor="text1" w:themeTint="FF" w:themeShade="FF"/>
          <w:sz w:val="24"/>
          <w:szCs w:val="24"/>
          <w:lang w:val="en-GB"/>
        </w:rPr>
        <w:t xml:space="preserve"> and care for children from birth to five</w:t>
      </w:r>
      <w:r w:rsidRPr="2B80BE1B" w:rsidR="19A1342B">
        <w:rPr>
          <w:rFonts w:ascii="Calibri" w:hAnsi="Calibri" w:eastAsia="Calibri" w:cs="Calibri"/>
          <w:noProof w:val="0"/>
          <w:color w:val="000000" w:themeColor="text1" w:themeTint="FF" w:themeShade="FF"/>
          <w:sz w:val="24"/>
          <w:szCs w:val="24"/>
          <w:lang w:val="en-GB"/>
        </w:rPr>
        <w:t xml:space="preserve">. [online] Department for Education. Available at: </w:t>
      </w:r>
      <w:hyperlink r:id="R6caf1487f5d44bdb">
        <w:r w:rsidRPr="2B80BE1B" w:rsidR="19A1342B">
          <w:rPr>
            <w:rStyle w:val="Hyperlink"/>
            <w:rFonts w:ascii="Calibri" w:hAnsi="Calibri" w:eastAsia="Calibri" w:cs="Calibri"/>
            <w:noProof w:val="0"/>
            <w:sz w:val="24"/>
            <w:szCs w:val="24"/>
            <w:lang w:val="en-GB"/>
          </w:rPr>
          <w:t>https://assets.publishing.service.gov.uk/media/68c024cb8c6d992f23edd79c/Early_years_foundation_stage_statutory_framework_-_for_group_and_school-based_providers.pdf.pdf</w:t>
        </w:r>
      </w:hyperlink>
      <w:r w:rsidRPr="2B80BE1B" w:rsidR="19A1342B">
        <w:rPr>
          <w:rFonts w:ascii="Calibri" w:hAnsi="Calibri" w:eastAsia="Calibri" w:cs="Calibri"/>
          <w:noProof w:val="0"/>
          <w:color w:val="000000" w:themeColor="text1" w:themeTint="FF" w:themeShade="FF"/>
          <w:sz w:val="24"/>
          <w:szCs w:val="24"/>
          <w:lang w:val="en-GB"/>
        </w:rPr>
        <w:t>.</w:t>
      </w:r>
    </w:p>
    <w:p w:rsidR="19A1342B" w:rsidP="2B80BE1B" w:rsidRDefault="19A1342B" w14:paraId="27B6BF78" w14:textId="411B145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Edward, D. (2026). </w:t>
      </w:r>
      <w:r w:rsidRPr="2B80BE1B" w:rsidR="19A1342B">
        <w:rPr>
          <w:rFonts w:ascii="Calibri" w:hAnsi="Calibri" w:eastAsia="Calibri" w:cs="Calibri"/>
          <w:i w:val="1"/>
          <w:iCs w:val="1"/>
          <w:noProof w:val="0"/>
          <w:color w:val="000000" w:themeColor="text1" w:themeTint="FF" w:themeShade="FF"/>
          <w:sz w:val="24"/>
          <w:szCs w:val="24"/>
          <w:lang w:val="en-GB"/>
        </w:rPr>
        <w:t>The Strange Situation - Mary Ainsworth</w:t>
      </w:r>
      <w:r w:rsidRPr="2B80BE1B" w:rsidR="19A1342B">
        <w:rPr>
          <w:rFonts w:ascii="Calibri" w:hAnsi="Calibri" w:eastAsia="Calibri" w:cs="Calibri"/>
          <w:noProof w:val="0"/>
          <w:color w:val="000000" w:themeColor="text1" w:themeTint="FF" w:themeShade="FF"/>
          <w:sz w:val="24"/>
          <w:szCs w:val="24"/>
          <w:lang w:val="en-GB"/>
        </w:rPr>
        <w:t xml:space="preserve">. [online] Youtu.be. Available at: </w:t>
      </w:r>
      <w:hyperlink r:id="Re275c9ed77f54d70">
        <w:r w:rsidRPr="2B80BE1B" w:rsidR="19A1342B">
          <w:rPr>
            <w:rStyle w:val="Hyperlink"/>
            <w:rFonts w:ascii="Calibri" w:hAnsi="Calibri" w:eastAsia="Calibri" w:cs="Calibri"/>
            <w:noProof w:val="0"/>
            <w:sz w:val="24"/>
            <w:szCs w:val="24"/>
            <w:lang w:val="en-GB"/>
          </w:rPr>
          <w:t>https://youtu.be/m_6rQk7jlrc?si=g63cuj_HUaKM-Xyq</w:t>
        </w:r>
      </w:hyperlink>
      <w:r w:rsidRPr="2B80BE1B" w:rsidR="19A1342B">
        <w:rPr>
          <w:rFonts w:ascii="Calibri" w:hAnsi="Calibri" w:eastAsia="Calibri" w:cs="Calibri"/>
          <w:noProof w:val="0"/>
          <w:color w:val="000000" w:themeColor="text1" w:themeTint="FF" w:themeShade="FF"/>
          <w:sz w:val="24"/>
          <w:szCs w:val="24"/>
          <w:lang w:val="en-GB"/>
        </w:rPr>
        <w:t xml:space="preserve"> [Accessed 16 Feb. 2026].</w:t>
      </w:r>
    </w:p>
    <w:p w:rsidR="19A1342B" w:rsidP="2B80BE1B" w:rsidRDefault="19A1342B" w14:paraId="35FA89BA" w14:textId="0933D2B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Elaine, </w:t>
      </w:r>
      <w:r w:rsidRPr="2B80BE1B" w:rsidR="19A1342B">
        <w:rPr>
          <w:rFonts w:ascii="Calibri" w:hAnsi="Calibri" w:eastAsia="Calibri" w:cs="Calibri"/>
          <w:noProof w:val="0"/>
          <w:color w:val="000000" w:themeColor="text1" w:themeTint="FF" w:themeShade="FF"/>
          <w:sz w:val="24"/>
          <w:szCs w:val="24"/>
          <w:lang w:val="en-GB"/>
        </w:rPr>
        <w:t>susan</w:t>
      </w:r>
      <w:r w:rsidRPr="2B80BE1B" w:rsidR="19A1342B">
        <w:rPr>
          <w:rFonts w:ascii="Calibri" w:hAnsi="Calibri" w:eastAsia="Calibri" w:cs="Calibri"/>
          <w:noProof w:val="0"/>
          <w:color w:val="000000" w:themeColor="text1" w:themeTint="FF" w:themeShade="FF"/>
          <w:sz w:val="24"/>
          <w:szCs w:val="24"/>
          <w:lang w:val="en-GB"/>
        </w:rPr>
        <w:t xml:space="preserve"> and ward (1990). Characterizing Adolescent Eating </w:t>
      </w:r>
      <w:r w:rsidRPr="2B80BE1B" w:rsidR="19A1342B">
        <w:rPr>
          <w:rFonts w:ascii="Calibri" w:hAnsi="Calibri" w:eastAsia="Calibri" w:cs="Calibri"/>
          <w:noProof w:val="0"/>
          <w:color w:val="000000" w:themeColor="text1" w:themeTint="FF" w:themeShade="FF"/>
          <w:sz w:val="24"/>
          <w:szCs w:val="24"/>
          <w:lang w:val="en-GB"/>
        </w:rPr>
        <w:t>Behaviors</w:t>
      </w:r>
      <w:r w:rsidRPr="2B80BE1B" w:rsidR="19A1342B">
        <w:rPr>
          <w:rFonts w:ascii="Calibri" w:hAnsi="Calibri" w:eastAsia="Calibri" w:cs="Calibri"/>
          <w:noProof w:val="0"/>
          <w:color w:val="000000" w:themeColor="text1" w:themeTint="FF" w:themeShade="FF"/>
          <w:sz w:val="24"/>
          <w:szCs w:val="24"/>
          <w:lang w:val="en-GB"/>
        </w:rPr>
        <w:t xml:space="preserve"> with Bandura’s Social Learning Theory.</w:t>
      </w:r>
    </w:p>
    <w:p w:rsidR="19A1342B" w:rsidP="2B80BE1B" w:rsidRDefault="19A1342B" w14:paraId="70D1A69D" w14:textId="6C01892E">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Food Standards Agency (2020). </w:t>
      </w:r>
      <w:r w:rsidRPr="2B80BE1B" w:rsidR="19A1342B">
        <w:rPr>
          <w:rFonts w:ascii="Calibri" w:hAnsi="Calibri" w:eastAsia="Calibri" w:cs="Calibri"/>
          <w:i w:val="1"/>
          <w:iCs w:val="1"/>
          <w:noProof w:val="0"/>
          <w:color w:val="000000" w:themeColor="text1" w:themeTint="FF" w:themeShade="FF"/>
          <w:sz w:val="24"/>
          <w:szCs w:val="24"/>
          <w:lang w:val="en-GB"/>
        </w:rPr>
        <w:t>The Eatwell Guide and Resources</w:t>
      </w:r>
      <w:r w:rsidRPr="2B80BE1B" w:rsidR="19A1342B">
        <w:rPr>
          <w:rFonts w:ascii="Calibri" w:hAnsi="Calibri" w:eastAsia="Calibri" w:cs="Calibri"/>
          <w:noProof w:val="0"/>
          <w:color w:val="000000" w:themeColor="text1" w:themeTint="FF" w:themeShade="FF"/>
          <w:sz w:val="24"/>
          <w:szCs w:val="24"/>
          <w:lang w:val="en-GB"/>
        </w:rPr>
        <w:t xml:space="preserve">. [online] Food Standards Agency. Available at: </w:t>
      </w:r>
      <w:hyperlink r:id="R54e7b43a35814772">
        <w:r w:rsidRPr="2B80BE1B" w:rsidR="19A1342B">
          <w:rPr>
            <w:rStyle w:val="Hyperlink"/>
            <w:rFonts w:ascii="Calibri" w:hAnsi="Calibri" w:eastAsia="Calibri" w:cs="Calibri"/>
            <w:noProof w:val="0"/>
            <w:sz w:val="24"/>
            <w:szCs w:val="24"/>
            <w:lang w:val="en-GB"/>
          </w:rPr>
          <w:t>https://www.food.gov.uk/business-guidance/the-eatwell-guide-and-resources</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 [IMAGE].</w:t>
      </w:r>
    </w:p>
    <w:p w:rsidR="19A1342B" w:rsidP="2B80BE1B" w:rsidRDefault="19A1342B" w14:paraId="090EC39E" w14:textId="46FB36B0">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Goldberg, S. (2014). </w:t>
      </w:r>
      <w:r w:rsidRPr="2B80BE1B" w:rsidR="19A1342B">
        <w:rPr>
          <w:rFonts w:ascii="Calibri" w:hAnsi="Calibri" w:eastAsia="Calibri" w:cs="Calibri"/>
          <w:i w:val="1"/>
          <w:iCs w:val="1"/>
          <w:noProof w:val="0"/>
          <w:color w:val="000000" w:themeColor="text1" w:themeTint="FF" w:themeShade="FF"/>
          <w:sz w:val="24"/>
          <w:szCs w:val="24"/>
          <w:lang w:val="en-GB"/>
        </w:rPr>
        <w:t>Texts in Developmental Psychology Attachment and Development.</w:t>
      </w:r>
      <w:r w:rsidRPr="2B80BE1B" w:rsidR="19A1342B">
        <w:rPr>
          <w:rFonts w:ascii="Calibri" w:hAnsi="Calibri" w:eastAsia="Calibri" w:cs="Calibri"/>
          <w:noProof w:val="0"/>
          <w:color w:val="000000" w:themeColor="text1" w:themeTint="FF" w:themeShade="FF"/>
          <w:sz w:val="24"/>
          <w:szCs w:val="24"/>
          <w:lang w:val="en-GB"/>
        </w:rPr>
        <w:t xml:space="preserve"> Hodder </w:t>
      </w:r>
      <w:r w:rsidRPr="2B80BE1B" w:rsidR="19A1342B">
        <w:rPr>
          <w:rFonts w:ascii="Calibri" w:hAnsi="Calibri" w:eastAsia="Calibri" w:cs="Calibri"/>
          <w:noProof w:val="0"/>
          <w:color w:val="000000" w:themeColor="text1" w:themeTint="FF" w:themeShade="FF"/>
          <w:sz w:val="24"/>
          <w:szCs w:val="24"/>
          <w:lang w:val="en-GB"/>
        </w:rPr>
        <w:t>Education .</w:t>
      </w:r>
    </w:p>
    <w:p w:rsidR="19A1342B" w:rsidP="2B80BE1B" w:rsidRDefault="19A1342B" w14:paraId="37082CA3" w14:textId="2BACB0BA">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Gov.uk (2021). </w:t>
      </w:r>
      <w:r w:rsidRPr="2B80BE1B" w:rsidR="19A1342B">
        <w:rPr>
          <w:rFonts w:ascii="Calibri" w:hAnsi="Calibri" w:eastAsia="Calibri" w:cs="Calibri"/>
          <w:i w:val="1"/>
          <w:iCs w:val="1"/>
          <w:noProof w:val="0"/>
          <w:color w:val="000000" w:themeColor="text1" w:themeTint="FF" w:themeShade="FF"/>
          <w:sz w:val="24"/>
          <w:szCs w:val="24"/>
          <w:lang w:val="en-GB"/>
        </w:rPr>
        <w:t xml:space="preserve">The children act 1989 guidance and regulations volume 2: Care planning, </w:t>
      </w:r>
      <w:r w:rsidRPr="2B80BE1B" w:rsidR="19A1342B">
        <w:rPr>
          <w:rFonts w:ascii="Calibri" w:hAnsi="Calibri" w:eastAsia="Calibri" w:cs="Calibri"/>
          <w:i w:val="1"/>
          <w:iCs w:val="1"/>
          <w:noProof w:val="0"/>
          <w:color w:val="000000" w:themeColor="text1" w:themeTint="FF" w:themeShade="FF"/>
          <w:sz w:val="24"/>
          <w:szCs w:val="24"/>
          <w:lang w:val="en-GB"/>
        </w:rPr>
        <w:t>placement</w:t>
      </w:r>
      <w:r w:rsidRPr="2B80BE1B" w:rsidR="19A1342B">
        <w:rPr>
          <w:rFonts w:ascii="Calibri" w:hAnsi="Calibri" w:eastAsia="Calibri" w:cs="Calibri"/>
          <w:i w:val="1"/>
          <w:iCs w:val="1"/>
          <w:noProof w:val="0"/>
          <w:color w:val="000000" w:themeColor="text1" w:themeTint="FF" w:themeShade="FF"/>
          <w:sz w:val="24"/>
          <w:szCs w:val="24"/>
          <w:lang w:val="en-GB"/>
        </w:rPr>
        <w:t xml:space="preserve"> and case review</w:t>
      </w:r>
      <w:r w:rsidRPr="2B80BE1B" w:rsidR="19A1342B">
        <w:rPr>
          <w:rFonts w:ascii="Calibri" w:hAnsi="Calibri" w:eastAsia="Calibri" w:cs="Calibri"/>
          <w:noProof w:val="0"/>
          <w:color w:val="000000" w:themeColor="text1" w:themeTint="FF" w:themeShade="FF"/>
          <w:sz w:val="24"/>
          <w:szCs w:val="24"/>
          <w:lang w:val="en-GB"/>
        </w:rPr>
        <w:t xml:space="preserve">. [online] Available at: </w:t>
      </w:r>
      <w:hyperlink r:id="Ra3a6c0adb47b4183">
        <w:r w:rsidRPr="2B80BE1B" w:rsidR="19A1342B">
          <w:rPr>
            <w:rStyle w:val="Hyperlink"/>
            <w:rFonts w:ascii="Calibri" w:hAnsi="Calibri" w:eastAsia="Calibri" w:cs="Calibri"/>
            <w:noProof w:val="0"/>
            <w:sz w:val="24"/>
            <w:szCs w:val="24"/>
            <w:lang w:val="en-GB"/>
          </w:rPr>
          <w:t>https://assets.publishing.service.gov.uk/media/60e6fb43d3bf7f56896127e5/The_Children_Act_1989_guidance_and_regulations_Volume_2_care_planning__placement_and_case_review.pdf</w:t>
        </w:r>
      </w:hyperlink>
      <w:r w:rsidRPr="2B80BE1B" w:rsidR="19A1342B">
        <w:rPr>
          <w:rFonts w:ascii="Calibri" w:hAnsi="Calibri" w:eastAsia="Calibri" w:cs="Calibri"/>
          <w:noProof w:val="0"/>
          <w:color w:val="000000" w:themeColor="text1" w:themeTint="FF" w:themeShade="FF"/>
          <w:sz w:val="24"/>
          <w:szCs w:val="24"/>
          <w:lang w:val="en-GB"/>
        </w:rPr>
        <w:t xml:space="preserve"> [Accessed 16 Feb. 2026].</w:t>
      </w:r>
    </w:p>
    <w:p w:rsidR="19A1342B" w:rsidP="2B80BE1B" w:rsidRDefault="19A1342B" w14:paraId="1EFE4DDC" w14:textId="461F651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Gov.uk (2022). </w:t>
      </w:r>
      <w:r w:rsidRPr="2B80BE1B" w:rsidR="19A1342B">
        <w:rPr>
          <w:rFonts w:ascii="Calibri" w:hAnsi="Calibri" w:eastAsia="Calibri" w:cs="Calibri"/>
          <w:i w:val="1"/>
          <w:iCs w:val="1"/>
          <w:noProof w:val="0"/>
          <w:color w:val="000000" w:themeColor="text1" w:themeTint="FF" w:themeShade="FF"/>
          <w:sz w:val="24"/>
          <w:szCs w:val="24"/>
          <w:lang w:val="en-GB"/>
        </w:rPr>
        <w:t>School Meals - Food Standards</w:t>
      </w:r>
      <w:r w:rsidRPr="2B80BE1B" w:rsidR="19A1342B">
        <w:rPr>
          <w:rFonts w:ascii="Calibri" w:hAnsi="Calibri" w:eastAsia="Calibri" w:cs="Calibri"/>
          <w:noProof w:val="0"/>
          <w:color w:val="000000" w:themeColor="text1" w:themeTint="FF" w:themeShade="FF"/>
          <w:sz w:val="24"/>
          <w:szCs w:val="24"/>
          <w:lang w:val="en-GB"/>
        </w:rPr>
        <w:t xml:space="preserve">. [online] GOV.UK. Available at: </w:t>
      </w:r>
      <w:hyperlink r:id="Rf91c011763d041f6">
        <w:r w:rsidRPr="2B80BE1B" w:rsidR="19A1342B">
          <w:rPr>
            <w:rStyle w:val="Hyperlink"/>
            <w:rFonts w:ascii="Calibri" w:hAnsi="Calibri" w:eastAsia="Calibri" w:cs="Calibri"/>
            <w:noProof w:val="0"/>
            <w:sz w:val="24"/>
            <w:szCs w:val="24"/>
            <w:lang w:val="en-GB"/>
          </w:rPr>
          <w:t>https://www.gov.uk/school-meals-food-standards</w:t>
        </w:r>
      </w:hyperlink>
      <w:r w:rsidRPr="2B80BE1B" w:rsidR="19A1342B">
        <w:rPr>
          <w:rFonts w:ascii="Calibri" w:hAnsi="Calibri" w:eastAsia="Calibri" w:cs="Calibri"/>
          <w:noProof w:val="0"/>
          <w:color w:val="000000" w:themeColor="text1" w:themeTint="FF" w:themeShade="FF"/>
          <w:sz w:val="24"/>
          <w:szCs w:val="24"/>
          <w:lang w:val="en-GB"/>
        </w:rPr>
        <w:t xml:space="preserve"> [Accessed 10 Feb. 2026].</w:t>
      </w:r>
    </w:p>
    <w:p w:rsidR="19A1342B" w:rsidP="2B80BE1B" w:rsidRDefault="19A1342B" w14:paraId="65A093A5" w14:textId="5C8B1E6D">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Halpenny, A.M. and Pettersen, J. (2013). </w:t>
      </w:r>
      <w:r w:rsidRPr="2B80BE1B" w:rsidR="19A1342B">
        <w:rPr>
          <w:rFonts w:ascii="Calibri" w:hAnsi="Calibri" w:eastAsia="Calibri" w:cs="Calibri"/>
          <w:i w:val="1"/>
          <w:iCs w:val="1"/>
          <w:noProof w:val="0"/>
          <w:color w:val="000000" w:themeColor="text1" w:themeTint="FF" w:themeShade="FF"/>
          <w:sz w:val="24"/>
          <w:szCs w:val="24"/>
          <w:lang w:val="en-GB"/>
        </w:rPr>
        <w:t>Introducing Piaget</w:t>
      </w:r>
      <w:r w:rsidRPr="2B80BE1B" w:rsidR="19A1342B">
        <w:rPr>
          <w:rFonts w:ascii="Calibri" w:hAnsi="Calibri" w:eastAsia="Calibri" w:cs="Calibri"/>
          <w:noProof w:val="0"/>
          <w:color w:val="000000" w:themeColor="text1" w:themeTint="FF" w:themeShade="FF"/>
          <w:sz w:val="24"/>
          <w:szCs w:val="24"/>
          <w:lang w:val="en-GB"/>
        </w:rPr>
        <w:t xml:space="preserve">. Routledge.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://doi.org/10.4324/9780203111895.</w:t>
      </w:r>
    </w:p>
    <w:p w:rsidR="19A1342B" w:rsidP="2B80BE1B" w:rsidRDefault="19A1342B" w14:paraId="07E6DCA0" w14:textId="4E8C49D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Han, Y., Syed Ali, S.K.B. and Ji, L. (2022). ‘Use of Observational Learning to Promote Motor Skill Learning in Physical Education: A Systematic Review,’ International journal of environmental research and public health, 19(16), p. 10109. Available at: </w:t>
      </w:r>
      <w:hyperlink r:id="R55e7a8104bd34093">
        <w:r w:rsidRPr="2B80BE1B" w:rsidR="19A1342B">
          <w:rPr>
            <w:rStyle w:val="Hyperlink"/>
            <w:rFonts w:ascii="Calibri" w:hAnsi="Calibri" w:eastAsia="Calibri" w:cs="Calibri"/>
            <w:noProof w:val="0"/>
            <w:sz w:val="24"/>
            <w:szCs w:val="24"/>
            <w:lang w:val="en-GB"/>
          </w:rPr>
          <w:t>https://doi.org/10.3390/ijerph191610109</w:t>
        </w:r>
      </w:hyperlink>
      <w:r w:rsidRPr="2B80BE1B" w:rsidR="19A1342B">
        <w:rPr>
          <w:rFonts w:ascii="Calibri" w:hAnsi="Calibri" w:eastAsia="Calibri" w:cs="Calibri"/>
          <w:noProof w:val="0"/>
          <w:color w:val="000000" w:themeColor="text1" w:themeTint="FF" w:themeShade="FF"/>
          <w:sz w:val="24"/>
          <w:szCs w:val="24"/>
          <w:lang w:val="en-GB"/>
        </w:rPr>
        <w:t>. .</w:t>
      </w:r>
    </w:p>
    <w:p w:rsidR="19A1342B" w:rsidP="2B80BE1B" w:rsidRDefault="19A1342B" w14:paraId="6024AAAC" w14:textId="71889F61">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Honig, A.S. (1975). </w:t>
      </w:r>
      <w:r w:rsidRPr="2B80BE1B" w:rsidR="19A1342B">
        <w:rPr>
          <w:rFonts w:ascii="Calibri" w:hAnsi="Calibri" w:eastAsia="Calibri" w:cs="Calibri"/>
          <w:i w:val="1"/>
          <w:iCs w:val="1"/>
          <w:noProof w:val="0"/>
          <w:color w:val="000000" w:themeColor="text1" w:themeTint="FF" w:themeShade="FF"/>
          <w:sz w:val="24"/>
          <w:szCs w:val="24"/>
          <w:lang w:val="en-GB"/>
        </w:rPr>
        <w:t>Parent Involvement in Early Childhood Education</w:t>
      </w:r>
      <w:r w:rsidRPr="2B80BE1B" w:rsidR="19A1342B">
        <w:rPr>
          <w:rFonts w:ascii="Calibri" w:hAnsi="Calibri" w:eastAsia="Calibri" w:cs="Calibri"/>
          <w:noProof w:val="0"/>
          <w:color w:val="000000" w:themeColor="text1" w:themeTint="FF" w:themeShade="FF"/>
          <w:sz w:val="24"/>
          <w:szCs w:val="24"/>
          <w:lang w:val="en-GB"/>
        </w:rPr>
        <w:t xml:space="preserve">. </w:t>
      </w:r>
      <w:r w:rsidRPr="2B80BE1B" w:rsidR="19A1342B">
        <w:rPr>
          <w:rFonts w:ascii="Calibri" w:hAnsi="Calibri" w:eastAsia="Calibri" w:cs="Calibri"/>
          <w:noProof w:val="0"/>
          <w:color w:val="000000" w:themeColor="text1" w:themeTint="FF" w:themeShade="FF"/>
          <w:sz w:val="24"/>
          <w:szCs w:val="24"/>
          <w:lang w:val="en-GB"/>
        </w:rPr>
        <w:t>Washington :</w:t>
      </w:r>
      <w:r w:rsidRPr="2B80BE1B" w:rsidR="19A1342B">
        <w:rPr>
          <w:rFonts w:ascii="Calibri" w:hAnsi="Calibri" w:eastAsia="Calibri" w:cs="Calibri"/>
          <w:noProof w:val="0"/>
          <w:color w:val="000000" w:themeColor="text1" w:themeTint="FF" w:themeShade="FF"/>
          <w:sz w:val="24"/>
          <w:szCs w:val="24"/>
          <w:lang w:val="en-GB"/>
        </w:rPr>
        <w:t xml:space="preserve"> National Association for the Education of Young Children.</w:t>
      </w:r>
    </w:p>
    <w:p w:rsidR="19A1342B" w:rsidP="2B80BE1B" w:rsidRDefault="19A1342B" w14:paraId="353018D4" w14:textId="4FBD550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Junefelt</w:t>
      </w:r>
      <w:r w:rsidRPr="2B80BE1B" w:rsidR="19A1342B">
        <w:rPr>
          <w:rFonts w:ascii="Calibri" w:hAnsi="Calibri" w:eastAsia="Calibri" w:cs="Calibri"/>
          <w:noProof w:val="0"/>
          <w:color w:val="000000" w:themeColor="text1" w:themeTint="FF" w:themeShade="FF"/>
          <w:sz w:val="24"/>
          <w:szCs w:val="24"/>
          <w:lang w:val="en-GB"/>
        </w:rPr>
        <w:t xml:space="preserve">, K. (1990). The Zone of Proximal Development and Communicative Development. </w:t>
      </w:r>
      <w:r w:rsidRPr="2B80BE1B" w:rsidR="19A1342B">
        <w:rPr>
          <w:rFonts w:ascii="Calibri" w:hAnsi="Calibri" w:eastAsia="Calibri" w:cs="Calibri"/>
          <w:i w:val="1"/>
          <w:iCs w:val="1"/>
          <w:noProof w:val="0"/>
          <w:color w:val="000000" w:themeColor="text1" w:themeTint="FF" w:themeShade="FF"/>
          <w:sz w:val="24"/>
          <w:szCs w:val="24"/>
          <w:lang w:val="en-GB"/>
        </w:rPr>
        <w:t>Nordic Journal of Linguistics</w:t>
      </w:r>
      <w:r w:rsidRPr="2B80BE1B" w:rsidR="19A1342B">
        <w:rPr>
          <w:rFonts w:ascii="Calibri" w:hAnsi="Calibri" w:eastAsia="Calibri" w:cs="Calibri"/>
          <w:noProof w:val="0"/>
          <w:color w:val="000000" w:themeColor="text1" w:themeTint="FF" w:themeShade="FF"/>
          <w:sz w:val="24"/>
          <w:szCs w:val="24"/>
          <w:lang w:val="en-GB"/>
        </w:rPr>
        <w:t xml:space="preserve">, 13(02), p.135.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://doi.org/10.1017/s0332586500002201.</w:t>
      </w:r>
    </w:p>
    <w:p w:rsidR="19A1342B" w:rsidP="2B80BE1B" w:rsidRDefault="19A1342B" w14:paraId="0A9A1926" w14:textId="1868636D">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Kozulin</w:t>
      </w:r>
      <w:r w:rsidRPr="2B80BE1B" w:rsidR="19A1342B">
        <w:rPr>
          <w:rFonts w:ascii="Calibri" w:hAnsi="Calibri" w:eastAsia="Calibri" w:cs="Calibri"/>
          <w:noProof w:val="0"/>
          <w:color w:val="000000" w:themeColor="text1" w:themeTint="FF" w:themeShade="FF"/>
          <w:sz w:val="24"/>
          <w:szCs w:val="24"/>
          <w:lang w:val="en-GB"/>
        </w:rPr>
        <w:t xml:space="preserve">, A. (2003). </w:t>
      </w:r>
      <w:r w:rsidRPr="2B80BE1B" w:rsidR="19A1342B">
        <w:rPr>
          <w:rFonts w:ascii="Calibri" w:hAnsi="Calibri" w:eastAsia="Calibri" w:cs="Calibri"/>
          <w:i w:val="1"/>
          <w:iCs w:val="1"/>
          <w:noProof w:val="0"/>
          <w:color w:val="000000" w:themeColor="text1" w:themeTint="FF" w:themeShade="FF"/>
          <w:sz w:val="24"/>
          <w:szCs w:val="24"/>
          <w:lang w:val="en-GB"/>
        </w:rPr>
        <w:t>Vygotsky’s educational theory in cultural context</w:t>
      </w:r>
      <w:r w:rsidRPr="2B80BE1B" w:rsidR="19A1342B">
        <w:rPr>
          <w:rFonts w:ascii="Calibri" w:hAnsi="Calibri" w:eastAsia="Calibri" w:cs="Calibri"/>
          <w:noProof w:val="0"/>
          <w:color w:val="000000" w:themeColor="text1" w:themeTint="FF" w:themeShade="FF"/>
          <w:sz w:val="24"/>
          <w:szCs w:val="24"/>
          <w:lang w:val="en-GB"/>
        </w:rPr>
        <w:t>. Cambridge: Cambridge University Press.</w:t>
      </w:r>
    </w:p>
    <w:p w:rsidR="19A1342B" w:rsidP="2B80BE1B" w:rsidRDefault="19A1342B" w14:paraId="5377973F" w14:textId="4EDBFA24">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Leeds City Council News. (2019). </w:t>
      </w:r>
      <w:r w:rsidRPr="2B80BE1B" w:rsidR="19A1342B">
        <w:rPr>
          <w:rFonts w:ascii="Calibri" w:hAnsi="Calibri" w:eastAsia="Calibri" w:cs="Calibri"/>
          <w:i w:val="1"/>
          <w:iCs w:val="1"/>
          <w:noProof w:val="0"/>
          <w:color w:val="000000" w:themeColor="text1" w:themeTint="FF" w:themeShade="FF"/>
          <w:sz w:val="24"/>
          <w:szCs w:val="24"/>
          <w:lang w:val="en-GB"/>
        </w:rPr>
        <w:t>New Change4Life campaign encourages parents in Leeds to make healthier food choices</w:t>
      </w:r>
      <w:r w:rsidRPr="2B80BE1B" w:rsidR="19A1342B">
        <w:rPr>
          <w:rFonts w:ascii="Calibri" w:hAnsi="Calibri" w:eastAsia="Calibri" w:cs="Calibri"/>
          <w:noProof w:val="0"/>
          <w:color w:val="000000" w:themeColor="text1" w:themeTint="FF" w:themeShade="FF"/>
          <w:sz w:val="24"/>
          <w:szCs w:val="24"/>
          <w:lang w:val="en-GB"/>
        </w:rPr>
        <w:t xml:space="preserve">. [online] Available at: </w:t>
      </w:r>
      <w:hyperlink r:id="Rde4502fbf603482e">
        <w:r w:rsidRPr="2B80BE1B" w:rsidR="19A1342B">
          <w:rPr>
            <w:rStyle w:val="Hyperlink"/>
            <w:rFonts w:ascii="Calibri" w:hAnsi="Calibri" w:eastAsia="Calibri" w:cs="Calibri"/>
            <w:noProof w:val="0"/>
            <w:sz w:val="24"/>
            <w:szCs w:val="24"/>
            <w:lang w:val="en-GB"/>
          </w:rPr>
          <w:t>https://news.leeds.gov.uk/news/new-change4life-campaign-encourages-parents-in-leeds-to-make-healthier-food-choices</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 [IMAGE].</w:t>
      </w:r>
    </w:p>
    <w:p w:rsidR="19A1342B" w:rsidP="2B80BE1B" w:rsidRDefault="19A1342B" w14:paraId="401638B3" w14:textId="2ED6003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Leslie Jordan Cohen (2026). </w:t>
      </w:r>
      <w:r w:rsidRPr="2B80BE1B" w:rsidR="19A1342B">
        <w:rPr>
          <w:rFonts w:ascii="Calibri" w:hAnsi="Calibri" w:eastAsia="Calibri" w:cs="Calibri"/>
          <w:i w:val="1"/>
          <w:iCs w:val="1"/>
          <w:noProof w:val="0"/>
          <w:color w:val="000000" w:themeColor="text1" w:themeTint="FF" w:themeShade="FF"/>
          <w:sz w:val="24"/>
          <w:szCs w:val="24"/>
          <w:lang w:val="en-GB"/>
        </w:rPr>
        <w:t>The operational definition of human attachment</w:t>
      </w:r>
      <w:r w:rsidRPr="2B80BE1B" w:rsidR="19A1342B">
        <w:rPr>
          <w:rFonts w:ascii="Calibri" w:hAnsi="Calibri" w:eastAsia="Calibri" w:cs="Calibri"/>
          <w:noProof w:val="0"/>
          <w:color w:val="000000" w:themeColor="text1" w:themeTint="FF" w:themeShade="FF"/>
          <w:sz w:val="24"/>
          <w:szCs w:val="24"/>
          <w:lang w:val="en-GB"/>
        </w:rPr>
        <w:t xml:space="preserve">. [online] Oclc.org. Available at: </w:t>
      </w:r>
      <w:hyperlink r:id="R61abd633fbad4551">
        <w:r w:rsidRPr="2B80BE1B" w:rsidR="19A1342B">
          <w:rPr>
            <w:rStyle w:val="Hyperlink"/>
            <w:rFonts w:ascii="Calibri" w:hAnsi="Calibri" w:eastAsia="Calibri" w:cs="Calibri"/>
            <w:noProof w:val="0"/>
            <w:sz w:val="24"/>
            <w:szCs w:val="24"/>
            <w:lang w:val="en-GB"/>
          </w:rPr>
          <w:t>https://research-ebsco-com.uwtsd.idm.oclc.org/c/onvpsy/viewer/pdf/ttqmgyieoz?route=details</w:t>
        </w:r>
      </w:hyperlink>
      <w:r w:rsidRPr="2B80BE1B" w:rsidR="19A1342B">
        <w:rPr>
          <w:rFonts w:ascii="Calibri" w:hAnsi="Calibri" w:eastAsia="Calibri" w:cs="Calibri"/>
          <w:noProof w:val="0"/>
          <w:color w:val="000000" w:themeColor="text1" w:themeTint="FF" w:themeShade="FF"/>
          <w:sz w:val="24"/>
          <w:szCs w:val="24"/>
          <w:lang w:val="en-GB"/>
        </w:rPr>
        <w:t xml:space="preserve"> [Accessed 9 Feb. 2026].</w:t>
      </w:r>
    </w:p>
    <w:p w:rsidR="19A1342B" w:rsidP="2B80BE1B" w:rsidRDefault="19A1342B" w14:paraId="3652D5DF" w14:textId="152F0A3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Lindquist, C.H., Reynolds, K.D. and Goran, M.I. (1999). Sociocultural Determinants of Physical Activity among Children. </w:t>
      </w:r>
      <w:r w:rsidRPr="2B80BE1B" w:rsidR="19A1342B">
        <w:rPr>
          <w:rFonts w:ascii="Calibri" w:hAnsi="Calibri" w:eastAsia="Calibri" w:cs="Calibri"/>
          <w:i w:val="1"/>
          <w:iCs w:val="1"/>
          <w:noProof w:val="0"/>
          <w:color w:val="000000" w:themeColor="text1" w:themeTint="FF" w:themeShade="FF"/>
          <w:sz w:val="24"/>
          <w:szCs w:val="24"/>
          <w:lang w:val="en-GB"/>
        </w:rPr>
        <w:t>Preventive Medicine</w:t>
      </w:r>
      <w:r w:rsidRPr="2B80BE1B" w:rsidR="19A1342B">
        <w:rPr>
          <w:rFonts w:ascii="Calibri" w:hAnsi="Calibri" w:eastAsia="Calibri" w:cs="Calibri"/>
          <w:noProof w:val="0"/>
          <w:color w:val="000000" w:themeColor="text1" w:themeTint="FF" w:themeShade="FF"/>
          <w:sz w:val="24"/>
          <w:szCs w:val="24"/>
          <w:lang w:val="en-GB"/>
        </w:rPr>
        <w:t xml:space="preserve">, [online] 29(4), pp.305–312.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://doi.org/10.1006/pmed.1999.0546.</w:t>
      </w:r>
    </w:p>
    <w:p w:rsidR="19A1342B" w:rsidP="2B80BE1B" w:rsidRDefault="19A1342B" w14:paraId="1C2EB65B" w14:textId="657B5EB4">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Main, P. (2023a). </w:t>
      </w:r>
      <w:r w:rsidRPr="2B80BE1B" w:rsidR="19A1342B">
        <w:rPr>
          <w:rFonts w:ascii="Calibri" w:hAnsi="Calibri" w:eastAsia="Calibri" w:cs="Calibri"/>
          <w:i w:val="1"/>
          <w:iCs w:val="1"/>
          <w:noProof w:val="0"/>
          <w:color w:val="000000" w:themeColor="text1" w:themeTint="FF" w:themeShade="FF"/>
          <w:sz w:val="24"/>
          <w:szCs w:val="24"/>
          <w:lang w:val="en-GB"/>
        </w:rPr>
        <w:t>Bowlby’s Attachment Theory</w:t>
      </w:r>
      <w:r w:rsidRPr="2B80BE1B" w:rsidR="19A1342B">
        <w:rPr>
          <w:rFonts w:ascii="Calibri" w:hAnsi="Calibri" w:eastAsia="Calibri" w:cs="Calibri"/>
          <w:noProof w:val="0"/>
          <w:color w:val="000000" w:themeColor="text1" w:themeTint="FF" w:themeShade="FF"/>
          <w:sz w:val="24"/>
          <w:szCs w:val="24"/>
          <w:lang w:val="en-GB"/>
        </w:rPr>
        <w:t xml:space="preserve">. [online] </w:t>
      </w:r>
      <w:hyperlink r:id="Ree8b4222b91d43fb">
        <w:r w:rsidRPr="2B80BE1B" w:rsidR="19A1342B">
          <w:rPr>
            <w:rStyle w:val="Hyperlink"/>
            <w:rFonts w:ascii="Calibri" w:hAnsi="Calibri" w:eastAsia="Calibri" w:cs="Calibri"/>
            <w:noProof w:val="0"/>
            <w:sz w:val="24"/>
            <w:szCs w:val="24"/>
            <w:lang w:val="en-GB"/>
          </w:rPr>
          <w:t>www.structural-learning.com</w:t>
        </w:r>
      </w:hyperlink>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e87bbff2a30d4042">
        <w:r w:rsidRPr="2B80BE1B" w:rsidR="19A1342B">
          <w:rPr>
            <w:rStyle w:val="Hyperlink"/>
            <w:rFonts w:ascii="Calibri" w:hAnsi="Calibri" w:eastAsia="Calibri" w:cs="Calibri"/>
            <w:noProof w:val="0"/>
            <w:sz w:val="24"/>
            <w:szCs w:val="24"/>
            <w:lang w:val="en-GB"/>
          </w:rPr>
          <w:t>https://www.structural-learning.com/post/bowlbys-attachment-theory</w:t>
        </w:r>
      </w:hyperlink>
      <w:r w:rsidRPr="2B80BE1B" w:rsidR="19A1342B">
        <w:rPr>
          <w:rFonts w:ascii="Calibri" w:hAnsi="Calibri" w:eastAsia="Calibri" w:cs="Calibri"/>
          <w:noProof w:val="0"/>
          <w:color w:val="000000" w:themeColor="text1" w:themeTint="FF" w:themeShade="FF"/>
          <w:sz w:val="24"/>
          <w:szCs w:val="24"/>
          <w:lang w:val="en-GB"/>
        </w:rPr>
        <w:t xml:space="preserve"> [Accessed 5 Feb. 2026]. [IMAGE].</w:t>
      </w:r>
    </w:p>
    <w:p w:rsidR="19A1342B" w:rsidP="2B80BE1B" w:rsidRDefault="19A1342B" w14:paraId="0A597403" w14:textId="5C639FF1">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Main, P. (2023b). </w:t>
      </w:r>
      <w:r w:rsidRPr="2B80BE1B" w:rsidR="19A1342B">
        <w:rPr>
          <w:rFonts w:ascii="Calibri" w:hAnsi="Calibri" w:eastAsia="Calibri" w:cs="Calibri"/>
          <w:i w:val="1"/>
          <w:iCs w:val="1"/>
          <w:noProof w:val="0"/>
          <w:color w:val="000000" w:themeColor="text1" w:themeTint="FF" w:themeShade="FF"/>
          <w:sz w:val="24"/>
          <w:szCs w:val="24"/>
          <w:lang w:val="en-GB"/>
        </w:rPr>
        <w:t>Bowlby’s Attachment Theory</w:t>
      </w:r>
      <w:r w:rsidRPr="2B80BE1B" w:rsidR="19A1342B">
        <w:rPr>
          <w:rFonts w:ascii="Calibri" w:hAnsi="Calibri" w:eastAsia="Calibri" w:cs="Calibri"/>
          <w:noProof w:val="0"/>
          <w:color w:val="000000" w:themeColor="text1" w:themeTint="FF" w:themeShade="FF"/>
          <w:sz w:val="24"/>
          <w:szCs w:val="24"/>
          <w:lang w:val="en-GB"/>
        </w:rPr>
        <w:t xml:space="preserve">. [online] </w:t>
      </w:r>
      <w:hyperlink r:id="R9ae91bff69ac4b97">
        <w:r w:rsidRPr="2B80BE1B" w:rsidR="19A1342B">
          <w:rPr>
            <w:rStyle w:val="Hyperlink"/>
            <w:rFonts w:ascii="Calibri" w:hAnsi="Calibri" w:eastAsia="Calibri" w:cs="Calibri"/>
            <w:noProof w:val="0"/>
            <w:sz w:val="24"/>
            <w:szCs w:val="24"/>
            <w:lang w:val="en-GB"/>
          </w:rPr>
          <w:t>www.structural-learning.com</w:t>
        </w:r>
      </w:hyperlink>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c7904c8e193e4d2b">
        <w:r w:rsidRPr="2B80BE1B" w:rsidR="19A1342B">
          <w:rPr>
            <w:rStyle w:val="Hyperlink"/>
            <w:rFonts w:ascii="Calibri" w:hAnsi="Calibri" w:eastAsia="Calibri" w:cs="Calibri"/>
            <w:noProof w:val="0"/>
            <w:sz w:val="24"/>
            <w:szCs w:val="24"/>
            <w:lang w:val="en-GB"/>
          </w:rPr>
          <w:t>https://www.structural-learning.com/post/bowlbys-attachment-theory</w:t>
        </w:r>
      </w:hyperlink>
      <w:r w:rsidRPr="2B80BE1B" w:rsidR="19A1342B">
        <w:rPr>
          <w:rFonts w:ascii="Calibri" w:hAnsi="Calibri" w:eastAsia="Calibri" w:cs="Calibri"/>
          <w:noProof w:val="0"/>
          <w:color w:val="000000" w:themeColor="text1" w:themeTint="FF" w:themeShade="FF"/>
          <w:sz w:val="24"/>
          <w:szCs w:val="24"/>
          <w:lang w:val="en-GB"/>
        </w:rPr>
        <w:t xml:space="preserve"> [Accessed 5 Feb. 2026]. [IMAGE].</w:t>
      </w:r>
    </w:p>
    <w:p w:rsidR="19A1342B" w:rsidP="2B80BE1B" w:rsidRDefault="19A1342B" w14:paraId="314DB6B6" w14:textId="3B31755F">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Main, P. (2023c). </w:t>
      </w:r>
      <w:r w:rsidRPr="2B80BE1B" w:rsidR="19A1342B">
        <w:rPr>
          <w:rFonts w:ascii="Calibri" w:hAnsi="Calibri" w:eastAsia="Calibri" w:cs="Calibri"/>
          <w:i w:val="1"/>
          <w:iCs w:val="1"/>
          <w:noProof w:val="0"/>
          <w:color w:val="000000" w:themeColor="text1" w:themeTint="FF" w:themeShade="FF"/>
          <w:sz w:val="24"/>
          <w:szCs w:val="24"/>
          <w:lang w:val="en-GB"/>
        </w:rPr>
        <w:t>Bowlby’s Attachment Theory</w:t>
      </w:r>
      <w:r w:rsidRPr="2B80BE1B" w:rsidR="19A1342B">
        <w:rPr>
          <w:rFonts w:ascii="Calibri" w:hAnsi="Calibri" w:eastAsia="Calibri" w:cs="Calibri"/>
          <w:noProof w:val="0"/>
          <w:color w:val="000000" w:themeColor="text1" w:themeTint="FF" w:themeShade="FF"/>
          <w:sz w:val="24"/>
          <w:szCs w:val="24"/>
          <w:lang w:val="en-GB"/>
        </w:rPr>
        <w:t xml:space="preserve">. [online] </w:t>
      </w:r>
      <w:hyperlink r:id="Rc4dd5514195b4a79">
        <w:r w:rsidRPr="2B80BE1B" w:rsidR="19A1342B">
          <w:rPr>
            <w:rStyle w:val="Hyperlink"/>
            <w:rFonts w:ascii="Calibri" w:hAnsi="Calibri" w:eastAsia="Calibri" w:cs="Calibri"/>
            <w:noProof w:val="0"/>
            <w:sz w:val="24"/>
            <w:szCs w:val="24"/>
            <w:lang w:val="en-GB"/>
          </w:rPr>
          <w:t>www.structural-learning.com</w:t>
        </w:r>
      </w:hyperlink>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b6b74c99323642da">
        <w:r w:rsidRPr="2B80BE1B" w:rsidR="19A1342B">
          <w:rPr>
            <w:rStyle w:val="Hyperlink"/>
            <w:rFonts w:ascii="Calibri" w:hAnsi="Calibri" w:eastAsia="Calibri" w:cs="Calibri"/>
            <w:noProof w:val="0"/>
            <w:sz w:val="24"/>
            <w:szCs w:val="24"/>
            <w:lang w:val="en-GB"/>
          </w:rPr>
          <w:t>https://www.structural-learning.com/post/bowlbys-attachment-theory</w:t>
        </w:r>
      </w:hyperlink>
      <w:r w:rsidRPr="2B80BE1B" w:rsidR="19A1342B">
        <w:rPr>
          <w:rFonts w:ascii="Calibri" w:hAnsi="Calibri" w:eastAsia="Calibri" w:cs="Calibri"/>
          <w:noProof w:val="0"/>
          <w:color w:val="000000" w:themeColor="text1" w:themeTint="FF" w:themeShade="FF"/>
          <w:sz w:val="24"/>
          <w:szCs w:val="24"/>
          <w:lang w:val="en-GB"/>
        </w:rPr>
        <w:t xml:space="preserve"> [Accessed 5 Feb. 2026].</w:t>
      </w:r>
    </w:p>
    <w:p w:rsidR="19A1342B" w:rsidP="2B80BE1B" w:rsidRDefault="19A1342B" w14:paraId="1FE6EBD2" w14:textId="1C76BA51">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Main, P. (2023d). </w:t>
      </w:r>
      <w:r w:rsidRPr="2B80BE1B" w:rsidR="19A1342B">
        <w:rPr>
          <w:rFonts w:ascii="Calibri" w:hAnsi="Calibri" w:eastAsia="Calibri" w:cs="Calibri"/>
          <w:i w:val="1"/>
          <w:iCs w:val="1"/>
          <w:noProof w:val="0"/>
          <w:color w:val="000000" w:themeColor="text1" w:themeTint="FF" w:themeShade="FF"/>
          <w:sz w:val="24"/>
          <w:szCs w:val="24"/>
          <w:lang w:val="en-GB"/>
        </w:rPr>
        <w:t>Bowlby’s Attachment Theory</w:t>
      </w:r>
      <w:r w:rsidRPr="2B80BE1B" w:rsidR="19A1342B">
        <w:rPr>
          <w:rFonts w:ascii="Calibri" w:hAnsi="Calibri" w:eastAsia="Calibri" w:cs="Calibri"/>
          <w:noProof w:val="0"/>
          <w:color w:val="000000" w:themeColor="text1" w:themeTint="FF" w:themeShade="FF"/>
          <w:sz w:val="24"/>
          <w:szCs w:val="24"/>
          <w:lang w:val="en-GB"/>
        </w:rPr>
        <w:t xml:space="preserve">. [online] </w:t>
      </w:r>
      <w:hyperlink r:id="Re2daed42cce945e8">
        <w:r w:rsidRPr="2B80BE1B" w:rsidR="19A1342B">
          <w:rPr>
            <w:rStyle w:val="Hyperlink"/>
            <w:rFonts w:ascii="Calibri" w:hAnsi="Calibri" w:eastAsia="Calibri" w:cs="Calibri"/>
            <w:noProof w:val="0"/>
            <w:sz w:val="24"/>
            <w:szCs w:val="24"/>
            <w:lang w:val="en-GB"/>
          </w:rPr>
          <w:t>www.structural-learning.com</w:t>
        </w:r>
      </w:hyperlink>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5a44c01cb0584b7e">
        <w:r w:rsidRPr="2B80BE1B" w:rsidR="19A1342B">
          <w:rPr>
            <w:rStyle w:val="Hyperlink"/>
            <w:rFonts w:ascii="Calibri" w:hAnsi="Calibri" w:eastAsia="Calibri" w:cs="Calibri"/>
            <w:noProof w:val="0"/>
            <w:sz w:val="24"/>
            <w:szCs w:val="24"/>
            <w:lang w:val="en-GB"/>
          </w:rPr>
          <w:t>https://www.structural-learning.com/post/bowlbys-attachment-theory</w:t>
        </w:r>
      </w:hyperlink>
      <w:r w:rsidRPr="2B80BE1B" w:rsidR="19A1342B">
        <w:rPr>
          <w:rFonts w:ascii="Calibri" w:hAnsi="Calibri" w:eastAsia="Calibri" w:cs="Calibri"/>
          <w:noProof w:val="0"/>
          <w:color w:val="000000" w:themeColor="text1" w:themeTint="FF" w:themeShade="FF"/>
          <w:sz w:val="24"/>
          <w:szCs w:val="24"/>
          <w:lang w:val="en-GB"/>
        </w:rPr>
        <w:t>.</w:t>
      </w:r>
    </w:p>
    <w:p w:rsidR="19A1342B" w:rsidP="2B80BE1B" w:rsidRDefault="19A1342B" w14:paraId="0894ACB2" w14:textId="08EC10C5">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Main, P. (2023e). </w:t>
      </w:r>
      <w:r w:rsidRPr="2B80BE1B" w:rsidR="19A1342B">
        <w:rPr>
          <w:rFonts w:ascii="Calibri" w:hAnsi="Calibri" w:eastAsia="Calibri" w:cs="Calibri"/>
          <w:i w:val="1"/>
          <w:iCs w:val="1"/>
          <w:noProof w:val="0"/>
          <w:color w:val="000000" w:themeColor="text1" w:themeTint="FF" w:themeShade="FF"/>
          <w:sz w:val="24"/>
          <w:szCs w:val="24"/>
          <w:lang w:val="en-GB"/>
        </w:rPr>
        <w:t>Jerome Bruner’s Theories</w:t>
      </w:r>
      <w:r w:rsidRPr="2B80BE1B" w:rsidR="19A1342B">
        <w:rPr>
          <w:rFonts w:ascii="Calibri" w:hAnsi="Calibri" w:eastAsia="Calibri" w:cs="Calibri"/>
          <w:noProof w:val="0"/>
          <w:color w:val="000000" w:themeColor="text1" w:themeTint="FF" w:themeShade="FF"/>
          <w:sz w:val="24"/>
          <w:szCs w:val="24"/>
          <w:lang w:val="en-GB"/>
        </w:rPr>
        <w:t xml:space="preserve">. [online] </w:t>
      </w:r>
      <w:hyperlink r:id="R721d37fbeffc45b9">
        <w:r w:rsidRPr="2B80BE1B" w:rsidR="19A1342B">
          <w:rPr>
            <w:rStyle w:val="Hyperlink"/>
            <w:rFonts w:ascii="Calibri" w:hAnsi="Calibri" w:eastAsia="Calibri" w:cs="Calibri"/>
            <w:noProof w:val="0"/>
            <w:sz w:val="24"/>
            <w:szCs w:val="24"/>
            <w:lang w:val="en-GB"/>
          </w:rPr>
          <w:t>www.structural-learning.com</w:t>
        </w:r>
      </w:hyperlink>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55d57d8e7d124031">
        <w:r w:rsidRPr="2B80BE1B" w:rsidR="19A1342B">
          <w:rPr>
            <w:rStyle w:val="Hyperlink"/>
            <w:rFonts w:ascii="Calibri" w:hAnsi="Calibri" w:eastAsia="Calibri" w:cs="Calibri"/>
            <w:noProof w:val="0"/>
            <w:sz w:val="24"/>
            <w:szCs w:val="24"/>
            <w:lang w:val="en-GB"/>
          </w:rPr>
          <w:t>https://www.structural-learning.com/post/jerome-bruners-theories</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2025]. [IMAGE].</w:t>
      </w:r>
    </w:p>
    <w:p w:rsidR="19A1342B" w:rsidP="2B80BE1B" w:rsidRDefault="19A1342B" w14:paraId="753B1280" w14:textId="29F18DCA">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(2023a). </w:t>
      </w:r>
      <w:r w:rsidRPr="2B80BE1B" w:rsidR="19A1342B">
        <w:rPr>
          <w:rFonts w:ascii="Calibri" w:hAnsi="Calibri" w:eastAsia="Calibri" w:cs="Calibri"/>
          <w:i w:val="1"/>
          <w:iCs w:val="1"/>
          <w:noProof w:val="0"/>
          <w:color w:val="000000" w:themeColor="text1" w:themeTint="FF" w:themeShade="FF"/>
          <w:sz w:val="24"/>
          <w:szCs w:val="24"/>
          <w:lang w:val="en-GB"/>
        </w:rPr>
        <w:t>Internal Working Models of Attachment</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3459eb33607045aa">
        <w:r w:rsidRPr="2B80BE1B" w:rsidR="19A1342B">
          <w:rPr>
            <w:rStyle w:val="Hyperlink"/>
            <w:rFonts w:ascii="Calibri" w:hAnsi="Calibri" w:eastAsia="Calibri" w:cs="Calibri"/>
            <w:noProof w:val="0"/>
            <w:sz w:val="24"/>
            <w:szCs w:val="24"/>
            <w:lang w:val="en-GB"/>
          </w:rPr>
          <w:t>https://www.simplypsychology.org/internal-working-models-of-attachment.html</w:t>
        </w:r>
      </w:hyperlink>
      <w:r w:rsidRPr="2B80BE1B" w:rsidR="19A1342B">
        <w:rPr>
          <w:rFonts w:ascii="Calibri" w:hAnsi="Calibri" w:eastAsia="Calibri" w:cs="Calibri"/>
          <w:noProof w:val="0"/>
          <w:color w:val="000000" w:themeColor="text1" w:themeTint="FF" w:themeShade="FF"/>
          <w:sz w:val="24"/>
          <w:szCs w:val="24"/>
          <w:lang w:val="en-GB"/>
        </w:rPr>
        <w:t xml:space="preserve"> [IMAGE].</w:t>
      </w:r>
    </w:p>
    <w:p w:rsidR="19A1342B" w:rsidP="2B80BE1B" w:rsidRDefault="19A1342B" w14:paraId="00327FD4" w14:textId="41129D5C">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(2023b). </w:t>
      </w:r>
      <w:r w:rsidRPr="2B80BE1B" w:rsidR="19A1342B">
        <w:rPr>
          <w:rFonts w:ascii="Calibri" w:hAnsi="Calibri" w:eastAsia="Calibri" w:cs="Calibri"/>
          <w:i w:val="1"/>
          <w:iCs w:val="1"/>
          <w:noProof w:val="0"/>
          <w:color w:val="000000" w:themeColor="text1" w:themeTint="FF" w:themeShade="FF"/>
          <w:sz w:val="24"/>
          <w:szCs w:val="24"/>
          <w:lang w:val="en-GB"/>
        </w:rPr>
        <w:t>Internal Working Models of Attachment</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cc4ad18bc1674e28">
        <w:r w:rsidRPr="2B80BE1B" w:rsidR="19A1342B">
          <w:rPr>
            <w:rStyle w:val="Hyperlink"/>
            <w:rFonts w:ascii="Calibri" w:hAnsi="Calibri" w:eastAsia="Calibri" w:cs="Calibri"/>
            <w:noProof w:val="0"/>
            <w:sz w:val="24"/>
            <w:szCs w:val="24"/>
            <w:lang w:val="en-GB"/>
          </w:rPr>
          <w:t>https://www.simplypsychology.org/internal-working-models-of-attachment.html</w:t>
        </w:r>
      </w:hyperlink>
      <w:r w:rsidRPr="2B80BE1B" w:rsidR="19A1342B">
        <w:rPr>
          <w:rFonts w:ascii="Calibri" w:hAnsi="Calibri" w:eastAsia="Calibri" w:cs="Calibri"/>
          <w:noProof w:val="0"/>
          <w:color w:val="000000" w:themeColor="text1" w:themeTint="FF" w:themeShade="FF"/>
          <w:sz w:val="24"/>
          <w:szCs w:val="24"/>
          <w:lang w:val="en-GB"/>
        </w:rPr>
        <w:t xml:space="preserve"> [Accessed 14 Feb. 2026].</w:t>
      </w:r>
    </w:p>
    <w:p w:rsidR="19A1342B" w:rsidP="2B80BE1B" w:rsidRDefault="19A1342B" w14:paraId="1B16002A" w14:textId="6DA8C59D">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(2024). </w:t>
      </w:r>
      <w:r w:rsidRPr="2B80BE1B" w:rsidR="19A1342B">
        <w:rPr>
          <w:rFonts w:ascii="Calibri" w:hAnsi="Calibri" w:eastAsia="Calibri" w:cs="Calibri"/>
          <w:i w:val="1"/>
          <w:iCs w:val="1"/>
          <w:noProof w:val="0"/>
          <w:color w:val="000000" w:themeColor="text1" w:themeTint="FF" w:themeShade="FF"/>
          <w:sz w:val="24"/>
          <w:szCs w:val="24"/>
          <w:lang w:val="en-GB"/>
        </w:rPr>
        <w:t>Jerome Bruner’s theory of learning and cognitive development</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debabc6e8fe54389">
        <w:r w:rsidRPr="2B80BE1B" w:rsidR="19A1342B">
          <w:rPr>
            <w:rStyle w:val="Hyperlink"/>
            <w:rFonts w:ascii="Calibri" w:hAnsi="Calibri" w:eastAsia="Calibri" w:cs="Calibri"/>
            <w:noProof w:val="0"/>
            <w:sz w:val="24"/>
            <w:szCs w:val="24"/>
            <w:lang w:val="en-GB"/>
          </w:rPr>
          <w:t>https://www.simplypsychology.org/bruner.html</w:t>
        </w:r>
      </w:hyperlink>
      <w:r w:rsidRPr="2B80BE1B" w:rsidR="19A1342B">
        <w:rPr>
          <w:rFonts w:ascii="Calibri" w:hAnsi="Calibri" w:eastAsia="Calibri" w:cs="Calibri"/>
          <w:noProof w:val="0"/>
          <w:color w:val="000000" w:themeColor="text1" w:themeTint="FF" w:themeShade="FF"/>
          <w:sz w:val="24"/>
          <w:szCs w:val="24"/>
          <w:lang w:val="en-GB"/>
        </w:rPr>
        <w:t xml:space="preserve"> [Accessed 14 Feb. 2026].</w:t>
      </w:r>
    </w:p>
    <w:p w:rsidR="19A1342B" w:rsidP="2B80BE1B" w:rsidRDefault="19A1342B" w14:paraId="35A375DA" w14:textId="32F5EFA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(2025a). </w:t>
      </w:r>
      <w:r w:rsidRPr="2B80BE1B" w:rsidR="19A1342B">
        <w:rPr>
          <w:rFonts w:ascii="Calibri" w:hAnsi="Calibri" w:eastAsia="Calibri" w:cs="Calibri"/>
          <w:i w:val="1"/>
          <w:iCs w:val="1"/>
          <w:noProof w:val="0"/>
          <w:color w:val="000000" w:themeColor="text1" w:themeTint="FF" w:themeShade="FF"/>
          <w:sz w:val="24"/>
          <w:szCs w:val="24"/>
          <w:lang w:val="en-GB"/>
        </w:rPr>
        <w:t>Albert Bandura’s Social Learning Theory</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07d69b9b2ad04873">
        <w:r w:rsidRPr="2B80BE1B" w:rsidR="19A1342B">
          <w:rPr>
            <w:rStyle w:val="Hyperlink"/>
            <w:rFonts w:ascii="Calibri" w:hAnsi="Calibri" w:eastAsia="Calibri" w:cs="Calibri"/>
            <w:noProof w:val="0"/>
            <w:sz w:val="24"/>
            <w:szCs w:val="24"/>
            <w:lang w:val="en-GB"/>
          </w:rPr>
          <w:t>https://www.simplypsychology.org/bandura.html</w:t>
        </w:r>
      </w:hyperlink>
      <w:r w:rsidRPr="2B80BE1B" w:rsidR="19A1342B">
        <w:rPr>
          <w:rFonts w:ascii="Calibri" w:hAnsi="Calibri" w:eastAsia="Calibri" w:cs="Calibri"/>
          <w:noProof w:val="0"/>
          <w:color w:val="000000" w:themeColor="text1" w:themeTint="FF" w:themeShade="FF"/>
          <w:sz w:val="24"/>
          <w:szCs w:val="24"/>
          <w:lang w:val="en-GB"/>
        </w:rPr>
        <w:t xml:space="preserve"> [Accessed 15 Feb. 2026]. [IMAGE].</w:t>
      </w:r>
    </w:p>
    <w:p w:rsidR="19A1342B" w:rsidP="2B80BE1B" w:rsidRDefault="19A1342B" w14:paraId="185AA86C" w14:textId="3EE79514">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(2025b). </w:t>
      </w:r>
      <w:r w:rsidRPr="2B80BE1B" w:rsidR="19A1342B">
        <w:rPr>
          <w:rFonts w:ascii="Calibri" w:hAnsi="Calibri" w:eastAsia="Calibri" w:cs="Calibri"/>
          <w:i w:val="1"/>
          <w:iCs w:val="1"/>
          <w:noProof w:val="0"/>
          <w:color w:val="000000" w:themeColor="text1" w:themeTint="FF" w:themeShade="FF"/>
          <w:sz w:val="24"/>
          <w:szCs w:val="24"/>
          <w:lang w:val="en-GB"/>
        </w:rPr>
        <w:t>John Bowlby’s Attachment Theory</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545c946af0cd4d13">
        <w:r w:rsidRPr="2B80BE1B" w:rsidR="19A1342B">
          <w:rPr>
            <w:rStyle w:val="Hyperlink"/>
            <w:rFonts w:ascii="Calibri" w:hAnsi="Calibri" w:eastAsia="Calibri" w:cs="Calibri"/>
            <w:noProof w:val="0"/>
            <w:sz w:val="24"/>
            <w:szCs w:val="24"/>
            <w:lang w:val="en-GB"/>
          </w:rPr>
          <w:t>https://www.simplypsychology.org/bowlby.html</w:t>
        </w:r>
      </w:hyperlink>
      <w:r w:rsidRPr="2B80BE1B" w:rsidR="19A1342B">
        <w:rPr>
          <w:rFonts w:ascii="Calibri" w:hAnsi="Calibri" w:eastAsia="Calibri" w:cs="Calibri"/>
          <w:noProof w:val="0"/>
          <w:color w:val="000000" w:themeColor="text1" w:themeTint="FF" w:themeShade="FF"/>
          <w:sz w:val="24"/>
          <w:szCs w:val="24"/>
          <w:lang w:val="en-GB"/>
        </w:rPr>
        <w:t xml:space="preserve"> [Accessed 8 Feb. 2026].</w:t>
      </w:r>
    </w:p>
    <w:p w:rsidR="19A1342B" w:rsidP="2B80BE1B" w:rsidRDefault="19A1342B" w14:paraId="1CCF8CAA" w14:textId="02850595">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(2025c). </w:t>
      </w:r>
      <w:r w:rsidRPr="2B80BE1B" w:rsidR="19A1342B">
        <w:rPr>
          <w:rFonts w:ascii="Calibri" w:hAnsi="Calibri" w:eastAsia="Calibri" w:cs="Calibri"/>
          <w:i w:val="1"/>
          <w:iCs w:val="1"/>
          <w:noProof w:val="0"/>
          <w:color w:val="000000" w:themeColor="text1" w:themeTint="FF" w:themeShade="FF"/>
          <w:sz w:val="24"/>
          <w:szCs w:val="24"/>
          <w:lang w:val="en-GB"/>
        </w:rPr>
        <w:t>John Bowlby’s Attachment Theory</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4c686f016a5b4579">
        <w:r w:rsidRPr="2B80BE1B" w:rsidR="19A1342B">
          <w:rPr>
            <w:rStyle w:val="Hyperlink"/>
            <w:rFonts w:ascii="Calibri" w:hAnsi="Calibri" w:eastAsia="Calibri" w:cs="Calibri"/>
            <w:noProof w:val="0"/>
            <w:sz w:val="24"/>
            <w:szCs w:val="24"/>
            <w:lang w:val="en-GB"/>
          </w:rPr>
          <w:t>https://www.simplypsychology.org/bowlby.html</w:t>
        </w:r>
      </w:hyperlink>
      <w:r w:rsidRPr="2B80BE1B" w:rsidR="19A1342B">
        <w:rPr>
          <w:rFonts w:ascii="Calibri" w:hAnsi="Calibri" w:eastAsia="Calibri" w:cs="Calibri"/>
          <w:noProof w:val="0"/>
          <w:color w:val="000000" w:themeColor="text1" w:themeTint="FF" w:themeShade="FF"/>
          <w:sz w:val="24"/>
          <w:szCs w:val="24"/>
          <w:lang w:val="en-GB"/>
        </w:rPr>
        <w:t xml:space="preserve"> [Accessed 7 Feb. 2026].</w:t>
      </w:r>
    </w:p>
    <w:p w:rsidR="19A1342B" w:rsidP="2B80BE1B" w:rsidRDefault="19A1342B" w14:paraId="0D698A9E" w14:textId="4FB872AB">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(2025d). </w:t>
      </w:r>
      <w:r w:rsidRPr="2B80BE1B" w:rsidR="19A1342B">
        <w:rPr>
          <w:rFonts w:ascii="Calibri" w:hAnsi="Calibri" w:eastAsia="Calibri" w:cs="Calibri"/>
          <w:i w:val="1"/>
          <w:iCs w:val="1"/>
          <w:noProof w:val="0"/>
          <w:color w:val="000000" w:themeColor="text1" w:themeTint="FF" w:themeShade="FF"/>
          <w:sz w:val="24"/>
          <w:szCs w:val="24"/>
          <w:lang w:val="en-GB"/>
        </w:rPr>
        <w:t>Piaget cognitive stages of development</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c5c3aa81ab734786">
        <w:r w:rsidRPr="2B80BE1B" w:rsidR="19A1342B">
          <w:rPr>
            <w:rStyle w:val="Hyperlink"/>
            <w:rFonts w:ascii="Calibri" w:hAnsi="Calibri" w:eastAsia="Calibri" w:cs="Calibri"/>
            <w:noProof w:val="0"/>
            <w:sz w:val="24"/>
            <w:szCs w:val="24"/>
            <w:lang w:val="en-GB"/>
          </w:rPr>
          <w:t>https://www.simplypsychology.org/piaget.html</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 [IMAGE].</w:t>
      </w:r>
    </w:p>
    <w:p w:rsidR="19A1342B" w:rsidP="2B80BE1B" w:rsidRDefault="19A1342B" w14:paraId="01FF0E00" w14:textId="2A8F43C4">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McLeod, S. (2025e). </w:t>
      </w:r>
      <w:r w:rsidRPr="2B80BE1B" w:rsidR="19A1342B">
        <w:rPr>
          <w:rFonts w:ascii="Calibri" w:hAnsi="Calibri" w:eastAsia="Calibri" w:cs="Calibri"/>
          <w:i w:val="1"/>
          <w:iCs w:val="1"/>
          <w:noProof w:val="0"/>
          <w:color w:val="000000" w:themeColor="text1" w:themeTint="FF" w:themeShade="FF"/>
          <w:sz w:val="24"/>
          <w:szCs w:val="24"/>
          <w:lang w:val="en-GB"/>
        </w:rPr>
        <w:t>Piaget cognitive stages of development</w:t>
      </w:r>
      <w:r w:rsidRPr="2B80BE1B" w:rsidR="19A1342B">
        <w:rPr>
          <w:rFonts w:ascii="Calibri" w:hAnsi="Calibri" w:eastAsia="Calibri" w:cs="Calibri"/>
          <w:noProof w:val="0"/>
          <w:color w:val="000000" w:themeColor="text1" w:themeTint="FF" w:themeShade="FF"/>
          <w:sz w:val="24"/>
          <w:szCs w:val="24"/>
          <w:lang w:val="en-GB"/>
        </w:rPr>
        <w:t xml:space="preserve">. [online] Simply Psychology. Available at: </w:t>
      </w:r>
      <w:hyperlink r:id="R65dfb2769e404d93">
        <w:r w:rsidRPr="2B80BE1B" w:rsidR="19A1342B">
          <w:rPr>
            <w:rStyle w:val="Hyperlink"/>
            <w:rFonts w:ascii="Calibri" w:hAnsi="Calibri" w:eastAsia="Calibri" w:cs="Calibri"/>
            <w:noProof w:val="0"/>
            <w:sz w:val="24"/>
            <w:szCs w:val="24"/>
            <w:lang w:val="en-GB"/>
          </w:rPr>
          <w:t>https://www.simplypsychology.org/piaget.html</w:t>
        </w:r>
      </w:hyperlink>
      <w:r w:rsidRPr="2B80BE1B" w:rsidR="19A1342B">
        <w:rPr>
          <w:rFonts w:ascii="Calibri" w:hAnsi="Calibri" w:eastAsia="Calibri" w:cs="Calibri"/>
          <w:noProof w:val="0"/>
          <w:color w:val="000000" w:themeColor="text1" w:themeTint="FF" w:themeShade="FF"/>
          <w:sz w:val="24"/>
          <w:szCs w:val="24"/>
          <w:lang w:val="en-GB"/>
        </w:rPr>
        <w:t xml:space="preserve"> [Accessed 12 Feb. 2026].</w:t>
      </w:r>
    </w:p>
    <w:p w:rsidR="19A1342B" w:rsidP="2B80BE1B" w:rsidRDefault="19A1342B" w14:paraId="0B60E226" w14:textId="40D08E38">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Meins, E., Fernyhough, C., Wainwright, R., Das Gupta, M., Fradley, E. and Tuckey, M. (2002). Maternal Mind–Mindedness and Attachment Security as Predictors of Theory of Mind Understanding. </w:t>
      </w:r>
      <w:r w:rsidRPr="2B80BE1B" w:rsidR="19A1342B">
        <w:rPr>
          <w:rFonts w:ascii="Calibri" w:hAnsi="Calibri" w:eastAsia="Calibri" w:cs="Calibri"/>
          <w:i w:val="1"/>
          <w:iCs w:val="1"/>
          <w:noProof w:val="0"/>
          <w:color w:val="000000" w:themeColor="text1" w:themeTint="FF" w:themeShade="FF"/>
          <w:sz w:val="24"/>
          <w:szCs w:val="24"/>
          <w:lang w:val="en-GB"/>
        </w:rPr>
        <w:t>Child Development</w:t>
      </w:r>
      <w:r w:rsidRPr="2B80BE1B" w:rsidR="19A1342B">
        <w:rPr>
          <w:rFonts w:ascii="Calibri" w:hAnsi="Calibri" w:eastAsia="Calibri" w:cs="Calibri"/>
          <w:noProof w:val="0"/>
          <w:color w:val="000000" w:themeColor="text1" w:themeTint="FF" w:themeShade="FF"/>
          <w:sz w:val="24"/>
          <w:szCs w:val="24"/>
          <w:lang w:val="en-GB"/>
        </w:rPr>
        <w:t xml:space="preserve">, 73(6), pp.1715–1726.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://doi.org/10.1111/1467-8624.00501.</w:t>
      </w:r>
    </w:p>
    <w:p w:rsidR="19A1342B" w:rsidP="2B80BE1B" w:rsidRDefault="19A1342B" w14:paraId="3A61B81F" w14:textId="4648A929">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Moll, L.C. (1990). </w:t>
      </w:r>
      <w:r w:rsidRPr="2B80BE1B" w:rsidR="19A1342B">
        <w:rPr>
          <w:rFonts w:ascii="Calibri" w:hAnsi="Calibri" w:eastAsia="Calibri" w:cs="Calibri"/>
          <w:i w:val="1"/>
          <w:iCs w:val="1"/>
          <w:noProof w:val="0"/>
          <w:color w:val="000000" w:themeColor="text1" w:themeTint="FF" w:themeShade="FF"/>
          <w:sz w:val="24"/>
          <w:szCs w:val="24"/>
          <w:lang w:val="en-GB"/>
        </w:rPr>
        <w:t>Vygotsky and Education</w:t>
      </w:r>
      <w:r w:rsidRPr="2B80BE1B" w:rsidR="19A1342B">
        <w:rPr>
          <w:rFonts w:ascii="Calibri" w:hAnsi="Calibri" w:eastAsia="Calibri" w:cs="Calibri"/>
          <w:noProof w:val="0"/>
          <w:color w:val="000000" w:themeColor="text1" w:themeTint="FF" w:themeShade="FF"/>
          <w:sz w:val="24"/>
          <w:szCs w:val="24"/>
          <w:lang w:val="en-GB"/>
        </w:rPr>
        <w:t>. Cambridge University Press.</w:t>
      </w:r>
    </w:p>
    <w:p w:rsidR="19A1342B" w:rsidP="2B80BE1B" w:rsidRDefault="19A1342B" w14:paraId="7C2765FB" w14:textId="09DC6E81">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NHS (2022). </w:t>
      </w:r>
      <w:r w:rsidRPr="2B80BE1B" w:rsidR="19A1342B">
        <w:rPr>
          <w:rFonts w:ascii="Calibri" w:hAnsi="Calibri" w:eastAsia="Calibri" w:cs="Calibri"/>
          <w:i w:val="1"/>
          <w:iCs w:val="1"/>
          <w:noProof w:val="0"/>
          <w:color w:val="000000" w:themeColor="text1" w:themeTint="FF" w:themeShade="FF"/>
          <w:sz w:val="24"/>
          <w:szCs w:val="24"/>
          <w:lang w:val="en-GB"/>
        </w:rPr>
        <w:t>Healthier Families</w:t>
      </w:r>
      <w:r w:rsidRPr="2B80BE1B" w:rsidR="19A1342B">
        <w:rPr>
          <w:rFonts w:ascii="Calibri" w:hAnsi="Calibri" w:eastAsia="Calibri" w:cs="Calibri"/>
          <w:noProof w:val="0"/>
          <w:color w:val="000000" w:themeColor="text1" w:themeTint="FF" w:themeShade="FF"/>
          <w:sz w:val="24"/>
          <w:szCs w:val="24"/>
          <w:lang w:val="en-GB"/>
        </w:rPr>
        <w:t xml:space="preserve">. [online] nhs.uk. Available at: </w:t>
      </w:r>
      <w:hyperlink r:id="R041df5f04fe14ee2">
        <w:r w:rsidRPr="2B80BE1B" w:rsidR="19A1342B">
          <w:rPr>
            <w:rStyle w:val="Hyperlink"/>
            <w:rFonts w:ascii="Calibri" w:hAnsi="Calibri" w:eastAsia="Calibri" w:cs="Calibri"/>
            <w:noProof w:val="0"/>
            <w:sz w:val="24"/>
            <w:szCs w:val="24"/>
            <w:lang w:val="en-GB"/>
          </w:rPr>
          <w:t>https://www.nhs.uk/healthier-families/</w:t>
        </w:r>
      </w:hyperlink>
      <w:r w:rsidRPr="2B80BE1B" w:rsidR="19A1342B">
        <w:rPr>
          <w:rFonts w:ascii="Calibri" w:hAnsi="Calibri" w:eastAsia="Calibri" w:cs="Calibri"/>
          <w:noProof w:val="0"/>
          <w:color w:val="000000" w:themeColor="text1" w:themeTint="FF" w:themeShade="FF"/>
          <w:sz w:val="24"/>
          <w:szCs w:val="24"/>
          <w:lang w:val="en-GB"/>
        </w:rPr>
        <w:t xml:space="preserve"> [Accessed 10 Feb. 2026].</w:t>
      </w:r>
    </w:p>
    <w:p w:rsidR="19A1342B" w:rsidP="2B80BE1B" w:rsidRDefault="19A1342B" w14:paraId="138C892E" w14:textId="4FCDA2A1">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Norwood, NJ: </w:t>
      </w:r>
      <w:r w:rsidRPr="2B80BE1B" w:rsidR="19A1342B">
        <w:rPr>
          <w:rFonts w:ascii="Calibri" w:hAnsi="Calibri" w:eastAsia="Calibri" w:cs="Calibri"/>
          <w:noProof w:val="0"/>
          <w:color w:val="000000" w:themeColor="text1" w:themeTint="FF" w:themeShade="FF"/>
          <w:sz w:val="24"/>
          <w:szCs w:val="24"/>
          <w:lang w:val="en-GB"/>
        </w:rPr>
        <w:t>Ablex</w:t>
      </w:r>
      <w:r w:rsidRPr="2B80BE1B" w:rsidR="19A1342B">
        <w:rPr>
          <w:rFonts w:ascii="Calibri" w:hAnsi="Calibri" w:eastAsia="Calibri" w:cs="Calibri"/>
          <w:noProof w:val="0"/>
          <w:color w:val="000000" w:themeColor="text1" w:themeTint="FF" w:themeShade="FF"/>
          <w:sz w:val="24"/>
          <w:szCs w:val="24"/>
          <w:lang w:val="en-GB"/>
        </w:rPr>
        <w:t xml:space="preserve"> Pub. Corp (1986). Cognitive development. 1(1).</w:t>
      </w:r>
    </w:p>
    <w:p w:rsidR="19A1342B" w:rsidP="2B80BE1B" w:rsidRDefault="19A1342B" w14:paraId="0FB64202" w14:textId="2B9EAE36">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Pichère</w:t>
      </w:r>
      <w:r w:rsidRPr="2B80BE1B" w:rsidR="19A1342B">
        <w:rPr>
          <w:rFonts w:ascii="Calibri" w:hAnsi="Calibri" w:eastAsia="Calibri" w:cs="Calibri"/>
          <w:noProof w:val="0"/>
          <w:color w:val="000000" w:themeColor="text1" w:themeTint="FF" w:themeShade="FF"/>
          <w:sz w:val="24"/>
          <w:szCs w:val="24"/>
          <w:lang w:val="en-GB"/>
        </w:rPr>
        <w:t xml:space="preserve">, P. and </w:t>
      </w:r>
      <w:r w:rsidRPr="2B80BE1B" w:rsidR="19A1342B">
        <w:rPr>
          <w:rFonts w:ascii="Calibri" w:hAnsi="Calibri" w:eastAsia="Calibri" w:cs="Calibri"/>
          <w:noProof w:val="0"/>
          <w:color w:val="000000" w:themeColor="text1" w:themeTint="FF" w:themeShade="FF"/>
          <w:sz w:val="24"/>
          <w:szCs w:val="24"/>
          <w:lang w:val="en-GB"/>
        </w:rPr>
        <w:t>Cadiat</w:t>
      </w:r>
      <w:r w:rsidRPr="2B80BE1B" w:rsidR="19A1342B">
        <w:rPr>
          <w:rFonts w:ascii="Calibri" w:hAnsi="Calibri" w:eastAsia="Calibri" w:cs="Calibri"/>
          <w:noProof w:val="0"/>
          <w:color w:val="000000" w:themeColor="text1" w:themeTint="FF" w:themeShade="FF"/>
          <w:sz w:val="24"/>
          <w:szCs w:val="24"/>
          <w:lang w:val="en-GB"/>
        </w:rPr>
        <w:t xml:space="preserve"> (2026). </w:t>
      </w:r>
      <w:r w:rsidRPr="2B80BE1B" w:rsidR="19A1342B">
        <w:rPr>
          <w:rFonts w:ascii="Calibri" w:hAnsi="Calibri" w:eastAsia="Calibri" w:cs="Calibri"/>
          <w:i w:val="1"/>
          <w:iCs w:val="1"/>
          <w:noProof w:val="0"/>
          <w:color w:val="000000" w:themeColor="text1" w:themeTint="FF" w:themeShade="FF"/>
          <w:sz w:val="24"/>
          <w:szCs w:val="24"/>
          <w:lang w:val="en-GB"/>
        </w:rPr>
        <w:t>Maslow’s Hierarchy of Needs</w:t>
      </w:r>
      <w:r w:rsidRPr="2B80BE1B" w:rsidR="19A1342B">
        <w:rPr>
          <w:rFonts w:ascii="Calibri" w:hAnsi="Calibri" w:eastAsia="Calibri" w:cs="Calibri"/>
          <w:noProof w:val="0"/>
          <w:color w:val="000000" w:themeColor="text1" w:themeTint="FF" w:themeShade="FF"/>
          <w:sz w:val="24"/>
          <w:szCs w:val="24"/>
          <w:lang w:val="en-GB"/>
        </w:rPr>
        <w:t xml:space="preserve">. [online] Available at: </w:t>
      </w:r>
      <w:r w:rsidRPr="2B80BE1B" w:rsidR="19A1342B">
        <w:rPr>
          <w:rFonts w:ascii="Calibri" w:hAnsi="Calibri" w:eastAsia="Calibri" w:cs="Calibri"/>
          <w:noProof w:val="0"/>
          <w:color w:val="000000" w:themeColor="text1" w:themeTint="FF" w:themeShade="FF"/>
          <w:sz w:val="24"/>
          <w:szCs w:val="24"/>
          <w:lang w:val="en-GB"/>
        </w:rPr>
        <w:t>Pichère</w:t>
      </w:r>
      <w:r w:rsidRPr="2B80BE1B" w:rsidR="19A1342B">
        <w:rPr>
          <w:rFonts w:ascii="Calibri" w:hAnsi="Calibri" w:eastAsia="Calibri" w:cs="Calibri"/>
          <w:noProof w:val="0"/>
          <w:color w:val="000000" w:themeColor="text1" w:themeTint="FF" w:themeShade="FF"/>
          <w:sz w:val="24"/>
          <w:szCs w:val="24"/>
          <w:lang w:val="en-GB"/>
        </w:rPr>
        <w:t xml:space="preserve">, P. and </w:t>
      </w:r>
      <w:r w:rsidRPr="2B80BE1B" w:rsidR="19A1342B">
        <w:rPr>
          <w:rFonts w:ascii="Calibri" w:hAnsi="Calibri" w:eastAsia="Calibri" w:cs="Calibri"/>
          <w:noProof w:val="0"/>
          <w:color w:val="000000" w:themeColor="text1" w:themeTint="FF" w:themeShade="FF"/>
          <w:sz w:val="24"/>
          <w:szCs w:val="24"/>
          <w:lang w:val="en-GB"/>
        </w:rPr>
        <w:t>Cadiat</w:t>
      </w:r>
      <w:r w:rsidRPr="2B80BE1B" w:rsidR="19A1342B">
        <w:rPr>
          <w:rFonts w:ascii="Calibri" w:hAnsi="Calibri" w:eastAsia="Calibri" w:cs="Calibri"/>
          <w:noProof w:val="0"/>
          <w:color w:val="000000" w:themeColor="text1" w:themeTint="FF" w:themeShade="FF"/>
          <w:sz w:val="24"/>
          <w:szCs w:val="24"/>
          <w:lang w:val="en-GB"/>
        </w:rPr>
        <w:t xml:space="preserve"> (2026). Maslow’s Hierarchy of Needs. Translated by C. Probert. Namur: Lemaitre Publishing</w:t>
      </w:r>
      <w:r w:rsidRPr="2B80BE1B" w:rsidR="19A1342B">
        <w:rPr>
          <w:rFonts w:ascii="Calibri" w:hAnsi="Calibri" w:eastAsia="Calibri" w:cs="Calibri"/>
          <w:noProof w:val="0"/>
          <w:color w:val="000000" w:themeColor="text1" w:themeTint="FF" w:themeShade="FF"/>
          <w:sz w:val="24"/>
          <w:szCs w:val="24"/>
          <w:lang w:val="en-GB"/>
        </w:rPr>
        <w:t>. .</w:t>
      </w:r>
    </w:p>
    <w:p w:rsidR="19A1342B" w:rsidP="2B80BE1B" w:rsidRDefault="19A1342B" w14:paraId="47053625" w14:textId="6AF96512">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Public Health England (2017). </w:t>
      </w:r>
      <w:r w:rsidRPr="2B80BE1B" w:rsidR="19A1342B">
        <w:rPr>
          <w:rFonts w:ascii="Calibri" w:hAnsi="Calibri" w:eastAsia="Calibri" w:cs="Calibri"/>
          <w:i w:val="1"/>
          <w:iCs w:val="1"/>
          <w:noProof w:val="0"/>
          <w:color w:val="000000" w:themeColor="text1" w:themeTint="FF" w:themeShade="FF"/>
          <w:sz w:val="24"/>
          <w:szCs w:val="24"/>
          <w:lang w:val="en-GB"/>
        </w:rPr>
        <w:t>New Change4Life Campaign Encourages Parents to ‘Be Food Smart’</w:t>
      </w:r>
      <w:r w:rsidRPr="2B80BE1B" w:rsidR="19A1342B">
        <w:rPr>
          <w:rFonts w:ascii="Calibri" w:hAnsi="Calibri" w:eastAsia="Calibri" w:cs="Calibri"/>
          <w:noProof w:val="0"/>
          <w:color w:val="000000" w:themeColor="text1" w:themeTint="FF" w:themeShade="FF"/>
          <w:sz w:val="24"/>
          <w:szCs w:val="24"/>
          <w:lang w:val="en-GB"/>
        </w:rPr>
        <w:t xml:space="preserve">. [online] gov.uk. Available at: </w:t>
      </w:r>
      <w:hyperlink r:id="R4507bc2ab9cd41e0">
        <w:r w:rsidRPr="2B80BE1B" w:rsidR="19A1342B">
          <w:rPr>
            <w:rStyle w:val="Hyperlink"/>
            <w:rFonts w:ascii="Calibri" w:hAnsi="Calibri" w:eastAsia="Calibri" w:cs="Calibri"/>
            <w:noProof w:val="0"/>
            <w:sz w:val="24"/>
            <w:szCs w:val="24"/>
            <w:lang w:val="en-GB"/>
          </w:rPr>
          <w:t>https://www.gov.uk/government/news/new-change4life-campaign-encourages-parents-to-be-food-smart</w:t>
        </w:r>
      </w:hyperlink>
      <w:r w:rsidRPr="2B80BE1B" w:rsidR="19A1342B">
        <w:rPr>
          <w:rFonts w:ascii="Calibri" w:hAnsi="Calibri" w:eastAsia="Calibri" w:cs="Calibri"/>
          <w:noProof w:val="0"/>
          <w:color w:val="000000" w:themeColor="text1" w:themeTint="FF" w:themeShade="FF"/>
          <w:sz w:val="24"/>
          <w:szCs w:val="24"/>
          <w:lang w:val="en-GB"/>
        </w:rPr>
        <w:t xml:space="preserve"> [Accessed 10 Feb. 2026].</w:t>
      </w:r>
    </w:p>
    <w:p w:rsidR="19A1342B" w:rsidP="2B80BE1B" w:rsidRDefault="19A1342B" w14:paraId="01355FA1" w14:textId="1BE7B90F">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Rodger, R. (2016). </w:t>
      </w:r>
      <w:r w:rsidRPr="2B80BE1B" w:rsidR="19A1342B">
        <w:rPr>
          <w:rFonts w:ascii="Calibri" w:hAnsi="Calibri" w:eastAsia="Calibri" w:cs="Calibri"/>
          <w:i w:val="1"/>
          <w:iCs w:val="1"/>
          <w:noProof w:val="0"/>
          <w:color w:val="000000" w:themeColor="text1" w:themeTint="FF" w:themeShade="FF"/>
          <w:sz w:val="24"/>
          <w:szCs w:val="24"/>
          <w:lang w:val="en-GB"/>
        </w:rPr>
        <w:t xml:space="preserve">Planning </w:t>
      </w:r>
      <w:r w:rsidRPr="2B80BE1B" w:rsidR="19A1342B">
        <w:rPr>
          <w:rFonts w:ascii="Calibri" w:hAnsi="Calibri" w:eastAsia="Calibri" w:cs="Calibri"/>
          <w:i w:val="1"/>
          <w:iCs w:val="1"/>
          <w:noProof w:val="0"/>
          <w:color w:val="000000" w:themeColor="text1" w:themeTint="FF" w:themeShade="FF"/>
          <w:sz w:val="24"/>
          <w:szCs w:val="24"/>
          <w:lang w:val="en-GB"/>
        </w:rPr>
        <w:t>an Appropriate Curriculum</w:t>
      </w:r>
      <w:r w:rsidRPr="2B80BE1B" w:rsidR="19A1342B">
        <w:rPr>
          <w:rFonts w:ascii="Calibri" w:hAnsi="Calibri" w:eastAsia="Calibri" w:cs="Calibri"/>
          <w:i w:val="1"/>
          <w:iCs w:val="1"/>
          <w:noProof w:val="0"/>
          <w:color w:val="000000" w:themeColor="text1" w:themeTint="FF" w:themeShade="FF"/>
          <w:sz w:val="24"/>
          <w:szCs w:val="24"/>
          <w:lang w:val="en-GB"/>
        </w:rPr>
        <w:t xml:space="preserve"> in the Early Years</w:t>
      </w:r>
      <w:r w:rsidRPr="2B80BE1B" w:rsidR="19A1342B">
        <w:rPr>
          <w:rFonts w:ascii="Calibri" w:hAnsi="Calibri" w:eastAsia="Calibri" w:cs="Calibri"/>
          <w:noProof w:val="0"/>
          <w:color w:val="000000" w:themeColor="text1" w:themeTint="FF" w:themeShade="FF"/>
          <w:sz w:val="24"/>
          <w:szCs w:val="24"/>
          <w:lang w:val="en-GB"/>
        </w:rPr>
        <w:t xml:space="preserve">. Routledge.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://doi.org/10.4324/9781315695754.</w:t>
      </w:r>
    </w:p>
    <w:p w:rsidR="19A1342B" w:rsidP="2B80BE1B" w:rsidRDefault="19A1342B" w14:paraId="5F197196" w14:textId="51F9477B">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Slater, C.L. (2003). Generativity versus stagnation: an elaboration of Erikson’s adult stage of human development. </w:t>
      </w:r>
      <w:r w:rsidRPr="2B80BE1B" w:rsidR="19A1342B">
        <w:rPr>
          <w:rFonts w:ascii="Calibri" w:hAnsi="Calibri" w:eastAsia="Calibri" w:cs="Calibri"/>
          <w:i w:val="1"/>
          <w:iCs w:val="1"/>
          <w:noProof w:val="0"/>
          <w:color w:val="000000" w:themeColor="text1" w:themeTint="FF" w:themeShade="FF"/>
          <w:sz w:val="24"/>
          <w:szCs w:val="24"/>
          <w:lang w:val="en-GB"/>
        </w:rPr>
        <w:t>Journal of Adult Development</w:t>
      </w:r>
      <w:r w:rsidRPr="2B80BE1B" w:rsidR="19A1342B">
        <w:rPr>
          <w:rFonts w:ascii="Calibri" w:hAnsi="Calibri" w:eastAsia="Calibri" w:cs="Calibri"/>
          <w:noProof w:val="0"/>
          <w:color w:val="000000" w:themeColor="text1" w:themeTint="FF" w:themeShade="FF"/>
          <w:sz w:val="24"/>
          <w:szCs w:val="24"/>
          <w:lang w:val="en-GB"/>
        </w:rPr>
        <w:t xml:space="preserve">, 10(1), pp.53–65.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://doi.org/10.1023/a:1020790820868.</w:t>
      </w:r>
    </w:p>
    <w:p w:rsidR="19A1342B" w:rsidP="2B80BE1B" w:rsidRDefault="19A1342B" w14:paraId="0E3727A8" w14:textId="3E945640">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Snyder, L.S. (1978). ‘COMMUNICATIVE AND COGNITIVE ABILITIES AND DISABILITIES IN THE SENSORIMOTOR PERIOD</w:t>
      </w:r>
      <w:r w:rsidRPr="2B80BE1B" w:rsidR="19A1342B">
        <w:rPr>
          <w:rFonts w:ascii="Calibri" w:hAnsi="Calibri" w:eastAsia="Calibri" w:cs="Calibri"/>
          <w:noProof w:val="0"/>
          <w:color w:val="000000" w:themeColor="text1" w:themeTint="FF" w:themeShade="FF"/>
          <w:sz w:val="24"/>
          <w:szCs w:val="24"/>
          <w:lang w:val="en-GB"/>
        </w:rPr>
        <w:t>’,.</w:t>
      </w:r>
      <w:r w:rsidRPr="2B80BE1B" w:rsidR="19A1342B">
        <w:rPr>
          <w:rFonts w:ascii="Calibri" w:hAnsi="Calibri" w:eastAsia="Calibri" w:cs="Calibri"/>
          <w:noProof w:val="0"/>
          <w:color w:val="000000" w:themeColor="text1" w:themeTint="FF" w:themeShade="FF"/>
          <w:sz w:val="24"/>
          <w:szCs w:val="24"/>
          <w:lang w:val="en-GB"/>
        </w:rPr>
        <w:t xml:space="preserve"> </w:t>
      </w:r>
      <w:r w:rsidRPr="2B80BE1B" w:rsidR="19A1342B">
        <w:rPr>
          <w:rFonts w:ascii="Calibri" w:hAnsi="Calibri" w:eastAsia="Calibri" w:cs="Calibri"/>
          <w:i w:val="1"/>
          <w:iCs w:val="1"/>
          <w:noProof w:val="0"/>
          <w:color w:val="000000" w:themeColor="text1" w:themeTint="FF" w:themeShade="FF"/>
          <w:sz w:val="24"/>
          <w:szCs w:val="24"/>
          <w:lang w:val="en-GB"/>
        </w:rPr>
        <w:t xml:space="preserve">Merrill-Palmer Quarterly of </w:t>
      </w:r>
      <w:r w:rsidRPr="2B80BE1B" w:rsidR="19A1342B">
        <w:rPr>
          <w:rFonts w:ascii="Calibri" w:hAnsi="Calibri" w:eastAsia="Calibri" w:cs="Calibri"/>
          <w:i w:val="1"/>
          <w:iCs w:val="1"/>
          <w:noProof w:val="0"/>
          <w:color w:val="000000" w:themeColor="text1" w:themeTint="FF" w:themeShade="FF"/>
          <w:sz w:val="24"/>
          <w:szCs w:val="24"/>
          <w:lang w:val="en-GB"/>
        </w:rPr>
        <w:t>Behavior</w:t>
      </w:r>
      <w:r w:rsidRPr="2B80BE1B" w:rsidR="19A1342B">
        <w:rPr>
          <w:rFonts w:ascii="Calibri" w:hAnsi="Calibri" w:eastAsia="Calibri" w:cs="Calibri"/>
          <w:i w:val="1"/>
          <w:iCs w:val="1"/>
          <w:noProof w:val="0"/>
          <w:color w:val="000000" w:themeColor="text1" w:themeTint="FF" w:themeShade="FF"/>
          <w:sz w:val="24"/>
          <w:szCs w:val="24"/>
          <w:lang w:val="en-GB"/>
        </w:rPr>
        <w:t xml:space="preserve"> and Development,</w:t>
      </w:r>
      <w:r w:rsidRPr="2B80BE1B" w:rsidR="19A1342B">
        <w:rPr>
          <w:rFonts w:ascii="Calibri" w:hAnsi="Calibri" w:eastAsia="Calibri" w:cs="Calibri"/>
          <w:noProof w:val="0"/>
          <w:color w:val="000000" w:themeColor="text1" w:themeTint="FF" w:themeShade="FF"/>
          <w:sz w:val="24"/>
          <w:szCs w:val="24"/>
          <w:lang w:val="en-GB"/>
        </w:rPr>
        <w:t xml:space="preserve"> 24(3), pp.161–180.</w:t>
      </w:r>
    </w:p>
    <w:p w:rsidR="19A1342B" w:rsidP="2B80BE1B" w:rsidRDefault="19A1342B" w14:paraId="0426F5C0" w14:textId="69B591D7">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Soni, A. (2010). Thinking children learning about schemas. </w:t>
      </w:r>
      <w:r w:rsidRPr="2B80BE1B" w:rsidR="19A1342B">
        <w:rPr>
          <w:rFonts w:ascii="Calibri" w:hAnsi="Calibri" w:eastAsia="Calibri" w:cs="Calibri"/>
          <w:i w:val="1"/>
          <w:iCs w:val="1"/>
          <w:noProof w:val="0"/>
          <w:color w:val="000000" w:themeColor="text1" w:themeTint="FF" w:themeShade="FF"/>
          <w:sz w:val="24"/>
          <w:szCs w:val="24"/>
          <w:lang w:val="en-GB"/>
        </w:rPr>
        <w:t>Early Years</w:t>
      </w:r>
      <w:r w:rsidRPr="2B80BE1B" w:rsidR="19A1342B">
        <w:rPr>
          <w:rFonts w:ascii="Calibri" w:hAnsi="Calibri" w:eastAsia="Calibri" w:cs="Calibri"/>
          <w:noProof w:val="0"/>
          <w:color w:val="000000" w:themeColor="text1" w:themeTint="FF" w:themeShade="FF"/>
          <w:sz w:val="24"/>
          <w:szCs w:val="24"/>
          <w:lang w:val="en-GB"/>
        </w:rPr>
        <w:t xml:space="preserve">, 30(2), pp.200–200.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://doi.org/10.1080/09575146.2010.488874.</w:t>
      </w:r>
    </w:p>
    <w:p w:rsidR="19A1342B" w:rsidP="2B80BE1B" w:rsidRDefault="19A1342B" w14:paraId="6C699F2A" w14:textId="7146A86C">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Sroufe, L.A. (2005). Attachment and development: A prospective, longitudinal study from birth to adulthood. </w:t>
      </w:r>
      <w:r w:rsidRPr="2B80BE1B" w:rsidR="19A1342B">
        <w:rPr>
          <w:rFonts w:ascii="Calibri" w:hAnsi="Calibri" w:eastAsia="Calibri" w:cs="Calibri"/>
          <w:i w:val="1"/>
          <w:iCs w:val="1"/>
          <w:noProof w:val="0"/>
          <w:color w:val="000000" w:themeColor="text1" w:themeTint="FF" w:themeShade="FF"/>
          <w:sz w:val="24"/>
          <w:szCs w:val="24"/>
          <w:lang w:val="en-GB"/>
        </w:rPr>
        <w:t>Attachment &amp; Human Development</w:t>
      </w:r>
      <w:r w:rsidRPr="2B80BE1B" w:rsidR="19A1342B">
        <w:rPr>
          <w:rFonts w:ascii="Calibri" w:hAnsi="Calibri" w:eastAsia="Calibri" w:cs="Calibri"/>
          <w:noProof w:val="0"/>
          <w:color w:val="000000" w:themeColor="text1" w:themeTint="FF" w:themeShade="FF"/>
          <w:sz w:val="24"/>
          <w:szCs w:val="24"/>
          <w:lang w:val="en-GB"/>
        </w:rPr>
        <w:t>, 7(4), pp.349–367. [Accessed 10.02.2026].</w:t>
      </w:r>
    </w:p>
    <w:p w:rsidR="19A1342B" w:rsidP="2B80BE1B" w:rsidRDefault="19A1342B" w14:paraId="14E503C1" w14:textId="32C77AFC">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Tan, R., Yang, Y., Huang, T., Lin, </w:t>
      </w:r>
      <w:r w:rsidRPr="2B80BE1B" w:rsidR="19A1342B">
        <w:rPr>
          <w:rFonts w:ascii="Calibri" w:hAnsi="Calibri" w:eastAsia="Calibri" w:cs="Calibri"/>
          <w:noProof w:val="0"/>
          <w:color w:val="000000" w:themeColor="text1" w:themeTint="FF" w:themeShade="FF"/>
          <w:sz w:val="24"/>
          <w:szCs w:val="24"/>
          <w:lang w:val="en-GB"/>
        </w:rPr>
        <w:t>X.</w:t>
      </w:r>
      <w:r w:rsidRPr="2B80BE1B" w:rsidR="19A1342B">
        <w:rPr>
          <w:rFonts w:ascii="Calibri" w:hAnsi="Calibri" w:eastAsia="Calibri" w:cs="Calibri"/>
          <w:noProof w:val="0"/>
          <w:color w:val="000000" w:themeColor="text1" w:themeTint="FF" w:themeShade="FF"/>
          <w:sz w:val="24"/>
          <w:szCs w:val="24"/>
          <w:lang w:val="en-GB"/>
        </w:rPr>
        <w:t xml:space="preserve"> and Gao, H. (2023). Parent–child attachment and mental health in young adolescents: a moderated mediation analysis. </w:t>
      </w:r>
      <w:r w:rsidRPr="2B80BE1B" w:rsidR="19A1342B">
        <w:rPr>
          <w:rFonts w:ascii="Calibri" w:hAnsi="Calibri" w:eastAsia="Calibri" w:cs="Calibri"/>
          <w:i w:val="1"/>
          <w:iCs w:val="1"/>
          <w:noProof w:val="0"/>
          <w:color w:val="000000" w:themeColor="text1" w:themeTint="FF" w:themeShade="FF"/>
          <w:sz w:val="24"/>
          <w:szCs w:val="24"/>
          <w:lang w:val="en-GB"/>
        </w:rPr>
        <w:t>Frontiers in Psychology</w:t>
      </w:r>
      <w:r w:rsidRPr="2B80BE1B" w:rsidR="19A1342B">
        <w:rPr>
          <w:rFonts w:ascii="Calibri" w:hAnsi="Calibri" w:eastAsia="Calibri" w:cs="Calibri"/>
          <w:noProof w:val="0"/>
          <w:color w:val="000000" w:themeColor="text1" w:themeTint="FF" w:themeShade="FF"/>
          <w:sz w:val="24"/>
          <w:szCs w:val="24"/>
          <w:lang w:val="en-GB"/>
        </w:rPr>
        <w:t xml:space="preserve">, [online] 14, p.1298485.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://doi.org/10.3389/fpsyg.2023.1298485.</w:t>
      </w:r>
    </w:p>
    <w:p w:rsidR="19A1342B" w:rsidP="2B80BE1B" w:rsidRDefault="19A1342B" w14:paraId="0B59D10F" w14:textId="33130EB0">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The Attachment Project (2024). </w:t>
      </w:r>
      <w:r w:rsidRPr="2B80BE1B" w:rsidR="19A1342B">
        <w:rPr>
          <w:rFonts w:ascii="Calibri" w:hAnsi="Calibri" w:eastAsia="Calibri" w:cs="Calibri"/>
          <w:i w:val="1"/>
          <w:iCs w:val="1"/>
          <w:noProof w:val="0"/>
          <w:color w:val="000000" w:themeColor="text1" w:themeTint="FF" w:themeShade="FF"/>
          <w:sz w:val="24"/>
          <w:szCs w:val="24"/>
          <w:lang w:val="en-GB"/>
        </w:rPr>
        <w:t>John Bowlby and Attachment Theory: Stages and Working Model</w:t>
      </w:r>
      <w:r w:rsidRPr="2B80BE1B" w:rsidR="19A1342B">
        <w:rPr>
          <w:rFonts w:ascii="Calibri" w:hAnsi="Calibri" w:eastAsia="Calibri" w:cs="Calibri"/>
          <w:noProof w:val="0"/>
          <w:color w:val="000000" w:themeColor="text1" w:themeTint="FF" w:themeShade="FF"/>
          <w:sz w:val="24"/>
          <w:szCs w:val="24"/>
          <w:lang w:val="en-GB"/>
        </w:rPr>
        <w:t xml:space="preserve">. [online] Attachment Project. Available at: </w:t>
      </w:r>
      <w:hyperlink r:id="Rd91e56c5a5ef404a">
        <w:r w:rsidRPr="2B80BE1B" w:rsidR="19A1342B">
          <w:rPr>
            <w:rStyle w:val="Hyperlink"/>
            <w:rFonts w:ascii="Calibri" w:hAnsi="Calibri" w:eastAsia="Calibri" w:cs="Calibri"/>
            <w:noProof w:val="0"/>
            <w:sz w:val="24"/>
            <w:szCs w:val="24"/>
            <w:lang w:val="en-GB"/>
          </w:rPr>
          <w:t>https://www.attachmentproject.com/attachment-theory/john-bowlby/</w:t>
        </w:r>
      </w:hyperlink>
      <w:r w:rsidRPr="2B80BE1B" w:rsidR="19A1342B">
        <w:rPr>
          <w:rFonts w:ascii="Calibri" w:hAnsi="Calibri" w:eastAsia="Calibri" w:cs="Calibri"/>
          <w:noProof w:val="0"/>
          <w:color w:val="000000" w:themeColor="text1" w:themeTint="FF" w:themeShade="FF"/>
          <w:sz w:val="24"/>
          <w:szCs w:val="24"/>
          <w:lang w:val="en-GB"/>
        </w:rPr>
        <w:t xml:space="preserve"> [Accessed 5 Feb. 2026].</w:t>
      </w:r>
    </w:p>
    <w:p w:rsidR="19A1342B" w:rsidP="2B80BE1B" w:rsidRDefault="19A1342B" w14:paraId="44F19767" w14:textId="6CF9F56A">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UNICEF (n.d.). </w:t>
      </w:r>
      <w:r w:rsidRPr="2B80BE1B" w:rsidR="19A1342B">
        <w:rPr>
          <w:rFonts w:ascii="Calibri" w:hAnsi="Calibri" w:eastAsia="Calibri" w:cs="Calibri"/>
          <w:i w:val="1"/>
          <w:iCs w:val="1"/>
          <w:noProof w:val="0"/>
          <w:color w:val="000000" w:themeColor="text1" w:themeTint="FF" w:themeShade="FF"/>
          <w:sz w:val="24"/>
          <w:szCs w:val="24"/>
          <w:lang w:val="en-GB"/>
        </w:rPr>
        <w:t>UN convention on the rights of the child (UNCRC)</w:t>
      </w:r>
      <w:r w:rsidRPr="2B80BE1B" w:rsidR="19A1342B">
        <w:rPr>
          <w:rFonts w:ascii="Calibri" w:hAnsi="Calibri" w:eastAsia="Calibri" w:cs="Calibri"/>
          <w:noProof w:val="0"/>
          <w:color w:val="000000" w:themeColor="text1" w:themeTint="FF" w:themeShade="FF"/>
          <w:sz w:val="24"/>
          <w:szCs w:val="24"/>
          <w:lang w:val="en-GB"/>
        </w:rPr>
        <w:t xml:space="preserve">. [online] </w:t>
      </w:r>
      <w:r w:rsidRPr="2B80BE1B" w:rsidR="19A1342B">
        <w:rPr>
          <w:rFonts w:ascii="Calibri" w:hAnsi="Calibri" w:eastAsia="Calibri" w:cs="Calibri"/>
          <w:noProof w:val="0"/>
          <w:color w:val="000000" w:themeColor="text1" w:themeTint="FF" w:themeShade="FF"/>
          <w:sz w:val="24"/>
          <w:szCs w:val="24"/>
          <w:lang w:val="en-GB"/>
        </w:rPr>
        <w:t>unicef</w:t>
      </w:r>
      <w:r w:rsidRPr="2B80BE1B" w:rsidR="19A1342B">
        <w:rPr>
          <w:rFonts w:ascii="Calibri" w:hAnsi="Calibri" w:eastAsia="Calibri" w:cs="Calibri"/>
          <w:noProof w:val="0"/>
          <w:color w:val="000000" w:themeColor="text1" w:themeTint="FF" w:themeShade="FF"/>
          <w:sz w:val="24"/>
          <w:szCs w:val="24"/>
          <w:lang w:val="en-GB"/>
        </w:rPr>
        <w:t xml:space="preserve">. Available at: </w:t>
      </w:r>
      <w:hyperlink r:id="R458081ff797845da">
        <w:r w:rsidRPr="2B80BE1B" w:rsidR="19A1342B">
          <w:rPr>
            <w:rStyle w:val="Hyperlink"/>
            <w:rFonts w:ascii="Calibri" w:hAnsi="Calibri" w:eastAsia="Calibri" w:cs="Calibri"/>
            <w:noProof w:val="0"/>
            <w:sz w:val="24"/>
            <w:szCs w:val="24"/>
            <w:lang w:val="en-GB"/>
          </w:rPr>
          <w:t>https://www.unicef.org.uk/what-we-do/un-convention-child-rights/</w:t>
        </w:r>
      </w:hyperlink>
      <w:r w:rsidRPr="2B80BE1B" w:rsidR="19A1342B">
        <w:rPr>
          <w:rFonts w:ascii="Calibri" w:hAnsi="Calibri" w:eastAsia="Calibri" w:cs="Calibri"/>
          <w:noProof w:val="0"/>
          <w:color w:val="000000" w:themeColor="text1" w:themeTint="FF" w:themeShade="FF"/>
          <w:sz w:val="24"/>
          <w:szCs w:val="24"/>
          <w:lang w:val="en-GB"/>
        </w:rPr>
        <w:t xml:space="preserve"> [Accessed 20 Feb. 2026].</w:t>
      </w:r>
    </w:p>
    <w:p w:rsidR="19A1342B" w:rsidP="2B80BE1B" w:rsidRDefault="19A1342B" w14:paraId="0759E8CB" w14:textId="75DF724A">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Venetsanou</w:t>
      </w:r>
      <w:r w:rsidRPr="2B80BE1B" w:rsidR="19A1342B">
        <w:rPr>
          <w:rFonts w:ascii="Calibri" w:hAnsi="Calibri" w:eastAsia="Calibri" w:cs="Calibri"/>
          <w:noProof w:val="0"/>
          <w:color w:val="000000" w:themeColor="text1" w:themeTint="FF" w:themeShade="FF"/>
          <w:sz w:val="24"/>
          <w:szCs w:val="24"/>
          <w:lang w:val="en-GB"/>
        </w:rPr>
        <w:t xml:space="preserve">, F. and </w:t>
      </w:r>
      <w:r w:rsidRPr="2B80BE1B" w:rsidR="19A1342B">
        <w:rPr>
          <w:rFonts w:ascii="Calibri" w:hAnsi="Calibri" w:eastAsia="Calibri" w:cs="Calibri"/>
          <w:noProof w:val="0"/>
          <w:color w:val="000000" w:themeColor="text1" w:themeTint="FF" w:themeShade="FF"/>
          <w:sz w:val="24"/>
          <w:szCs w:val="24"/>
          <w:lang w:val="en-GB"/>
        </w:rPr>
        <w:t>Kambas</w:t>
      </w:r>
      <w:r w:rsidRPr="2B80BE1B" w:rsidR="19A1342B">
        <w:rPr>
          <w:rFonts w:ascii="Calibri" w:hAnsi="Calibri" w:eastAsia="Calibri" w:cs="Calibri"/>
          <w:noProof w:val="0"/>
          <w:color w:val="000000" w:themeColor="text1" w:themeTint="FF" w:themeShade="FF"/>
          <w:sz w:val="24"/>
          <w:szCs w:val="24"/>
          <w:lang w:val="en-GB"/>
        </w:rPr>
        <w:t xml:space="preserve">, A. (2009). Environmental Factors Affecting Preschoolers’ Motor Development. </w:t>
      </w:r>
      <w:r w:rsidRPr="2B80BE1B" w:rsidR="19A1342B">
        <w:rPr>
          <w:rFonts w:ascii="Calibri" w:hAnsi="Calibri" w:eastAsia="Calibri" w:cs="Calibri"/>
          <w:i w:val="1"/>
          <w:iCs w:val="1"/>
          <w:noProof w:val="0"/>
          <w:color w:val="000000" w:themeColor="text1" w:themeTint="FF" w:themeShade="FF"/>
          <w:sz w:val="24"/>
          <w:szCs w:val="24"/>
          <w:lang w:val="en-GB"/>
        </w:rPr>
        <w:t>Early Childhood Education Journal</w:t>
      </w:r>
      <w:r w:rsidRPr="2B80BE1B" w:rsidR="19A1342B">
        <w:rPr>
          <w:rFonts w:ascii="Calibri" w:hAnsi="Calibri" w:eastAsia="Calibri" w:cs="Calibri"/>
          <w:noProof w:val="0"/>
          <w:color w:val="000000" w:themeColor="text1" w:themeTint="FF" w:themeShade="FF"/>
          <w:sz w:val="24"/>
          <w:szCs w:val="24"/>
          <w:lang w:val="en-GB"/>
        </w:rPr>
        <w:t xml:space="preserve">, 37(4), pp.319–327.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://doi.org/10.1007/s10643-009-0350-z.</w:t>
      </w:r>
    </w:p>
    <w:p w:rsidR="19A1342B" w:rsidP="2B80BE1B" w:rsidRDefault="19A1342B" w14:paraId="75863F7A" w14:textId="40BF7C18">
      <w:pPr>
        <w:pStyle w:val="ListParagraph"/>
        <w:numPr>
          <w:ilvl w:val="0"/>
          <w:numId w:val="8"/>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von Stumm, S., Kandaswamy, </w:t>
      </w:r>
      <w:r w:rsidRPr="2B80BE1B" w:rsidR="19A1342B">
        <w:rPr>
          <w:rFonts w:ascii="Calibri" w:hAnsi="Calibri" w:eastAsia="Calibri" w:cs="Calibri"/>
          <w:noProof w:val="0"/>
          <w:color w:val="000000" w:themeColor="text1" w:themeTint="FF" w:themeShade="FF"/>
          <w:sz w:val="24"/>
          <w:szCs w:val="24"/>
          <w:lang w:val="en-GB"/>
        </w:rPr>
        <w:t>R.</w:t>
      </w:r>
      <w:r w:rsidRPr="2B80BE1B" w:rsidR="19A1342B">
        <w:rPr>
          <w:rFonts w:ascii="Calibri" w:hAnsi="Calibri" w:eastAsia="Calibri" w:cs="Calibri"/>
          <w:noProof w:val="0"/>
          <w:color w:val="000000" w:themeColor="text1" w:themeTint="FF" w:themeShade="FF"/>
          <w:sz w:val="24"/>
          <w:szCs w:val="24"/>
          <w:lang w:val="en-GB"/>
        </w:rPr>
        <w:t xml:space="preserve"> and Maxwell, J. (2023). Gene-environment interplay in early life cognitive development. </w:t>
      </w:r>
      <w:r w:rsidRPr="2B80BE1B" w:rsidR="19A1342B">
        <w:rPr>
          <w:rFonts w:ascii="Calibri" w:hAnsi="Calibri" w:eastAsia="Calibri" w:cs="Calibri"/>
          <w:i w:val="1"/>
          <w:iCs w:val="1"/>
          <w:noProof w:val="0"/>
          <w:color w:val="000000" w:themeColor="text1" w:themeTint="FF" w:themeShade="FF"/>
          <w:sz w:val="24"/>
          <w:szCs w:val="24"/>
          <w:lang w:val="en-GB"/>
        </w:rPr>
        <w:t>Intelligence</w:t>
      </w:r>
      <w:r w:rsidRPr="2B80BE1B" w:rsidR="19A1342B">
        <w:rPr>
          <w:rFonts w:ascii="Calibri" w:hAnsi="Calibri" w:eastAsia="Calibri" w:cs="Calibri"/>
          <w:noProof w:val="0"/>
          <w:color w:val="000000" w:themeColor="text1" w:themeTint="FF" w:themeShade="FF"/>
          <w:sz w:val="24"/>
          <w:szCs w:val="24"/>
          <w:lang w:val="en-GB"/>
        </w:rPr>
        <w:t xml:space="preserve">, [online] 98(1), p.101748. </w:t>
      </w:r>
      <w:r w:rsidRPr="2B80BE1B" w:rsidR="19A1342B">
        <w:rPr>
          <w:rFonts w:ascii="Calibri" w:hAnsi="Calibri" w:eastAsia="Calibri" w:cs="Calibri"/>
          <w:noProof w:val="0"/>
          <w:color w:val="000000" w:themeColor="text1" w:themeTint="FF" w:themeShade="FF"/>
          <w:sz w:val="24"/>
          <w:szCs w:val="24"/>
          <w:lang w:val="en-GB"/>
        </w:rPr>
        <w:t>doi:https</w:t>
      </w:r>
      <w:r w:rsidRPr="2B80BE1B" w:rsidR="19A1342B">
        <w:rPr>
          <w:rFonts w:ascii="Calibri" w:hAnsi="Calibri" w:eastAsia="Calibri" w:cs="Calibri"/>
          <w:noProof w:val="0"/>
          <w:color w:val="000000" w:themeColor="text1" w:themeTint="FF" w:themeShade="FF"/>
          <w:sz w:val="24"/>
          <w:szCs w:val="24"/>
          <w:lang w:val="en-GB"/>
        </w:rPr>
        <w:t>://doi.org/10.1016/j.intell.2023.101748.</w:t>
      </w:r>
    </w:p>
    <w:p w:rsidR="19A1342B" w:rsidP="2B80BE1B" w:rsidRDefault="19A1342B" w14:paraId="3310FD6E" w14:textId="5EBD995C">
      <w:pPr>
        <w:pStyle w:val="ListParagraph"/>
        <w:numPr>
          <w:ilvl w:val="0"/>
          <w:numId w:val="7"/>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Wainwright, N (2019). ‘Developing children’s motor skills in the Foundation Phase in Wales to support physical literacy.</w:t>
      </w:r>
      <w:r w:rsidRPr="2B80BE1B" w:rsidR="19A1342B">
        <w:rPr>
          <w:rFonts w:ascii="Calibri" w:hAnsi="Calibri" w:eastAsia="Calibri" w:cs="Calibri"/>
          <w:noProof w:val="0"/>
          <w:color w:val="000000" w:themeColor="text1" w:themeTint="FF" w:themeShade="FF"/>
          <w:sz w:val="24"/>
          <w:szCs w:val="24"/>
          <w:lang w:val="en-GB"/>
        </w:rPr>
        <w:t>’ .</w:t>
      </w:r>
    </w:p>
    <w:p w:rsidR="19A1342B" w:rsidP="2B80BE1B" w:rsidRDefault="19A1342B" w14:paraId="44D8E74E" w14:textId="5B6A170F">
      <w:pPr>
        <w:pStyle w:val="ListParagraph"/>
        <w:numPr>
          <w:ilvl w:val="0"/>
          <w:numId w:val="7"/>
        </w:num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2B80BE1B" w:rsidR="19A1342B">
        <w:rPr>
          <w:rFonts w:ascii="Calibri" w:hAnsi="Calibri" w:eastAsia="Calibri" w:cs="Calibri"/>
          <w:noProof w:val="0"/>
          <w:color w:val="000000" w:themeColor="text1" w:themeTint="FF" w:themeShade="FF"/>
          <w:sz w:val="24"/>
          <w:szCs w:val="24"/>
          <w:lang w:val="en-GB"/>
        </w:rPr>
        <w:t xml:space="preserve">Welsh Government (2021). </w:t>
      </w:r>
      <w:r w:rsidRPr="2B80BE1B" w:rsidR="19A1342B">
        <w:rPr>
          <w:rFonts w:ascii="Calibri" w:hAnsi="Calibri" w:eastAsia="Calibri" w:cs="Calibri"/>
          <w:i w:val="1"/>
          <w:iCs w:val="1"/>
          <w:noProof w:val="0"/>
          <w:color w:val="000000" w:themeColor="text1" w:themeTint="FF" w:themeShade="FF"/>
          <w:sz w:val="24"/>
          <w:szCs w:val="24"/>
          <w:lang w:val="en-GB"/>
        </w:rPr>
        <w:t>The Additional Learning Needs Code for Wales 2021 WG21-23</w:t>
      </w:r>
      <w:r w:rsidRPr="2B80BE1B" w:rsidR="19A1342B">
        <w:rPr>
          <w:rFonts w:ascii="Calibri" w:hAnsi="Calibri" w:eastAsia="Calibri" w:cs="Calibri"/>
          <w:noProof w:val="0"/>
          <w:color w:val="000000" w:themeColor="text1" w:themeTint="FF" w:themeShade="FF"/>
          <w:sz w:val="24"/>
          <w:szCs w:val="24"/>
          <w:lang w:val="en-GB"/>
        </w:rPr>
        <w:t xml:space="preserve">. [online] Available at: </w:t>
      </w:r>
      <w:hyperlink r:id="R9a76115b7f804e11">
        <w:r w:rsidRPr="2B80BE1B" w:rsidR="19A1342B">
          <w:rPr>
            <w:rStyle w:val="Hyperlink"/>
            <w:rFonts w:ascii="Calibri" w:hAnsi="Calibri" w:eastAsia="Calibri" w:cs="Calibri"/>
            <w:noProof w:val="0"/>
            <w:sz w:val="24"/>
            <w:szCs w:val="24"/>
            <w:lang w:val="en-GB"/>
          </w:rPr>
          <w:t>https://www.gov.wales/sites/default/files/publications/2025-01/250124-the-additional-learning-needs-code-for-wales-2021.pdf</w:t>
        </w:r>
      </w:hyperlink>
      <w:r w:rsidRPr="2B80BE1B" w:rsidR="19A1342B">
        <w:rPr>
          <w:rFonts w:ascii="Calibri" w:hAnsi="Calibri" w:eastAsia="Calibri" w:cs="Calibri"/>
          <w:noProof w:val="0"/>
          <w:color w:val="000000" w:themeColor="text1" w:themeTint="FF" w:themeShade="FF"/>
          <w:sz w:val="24"/>
          <w:szCs w:val="24"/>
          <w:lang w:val="en-GB"/>
        </w:rPr>
        <w:t xml:space="preserve"> [Accessed 18 Feb. 2026].</w:t>
      </w:r>
    </w:p>
    <w:p w:rsidR="2B80BE1B" w:rsidRDefault="2B80BE1B" w14:paraId="6212543B" w14:textId="43308BC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3ef7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2e9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67a6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c9e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c8cc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752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7df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80e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E31DC6"/>
    <w:rsid w:val="0354D269"/>
    <w:rsid w:val="0FB5233F"/>
    <w:rsid w:val="16B6CF9E"/>
    <w:rsid w:val="174109E5"/>
    <w:rsid w:val="1931F415"/>
    <w:rsid w:val="19A1342B"/>
    <w:rsid w:val="1CCF14B5"/>
    <w:rsid w:val="1E9C63EF"/>
    <w:rsid w:val="1F6B6AA0"/>
    <w:rsid w:val="22AE9779"/>
    <w:rsid w:val="2888B493"/>
    <w:rsid w:val="2B80BE1B"/>
    <w:rsid w:val="3C464611"/>
    <w:rsid w:val="3E6431D3"/>
    <w:rsid w:val="5A723BF5"/>
    <w:rsid w:val="5A723BF5"/>
    <w:rsid w:val="5D38913C"/>
    <w:rsid w:val="5DE31DC6"/>
    <w:rsid w:val="70345EC1"/>
    <w:rsid w:val="7791E46D"/>
    <w:rsid w:val="7E8E9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31DC6"/>
  <w15:chartTrackingRefBased/>
  <w15:docId w15:val="{4F5FAC61-B38E-47F5-B51E-B5B7019CFC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B80BE1B"/>
    <w:rPr>
      <w:color w:val="467886"/>
      <w:u w:val="single"/>
    </w:rPr>
  </w:style>
  <w:style w:type="paragraph" w:styleId="ListParagraph">
    <w:uiPriority w:val="34"/>
    <w:name w:val="List Paragraph"/>
    <w:basedOn w:val="Normal"/>
    <w:qFormat/>
    <w:rsid w:val="2B80BE1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way.cloud.microsoft/S7RwobkMm0QVeL3z?ref=Link" TargetMode="External" Id="R888da28f013c4a0a" /><Relationship Type="http://schemas.openxmlformats.org/officeDocument/2006/relationships/image" Target="/media/image.jpg" Id="rId1918263678" /><Relationship Type="http://schemas.openxmlformats.org/officeDocument/2006/relationships/hyperlink" Target="https://sway.cloud.microsoft/S7RwobkMm0QVeL3z?ref=email" TargetMode="External" Id="R83dad8b3a31443bb" /><Relationship Type="http://schemas.openxmlformats.org/officeDocument/2006/relationships/hyperlink" Target="https://sway.cloud.microsoft/S7RwobkMm0QVeL3z?ref=email" TargetMode="External" Id="R341007ff749441d6" /><Relationship Type="http://schemas.openxmlformats.org/officeDocument/2006/relationships/hyperlink" Target="https://cleverism.com/piagets-theory/" TargetMode="External" Id="R5b790e4f2dad416b" /><Relationship Type="http://schemas.openxmlformats.org/officeDocument/2006/relationships/hyperlink" Target="https://www.verywellmind.com/piagets-stages-of-cognitive-development-2795457" TargetMode="External" Id="R11481e2cc0b747c9" /><Relationship Type="http://schemas.openxmlformats.org/officeDocument/2006/relationships/hyperlink" Target="https://assets.publishing.service.gov.uk/media/5a7dcb85ed915d2ac884d995/SEND_Code_of_Practice_January_2015.pdf" TargetMode="External" Id="R9e3894420dfd47a1" /><Relationship Type="http://schemas.openxmlformats.org/officeDocument/2006/relationships/hyperlink" Target="https://eimeardoolin.wordpress.com/psychology-of-education/" TargetMode="External" Id="R27adbef588d74a6a" /><Relationship Type="http://schemas.openxmlformats.org/officeDocument/2006/relationships/hyperlink" Target="https://assets.publishing.service.gov.uk/media/68c024cb8c6d992f23edd79c/Early_years_foundation_stage_statutory_framework_-_for_group_and_school-based_providers.pdf.pdf" TargetMode="External" Id="R6caf1487f5d44bdb" /><Relationship Type="http://schemas.openxmlformats.org/officeDocument/2006/relationships/hyperlink" Target="https://youtu.be/m_6rQk7jlrc?si=g63cuj_HUaKM-Xyq" TargetMode="External" Id="Re275c9ed77f54d70" /><Relationship Type="http://schemas.openxmlformats.org/officeDocument/2006/relationships/hyperlink" Target="https://www.food.gov.uk/business-guidance/the-eatwell-guide-and-resources" TargetMode="External" Id="R54e7b43a35814772" /><Relationship Type="http://schemas.openxmlformats.org/officeDocument/2006/relationships/hyperlink" Target="https://assets.publishing.service.gov.uk/media/60e6fb43d3bf7f56896127e5/The_Children_Act_1989_guidance_and_regulations_Volume_2_care_planning__placement_and_case_review.pdf" TargetMode="External" Id="Ra3a6c0adb47b4183" /><Relationship Type="http://schemas.openxmlformats.org/officeDocument/2006/relationships/hyperlink" Target="https://www.gov.uk/school-meals-food-standards" TargetMode="External" Id="Rf91c011763d041f6" /><Relationship Type="http://schemas.openxmlformats.org/officeDocument/2006/relationships/hyperlink" Target="https://doi.org/10.3390/ijerph191610109" TargetMode="External" Id="R55e7a8104bd34093" /><Relationship Type="http://schemas.openxmlformats.org/officeDocument/2006/relationships/hyperlink" Target="https://news.leeds.gov.uk/news/new-change4life-campaign-encourages-parents-in-leeds-to-make-healthier-food-choices" TargetMode="External" Id="Rde4502fbf603482e" /><Relationship Type="http://schemas.openxmlformats.org/officeDocument/2006/relationships/hyperlink" Target="https://research-ebsco-com.uwtsd.idm.oclc.org/c/onvpsy/viewer/pdf/ttqmgyieoz?route=details" TargetMode="External" Id="R61abd633fbad4551" /><Relationship Type="http://schemas.openxmlformats.org/officeDocument/2006/relationships/hyperlink" Target="https://www.structural-learning.com" TargetMode="External" Id="Ree8b4222b91d43fb" /><Relationship Type="http://schemas.openxmlformats.org/officeDocument/2006/relationships/hyperlink" Target="https://www.structural-learning.com/post/bowlbys-attachment-theory" TargetMode="External" Id="Re87bbff2a30d4042" /><Relationship Type="http://schemas.openxmlformats.org/officeDocument/2006/relationships/hyperlink" Target="https://www.structural-learning.com" TargetMode="External" Id="R9ae91bff69ac4b97" /><Relationship Type="http://schemas.openxmlformats.org/officeDocument/2006/relationships/hyperlink" Target="https://www.structural-learning.com/post/bowlbys-attachment-theory" TargetMode="External" Id="Rc7904c8e193e4d2b" /><Relationship Type="http://schemas.openxmlformats.org/officeDocument/2006/relationships/hyperlink" Target="https://www.structural-learning.com" TargetMode="External" Id="Rc4dd5514195b4a79" /><Relationship Type="http://schemas.openxmlformats.org/officeDocument/2006/relationships/hyperlink" Target="https://www.structural-learning.com/post/bowlbys-attachment-theory" TargetMode="External" Id="Rb6b74c99323642da" /><Relationship Type="http://schemas.openxmlformats.org/officeDocument/2006/relationships/hyperlink" Target="https://www.structural-learning.com" TargetMode="External" Id="Re2daed42cce945e8" /><Relationship Type="http://schemas.openxmlformats.org/officeDocument/2006/relationships/hyperlink" Target="https://www.structural-learning.com/post/bowlbys-attachment-theory" TargetMode="External" Id="R5a44c01cb0584b7e" /><Relationship Type="http://schemas.openxmlformats.org/officeDocument/2006/relationships/hyperlink" Target="https://www.structural-learning.com" TargetMode="External" Id="R721d37fbeffc45b9" /><Relationship Type="http://schemas.openxmlformats.org/officeDocument/2006/relationships/hyperlink" Target="https://www.structural-learning.com/post/jerome-bruners-theories" TargetMode="External" Id="R55d57d8e7d124031" /><Relationship Type="http://schemas.openxmlformats.org/officeDocument/2006/relationships/hyperlink" Target="https://www.simplypsychology.org/internal-working-models-of-attachment.html" TargetMode="External" Id="R3459eb33607045aa" /><Relationship Type="http://schemas.openxmlformats.org/officeDocument/2006/relationships/hyperlink" Target="https://www.simplypsychology.org/internal-working-models-of-attachment.html" TargetMode="External" Id="Rcc4ad18bc1674e28" /><Relationship Type="http://schemas.openxmlformats.org/officeDocument/2006/relationships/hyperlink" Target="https://www.simplypsychology.org/bruner.html" TargetMode="External" Id="Rdebabc6e8fe54389" /><Relationship Type="http://schemas.openxmlformats.org/officeDocument/2006/relationships/hyperlink" Target="https://www.simplypsychology.org/bandura.html" TargetMode="External" Id="R07d69b9b2ad04873" /><Relationship Type="http://schemas.openxmlformats.org/officeDocument/2006/relationships/hyperlink" Target="https://www.simplypsychology.org/bowlby.html" TargetMode="External" Id="R545c946af0cd4d13" /><Relationship Type="http://schemas.openxmlformats.org/officeDocument/2006/relationships/hyperlink" Target="https://www.simplypsychology.org/bowlby.html" TargetMode="External" Id="R4c686f016a5b4579" /><Relationship Type="http://schemas.openxmlformats.org/officeDocument/2006/relationships/hyperlink" Target="https://www.simplypsychology.org/piaget.html" TargetMode="External" Id="Rc5c3aa81ab734786" /><Relationship Type="http://schemas.openxmlformats.org/officeDocument/2006/relationships/hyperlink" Target="https://www.simplypsychology.org/piaget.html" TargetMode="External" Id="R65dfb2769e404d93" /><Relationship Type="http://schemas.openxmlformats.org/officeDocument/2006/relationships/hyperlink" Target="https://www.nhs.uk/healthier-families/" TargetMode="External" Id="R041df5f04fe14ee2" /><Relationship Type="http://schemas.openxmlformats.org/officeDocument/2006/relationships/hyperlink" Target="https://www.gov.uk/government/news/new-change4life-campaign-encourages-parents-to-be-food-smart" TargetMode="External" Id="R4507bc2ab9cd41e0" /><Relationship Type="http://schemas.openxmlformats.org/officeDocument/2006/relationships/hyperlink" Target="https://www.attachmentproject.com/attachment-theory/john-bowlby/" TargetMode="External" Id="Rd91e56c5a5ef404a" /><Relationship Type="http://schemas.openxmlformats.org/officeDocument/2006/relationships/hyperlink" Target="https://www.unicef.org.uk/what-we-do/un-convention-child-rights/" TargetMode="External" Id="R458081ff797845da" /><Relationship Type="http://schemas.openxmlformats.org/officeDocument/2006/relationships/hyperlink" Target="https://www.gov.wales/sites/default/files/publications/2025-01/250124-the-additional-learning-needs-code-for-wales-2021.pdf" TargetMode="External" Id="R9a76115b7f804e11" /><Relationship Type="http://schemas.openxmlformats.org/officeDocument/2006/relationships/numbering" Target="/word/numbering.xml" Id="Reb08123e58d540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James (2500109)</dc:creator>
  <keywords/>
  <dc:description/>
  <lastModifiedBy>Ruby James (2500109)</lastModifiedBy>
  <revision>2</revision>
  <dcterms:created xsi:type="dcterms:W3CDTF">2026-03-01T11:57:57.1912356Z</dcterms:created>
  <dcterms:modified xsi:type="dcterms:W3CDTF">2026-03-01T13:05:54.5434233Z</dcterms:modified>
</coreProperties>
</file>