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064A76" w14:textId="77852080" w:rsidR="00230F35" w:rsidRDefault="00B61234" w:rsidP="00230F35">
      <w:pPr>
        <w:pStyle w:val="NormalWeb"/>
        <w:spacing w:before="0" w:beforeAutospacing="0" w:after="0" w:afterAutospacing="0"/>
        <w:ind w:left="-180" w:right="-334"/>
      </w:pPr>
      <w:r>
        <w:rPr>
          <w:noProof/>
        </w:rPr>
        <w:drawing>
          <wp:inline distT="0" distB="0" distL="0" distR="0" wp14:anchorId="3FB149F8" wp14:editId="1E9C9176">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F63744C" w14:textId="77777777" w:rsidR="00230F35" w:rsidRDefault="00230F35" w:rsidP="00230F35">
      <w:pPr>
        <w:pStyle w:val="NormalWeb"/>
        <w:spacing w:before="0" w:beforeAutospacing="0" w:after="0" w:afterAutospacing="0"/>
        <w:ind w:left="-180" w:right="-334"/>
      </w:pPr>
    </w:p>
    <w:p w14:paraId="057162F3" w14:textId="77777777" w:rsidR="00A745B6" w:rsidRDefault="00A745B6" w:rsidP="00230F35">
      <w:pPr>
        <w:pStyle w:val="NormalWeb"/>
        <w:spacing w:before="0" w:beforeAutospacing="0" w:after="0" w:afterAutospacing="0"/>
        <w:ind w:left="-180" w:right="-334"/>
      </w:pPr>
    </w:p>
    <w:p w14:paraId="69EDC7DC"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62193CFA"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7D453EE6" w14:textId="77777777" w:rsidR="002E67CE" w:rsidRPr="00230F35" w:rsidRDefault="002E67CE" w:rsidP="002E67CE">
      <w:pPr>
        <w:rPr>
          <w:rFonts w:ascii="Arial" w:hAnsi="Arial" w:cs="Arial"/>
          <w:sz w:val="28"/>
          <w:szCs w:val="28"/>
          <w:lang w:val="cy-GB"/>
        </w:rPr>
      </w:pPr>
    </w:p>
    <w:p w14:paraId="648AF5F6"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420ADAAC"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1"/>
        <w:gridCol w:w="423"/>
        <w:gridCol w:w="1514"/>
        <w:gridCol w:w="286"/>
        <w:gridCol w:w="1792"/>
      </w:tblGrid>
      <w:tr w:rsidR="00E57529" w:rsidRPr="00230F35" w14:paraId="394F9531" w14:textId="77777777" w:rsidTr="00A745B6">
        <w:trPr>
          <w:trHeight w:val="614"/>
        </w:trPr>
        <w:tc>
          <w:tcPr>
            <w:tcW w:w="8856" w:type="dxa"/>
            <w:gridSpan w:val="5"/>
          </w:tcPr>
          <w:p w14:paraId="3573DF70"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2155A309" w14:textId="77777777" w:rsidTr="00A745B6">
        <w:trPr>
          <w:trHeight w:val="718"/>
        </w:trPr>
        <w:tc>
          <w:tcPr>
            <w:tcW w:w="8856" w:type="dxa"/>
            <w:gridSpan w:val="5"/>
          </w:tcPr>
          <w:p w14:paraId="3D1B59E9"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5D5502B4" w14:textId="2EABCE22" w:rsidR="00FA2A4C" w:rsidRPr="00230F35" w:rsidRDefault="00352C1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Joanna Dunlop</w:t>
            </w:r>
          </w:p>
        </w:tc>
      </w:tr>
      <w:tr w:rsidR="00CE3B79" w:rsidRPr="00230F35" w14:paraId="2461C0D5" w14:textId="77777777" w:rsidTr="00A745B6">
        <w:trPr>
          <w:trHeight w:val="849"/>
        </w:trPr>
        <w:tc>
          <w:tcPr>
            <w:tcW w:w="4788" w:type="dxa"/>
          </w:tcPr>
          <w:p w14:paraId="6D5C5C78"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0B545D62" w14:textId="020B22EC" w:rsidR="00D67BF8" w:rsidRPr="00230F35" w:rsidRDefault="00352C1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AHHI 7016</w:t>
            </w:r>
          </w:p>
          <w:p w14:paraId="3E8F40C2"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8B4293F" w14:textId="4152123A" w:rsidR="00A745B6" w:rsidRDefault="00352C1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Studying the Medieval: Manuscripts and Records</w:t>
            </w:r>
          </w:p>
          <w:p w14:paraId="529F1666"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74587362"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C2B2FF4" w14:textId="7F380080" w:rsidR="00352C14" w:rsidRPr="00230F35" w:rsidRDefault="00352C1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1904354</w:t>
            </w:r>
          </w:p>
        </w:tc>
        <w:tc>
          <w:tcPr>
            <w:tcW w:w="1802" w:type="dxa"/>
          </w:tcPr>
          <w:p w14:paraId="5FDB88D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41E95B4"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352C14">
              <w:rPr>
                <w:rFonts w:ascii="Arial" w:hAnsi="Arial" w:cs="Arial"/>
                <w:sz w:val="22"/>
                <w:szCs w:val="22"/>
                <w:u w:val="single"/>
              </w:rPr>
              <w:t>No</w:t>
            </w:r>
          </w:p>
        </w:tc>
      </w:tr>
      <w:tr w:rsidR="00CE3B79" w:rsidRPr="00230F35" w14:paraId="747919CE" w14:textId="77777777" w:rsidTr="00A745B6">
        <w:trPr>
          <w:trHeight w:val="1139"/>
        </w:trPr>
        <w:tc>
          <w:tcPr>
            <w:tcW w:w="8856" w:type="dxa"/>
            <w:gridSpan w:val="5"/>
          </w:tcPr>
          <w:p w14:paraId="552F65D2" w14:textId="77777777"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16621D35" w14:textId="5B3804D1" w:rsidR="00D67BF8" w:rsidRPr="00230F35" w:rsidRDefault="00352C1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Janet Burton</w:t>
            </w:r>
          </w:p>
          <w:p w14:paraId="4D072DA7" w14:textId="77777777" w:rsidR="00230F35" w:rsidRDefault="00230F35" w:rsidP="002F467C">
            <w:pPr>
              <w:pStyle w:val="NormalWeb"/>
              <w:spacing w:before="0" w:beforeAutospacing="0" w:after="0" w:afterAutospacing="0"/>
              <w:ind w:right="34"/>
              <w:rPr>
                <w:rFonts w:ascii="Arial" w:hAnsi="Arial" w:cs="Arial"/>
                <w:sz w:val="22"/>
                <w:szCs w:val="22"/>
              </w:rPr>
            </w:pPr>
          </w:p>
          <w:p w14:paraId="276F50BD" w14:textId="33235DF1"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352C14">
              <w:rPr>
                <w:rFonts w:ascii="Arial" w:hAnsi="Arial" w:cs="Arial"/>
                <w:sz w:val="22"/>
                <w:szCs w:val="22"/>
              </w:rPr>
              <w:t xml:space="preserve"> 12</w:t>
            </w:r>
            <w:r w:rsidR="00352C14" w:rsidRPr="00352C14">
              <w:rPr>
                <w:rFonts w:ascii="Arial" w:hAnsi="Arial" w:cs="Arial"/>
                <w:sz w:val="22"/>
                <w:szCs w:val="22"/>
                <w:vertAlign w:val="superscript"/>
              </w:rPr>
              <w:t>th</w:t>
            </w:r>
            <w:r w:rsidR="00352C14">
              <w:rPr>
                <w:rFonts w:ascii="Arial" w:hAnsi="Arial" w:cs="Arial"/>
                <w:sz w:val="22"/>
                <w:szCs w:val="22"/>
              </w:rPr>
              <w:t xml:space="preserve"> June 2020</w:t>
            </w:r>
          </w:p>
        </w:tc>
      </w:tr>
      <w:tr w:rsidR="00230F35" w:rsidRPr="00230F35" w14:paraId="40071965" w14:textId="77777777" w:rsidTr="00A745B6">
        <w:trPr>
          <w:trHeight w:val="978"/>
        </w:trPr>
        <w:tc>
          <w:tcPr>
            <w:tcW w:w="8856" w:type="dxa"/>
            <w:gridSpan w:val="5"/>
            <w:tcBorders>
              <w:bottom w:val="single" w:sz="4" w:space="0" w:color="000000"/>
            </w:tcBorders>
          </w:tcPr>
          <w:p w14:paraId="64DFE80C" w14:textId="77777777"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7CD60A11" w14:textId="7645BDE1" w:rsidR="00F75EB5" w:rsidRDefault="00B61234" w:rsidP="00F75EB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6655A9FD" wp14:editId="2F1FE94B">
                      <wp:simplePos x="0" y="0"/>
                      <wp:positionH relativeFrom="column">
                        <wp:posOffset>744855</wp:posOffset>
                      </wp:positionH>
                      <wp:positionV relativeFrom="paragraph">
                        <wp:posOffset>166370</wp:posOffset>
                      </wp:positionV>
                      <wp:extent cx="114300" cy="137160"/>
                      <wp:effectExtent l="9525" t="9525" r="9525" b="5715"/>
                      <wp:wrapNone/>
                      <wp:docPr id="3" name="Freeform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4300" cy="137160"/>
                              </a:xfrm>
                              <a:custGeom>
                                <a:avLst/>
                                <a:gdLst>
                                  <a:gd name="T0" fmla="*/ 0 w 180"/>
                                  <a:gd name="T1" fmla="*/ 135 h 216"/>
                                  <a:gd name="T2" fmla="*/ 45 w 180"/>
                                  <a:gd name="T3" fmla="*/ 165 h 216"/>
                                  <a:gd name="T4" fmla="*/ 75 w 180"/>
                                  <a:gd name="T5" fmla="*/ 210 h 216"/>
                                  <a:gd name="T6" fmla="*/ 120 w 180"/>
                                  <a:gd name="T7" fmla="*/ 195 h 216"/>
                                  <a:gd name="T8" fmla="*/ 180 w 180"/>
                                  <a:gd name="T9" fmla="*/ 0 h 216"/>
                                </a:gdLst>
                                <a:ahLst/>
                                <a:cxnLst>
                                  <a:cxn ang="0">
                                    <a:pos x="T0" y="T1"/>
                                  </a:cxn>
                                  <a:cxn ang="0">
                                    <a:pos x="T2" y="T3"/>
                                  </a:cxn>
                                  <a:cxn ang="0">
                                    <a:pos x="T4" y="T5"/>
                                  </a:cxn>
                                  <a:cxn ang="0">
                                    <a:pos x="T6" y="T7"/>
                                  </a:cxn>
                                  <a:cxn ang="0">
                                    <a:pos x="T8" y="T9"/>
                                  </a:cxn>
                                </a:cxnLst>
                                <a:rect l="0" t="0" r="r" b="b"/>
                                <a:pathLst>
                                  <a:path w="180" h="216">
                                    <a:moveTo>
                                      <a:pt x="0" y="135"/>
                                    </a:moveTo>
                                    <a:cubicBezTo>
                                      <a:pt x="15" y="145"/>
                                      <a:pt x="32" y="152"/>
                                      <a:pt x="45" y="165"/>
                                    </a:cubicBezTo>
                                    <a:cubicBezTo>
                                      <a:pt x="58" y="178"/>
                                      <a:pt x="58" y="203"/>
                                      <a:pt x="75" y="210"/>
                                    </a:cubicBezTo>
                                    <a:cubicBezTo>
                                      <a:pt x="90" y="216"/>
                                      <a:pt x="105" y="200"/>
                                      <a:pt x="120" y="195"/>
                                    </a:cubicBezTo>
                                    <a:cubicBezTo>
                                      <a:pt x="138" y="142"/>
                                      <a:pt x="180" y="60"/>
                                      <a:pt x="180"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6EFF72" id="Freeform 2" o:spid="_x0000_s1026" style="position:absolute;margin-left:58.65pt;margin-top:13.1pt;width:9pt;height:10.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80,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" path="m,135v15,10,32,17,45,30c58,178,58,203,75,210v15,6,30,-10,45,-15c138,142,180,60,180,e" filled="f">
                      <v:path arrowok="t" o:connecttype="custom" o:connectlocs="0,85725;28575,104775;47625,133350;76200,123825;114300,0" o:connectangles="0,0,0,0,0"/>
                    </v:shape>
                  </w:pict>
                </mc:Fallback>
              </mc:AlternateContent>
            </w:r>
          </w:p>
          <w:p w14:paraId="3A4D3C17" w14:textId="77777777"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901157" w:rsidRPr="00230F35" w14:paraId="7258ABAF" w14:textId="77777777" w:rsidTr="00A745B6">
        <w:trPr>
          <w:trHeight w:val="978"/>
        </w:trPr>
        <w:tc>
          <w:tcPr>
            <w:tcW w:w="8856" w:type="dxa"/>
            <w:gridSpan w:val="5"/>
            <w:shd w:val="clear" w:color="auto" w:fill="D9D9D9"/>
          </w:tcPr>
          <w:p w14:paraId="6B6605C4"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3F81462"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1F32C7E6" w14:textId="3D9489BC" w:rsidR="00B462B1" w:rsidRDefault="00B61234" w:rsidP="00B462B1">
            <w:pPr>
              <w:pStyle w:val="NormalWeb"/>
              <w:spacing w:before="0" w:beforeAutospacing="0" w:after="0" w:afterAutospacing="0"/>
              <w:ind w:right="34"/>
              <w:rPr>
                <w:rFonts w:ascii="Calibri" w:hAnsi="Calibri" w:cs="Calibri"/>
                <w:b/>
                <w:sz w:val="44"/>
                <w:szCs w:val="44"/>
              </w:rPr>
            </w:pPr>
            <w:r>
              <w:rPr>
                <w:rFonts w:ascii="Calibri" w:hAnsi="Calibri" w:cs="Tahoma"/>
                <w:b/>
                <w:noProof/>
                <w:sz w:val="24"/>
                <w:szCs w:val="24"/>
              </w:rPr>
              <mc:AlternateContent>
                <mc:Choice Requires="wps">
                  <w:drawing>
                    <wp:anchor distT="0" distB="0" distL="114300" distR="114300" simplePos="0" relativeHeight="251659264" behindDoc="0" locked="0" layoutInCell="1" allowOverlap="1" wp14:anchorId="5D4E2E2B" wp14:editId="5313E712">
                      <wp:simplePos x="0" y="0"/>
                      <wp:positionH relativeFrom="column">
                        <wp:posOffset>5050155</wp:posOffset>
                      </wp:positionH>
                      <wp:positionV relativeFrom="paragraph">
                        <wp:posOffset>170180</wp:posOffset>
                      </wp:positionV>
                      <wp:extent cx="85725" cy="83185"/>
                      <wp:effectExtent l="9525" t="9525" r="9525" b="12065"/>
                      <wp:wrapNone/>
                      <wp:docPr id="2" name="Freeform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5725" cy="83185"/>
                              </a:xfrm>
                              <a:custGeom>
                                <a:avLst/>
                                <a:gdLst>
                                  <a:gd name="T0" fmla="*/ 0 w 135"/>
                                  <a:gd name="T1" fmla="*/ 75 h 131"/>
                                  <a:gd name="T2" fmla="*/ 45 w 135"/>
                                  <a:gd name="T3" fmla="*/ 90 h 131"/>
                                  <a:gd name="T4" fmla="*/ 90 w 135"/>
                                  <a:gd name="T5" fmla="*/ 120 h 131"/>
                                  <a:gd name="T6" fmla="*/ 135 w 135"/>
                                  <a:gd name="T7" fmla="*/ 0 h 131"/>
                                </a:gdLst>
                                <a:ahLst/>
                                <a:cxnLst>
                                  <a:cxn ang="0">
                                    <a:pos x="T0" y="T1"/>
                                  </a:cxn>
                                  <a:cxn ang="0">
                                    <a:pos x="T2" y="T3"/>
                                  </a:cxn>
                                  <a:cxn ang="0">
                                    <a:pos x="T4" y="T5"/>
                                  </a:cxn>
                                  <a:cxn ang="0">
                                    <a:pos x="T6" y="T7"/>
                                  </a:cxn>
                                </a:cxnLst>
                                <a:rect l="0" t="0" r="r" b="b"/>
                                <a:pathLst>
                                  <a:path w="135" h="131">
                                    <a:moveTo>
                                      <a:pt x="0" y="75"/>
                                    </a:moveTo>
                                    <a:cubicBezTo>
                                      <a:pt x="15" y="80"/>
                                      <a:pt x="31" y="83"/>
                                      <a:pt x="45" y="90"/>
                                    </a:cubicBezTo>
                                    <a:cubicBezTo>
                                      <a:pt x="61" y="98"/>
                                      <a:pt x="76" y="131"/>
                                      <a:pt x="90" y="120"/>
                                    </a:cubicBezTo>
                                    <a:cubicBezTo>
                                      <a:pt x="123" y="93"/>
                                      <a:pt x="116" y="38"/>
                                      <a:pt x="135"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A618E2" id="Freeform 4" o:spid="_x0000_s1026" style="position:absolute;margin-left:397.65pt;margin-top:13.4pt;width:6.75pt;height:6.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35,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" path="m,75v15,5,31,8,45,15c61,98,76,131,90,120,123,93,116,38,135,e" filled="f">
                      <v:path arrowok="t" o:connecttype="custom" o:connectlocs="0,47625;28575,57150;57150,76200;85725,0" o:connectangles="0,0,0,0"/>
                    </v:shape>
                  </w:pict>
                </mc:Fallback>
              </mc:AlternateContent>
            </w:r>
            <w:r w:rsidR="00B462B1" w:rsidRPr="005979EE">
              <w:rPr>
                <w:rFonts w:ascii="Calibri" w:hAnsi="Calibri" w:cs="Tahoma"/>
                <w:b/>
                <w:sz w:val="24"/>
                <w:szCs w:val="24"/>
              </w:rPr>
              <w:t>Email submission:</w:t>
            </w:r>
            <w:r w:rsidR="002C55E9">
              <w:rPr>
                <w:rFonts w:ascii="Calibri" w:hAnsi="Calibri" w:cs="Tahoma"/>
                <w:b/>
                <w:sz w:val="24"/>
                <w:szCs w:val="24"/>
              </w:rPr>
              <w:t xml:space="preserve"> </w:t>
            </w:r>
            <w:r w:rsidR="00B462B1">
              <w:rPr>
                <w:rFonts w:ascii="Calibri" w:hAnsi="Calibri" w:cs="Tahoma"/>
                <w:b/>
                <w:sz w:val="24"/>
                <w:szCs w:val="24"/>
              </w:rPr>
              <w:t xml:space="preserve">if you are submitting this form via email, please tick this box </w:t>
            </w:r>
            <w:r w:rsidR="00B462B1" w:rsidRPr="005979EE">
              <w:rPr>
                <w:rFonts w:ascii="Calibri" w:hAnsi="Calibri" w:cs="Calibri"/>
                <w:b/>
                <w:sz w:val="44"/>
                <w:szCs w:val="44"/>
              </w:rPr>
              <w:t>□</w:t>
            </w:r>
          </w:p>
          <w:p w14:paraId="7A2B834A"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26B9F4E5" w14:textId="77777777" w:rsidTr="00A745B6">
        <w:trPr>
          <w:trHeight w:val="3972"/>
        </w:trPr>
        <w:tc>
          <w:tcPr>
            <w:tcW w:w="8856" w:type="dxa"/>
            <w:gridSpan w:val="5"/>
          </w:tcPr>
          <w:p w14:paraId="4EBF57E0" w14:textId="77777777" w:rsidR="00A745B6" w:rsidRDefault="00A745B6" w:rsidP="00A745B6">
            <w:pPr>
              <w:rPr>
                <w:rFonts w:ascii="Arial" w:hAnsi="Arial"/>
                <w:b/>
              </w:rPr>
            </w:pPr>
          </w:p>
          <w:p w14:paraId="1D9B1D98"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49CAFDBA" w14:textId="77777777" w:rsidTr="00022345">
              <w:tc>
                <w:tcPr>
                  <w:tcW w:w="6970" w:type="dxa"/>
                </w:tcPr>
                <w:p w14:paraId="62CB154D" w14:textId="77777777" w:rsidR="00A745B6" w:rsidRPr="00116CE6" w:rsidRDefault="00A745B6" w:rsidP="009C1A08">
                  <w:pPr>
                    <w:rPr>
                      <w:rFonts w:ascii="Arial" w:hAnsi="Arial"/>
                      <w:sz w:val="20"/>
                      <w:szCs w:val="20"/>
                    </w:rPr>
                  </w:pPr>
                </w:p>
                <w:p w14:paraId="23FD16F2"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F6611F0" w14:textId="77777777" w:rsidR="00A745B6" w:rsidRPr="00116CE6" w:rsidRDefault="00A745B6" w:rsidP="009C1A08">
                  <w:pPr>
                    <w:rPr>
                      <w:rFonts w:ascii="Arial" w:hAnsi="Arial"/>
                      <w:sz w:val="20"/>
                      <w:szCs w:val="20"/>
                    </w:rPr>
                  </w:pPr>
                </w:p>
              </w:tc>
            </w:tr>
            <w:tr w:rsidR="00A745B6" w:rsidRPr="00116CE6" w14:paraId="5D1F25EF" w14:textId="77777777" w:rsidTr="00022345">
              <w:tc>
                <w:tcPr>
                  <w:tcW w:w="6970" w:type="dxa"/>
                </w:tcPr>
                <w:p w14:paraId="0B74A4BC" w14:textId="77777777" w:rsidR="00A745B6" w:rsidRPr="00116CE6" w:rsidRDefault="00A745B6" w:rsidP="009C1A08">
                  <w:pPr>
                    <w:rPr>
                      <w:rFonts w:ascii="Arial" w:hAnsi="Arial"/>
                      <w:sz w:val="20"/>
                      <w:szCs w:val="20"/>
                    </w:rPr>
                  </w:pPr>
                </w:p>
                <w:p w14:paraId="14E083CF"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042D68EE" w14:textId="77777777" w:rsidR="00A745B6" w:rsidRPr="00116CE6" w:rsidRDefault="00A745B6" w:rsidP="009C1A08">
                  <w:pPr>
                    <w:rPr>
                      <w:rFonts w:ascii="Arial" w:hAnsi="Arial"/>
                      <w:sz w:val="20"/>
                      <w:szCs w:val="20"/>
                    </w:rPr>
                  </w:pPr>
                </w:p>
              </w:tc>
            </w:tr>
            <w:tr w:rsidR="00A745B6" w:rsidRPr="00116CE6" w14:paraId="6505D7A2" w14:textId="77777777" w:rsidTr="00022345">
              <w:tc>
                <w:tcPr>
                  <w:tcW w:w="6970" w:type="dxa"/>
                </w:tcPr>
                <w:p w14:paraId="0EFF39DD" w14:textId="77777777" w:rsidR="00A745B6" w:rsidRPr="00116CE6" w:rsidRDefault="00A745B6" w:rsidP="009C1A08">
                  <w:pPr>
                    <w:rPr>
                      <w:rFonts w:ascii="Arial" w:hAnsi="Arial"/>
                      <w:sz w:val="20"/>
                      <w:szCs w:val="20"/>
                    </w:rPr>
                  </w:pPr>
                </w:p>
                <w:p w14:paraId="705B864F"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23C794B" w14:textId="77777777" w:rsidR="00A745B6" w:rsidRPr="00116CE6" w:rsidRDefault="00A745B6" w:rsidP="009C1A08">
                  <w:pPr>
                    <w:rPr>
                      <w:rFonts w:ascii="Arial" w:hAnsi="Arial"/>
                      <w:sz w:val="20"/>
                      <w:szCs w:val="20"/>
                    </w:rPr>
                  </w:pPr>
                </w:p>
              </w:tc>
            </w:tr>
            <w:tr w:rsidR="00A745B6" w:rsidRPr="00116CE6" w14:paraId="1EAE891D" w14:textId="77777777" w:rsidTr="00022345">
              <w:tc>
                <w:tcPr>
                  <w:tcW w:w="6970" w:type="dxa"/>
                </w:tcPr>
                <w:p w14:paraId="2C2E5432" w14:textId="77777777" w:rsidR="00A745B6" w:rsidRDefault="00A745B6" w:rsidP="009C1A08">
                  <w:pPr>
                    <w:rPr>
                      <w:rFonts w:ascii="Arial" w:hAnsi="Arial"/>
                      <w:sz w:val="20"/>
                      <w:szCs w:val="20"/>
                    </w:rPr>
                  </w:pPr>
                </w:p>
                <w:p w14:paraId="0860D3B1"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05A5D265" w14:textId="77777777" w:rsidR="00A745B6" w:rsidRPr="00116CE6" w:rsidRDefault="00A745B6" w:rsidP="009C1A08">
                  <w:pPr>
                    <w:rPr>
                      <w:rFonts w:ascii="Arial" w:hAnsi="Arial"/>
                      <w:sz w:val="20"/>
                      <w:szCs w:val="20"/>
                    </w:rPr>
                  </w:pPr>
                </w:p>
              </w:tc>
              <w:tc>
                <w:tcPr>
                  <w:tcW w:w="1660" w:type="dxa"/>
                </w:tcPr>
                <w:p w14:paraId="45851CCC" w14:textId="77777777" w:rsidR="00A745B6" w:rsidRPr="00116CE6" w:rsidRDefault="00A745B6" w:rsidP="009C1A08">
                  <w:pPr>
                    <w:rPr>
                      <w:rFonts w:ascii="Arial" w:hAnsi="Arial"/>
                      <w:sz w:val="20"/>
                      <w:szCs w:val="20"/>
                    </w:rPr>
                  </w:pPr>
                </w:p>
              </w:tc>
            </w:tr>
          </w:tbl>
          <w:p w14:paraId="28CEF08F"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25EF5B51"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A8F0332" w14:textId="77777777" w:rsidR="00A745B6" w:rsidRDefault="00A745B6" w:rsidP="002F467C">
            <w:pPr>
              <w:pStyle w:val="NormalWeb"/>
              <w:spacing w:before="0" w:beforeAutospacing="0" w:after="0" w:afterAutospacing="0"/>
              <w:rPr>
                <w:rFonts w:ascii="Arial" w:hAnsi="Arial" w:cs="Arial"/>
                <w:b/>
                <w:sz w:val="22"/>
                <w:szCs w:val="22"/>
              </w:rPr>
            </w:pPr>
          </w:p>
          <w:p w14:paraId="0B7A8E07" w14:textId="77777777" w:rsidR="00B462B1" w:rsidRDefault="00B462B1" w:rsidP="002F467C">
            <w:pPr>
              <w:pStyle w:val="NormalWeb"/>
              <w:spacing w:before="0" w:beforeAutospacing="0" w:after="0" w:afterAutospacing="0"/>
              <w:rPr>
                <w:rFonts w:ascii="Arial" w:hAnsi="Arial" w:cs="Arial"/>
                <w:b/>
                <w:sz w:val="22"/>
                <w:szCs w:val="22"/>
              </w:rPr>
            </w:pPr>
          </w:p>
          <w:p w14:paraId="77A7557E" w14:textId="77777777" w:rsidR="00F75EB5" w:rsidRDefault="00F75EB5" w:rsidP="002F467C">
            <w:pPr>
              <w:pStyle w:val="NormalWeb"/>
              <w:spacing w:before="0" w:beforeAutospacing="0" w:after="0" w:afterAutospacing="0"/>
              <w:rPr>
                <w:rFonts w:ascii="Arial" w:hAnsi="Arial" w:cs="Arial"/>
                <w:b/>
                <w:sz w:val="22"/>
                <w:szCs w:val="22"/>
              </w:rPr>
            </w:pPr>
          </w:p>
          <w:p w14:paraId="6987B064" w14:textId="77777777" w:rsidR="00F75EB5" w:rsidRDefault="00F75EB5" w:rsidP="002F467C">
            <w:pPr>
              <w:pStyle w:val="NormalWeb"/>
              <w:spacing w:before="0" w:beforeAutospacing="0" w:after="0" w:afterAutospacing="0"/>
              <w:rPr>
                <w:rFonts w:ascii="Arial" w:hAnsi="Arial" w:cs="Arial"/>
                <w:b/>
                <w:sz w:val="22"/>
                <w:szCs w:val="22"/>
              </w:rPr>
            </w:pPr>
          </w:p>
          <w:p w14:paraId="1586E2A5" w14:textId="77777777" w:rsidR="00B462B1" w:rsidRDefault="00B462B1" w:rsidP="002F467C">
            <w:pPr>
              <w:pStyle w:val="NormalWeb"/>
              <w:spacing w:before="0" w:beforeAutospacing="0" w:after="0" w:afterAutospacing="0"/>
              <w:rPr>
                <w:rFonts w:ascii="Arial" w:hAnsi="Arial" w:cs="Arial"/>
                <w:b/>
                <w:sz w:val="22"/>
                <w:szCs w:val="22"/>
              </w:rPr>
            </w:pPr>
          </w:p>
          <w:p w14:paraId="72B18025"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1E8E1217"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4B58BF91" w14:textId="77777777" w:rsidR="00B56E7B" w:rsidRPr="00001C3B" w:rsidRDefault="00B56E7B" w:rsidP="00043549">
            <w:pPr>
              <w:pStyle w:val="NormalWeb"/>
              <w:rPr>
                <w:rFonts w:ascii="Arial" w:hAnsi="Arial" w:cs="Arial"/>
                <w:sz w:val="22"/>
                <w:szCs w:val="22"/>
              </w:rPr>
            </w:pPr>
          </w:p>
        </w:tc>
      </w:tr>
      <w:tr w:rsidR="00EC7546" w:rsidRPr="00230F35" w14:paraId="1F8B3A15" w14:textId="77777777" w:rsidTr="00A745B6">
        <w:trPr>
          <w:trHeight w:val="492"/>
        </w:trPr>
        <w:tc>
          <w:tcPr>
            <w:tcW w:w="6768" w:type="dxa"/>
            <w:gridSpan w:val="3"/>
          </w:tcPr>
          <w:p w14:paraId="46F4B92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56FDD58"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64F9357A" w14:textId="77777777" w:rsidTr="002F467C">
        <w:tc>
          <w:tcPr>
            <w:tcW w:w="8856" w:type="dxa"/>
            <w:gridSpan w:val="5"/>
          </w:tcPr>
          <w:p w14:paraId="3B400B8D"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2307E47C"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0D52EBC"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0D6E92E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607638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481A6F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CF02CF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5886F64" w14:textId="77777777" w:rsidTr="008D674F">
        <w:trPr>
          <w:trHeight w:val="720"/>
        </w:trPr>
        <w:tc>
          <w:tcPr>
            <w:tcW w:w="5211" w:type="dxa"/>
            <w:gridSpan w:val="2"/>
          </w:tcPr>
          <w:p w14:paraId="478562EF"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63314DF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29184047" w14:textId="77777777" w:rsidTr="009C1A08">
        <w:trPr>
          <w:trHeight w:val="720"/>
        </w:trPr>
        <w:tc>
          <w:tcPr>
            <w:tcW w:w="8856" w:type="dxa"/>
            <w:gridSpan w:val="5"/>
          </w:tcPr>
          <w:p w14:paraId="0E2642CC"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CDD3C2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58F51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5C030A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797E6FF" w14:textId="77777777" w:rsidTr="00230F35">
        <w:trPr>
          <w:trHeight w:val="720"/>
        </w:trPr>
        <w:tc>
          <w:tcPr>
            <w:tcW w:w="5211" w:type="dxa"/>
            <w:gridSpan w:val="2"/>
          </w:tcPr>
          <w:p w14:paraId="2266BF0F"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ABC5F11"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985739D" w14:textId="46137580" w:rsidR="00EC7546" w:rsidRDefault="00EC7546" w:rsidP="00FA07E9">
      <w:pPr>
        <w:pStyle w:val="NormalWeb"/>
        <w:spacing w:before="0" w:beforeAutospacing="0" w:after="0" w:afterAutospacing="0"/>
        <w:ind w:right="-334"/>
        <w:rPr>
          <w:rFonts w:ascii="Trebuchet MS" w:hAnsi="Trebuchet MS" w:cs="Tahoma"/>
          <w:bCs/>
          <w:sz w:val="24"/>
          <w:szCs w:val="24"/>
        </w:rPr>
      </w:pPr>
    </w:p>
    <w:p w14:paraId="738F7A5A" w14:textId="6255BA24" w:rsidR="00B61234" w:rsidRDefault="00B61234" w:rsidP="00FA07E9">
      <w:pPr>
        <w:pStyle w:val="NormalWeb"/>
        <w:spacing w:before="0" w:beforeAutospacing="0" w:after="0" w:afterAutospacing="0"/>
        <w:ind w:right="-334"/>
        <w:rPr>
          <w:rFonts w:ascii="Trebuchet MS" w:hAnsi="Trebuchet MS" w:cs="Tahoma"/>
          <w:bCs/>
          <w:sz w:val="24"/>
          <w:szCs w:val="24"/>
        </w:rPr>
      </w:pPr>
    </w:p>
    <w:p w14:paraId="0DD2E334" w14:textId="6E62F97C" w:rsidR="00B61234" w:rsidRDefault="00B61234" w:rsidP="00FA07E9">
      <w:pPr>
        <w:pStyle w:val="NormalWeb"/>
        <w:spacing w:before="0" w:beforeAutospacing="0" w:after="0" w:afterAutospacing="0"/>
        <w:ind w:right="-334"/>
        <w:rPr>
          <w:rFonts w:ascii="Trebuchet MS" w:hAnsi="Trebuchet MS" w:cs="Tahoma"/>
          <w:bCs/>
          <w:sz w:val="24"/>
          <w:szCs w:val="24"/>
        </w:rPr>
      </w:pPr>
    </w:p>
    <w:p w14:paraId="660A01B5" w14:textId="28F059BE" w:rsidR="00B61234" w:rsidRDefault="00B61234" w:rsidP="00FA07E9">
      <w:pPr>
        <w:pStyle w:val="NormalWeb"/>
        <w:spacing w:before="0" w:beforeAutospacing="0" w:after="0" w:afterAutospacing="0"/>
        <w:ind w:right="-334"/>
        <w:rPr>
          <w:rFonts w:ascii="Trebuchet MS" w:hAnsi="Trebuchet MS" w:cs="Tahoma"/>
          <w:bCs/>
          <w:sz w:val="24"/>
          <w:szCs w:val="24"/>
        </w:rPr>
      </w:pPr>
    </w:p>
    <w:p w14:paraId="27AF9176" w14:textId="156C21A1" w:rsidR="00B61234" w:rsidRDefault="00B61234" w:rsidP="00FA07E9">
      <w:pPr>
        <w:pStyle w:val="NormalWeb"/>
        <w:spacing w:before="0" w:beforeAutospacing="0" w:after="0" w:afterAutospacing="0"/>
        <w:ind w:right="-334"/>
        <w:rPr>
          <w:rFonts w:ascii="Trebuchet MS" w:hAnsi="Trebuchet MS" w:cs="Tahoma"/>
          <w:bCs/>
          <w:sz w:val="24"/>
          <w:szCs w:val="24"/>
        </w:rPr>
      </w:pPr>
    </w:p>
    <w:p w14:paraId="7052D515" w14:textId="34C57E4A" w:rsidR="00B61234" w:rsidRDefault="00B61234" w:rsidP="00FA07E9">
      <w:pPr>
        <w:pStyle w:val="NormalWeb"/>
        <w:spacing w:before="0" w:beforeAutospacing="0" w:after="0" w:afterAutospacing="0"/>
        <w:ind w:right="-334"/>
        <w:rPr>
          <w:rFonts w:ascii="Trebuchet MS" w:hAnsi="Trebuchet MS" w:cs="Tahoma"/>
          <w:bCs/>
          <w:sz w:val="24"/>
          <w:szCs w:val="24"/>
        </w:rPr>
      </w:pPr>
    </w:p>
    <w:p w14:paraId="178AB9DF" w14:textId="40096373" w:rsidR="00B61234" w:rsidRDefault="00B61234" w:rsidP="00FA07E9">
      <w:pPr>
        <w:pStyle w:val="NormalWeb"/>
        <w:spacing w:before="0" w:beforeAutospacing="0" w:after="0" w:afterAutospacing="0"/>
        <w:ind w:right="-334"/>
        <w:rPr>
          <w:rFonts w:ascii="Trebuchet MS" w:hAnsi="Trebuchet MS" w:cs="Tahoma"/>
          <w:bCs/>
          <w:sz w:val="24"/>
          <w:szCs w:val="24"/>
        </w:rPr>
      </w:pPr>
    </w:p>
    <w:p w14:paraId="4338F889" w14:textId="7BA37DBA" w:rsidR="00B61234" w:rsidRDefault="00B61234" w:rsidP="00FA07E9">
      <w:pPr>
        <w:pStyle w:val="NormalWeb"/>
        <w:spacing w:before="0" w:beforeAutospacing="0" w:after="0" w:afterAutospacing="0"/>
        <w:ind w:right="-334"/>
        <w:rPr>
          <w:rFonts w:ascii="Trebuchet MS" w:hAnsi="Trebuchet MS" w:cs="Tahoma"/>
          <w:bCs/>
          <w:sz w:val="24"/>
          <w:szCs w:val="24"/>
        </w:rPr>
      </w:pPr>
    </w:p>
    <w:p w14:paraId="4A1B403B" w14:textId="127BF46C" w:rsidR="00B61234" w:rsidRDefault="00B61234" w:rsidP="00FA07E9">
      <w:pPr>
        <w:pStyle w:val="NormalWeb"/>
        <w:spacing w:before="0" w:beforeAutospacing="0" w:after="0" w:afterAutospacing="0"/>
        <w:ind w:right="-334"/>
        <w:rPr>
          <w:rFonts w:ascii="Trebuchet MS" w:hAnsi="Trebuchet MS" w:cs="Tahoma"/>
          <w:bCs/>
          <w:sz w:val="24"/>
          <w:szCs w:val="24"/>
        </w:rPr>
      </w:pPr>
    </w:p>
    <w:p w14:paraId="385C96AC" w14:textId="530D0A3E" w:rsidR="00B61234" w:rsidRDefault="00B61234" w:rsidP="00FA07E9">
      <w:pPr>
        <w:pStyle w:val="NormalWeb"/>
        <w:spacing w:before="0" w:beforeAutospacing="0" w:after="0" w:afterAutospacing="0"/>
        <w:ind w:right="-334"/>
        <w:rPr>
          <w:rFonts w:ascii="Trebuchet MS" w:hAnsi="Trebuchet MS" w:cs="Tahoma"/>
          <w:bCs/>
          <w:sz w:val="24"/>
          <w:szCs w:val="24"/>
        </w:rPr>
      </w:pPr>
    </w:p>
    <w:p w14:paraId="364ECA7C" w14:textId="07BAC859" w:rsidR="00B61234" w:rsidRDefault="00B61234" w:rsidP="00FA07E9">
      <w:pPr>
        <w:pStyle w:val="NormalWeb"/>
        <w:spacing w:before="0" w:beforeAutospacing="0" w:after="0" w:afterAutospacing="0"/>
        <w:ind w:right="-334"/>
        <w:rPr>
          <w:rFonts w:ascii="Trebuchet MS" w:hAnsi="Trebuchet MS" w:cs="Tahoma"/>
          <w:bCs/>
          <w:sz w:val="24"/>
          <w:szCs w:val="24"/>
        </w:rPr>
      </w:pPr>
    </w:p>
    <w:p w14:paraId="23A4B4E2" w14:textId="4EA6C0DF" w:rsidR="00B61234" w:rsidRDefault="00B61234" w:rsidP="00FA07E9">
      <w:pPr>
        <w:pStyle w:val="NormalWeb"/>
        <w:spacing w:before="0" w:beforeAutospacing="0" w:after="0" w:afterAutospacing="0"/>
        <w:ind w:right="-334"/>
        <w:rPr>
          <w:rFonts w:ascii="Trebuchet MS" w:hAnsi="Trebuchet MS" w:cs="Tahoma"/>
          <w:bCs/>
          <w:sz w:val="24"/>
          <w:szCs w:val="24"/>
        </w:rPr>
      </w:pPr>
    </w:p>
    <w:p w14:paraId="6E41FEC7" w14:textId="74D81B57" w:rsidR="00B61234" w:rsidRDefault="00B61234" w:rsidP="00FA07E9">
      <w:pPr>
        <w:pStyle w:val="NormalWeb"/>
        <w:spacing w:before="0" w:beforeAutospacing="0" w:after="0" w:afterAutospacing="0"/>
        <w:ind w:right="-334"/>
        <w:rPr>
          <w:rFonts w:ascii="Trebuchet MS" w:hAnsi="Trebuchet MS" w:cs="Tahoma"/>
          <w:bCs/>
          <w:sz w:val="24"/>
          <w:szCs w:val="24"/>
        </w:rPr>
      </w:pPr>
    </w:p>
    <w:p w14:paraId="219DCCF9" w14:textId="3DCD2361" w:rsidR="00B61234" w:rsidRDefault="00B61234" w:rsidP="00FA07E9">
      <w:pPr>
        <w:pStyle w:val="NormalWeb"/>
        <w:spacing w:before="0" w:beforeAutospacing="0" w:after="0" w:afterAutospacing="0"/>
        <w:ind w:right="-334"/>
        <w:rPr>
          <w:rFonts w:ascii="Trebuchet MS" w:hAnsi="Trebuchet MS" w:cs="Tahoma"/>
          <w:bCs/>
          <w:sz w:val="24"/>
          <w:szCs w:val="24"/>
        </w:rPr>
      </w:pPr>
    </w:p>
    <w:p w14:paraId="01D31F8D" w14:textId="1B6E1980" w:rsidR="00B61234" w:rsidRDefault="00B61234" w:rsidP="00FA07E9">
      <w:pPr>
        <w:pStyle w:val="NormalWeb"/>
        <w:spacing w:before="0" w:beforeAutospacing="0" w:after="0" w:afterAutospacing="0"/>
        <w:ind w:right="-334"/>
        <w:rPr>
          <w:rFonts w:ascii="Trebuchet MS" w:hAnsi="Trebuchet MS" w:cs="Tahoma"/>
          <w:bCs/>
          <w:sz w:val="24"/>
          <w:szCs w:val="24"/>
        </w:rPr>
      </w:pPr>
    </w:p>
    <w:p w14:paraId="69D4FC98" w14:textId="2AEB53CC" w:rsidR="00B61234" w:rsidRDefault="00B61234" w:rsidP="00FA07E9">
      <w:pPr>
        <w:pStyle w:val="NormalWeb"/>
        <w:spacing w:before="0" w:beforeAutospacing="0" w:after="0" w:afterAutospacing="0"/>
        <w:ind w:right="-334"/>
        <w:rPr>
          <w:rFonts w:ascii="Trebuchet MS" w:hAnsi="Trebuchet MS" w:cs="Tahoma"/>
          <w:bCs/>
          <w:sz w:val="24"/>
          <w:szCs w:val="24"/>
        </w:rPr>
      </w:pPr>
    </w:p>
    <w:p w14:paraId="20FA8743" w14:textId="4623DA20" w:rsidR="00B61234" w:rsidRDefault="00B61234" w:rsidP="00FA07E9">
      <w:pPr>
        <w:pStyle w:val="NormalWeb"/>
        <w:spacing w:before="0" w:beforeAutospacing="0" w:after="0" w:afterAutospacing="0"/>
        <w:ind w:right="-334"/>
        <w:rPr>
          <w:rFonts w:ascii="Trebuchet MS" w:hAnsi="Trebuchet MS" w:cs="Tahoma"/>
          <w:bCs/>
          <w:sz w:val="24"/>
          <w:szCs w:val="24"/>
        </w:rPr>
      </w:pPr>
    </w:p>
    <w:p w14:paraId="6873CDB9" w14:textId="3DA812B7" w:rsidR="00B61234" w:rsidRDefault="00B61234" w:rsidP="00FA07E9">
      <w:pPr>
        <w:pStyle w:val="NormalWeb"/>
        <w:spacing w:before="0" w:beforeAutospacing="0" w:after="0" w:afterAutospacing="0"/>
        <w:ind w:right="-334"/>
        <w:rPr>
          <w:rFonts w:ascii="Trebuchet MS" w:hAnsi="Trebuchet MS" w:cs="Tahoma"/>
          <w:bCs/>
          <w:sz w:val="24"/>
          <w:szCs w:val="24"/>
        </w:rPr>
      </w:pPr>
    </w:p>
    <w:p w14:paraId="73E2CE85" w14:textId="5F19AE90" w:rsidR="00B61234" w:rsidRDefault="00B61234" w:rsidP="00FA07E9">
      <w:pPr>
        <w:pStyle w:val="NormalWeb"/>
        <w:spacing w:before="0" w:beforeAutospacing="0" w:after="0" w:afterAutospacing="0"/>
        <w:ind w:right="-334"/>
        <w:rPr>
          <w:rFonts w:ascii="Trebuchet MS" w:hAnsi="Trebuchet MS" w:cs="Tahoma"/>
          <w:bCs/>
          <w:sz w:val="24"/>
          <w:szCs w:val="24"/>
        </w:rPr>
      </w:pPr>
    </w:p>
    <w:p w14:paraId="774ABA07" w14:textId="08CF9815" w:rsidR="00B61234" w:rsidRDefault="00B61234" w:rsidP="00FA07E9">
      <w:pPr>
        <w:pStyle w:val="NormalWeb"/>
        <w:spacing w:before="0" w:beforeAutospacing="0" w:after="0" w:afterAutospacing="0"/>
        <w:ind w:right="-334"/>
        <w:rPr>
          <w:rFonts w:ascii="Trebuchet MS" w:hAnsi="Trebuchet MS" w:cs="Tahoma"/>
          <w:bCs/>
          <w:sz w:val="24"/>
          <w:szCs w:val="24"/>
        </w:rPr>
      </w:pPr>
    </w:p>
    <w:p w14:paraId="44AC9BE5" w14:textId="77777777" w:rsidR="00B61234" w:rsidRPr="00B61234" w:rsidRDefault="00B61234" w:rsidP="00B61234">
      <w:pPr>
        <w:rPr>
          <w:rFonts w:asciiTheme="majorHAnsi" w:hAnsiTheme="majorHAnsi" w:cstheme="majorHAnsi"/>
          <w:b/>
          <w:bCs/>
          <w:sz w:val="28"/>
          <w:szCs w:val="28"/>
        </w:rPr>
      </w:pPr>
      <w:r w:rsidRPr="00B61234">
        <w:rPr>
          <w:rFonts w:asciiTheme="majorHAnsi" w:hAnsiTheme="majorHAnsi" w:cstheme="majorHAnsi"/>
          <w:b/>
          <w:bCs/>
          <w:sz w:val="28"/>
          <w:szCs w:val="28"/>
        </w:rPr>
        <w:lastRenderedPageBreak/>
        <w:t>Comment on the Nature and Function of the Illustrations in the Luttrell Psalter</w:t>
      </w:r>
    </w:p>
    <w:p w14:paraId="2CE570F7" w14:textId="77777777" w:rsidR="00B61234" w:rsidRPr="00B61234" w:rsidRDefault="00B61234" w:rsidP="00B61234">
      <w:pPr>
        <w:rPr>
          <w:rFonts w:asciiTheme="majorHAnsi" w:hAnsiTheme="majorHAnsi" w:cstheme="majorHAnsi"/>
          <w:b/>
          <w:bCs/>
          <w:sz w:val="28"/>
          <w:szCs w:val="28"/>
        </w:rPr>
      </w:pPr>
    </w:p>
    <w:p w14:paraId="792B8639"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Introduction and Historical Context</w:t>
      </w:r>
    </w:p>
    <w:p w14:paraId="15C93863"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 Luttrell Psalter (full title Additional MS 42130) is held in the British Library. It was written in Latin by a single scribe in large Gothic book-script and contains the Psalms, delineated in conventional form for the period and richly illustrated with religious scenes, depictions of medieval life and lavish grotesques.</w:t>
      </w:r>
    </w:p>
    <w:p w14:paraId="6384F538"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A Psalter was the ‘must-have’ book of the thirteenth and fourteenth centuries, and this one was commissioned by Sir Geoffrey Luttrell (May 1276 – 23 May 1345AD), Lord of the Manor of Irnham in south Lincolnshire. His miniature is placed at f202v, with the words ‘Lord Geoffrey Luttrell caused me to be made’. The Luttrell agenda must therefore be borne in mind in studying the Psalter. Such a huge and costly undertaking would have been designed to fulfil its commissioner’s expectations.</w:t>
      </w:r>
    </w:p>
    <w:p w14:paraId="7EC05B94"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Geoffrey grew up in the time of Edward I, where strong leadership forged the nation state. In 1307 Edward II acceded to the throne followed by a catastrophic reign culminating in Queen Isabella overthrowing her husband and finally his murder. Edward III took control in 1330 but the Edward II years of weak rule, excess and corruption have left their mark on the Psalter’s pages.</w:t>
      </w:r>
    </w:p>
    <w:p w14:paraId="34862EBC"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 initial commissioning, scholars agree, began with the writing and planning for the illustrations. First, three main artists worked up to f145, then an exceptionally talented artist took over, providing the images of the Luttrell family and their world, including the farming and feasting sequences and outlandish grotesques.</w:t>
      </w:r>
      <w:r w:rsidRPr="00B61234">
        <w:rPr>
          <w:rStyle w:val="FootnoteReference"/>
          <w:rFonts w:asciiTheme="majorHAnsi" w:hAnsiTheme="majorHAnsi" w:cstheme="majorHAnsi"/>
        </w:rPr>
        <w:footnoteReference w:id="1"/>
      </w:r>
      <w:r w:rsidRPr="00B61234">
        <w:rPr>
          <w:rFonts w:asciiTheme="majorHAnsi" w:hAnsiTheme="majorHAnsi" w:cstheme="majorHAnsi"/>
        </w:rPr>
        <w:t xml:space="preserve"> At f215 he stopped. Maybe he died, or Sir Geoffrey died, or the money ran out. The book then seems to have been completed in a hurry by a fifth artist (with a sixth providing the single page f215).</w:t>
      </w:r>
      <w:r w:rsidRPr="00B61234">
        <w:rPr>
          <w:rStyle w:val="FootnoteReference"/>
          <w:rFonts w:asciiTheme="majorHAnsi" w:hAnsiTheme="majorHAnsi" w:cstheme="majorHAnsi"/>
        </w:rPr>
        <w:footnoteReference w:id="2"/>
      </w:r>
      <w:r w:rsidRPr="00B61234">
        <w:rPr>
          <w:rFonts w:asciiTheme="majorHAnsi" w:hAnsiTheme="majorHAnsi" w:cstheme="majorHAnsi"/>
        </w:rPr>
        <w:t xml:space="preserve"> Quires 10-12 also remain unfinished.</w:t>
      </w:r>
    </w:p>
    <w:p w14:paraId="1ABBA06A"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 book was probably produced between 1320-1345AD but we will never know the exact date, nor why it was not finished, nor where it was made. We do not know how the manuscript left the Luttrell family but it appears to have belonged to the Lancastrian family of Joan de Bohun by 1370-1380AD, possibly given to them by Andrew Luttrell, who owed them allegiance. However the book left the family, it remained privately owned until it was purchased by the British Museum for the nation in 1929, with the help of a loan from John Pierpoint Morgan. The illustrations became hugely popular, representing a nostalgic English past of the ‘loving labour of the heroic medieval craftsman’</w:t>
      </w:r>
      <w:r w:rsidRPr="00B61234">
        <w:rPr>
          <w:rStyle w:val="FootnoteReference"/>
          <w:rFonts w:asciiTheme="majorHAnsi" w:hAnsiTheme="majorHAnsi" w:cstheme="majorHAnsi"/>
        </w:rPr>
        <w:footnoteReference w:id="3"/>
      </w:r>
      <w:r w:rsidRPr="00B61234">
        <w:rPr>
          <w:rFonts w:asciiTheme="majorHAnsi" w:hAnsiTheme="majorHAnsi" w:cstheme="majorHAnsi"/>
        </w:rPr>
        <w:t xml:space="preserve"> and a pre-ordained order that was disappearing in the late 1920s-1930s. This paralleled the social upheaval of Sir Geoffrey’s time.</w:t>
      </w:r>
    </w:p>
    <w:p w14:paraId="2B05CC3D" w14:textId="2F612410" w:rsidR="00B61234" w:rsidRDefault="00B61234" w:rsidP="00B61234">
      <w:pPr>
        <w:rPr>
          <w:rFonts w:asciiTheme="majorHAnsi" w:hAnsiTheme="majorHAnsi" w:cstheme="majorHAnsi"/>
        </w:rPr>
      </w:pPr>
      <w:r w:rsidRPr="00B61234">
        <w:rPr>
          <w:rFonts w:asciiTheme="majorHAnsi" w:hAnsiTheme="majorHAnsi" w:cstheme="majorHAnsi"/>
        </w:rPr>
        <w:t>We must remember, however, that the book was not designed to be an accurate reproduction of medieval life. It is Sir Geoffrey’s book, showing his influence throughout. It is not a history, and not from the peasant’s perspective. The images are hugely valuable to the social historian as they add a layer of detail to ordinary life that is barely represented to the chroniclers and poets of the time, but they need to be viewed in context to be properly appreciated.</w:t>
      </w:r>
    </w:p>
    <w:p w14:paraId="3CB14D5C" w14:textId="77777777" w:rsidR="00B61234" w:rsidRPr="00B61234" w:rsidRDefault="00B61234" w:rsidP="00B61234">
      <w:pPr>
        <w:rPr>
          <w:rFonts w:asciiTheme="majorHAnsi" w:hAnsiTheme="majorHAnsi" w:cstheme="majorHAnsi"/>
        </w:rPr>
      </w:pPr>
    </w:p>
    <w:p w14:paraId="18790FD0" w14:textId="495DFFEA" w:rsidR="00B61234" w:rsidRDefault="00B61234" w:rsidP="00B61234">
      <w:pPr>
        <w:rPr>
          <w:rFonts w:asciiTheme="majorHAnsi" w:hAnsiTheme="majorHAnsi" w:cstheme="majorHAnsi"/>
        </w:rPr>
      </w:pPr>
      <w:r w:rsidRPr="00B61234">
        <w:rPr>
          <w:rFonts w:asciiTheme="majorHAnsi" w:hAnsiTheme="majorHAnsi" w:cstheme="majorHAnsi"/>
        </w:rPr>
        <w:t>I will now examine in detail the different categories of illustration in the Psalter and how they are likely to have been understood by Sir Geoffrey and his contemporaries.</w:t>
      </w:r>
    </w:p>
    <w:p w14:paraId="362F805C" w14:textId="77777777" w:rsidR="00B61234" w:rsidRPr="00B61234" w:rsidRDefault="00B61234" w:rsidP="00B61234">
      <w:pPr>
        <w:rPr>
          <w:rFonts w:asciiTheme="majorHAnsi" w:hAnsiTheme="majorHAnsi" w:cstheme="majorHAnsi"/>
        </w:rPr>
      </w:pPr>
    </w:p>
    <w:p w14:paraId="654FC72D" w14:textId="409904E8"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The Miniature:  ‘Look how strong and powerful I am!’</w:t>
      </w:r>
    </w:p>
    <w:p w14:paraId="45B3B5BE"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The Miniature (f202v) shows Sir Geoffrey mounted on his warhorse and preparing for battle. His family had risen in status since his great-grandfather had supported King John c1200AD. Sir Geoffrey married Agnes Sutton in around 1297. Andrew was their eldest surviving son and heir and had been married to Beatrice le Scrope in 1320AD aged 7. These families are bound together in the Psalter. The Miniature is highly unusual. Devotional convention of the time would expect to see Sir Geoffrey kneeling in prayer before the Virgin or a saint. In the accompanying major historiated D, God is shown with King David – again a huge statement of secular power. The King represents Edward III and the implication is that Sir Geoffrey is the instrument of God’s will. </w:t>
      </w:r>
    </w:p>
    <w:p w14:paraId="1A50221A"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 Luttrell heraldic martlets prevail, blended with Sutton and Scrope motifs on the persons of Agnes and Beatrice. Agnes hands Sir Geoffrey his helm, showing his dominance over her, and Beatrice, embodying the hope for an heir, hands him his shield, a symbol of luxury and heredity. This is Sir Geoffrey’s public image of status and power. He was in fact an old man by this point – this is a symbolic portrayal of chivalry and the desire to assert strength and power.</w:t>
      </w:r>
    </w:p>
    <w:p w14:paraId="0F38FE63" w14:textId="575C26C8" w:rsidR="00B61234" w:rsidRDefault="00B61234" w:rsidP="00B61234">
      <w:pPr>
        <w:rPr>
          <w:rFonts w:asciiTheme="majorHAnsi" w:hAnsiTheme="majorHAnsi" w:cstheme="majorHAnsi"/>
        </w:rPr>
      </w:pPr>
      <w:r w:rsidRPr="00B61234">
        <w:rPr>
          <w:rFonts w:asciiTheme="majorHAnsi" w:hAnsiTheme="majorHAnsi" w:cstheme="majorHAnsi"/>
        </w:rPr>
        <w:t>The image is placed next to Psalm 109v1.</w:t>
      </w:r>
      <w:r w:rsidRPr="00B61234">
        <w:rPr>
          <w:rStyle w:val="FootnoteReference"/>
          <w:rFonts w:asciiTheme="majorHAnsi" w:hAnsiTheme="majorHAnsi" w:cstheme="majorHAnsi"/>
        </w:rPr>
        <w:footnoteReference w:id="4"/>
      </w:r>
      <w:r w:rsidRPr="00B61234">
        <w:rPr>
          <w:rFonts w:asciiTheme="majorHAnsi" w:hAnsiTheme="majorHAnsi" w:cstheme="majorHAnsi"/>
        </w:rPr>
        <w:t xml:space="preserve"> This was the first Psalm sung at Sunday Vespers, Sir Geoffrey is portrayed as an agent of God – the ultimate statement of who he was.</w:t>
      </w:r>
    </w:p>
    <w:p w14:paraId="0548ACF0" w14:textId="77777777" w:rsidR="00B61234" w:rsidRPr="00B61234" w:rsidRDefault="00B61234" w:rsidP="00B61234">
      <w:pPr>
        <w:rPr>
          <w:rFonts w:asciiTheme="majorHAnsi" w:hAnsiTheme="majorHAnsi" w:cstheme="majorHAnsi"/>
        </w:rPr>
      </w:pPr>
    </w:p>
    <w:p w14:paraId="1883E59F"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Farming:  ‘Be thankful, work hard and I will protect you’</w:t>
      </w:r>
    </w:p>
    <w:p w14:paraId="170CCD72"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 farming scenes are carefully placed alongside psalms of thanksgiving for God’s bounty. The main sequence (ff170-172v) shows the basic cycle of agricultural life. They have been seen as literal depictions of a medieval rural idyll, but also have a deeper meaning once the context is understood. The ploughman begins the sequence with exceptional detail, down to the mallet used for breaking up clods. 4 oxen pull the plough. Usually there were 8. 4 here may represent the 4 evangelists. The plough is the tongue of the preacher giving its message to the soul represented by the soil. The fourteenth century ploughman was synonymous with the good Christian, with good, honest, hard work, which was seen as a virtue.</w:t>
      </w:r>
      <w:r w:rsidRPr="00B61234">
        <w:rPr>
          <w:rStyle w:val="FootnoteReference"/>
          <w:rFonts w:asciiTheme="majorHAnsi" w:hAnsiTheme="majorHAnsi" w:cstheme="majorHAnsi"/>
        </w:rPr>
        <w:footnoteReference w:id="5"/>
      </w:r>
      <w:r w:rsidRPr="00B61234">
        <w:rPr>
          <w:rFonts w:asciiTheme="majorHAnsi" w:hAnsiTheme="majorHAnsi" w:cstheme="majorHAnsi"/>
        </w:rPr>
        <w:t xml:space="preserve"> The plough is below Psalm 93v18</w:t>
      </w:r>
      <w:r w:rsidRPr="00B61234">
        <w:rPr>
          <w:rStyle w:val="FootnoteReference"/>
          <w:rFonts w:asciiTheme="majorHAnsi" w:hAnsiTheme="majorHAnsi" w:cstheme="majorHAnsi"/>
        </w:rPr>
        <w:footnoteReference w:id="6"/>
      </w:r>
      <w:r w:rsidRPr="00B61234">
        <w:rPr>
          <w:rFonts w:asciiTheme="majorHAnsi" w:hAnsiTheme="majorHAnsi" w:cstheme="majorHAnsi"/>
        </w:rPr>
        <w:t xml:space="preserve">- an example of how the illustrator frequently relates illustrations to words in the text. The foot in the Psalm refers to the ploughfoot. </w:t>
      </w:r>
    </w:p>
    <w:p w14:paraId="6132493B"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The remaining scenes all relate to the analogy of being receptive to God’s word with themes of fertility and hard work, culminating in f173v where a cart (with spiked wheels </w:t>
      </w:r>
      <w:r w:rsidRPr="00B61234">
        <w:rPr>
          <w:rFonts w:asciiTheme="majorHAnsi" w:hAnsiTheme="majorHAnsi" w:cstheme="majorHAnsi"/>
        </w:rPr>
        <w:lastRenderedPageBreak/>
        <w:t>for extra grip!) is drawn up the page, full of hay. ‘The harvest of the soul is safely gathered into the barn of the Lord’.</w:t>
      </w:r>
      <w:r w:rsidRPr="00B61234">
        <w:rPr>
          <w:rStyle w:val="FootnoteReference"/>
          <w:rFonts w:asciiTheme="majorHAnsi" w:hAnsiTheme="majorHAnsi" w:cstheme="majorHAnsi"/>
        </w:rPr>
        <w:footnoteReference w:id="7"/>
      </w:r>
    </w:p>
    <w:p w14:paraId="61304CD3"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These activities appear very realistic and accurately portrayed. But they must be seen from the Luttrell standpoint. The clothing depicted has been used to represent peasant forms of dress in the period – the ploughman is dressed warmly for a January day. But the quality and bold colour of the clothing is unlikely to be realistic. Dress was an important regulator of social class and bright colours with contrasting lining belonged to the gentry. The clothing is ‘dressed-up’ for the Psalter, rather than the ‘dirty browns and greys of lice-ridden, government regulated reality’.</w:t>
      </w:r>
      <w:r w:rsidRPr="00B61234">
        <w:rPr>
          <w:rStyle w:val="FootnoteReference"/>
          <w:rFonts w:asciiTheme="majorHAnsi" w:hAnsiTheme="majorHAnsi" w:cstheme="majorHAnsi"/>
        </w:rPr>
        <w:footnoteReference w:id="8"/>
      </w:r>
    </w:p>
    <w:p w14:paraId="1500262D"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Elsewhere in the Psalter we see depictions of poultry keeping, sheep and pigs, all clearly detailed. Geoffrey’s watermill is shown (f181) with its fish/eel traps and his innovative windmill (f158), a clear statement of modernity and wealth.</w:t>
      </w:r>
    </w:p>
    <w:p w14:paraId="41C558ED" w14:textId="501F2457" w:rsidR="00B61234" w:rsidRDefault="00B61234" w:rsidP="00B61234">
      <w:pPr>
        <w:rPr>
          <w:rFonts w:asciiTheme="majorHAnsi" w:hAnsiTheme="majorHAnsi" w:cstheme="majorHAnsi"/>
        </w:rPr>
      </w:pPr>
      <w:r w:rsidRPr="00B61234">
        <w:rPr>
          <w:rFonts w:asciiTheme="majorHAnsi" w:hAnsiTheme="majorHAnsi" w:cstheme="majorHAnsi"/>
        </w:rPr>
        <w:t>The system of labour service was breaking down in Sir Geoffrey’s day. The images look back to ‘good times’ – it was in his interests to foster community spirit to keep everything running. ‘The harvest in the Psalter is a depiction of ritual as carefully orchestrated and observed as any Corpus Christi procession’.</w:t>
      </w:r>
      <w:r w:rsidRPr="00B61234">
        <w:rPr>
          <w:rStyle w:val="FootnoteReference"/>
          <w:rFonts w:asciiTheme="majorHAnsi" w:hAnsiTheme="majorHAnsi" w:cstheme="majorHAnsi"/>
        </w:rPr>
        <w:footnoteReference w:id="9"/>
      </w:r>
    </w:p>
    <w:p w14:paraId="55C1FD70" w14:textId="77777777" w:rsidR="00B61234" w:rsidRPr="00B61234" w:rsidRDefault="00B61234" w:rsidP="00B61234">
      <w:pPr>
        <w:rPr>
          <w:rFonts w:asciiTheme="majorHAnsi" w:hAnsiTheme="majorHAnsi" w:cstheme="majorHAnsi"/>
        </w:rPr>
      </w:pPr>
    </w:p>
    <w:p w14:paraId="4AF14800"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Feasting: ‘Humility, please!’</w:t>
      </w:r>
    </w:p>
    <w:p w14:paraId="256401EA"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 other major portrayal of ‘life on the manor’ is the feasting sequence. F206v to f208v shows the preparation of the feast, culminating in f208v where Sir Geoffrey and his companions are served, possibly representing his actual butler, John of Colne, and servants. The backdrop is a cloth of Luttrell heraldry. Geoffrey, Agnes, Andrew and Beatrice are joined by either Geoffrey’s son, Robert, or his brother, Guy, and two friars. Sir Geoffrey is known to have had a personal Dominican chaplain and confessor. Dominicans were fashionable, with their message of austerity and hard work over decadence.</w:t>
      </w:r>
    </w:p>
    <w:p w14:paraId="08AA46A7" w14:textId="0E2497BE" w:rsidR="00B61234" w:rsidRDefault="00B61234" w:rsidP="00B61234">
      <w:pPr>
        <w:rPr>
          <w:rFonts w:asciiTheme="majorHAnsi" w:hAnsiTheme="majorHAnsi" w:cstheme="majorHAnsi"/>
        </w:rPr>
      </w:pPr>
      <w:r w:rsidRPr="00B61234">
        <w:rPr>
          <w:rFonts w:asciiTheme="majorHAnsi" w:hAnsiTheme="majorHAnsi" w:cstheme="majorHAnsi"/>
        </w:rPr>
        <w:t>There are similarities with the Last Supper scene in f90v, Sir Geoffrey lifts the chalice, he and his family representing Christ and his apostles, the small scarved figure maybe representing Judas. The display is of wealth and social order, with servants and silver platters, yet the provision is reasonably austere. Edward III legislated in 1336 to control ostentacious eating, and this may be in evidence here. The Dominicans had a particular distaste for gluttony. F206v shows the double headed pagan monster Janus, looking to the past and the future, and he is also a symbol of gluttonous excess. The scene is full of sacramental and devotional overtones taking place within a Psalm of warning of the need to trust God to receive his blessing.</w:t>
      </w:r>
      <w:r w:rsidRPr="00B61234">
        <w:rPr>
          <w:rStyle w:val="FootnoteReference"/>
          <w:rFonts w:asciiTheme="majorHAnsi" w:hAnsiTheme="majorHAnsi" w:cstheme="majorHAnsi"/>
        </w:rPr>
        <w:footnoteReference w:id="10"/>
      </w:r>
      <w:r w:rsidRPr="00B61234">
        <w:rPr>
          <w:rFonts w:asciiTheme="majorHAnsi" w:hAnsiTheme="majorHAnsi" w:cstheme="majorHAnsi"/>
        </w:rPr>
        <w:t xml:space="preserve"> The message seems to be that the family does not intend to overstep the mark. </w:t>
      </w:r>
    </w:p>
    <w:p w14:paraId="2CDE16A3" w14:textId="77777777" w:rsidR="00B61234" w:rsidRPr="00B61234" w:rsidRDefault="00B61234" w:rsidP="00B61234">
      <w:pPr>
        <w:rPr>
          <w:rFonts w:asciiTheme="majorHAnsi" w:hAnsiTheme="majorHAnsi" w:cstheme="majorHAnsi"/>
        </w:rPr>
      </w:pPr>
    </w:p>
    <w:p w14:paraId="07652394"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Religious Symbols: ‘Save me from this world of sin!’</w:t>
      </w:r>
    </w:p>
    <w:p w14:paraId="4E128D00"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 Psalter is full of concern for redemption. There are traditional images of the lives of the Virgin and Christ.</w:t>
      </w:r>
      <w:r w:rsidRPr="00B61234">
        <w:rPr>
          <w:rStyle w:val="FootnoteReference"/>
          <w:rFonts w:asciiTheme="majorHAnsi" w:hAnsiTheme="majorHAnsi" w:cstheme="majorHAnsi"/>
        </w:rPr>
        <w:footnoteReference w:id="11"/>
      </w:r>
      <w:r w:rsidRPr="00B61234">
        <w:rPr>
          <w:rFonts w:asciiTheme="majorHAnsi" w:hAnsiTheme="majorHAnsi" w:cstheme="majorHAnsi"/>
        </w:rPr>
        <w:t xml:space="preserve"> F74r shows a nun (maybe Sir Geoffrey’s sister) receiving absolution. F56r shows the beheading of Thomas of Lancaster, who many Lancastrians considered a saint, and his executioner revealing his legs in a clear sign of infamy.</w:t>
      </w:r>
    </w:p>
    <w:p w14:paraId="38B82798"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lastRenderedPageBreak/>
        <w:t>Sir Geoffrey was extremely concerned for his soul. This can be seen in his Will but also in the Psalter. The ‘regular’ clergy do not fare well, shown as erring from the path of piety. F54r shows a crossbowman and a swordsman, both with tonsures. This would have shocked a medieval reader who knew that clerics did not bear arms. The world is ‘turned upside down’.</w:t>
      </w:r>
      <w:r w:rsidRPr="00B61234">
        <w:rPr>
          <w:rStyle w:val="FootnoteReference"/>
          <w:rFonts w:asciiTheme="majorHAnsi" w:hAnsiTheme="majorHAnsi" w:cstheme="majorHAnsi"/>
        </w:rPr>
        <w:footnoteReference w:id="12"/>
      </w:r>
      <w:r w:rsidRPr="00B61234">
        <w:rPr>
          <w:rFonts w:asciiTheme="majorHAnsi" w:hAnsiTheme="majorHAnsi" w:cstheme="majorHAnsi"/>
        </w:rPr>
        <w:t xml:space="preserve"> The threat to social order caused by famine and unrest would have left people feeling vulnerable and uncertain, which the new Dominican preachers</w:t>
      </w:r>
      <w:ins w:id="6" w:author="Joanna Dunlop">
        <w:r w:rsidRPr="00B61234">
          <w:rPr>
            <w:rFonts w:asciiTheme="majorHAnsi" w:hAnsiTheme="majorHAnsi" w:cstheme="majorHAnsi"/>
          </w:rPr>
          <w:t xml:space="preserve"> of austerity would have found easy to exploit.</w:t>
        </w:r>
      </w:ins>
    </w:p>
    <w:p w14:paraId="0BD3CFF5" w14:textId="5F17310C" w:rsidR="00B61234" w:rsidRDefault="00B61234" w:rsidP="00B61234">
      <w:pPr>
        <w:rPr>
          <w:rFonts w:asciiTheme="majorHAnsi" w:hAnsiTheme="majorHAnsi" w:cstheme="majorHAnsi"/>
        </w:rPr>
      </w:pPr>
      <w:r w:rsidRPr="00B61234">
        <w:rPr>
          <w:rFonts w:asciiTheme="majorHAnsi" w:hAnsiTheme="majorHAnsi" w:cstheme="majorHAnsi"/>
        </w:rPr>
        <w:t>F79v shows a grotesque wearing a three-tiered crown resembling the Pope’s tiara, reflecting the sense of papal corruption. Other monsters display tonsures and bishop’s mitres. Robert Mannyng</w:t>
      </w:r>
      <w:r w:rsidRPr="00B61234">
        <w:rPr>
          <w:rStyle w:val="FootnoteReference"/>
          <w:rFonts w:asciiTheme="majorHAnsi" w:hAnsiTheme="majorHAnsi" w:cstheme="majorHAnsi"/>
        </w:rPr>
        <w:footnoteReference w:id="13"/>
      </w:r>
      <w:r w:rsidRPr="00B61234">
        <w:rPr>
          <w:rFonts w:asciiTheme="majorHAnsi" w:hAnsiTheme="majorHAnsi" w:cstheme="majorHAnsi"/>
        </w:rPr>
        <w:t>, a contemporary commentator, refers to the slothful clergy wanting to live as lords. The Psalter was written before the peasants’ revolt. The peasants were not the enemy but rather the idle nobility, including the established clergy. The Psalter’s message is the avoidance of decadence, greed and frivolity, and trust in God.</w:t>
      </w:r>
    </w:p>
    <w:p w14:paraId="17C17E4A" w14:textId="77777777" w:rsidR="00B61234" w:rsidRPr="00B61234" w:rsidRDefault="00B61234" w:rsidP="00B61234">
      <w:pPr>
        <w:rPr>
          <w:rFonts w:asciiTheme="majorHAnsi" w:hAnsiTheme="majorHAnsi" w:cstheme="majorHAnsi"/>
        </w:rPr>
      </w:pPr>
    </w:p>
    <w:p w14:paraId="57DDA665"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Grotesques: ‘Beware! Follow the right path’</w:t>
      </w:r>
    </w:p>
    <w:p w14:paraId="6D4559F7"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Weird composite beings were a mainstream decorative feature in the period – scary and entertaining! F184r shows a dragon on wheels with grotesque stilt walkers above. F192v has a grotesque of a lady with a flying veil holding a book, possibly a pun that literature cannot turn a lady from vanity. The monsters are the forces of chaos reflecting the concerns of a society in flux, a reminder of the need to toe the line. They may also reflect the growing fascination with history and the legendary founding of Britain, depicting the unknown as fantasy.</w:t>
      </w:r>
    </w:p>
    <w:p w14:paraId="18993A71" w14:textId="7516AA0E" w:rsidR="00B61234" w:rsidRDefault="00B61234" w:rsidP="00B61234">
      <w:pPr>
        <w:rPr>
          <w:rFonts w:asciiTheme="majorHAnsi" w:hAnsiTheme="majorHAnsi" w:cstheme="majorHAnsi"/>
        </w:rPr>
      </w:pPr>
      <w:r w:rsidRPr="00B61234">
        <w:rPr>
          <w:rFonts w:asciiTheme="majorHAnsi" w:hAnsiTheme="majorHAnsi" w:cstheme="majorHAnsi"/>
        </w:rPr>
        <w:t>The grotesques were frequently ignored in earlier times. Bernard of Clairvaux asked ‘What profit is there in those ridiculous monsters…’</w:t>
      </w:r>
      <w:r w:rsidRPr="00B61234">
        <w:rPr>
          <w:rStyle w:val="FootnoteReference"/>
          <w:rFonts w:asciiTheme="majorHAnsi" w:hAnsiTheme="majorHAnsi" w:cstheme="majorHAnsi"/>
        </w:rPr>
        <w:footnoteReference w:id="14"/>
      </w:r>
      <w:r w:rsidRPr="00B61234">
        <w:rPr>
          <w:rFonts w:asciiTheme="majorHAnsi" w:hAnsiTheme="majorHAnsi" w:cstheme="majorHAnsi"/>
        </w:rPr>
        <w:t>, concerned that they could distract a monk from prayer. Eric Millar claimed that they must be the ‘product of a sick mind’.</w:t>
      </w:r>
      <w:r w:rsidRPr="00B61234">
        <w:rPr>
          <w:rStyle w:val="FootnoteReference"/>
          <w:rFonts w:asciiTheme="majorHAnsi" w:hAnsiTheme="majorHAnsi" w:cstheme="majorHAnsi"/>
        </w:rPr>
        <w:footnoteReference w:id="15"/>
      </w:r>
      <w:r w:rsidRPr="00B61234">
        <w:rPr>
          <w:rFonts w:asciiTheme="majorHAnsi" w:hAnsiTheme="majorHAnsi" w:cstheme="majorHAnsi"/>
        </w:rPr>
        <w:t xml:space="preserve"> But they were in fact part of the overall illustrative framework with their own part to play. They are conventional representations of carnal sin and the battle between good and evil that the contemporary reader would have expected to see, and understood.</w:t>
      </w:r>
    </w:p>
    <w:p w14:paraId="0186DEBD" w14:textId="77777777" w:rsidR="00B61234" w:rsidRPr="00B61234" w:rsidRDefault="00B61234" w:rsidP="00B61234">
      <w:pPr>
        <w:rPr>
          <w:rFonts w:asciiTheme="majorHAnsi" w:hAnsiTheme="majorHAnsi" w:cstheme="majorHAnsi"/>
        </w:rPr>
      </w:pPr>
    </w:p>
    <w:p w14:paraId="4963AF22"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Moralising: ‘Sobriety!’</w:t>
      </w:r>
    </w:p>
    <w:p w14:paraId="10427A08"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 There are plenty of examples of the illustrations teaching right behaviour. F196v shows a lovely picture of a boy stealing cherries next to Psalm 106v26.</w:t>
      </w:r>
      <w:r w:rsidRPr="00B61234">
        <w:rPr>
          <w:rStyle w:val="FootnoteReference"/>
          <w:rFonts w:asciiTheme="majorHAnsi" w:hAnsiTheme="majorHAnsi" w:cstheme="majorHAnsi"/>
        </w:rPr>
        <w:footnoteReference w:id="16"/>
      </w:r>
      <w:r w:rsidRPr="00B61234">
        <w:rPr>
          <w:rFonts w:asciiTheme="majorHAnsi" w:hAnsiTheme="majorHAnsi" w:cstheme="majorHAnsi"/>
        </w:rPr>
        <w:t xml:space="preserve"> Even the committer of the smallest sin must heed warnings! Thieving and gluttony are both sinful. The Psalter is a comment on the importance of social context and proper, sober behaviour, taking a dim view of excess. The excessive luxury of dress and theatrical style associated with </w:t>
      </w:r>
      <w:r w:rsidRPr="00B61234">
        <w:rPr>
          <w:rFonts w:asciiTheme="majorHAnsi" w:hAnsiTheme="majorHAnsi" w:cstheme="majorHAnsi"/>
        </w:rPr>
        <w:lastRenderedPageBreak/>
        <w:t>Edward II was thought to have led England to ruin. The poor could not afford such luxury – extravagance bred laziness.</w:t>
      </w:r>
    </w:p>
    <w:p w14:paraId="61502DBE" w14:textId="2E1BB1AF" w:rsidR="00B61234" w:rsidRDefault="00B61234" w:rsidP="00B61234">
      <w:pPr>
        <w:rPr>
          <w:rFonts w:asciiTheme="majorHAnsi" w:hAnsiTheme="majorHAnsi" w:cstheme="majorHAnsi"/>
        </w:rPr>
      </w:pPr>
      <w:r w:rsidRPr="00B61234">
        <w:rPr>
          <w:rFonts w:asciiTheme="majorHAnsi" w:hAnsiTheme="majorHAnsi" w:cstheme="majorHAnsi"/>
        </w:rPr>
        <w:t>There are also themes of Christian penitence, such as the naked bodies descending into hell in f157v, with a possible further allusion to gluttony at the bottom with a horizontal man having liquid poured down his throat.</w:t>
      </w:r>
    </w:p>
    <w:p w14:paraId="777C42D1" w14:textId="77777777" w:rsidR="00B61234" w:rsidRPr="00B61234" w:rsidRDefault="00B61234" w:rsidP="00B61234">
      <w:pPr>
        <w:rPr>
          <w:rFonts w:asciiTheme="majorHAnsi" w:hAnsiTheme="majorHAnsi" w:cstheme="majorHAnsi"/>
        </w:rPr>
      </w:pPr>
    </w:p>
    <w:p w14:paraId="5BF7ABA3"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Sex and Immorality – ‘No sex, please!’</w:t>
      </w:r>
    </w:p>
    <w:p w14:paraId="47806F58"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 Psalter disapproves of loose women. F76 shows a man and a woman playing a boardgame in a garden. The garden was a medieval symbol of virginity. The flying veil is provocative and vain – the ‘devil’s sails’.</w:t>
      </w:r>
      <w:r w:rsidRPr="00B61234">
        <w:rPr>
          <w:rStyle w:val="FootnoteReference"/>
          <w:rFonts w:asciiTheme="majorHAnsi" w:hAnsiTheme="majorHAnsi" w:cstheme="majorHAnsi"/>
        </w:rPr>
        <w:footnoteReference w:id="17"/>
      </w:r>
      <w:r w:rsidRPr="00B61234">
        <w:rPr>
          <w:rFonts w:asciiTheme="majorHAnsi" w:hAnsiTheme="majorHAnsi" w:cstheme="majorHAnsi"/>
        </w:rPr>
        <w:t xml:space="preserve"> The clothes display a wealth of buttons which were seen as seductive and therefore sinful. The man reaches towards the woman, she points to his loins. Such behaviour leads to immorality. Gambling was also sinful. F33r shows a young widow, legs apart, beckoning a squirrel – which was another medieval sex symbol. F63r shows a girl with her maid, plaiting her hair. The mirror and draped clothes suggest vanity. F75v shows the castle of love, a medieval allegory of the defence of virtue, with Psalm 38v6 stating that all is vanity. All of this impropriety can be contrasted  with the legitimacy of the Luttrell marriages.</w:t>
      </w:r>
    </w:p>
    <w:p w14:paraId="253C68B9" w14:textId="77777777" w:rsidR="00B61234" w:rsidRPr="00B61234" w:rsidRDefault="00B61234" w:rsidP="00B61234">
      <w:pPr>
        <w:rPr>
          <w:rFonts w:asciiTheme="majorHAnsi" w:hAnsiTheme="majorHAnsi" w:cstheme="majorHAnsi"/>
        </w:rPr>
      </w:pPr>
    </w:p>
    <w:p w14:paraId="198A4E50"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Queens: ‘Loyalty, correctly bestowed’</w:t>
      </w:r>
    </w:p>
    <w:p w14:paraId="69EB0304"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A lot of the Psalter imagery stresses family loyalty to Edward I and III. Queen Isabella and her lover Mortimer were disapproved of as part of the decadent Edward II era that had just played out. F68r shows an acrobat balancing a lady on his shoulders, looking sideways to a queen in the initial D, who looks back at him, across Psalm 35.</w:t>
      </w:r>
      <w:r w:rsidRPr="00B61234">
        <w:rPr>
          <w:rStyle w:val="FootnoteReference"/>
          <w:rFonts w:asciiTheme="majorHAnsi" w:hAnsiTheme="majorHAnsi" w:cstheme="majorHAnsi"/>
        </w:rPr>
        <w:footnoteReference w:id="18"/>
      </w:r>
      <w:r w:rsidRPr="00B61234">
        <w:rPr>
          <w:rFonts w:asciiTheme="majorHAnsi" w:hAnsiTheme="majorHAnsi" w:cstheme="majorHAnsi"/>
        </w:rPr>
        <w:t xml:space="preserve"> The lady balancing may be Isabella, who ordered her husband’s murder, with a comparison also to the morally lax profession of troubadours and jongleurs. In contrast, f159v shows a man holding an edifice resembling an Eleanor cross (representing Eleanor of Castile, beloved queen of Edward I), with a more positive accompanying Psalm 88v8.</w:t>
      </w:r>
      <w:r w:rsidRPr="00B61234">
        <w:rPr>
          <w:rStyle w:val="FootnoteReference"/>
          <w:rFonts w:asciiTheme="majorHAnsi" w:hAnsiTheme="majorHAnsi" w:cstheme="majorHAnsi"/>
        </w:rPr>
        <w:footnoteReference w:id="19"/>
      </w:r>
    </w:p>
    <w:p w14:paraId="77DF93E1" w14:textId="751C32C3" w:rsidR="00B61234" w:rsidRDefault="00B61234" w:rsidP="00B61234">
      <w:pPr>
        <w:rPr>
          <w:rFonts w:asciiTheme="majorHAnsi" w:hAnsiTheme="majorHAnsi" w:cstheme="majorHAnsi"/>
        </w:rPr>
      </w:pPr>
      <w:r w:rsidRPr="00B61234">
        <w:rPr>
          <w:rFonts w:asciiTheme="majorHAnsi" w:hAnsiTheme="majorHAnsi" w:cstheme="majorHAnsi"/>
        </w:rPr>
        <w:t>F181v shows an ornate travelling carriage entourage of four royal ladies. One has a pet squirrel and could be Philippa of Hainault, queen of Edward III renowned for her love of such creatures. She became Queen in 1328 which may indicate a ‘not-before’ date for the book. It is a declaration of loyalty to the monarch. It is possibly also a throwback to when Sir Geoffrey accompanied Blanche of Navarre (the mother of Thomas of Lancaster) back to France – a celebration of a job well done.</w:t>
      </w:r>
    </w:p>
    <w:p w14:paraId="55D45B8C" w14:textId="77777777" w:rsidR="00B61234" w:rsidRPr="00B61234" w:rsidRDefault="00B61234" w:rsidP="00B61234">
      <w:pPr>
        <w:rPr>
          <w:rFonts w:asciiTheme="majorHAnsi" w:hAnsiTheme="majorHAnsi" w:cstheme="majorHAnsi"/>
        </w:rPr>
      </w:pPr>
    </w:p>
    <w:p w14:paraId="5739205D"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Unrest: ‘The times are changing’</w:t>
      </w:r>
    </w:p>
    <w:p w14:paraId="459B72EA"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There was significant social change in this period, with widespread famine came challenge to the old order. The bear baiting scene in f161r may represent Berwick-upon-Tweed, a crucial border town taken back by Edward III, keeping control of the city – representing English victory. F169r shows the horrors of war, with a widow beaten, a man attacked and children being dismembered, to illustrate Psalm 93v6.</w:t>
      </w:r>
      <w:r w:rsidRPr="00B61234">
        <w:rPr>
          <w:rStyle w:val="FootnoteReference"/>
          <w:rFonts w:asciiTheme="majorHAnsi" w:hAnsiTheme="majorHAnsi" w:cstheme="majorHAnsi"/>
        </w:rPr>
        <w:footnoteReference w:id="20"/>
      </w:r>
    </w:p>
    <w:p w14:paraId="779460C2" w14:textId="4EC8FBAD" w:rsidR="00B61234" w:rsidRDefault="00B61234" w:rsidP="00B61234">
      <w:pPr>
        <w:rPr>
          <w:rFonts w:asciiTheme="majorHAnsi" w:hAnsiTheme="majorHAnsi" w:cstheme="majorHAnsi"/>
        </w:rPr>
      </w:pPr>
      <w:r w:rsidRPr="00B61234">
        <w:rPr>
          <w:rFonts w:asciiTheme="majorHAnsi" w:hAnsiTheme="majorHAnsi" w:cstheme="majorHAnsi"/>
        </w:rPr>
        <w:t>But there are distortions of reality in the warfare scenes with clerics and grotesques taking up arms. F157r shows a purple fierce Saracen, a western figure and a naked Ethiopian (following Psalm 86v4).</w:t>
      </w:r>
      <w:r w:rsidRPr="00B61234">
        <w:rPr>
          <w:rStyle w:val="FootnoteReference"/>
          <w:rFonts w:asciiTheme="majorHAnsi" w:hAnsiTheme="majorHAnsi" w:cstheme="majorHAnsi"/>
        </w:rPr>
        <w:footnoteReference w:id="21"/>
      </w:r>
      <w:r w:rsidRPr="00B61234">
        <w:rPr>
          <w:rFonts w:asciiTheme="majorHAnsi" w:hAnsiTheme="majorHAnsi" w:cstheme="majorHAnsi"/>
        </w:rPr>
        <w:t xml:space="preserve"> The Crusades were current, foreigners to be feared. </w:t>
      </w:r>
      <w:r w:rsidRPr="00B61234">
        <w:rPr>
          <w:rFonts w:asciiTheme="majorHAnsi" w:hAnsiTheme="majorHAnsi" w:cstheme="majorHAnsi"/>
        </w:rPr>
        <w:lastRenderedPageBreak/>
        <w:t>Ideas of nationhood were developing with the ‘other’ being depicted as evil and unnatural.</w:t>
      </w:r>
    </w:p>
    <w:p w14:paraId="0F6BF251" w14:textId="77777777" w:rsidR="00B61234" w:rsidRPr="00B61234" w:rsidRDefault="00B61234" w:rsidP="00B61234">
      <w:pPr>
        <w:rPr>
          <w:rFonts w:asciiTheme="majorHAnsi" w:hAnsiTheme="majorHAnsi" w:cstheme="majorHAnsi"/>
        </w:rPr>
      </w:pPr>
    </w:p>
    <w:p w14:paraId="1250E5F2"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Pastimes: ‘The highs and lows’</w:t>
      </w:r>
    </w:p>
    <w:p w14:paraId="449224F1"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There are plenty of depictions of archers. F147v shows men practicing at the butts. Hawking is also depicted. Mannyng considered hunting acceptable for the nobility to rescue them from ‘idylnesse’.</w:t>
      </w:r>
      <w:r w:rsidRPr="00B61234">
        <w:rPr>
          <w:rStyle w:val="FootnoteReference"/>
          <w:rFonts w:asciiTheme="majorHAnsi" w:hAnsiTheme="majorHAnsi" w:cstheme="majorHAnsi"/>
        </w:rPr>
        <w:footnoteReference w:id="22"/>
      </w:r>
    </w:p>
    <w:p w14:paraId="35A01BF3" w14:textId="3B3BD86E" w:rsidR="00B61234" w:rsidRDefault="00B61234" w:rsidP="00B61234">
      <w:pPr>
        <w:rPr>
          <w:rFonts w:asciiTheme="majorHAnsi" w:hAnsiTheme="majorHAnsi" w:cstheme="majorHAnsi"/>
        </w:rPr>
      </w:pPr>
      <w:r w:rsidRPr="00B61234">
        <w:rPr>
          <w:rFonts w:asciiTheme="majorHAnsi" w:hAnsiTheme="majorHAnsi" w:cstheme="majorHAnsi"/>
        </w:rPr>
        <w:t>These, and music to the glory of God, were accepted by the Church. F164v shows a medieval town, labelled Constantinople but maybe modelled on a local town – musicians pour from its gates. Camille suggests this is a Rogation Day parade where it was traditional to confirm the bounds of the City signing Psalms. Psalm 80 accompanies it.</w:t>
      </w:r>
      <w:r w:rsidRPr="00B61234">
        <w:rPr>
          <w:rStyle w:val="FootnoteReference"/>
          <w:rFonts w:asciiTheme="majorHAnsi" w:hAnsiTheme="majorHAnsi" w:cstheme="majorHAnsi"/>
        </w:rPr>
        <w:footnoteReference w:id="23"/>
      </w:r>
      <w:r w:rsidRPr="00B61234">
        <w:rPr>
          <w:rFonts w:asciiTheme="majorHAnsi" w:hAnsiTheme="majorHAnsi" w:cstheme="majorHAnsi"/>
        </w:rPr>
        <w:t xml:space="preserve"> The Psalter contrasts the more morally questionable players and musicians such as bagpipe players, who were tarred with the brush of immorality following Edward II’s reign. The Church saw too much high spirits as ungodly.</w:t>
      </w:r>
    </w:p>
    <w:p w14:paraId="01EAC6FC" w14:textId="77777777" w:rsidR="00B61234" w:rsidRPr="00B61234" w:rsidRDefault="00B61234" w:rsidP="00B61234">
      <w:pPr>
        <w:rPr>
          <w:rFonts w:asciiTheme="majorHAnsi" w:hAnsiTheme="majorHAnsi" w:cstheme="majorHAnsi"/>
        </w:rPr>
      </w:pPr>
    </w:p>
    <w:p w14:paraId="5A5D106B"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Wordplay: ‘Attention to detail’</w:t>
      </w:r>
    </w:p>
    <w:p w14:paraId="3F4BBC3A"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Lucy Sandler has studied in great detail the way the illustrators have used the text as inspiration, from passages, to words, to single syllables.</w:t>
      </w:r>
      <w:r w:rsidRPr="00B61234">
        <w:rPr>
          <w:rStyle w:val="FootnoteReference"/>
          <w:rFonts w:asciiTheme="majorHAnsi" w:hAnsiTheme="majorHAnsi" w:cstheme="majorHAnsi"/>
        </w:rPr>
        <w:footnoteReference w:id="24"/>
      </w:r>
    </w:p>
    <w:p w14:paraId="5780D15D"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For example, the figure in f157v having liquid poured into his mouth has the funnel attached to the word ‘notos’ which can mean a brand of wine. The ‘os’ of ‘notos’ could also refer to the figure’s mouth, as ‘os’ means ‘mouth’. In f25 an archer points his arrow to the syllable ‘spec’ in ‘conspectu’. ‘Spec’ means the point of an arrow.</w:t>
      </w:r>
    </w:p>
    <w:p w14:paraId="03ECC3E4" w14:textId="26E06EEA" w:rsidR="00B61234" w:rsidRDefault="00B61234" w:rsidP="00B61234">
      <w:pPr>
        <w:rPr>
          <w:rFonts w:asciiTheme="majorHAnsi" w:hAnsiTheme="majorHAnsi" w:cstheme="majorHAnsi"/>
        </w:rPr>
      </w:pPr>
      <w:r w:rsidRPr="00B61234">
        <w:rPr>
          <w:rFonts w:asciiTheme="majorHAnsi" w:hAnsiTheme="majorHAnsi" w:cstheme="majorHAnsi"/>
        </w:rPr>
        <w:t>It has been suggested that these are mnemonics, to help remember the words. Sandler thinks that the primary purpose was rather to provide a heightened overall experience of reading and to bring out the depth of meaning in the text.</w:t>
      </w:r>
    </w:p>
    <w:p w14:paraId="0B0BD7C9" w14:textId="77777777" w:rsidR="00B61234" w:rsidRPr="00B61234" w:rsidRDefault="00B61234" w:rsidP="00B61234">
      <w:pPr>
        <w:rPr>
          <w:rFonts w:asciiTheme="majorHAnsi" w:hAnsiTheme="majorHAnsi" w:cstheme="majorHAnsi"/>
        </w:rPr>
      </w:pPr>
    </w:p>
    <w:p w14:paraId="2D23B2E8"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Conclusion</w:t>
      </w:r>
    </w:p>
    <w:p w14:paraId="4D934725"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The varied forms of illustration in the Luttrell Psalter introduce us to the Luttrell family and those with whom they shared their world. They tell us how people were expected to behave and reflect the religious beliefs of the time, trying to reaffirm long-established social values with warnings of the dangers that lurked if chaos was allowed to gain a foothold. They display Sir Geoffrey’s status and personal devotion. Medieval people, frequently illiterate, were used to reading messages in images rather than words, to them the meanings would have been clear in a way that now is no longer the case.</w:t>
      </w:r>
    </w:p>
    <w:p w14:paraId="261D409E"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Brown says ‘the Luttrell Psalter….was Sir Geoffrey’s monument’, reflecting the ‘devotional, cultural, political, economic and dynastic needs and aspirations’</w:t>
      </w:r>
      <w:r w:rsidRPr="00B61234">
        <w:rPr>
          <w:rStyle w:val="FootnoteReference"/>
          <w:rFonts w:asciiTheme="majorHAnsi" w:hAnsiTheme="majorHAnsi" w:cstheme="majorHAnsi"/>
        </w:rPr>
        <w:footnoteReference w:id="25"/>
      </w:r>
      <w:r w:rsidRPr="00B61234">
        <w:rPr>
          <w:rFonts w:asciiTheme="majorHAnsi" w:hAnsiTheme="majorHAnsi" w:cstheme="majorHAnsi"/>
        </w:rPr>
        <w:t xml:space="preserve"> of him and his family. It has influenced modern interpretations of medieval life which, when read in context, give us a ‘glimpse into the life and philosophies of a world long past’.</w:t>
      </w:r>
      <w:r w:rsidRPr="00B61234">
        <w:rPr>
          <w:rStyle w:val="FootnoteReference"/>
          <w:rFonts w:asciiTheme="majorHAnsi" w:hAnsiTheme="majorHAnsi" w:cstheme="majorHAnsi"/>
        </w:rPr>
        <w:footnoteReference w:id="26"/>
      </w:r>
    </w:p>
    <w:p w14:paraId="4B44AFA2"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It is critical of roles in society that were seen to have slipped, it shows the risks of letting things go at every turn, revealing a darker side to English culture in that period. The Psalter should be viewed as a whole rather than cherry-picking the ‘merrie’ bits. It allows us into the medieval lives of rural society as well as providing an account of the </w:t>
      </w:r>
      <w:r w:rsidRPr="00B61234">
        <w:rPr>
          <w:rFonts w:asciiTheme="majorHAnsi" w:hAnsiTheme="majorHAnsi" w:cstheme="majorHAnsi"/>
        </w:rPr>
        <w:lastRenderedPageBreak/>
        <w:t>contradictions of the age and carries a message of hope for the future, in turning away from sinfulness in an immersive way that words alone cannot achieve.</w:t>
      </w:r>
    </w:p>
    <w:p w14:paraId="2512C992" w14:textId="77777777" w:rsidR="00B61234" w:rsidRPr="00B61234" w:rsidRDefault="00B61234" w:rsidP="00B61234">
      <w:pPr>
        <w:rPr>
          <w:rFonts w:asciiTheme="majorHAnsi" w:hAnsiTheme="majorHAnsi" w:cstheme="majorHAnsi"/>
        </w:rPr>
      </w:pPr>
    </w:p>
    <w:p w14:paraId="5CCBB935"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Bibliography of Works Consulted</w:t>
      </w:r>
    </w:p>
    <w:p w14:paraId="0E8D17EC" w14:textId="1B1B819E" w:rsidR="00B61234" w:rsidRDefault="00B61234" w:rsidP="00B61234">
      <w:pPr>
        <w:rPr>
          <w:rFonts w:asciiTheme="majorHAnsi" w:hAnsiTheme="majorHAnsi" w:cstheme="majorHAnsi"/>
          <w:b/>
          <w:bCs/>
        </w:rPr>
      </w:pPr>
      <w:r w:rsidRPr="00B61234">
        <w:rPr>
          <w:rFonts w:asciiTheme="majorHAnsi" w:hAnsiTheme="majorHAnsi" w:cstheme="majorHAnsi"/>
          <w:b/>
          <w:bCs/>
        </w:rPr>
        <w:t>Books</w:t>
      </w:r>
    </w:p>
    <w:p w14:paraId="094841B3" w14:textId="77777777" w:rsidR="00B61234" w:rsidRPr="00B61234" w:rsidRDefault="00B61234" w:rsidP="00B61234">
      <w:pPr>
        <w:rPr>
          <w:rFonts w:asciiTheme="majorHAnsi" w:hAnsiTheme="majorHAnsi" w:cstheme="majorHAnsi"/>
          <w:b/>
          <w:bCs/>
        </w:rPr>
      </w:pPr>
    </w:p>
    <w:p w14:paraId="55DB8144" w14:textId="340D2574" w:rsidR="00B61234" w:rsidRDefault="00B61234" w:rsidP="00B61234">
      <w:pPr>
        <w:rPr>
          <w:rFonts w:asciiTheme="majorHAnsi" w:hAnsiTheme="majorHAnsi" w:cstheme="majorHAnsi"/>
        </w:rPr>
      </w:pPr>
      <w:r w:rsidRPr="00B61234">
        <w:rPr>
          <w:rFonts w:asciiTheme="majorHAnsi" w:hAnsiTheme="majorHAnsi" w:cstheme="majorHAnsi"/>
        </w:rPr>
        <w:t xml:space="preserve">Backhouse, J.  </w:t>
      </w:r>
      <w:r w:rsidRPr="00B61234">
        <w:rPr>
          <w:rFonts w:asciiTheme="majorHAnsi" w:hAnsiTheme="majorHAnsi" w:cstheme="majorHAnsi"/>
          <w:i/>
          <w:iCs/>
        </w:rPr>
        <w:t xml:space="preserve">Medieval Rural Life In The Luttrell Psalter </w:t>
      </w:r>
      <w:r w:rsidRPr="00B61234">
        <w:rPr>
          <w:rFonts w:asciiTheme="majorHAnsi" w:hAnsiTheme="majorHAnsi" w:cstheme="majorHAnsi"/>
        </w:rPr>
        <w:t>(Toronto: University of Toronto Press, 2000)</w:t>
      </w:r>
    </w:p>
    <w:p w14:paraId="77629A2B" w14:textId="77777777" w:rsidR="00B61234" w:rsidRPr="00B61234" w:rsidRDefault="00B61234" w:rsidP="00B61234">
      <w:pPr>
        <w:rPr>
          <w:rFonts w:asciiTheme="majorHAnsi" w:hAnsiTheme="majorHAnsi" w:cstheme="majorHAnsi"/>
        </w:rPr>
      </w:pPr>
    </w:p>
    <w:p w14:paraId="60FAE0F2" w14:textId="1CC16B52" w:rsidR="00B61234" w:rsidRDefault="00B61234" w:rsidP="00B61234">
      <w:pPr>
        <w:rPr>
          <w:rFonts w:asciiTheme="majorHAnsi" w:hAnsiTheme="majorHAnsi" w:cstheme="majorHAnsi"/>
        </w:rPr>
      </w:pPr>
      <w:r w:rsidRPr="00B61234">
        <w:rPr>
          <w:rFonts w:asciiTheme="majorHAnsi" w:hAnsiTheme="majorHAnsi" w:cstheme="majorHAnsi"/>
        </w:rPr>
        <w:t xml:space="preserve">Backhouse, J.  </w:t>
      </w:r>
      <w:r w:rsidRPr="00B61234">
        <w:rPr>
          <w:rFonts w:asciiTheme="majorHAnsi" w:hAnsiTheme="majorHAnsi" w:cstheme="majorHAnsi"/>
          <w:i/>
          <w:iCs/>
        </w:rPr>
        <w:t xml:space="preserve">The Luttrell Psalter </w:t>
      </w:r>
      <w:r w:rsidRPr="00B61234">
        <w:rPr>
          <w:rFonts w:asciiTheme="majorHAnsi" w:hAnsiTheme="majorHAnsi" w:cstheme="majorHAnsi"/>
        </w:rPr>
        <w:t>(London: The British Library, 1989)</w:t>
      </w:r>
    </w:p>
    <w:p w14:paraId="433EDA77" w14:textId="77777777" w:rsidR="00B61234" w:rsidRPr="00B61234" w:rsidRDefault="00B61234" w:rsidP="00B61234">
      <w:pPr>
        <w:rPr>
          <w:rFonts w:asciiTheme="majorHAnsi" w:hAnsiTheme="majorHAnsi" w:cstheme="majorHAnsi"/>
        </w:rPr>
      </w:pPr>
    </w:p>
    <w:p w14:paraId="13949C8D"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Brown, M. P.  </w:t>
      </w:r>
      <w:r w:rsidRPr="00B61234">
        <w:rPr>
          <w:rFonts w:asciiTheme="majorHAnsi" w:hAnsiTheme="majorHAnsi" w:cstheme="majorHAnsi"/>
          <w:i/>
          <w:iCs/>
        </w:rPr>
        <w:t xml:space="preserve">The World Of The Luttrell Psalter </w:t>
      </w:r>
      <w:r w:rsidRPr="00B61234">
        <w:rPr>
          <w:rFonts w:asciiTheme="majorHAnsi" w:hAnsiTheme="majorHAnsi" w:cstheme="majorHAnsi"/>
        </w:rPr>
        <w:t>(London: The British Library, 2006)</w:t>
      </w:r>
    </w:p>
    <w:p w14:paraId="474691A2" w14:textId="5D4FF17A" w:rsidR="00B61234" w:rsidRDefault="00B61234" w:rsidP="00B61234">
      <w:pPr>
        <w:rPr>
          <w:rFonts w:asciiTheme="majorHAnsi" w:hAnsiTheme="majorHAnsi" w:cstheme="majorHAnsi"/>
        </w:rPr>
      </w:pPr>
      <w:r w:rsidRPr="00B61234">
        <w:rPr>
          <w:rFonts w:asciiTheme="majorHAnsi" w:hAnsiTheme="majorHAnsi" w:cstheme="majorHAnsi"/>
        </w:rPr>
        <w:t xml:space="preserve">Camille, M.  </w:t>
      </w:r>
      <w:r w:rsidRPr="00B61234">
        <w:rPr>
          <w:rFonts w:asciiTheme="majorHAnsi" w:hAnsiTheme="majorHAnsi" w:cstheme="majorHAnsi"/>
          <w:i/>
          <w:iCs/>
        </w:rPr>
        <w:t xml:space="preserve">Mirror In Parchment (The Luttrell Psalter And The Making Of Medieval England) </w:t>
      </w:r>
      <w:r w:rsidRPr="00B61234">
        <w:rPr>
          <w:rFonts w:asciiTheme="majorHAnsi" w:hAnsiTheme="majorHAnsi" w:cstheme="majorHAnsi"/>
        </w:rPr>
        <w:t>(London: Reaktion Books, 1998)</w:t>
      </w:r>
    </w:p>
    <w:p w14:paraId="5EEFC4E3" w14:textId="77777777" w:rsidR="00B61234" w:rsidRPr="00B61234" w:rsidRDefault="00B61234" w:rsidP="00B61234">
      <w:pPr>
        <w:rPr>
          <w:rFonts w:asciiTheme="majorHAnsi" w:hAnsiTheme="majorHAnsi" w:cstheme="majorHAnsi"/>
        </w:rPr>
      </w:pPr>
    </w:p>
    <w:p w14:paraId="794DC778" w14:textId="77777777" w:rsidR="00B61234" w:rsidRPr="00B61234" w:rsidRDefault="00B61234" w:rsidP="00B61234">
      <w:pPr>
        <w:rPr>
          <w:rFonts w:asciiTheme="majorHAnsi" w:hAnsiTheme="majorHAnsi" w:cstheme="majorHAnsi"/>
          <w:b/>
          <w:bCs/>
        </w:rPr>
      </w:pPr>
      <w:r w:rsidRPr="00B61234">
        <w:rPr>
          <w:rFonts w:asciiTheme="majorHAnsi" w:hAnsiTheme="majorHAnsi" w:cstheme="majorHAnsi"/>
          <w:b/>
          <w:bCs/>
        </w:rPr>
        <w:t>Articles</w:t>
      </w:r>
    </w:p>
    <w:p w14:paraId="37EA3BB5"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Backhouse, J.  </w:t>
      </w:r>
      <w:r w:rsidRPr="00B61234">
        <w:rPr>
          <w:rFonts w:asciiTheme="majorHAnsi" w:hAnsiTheme="majorHAnsi" w:cstheme="majorHAnsi"/>
          <w:i/>
          <w:iCs/>
        </w:rPr>
        <w:t xml:space="preserve">Mirror In Parchment (Book Review), Burlington Magazine </w:t>
      </w:r>
      <w:r w:rsidRPr="00B61234">
        <w:rPr>
          <w:rFonts w:asciiTheme="majorHAnsi" w:hAnsiTheme="majorHAnsi" w:cstheme="majorHAnsi"/>
        </w:rPr>
        <w:t>(Burlington Magazine Publications, Burlington Magazine 1999 Vol 141 p173-175</w:t>
      </w:r>
    </w:p>
    <w:p w14:paraId="300164FF"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Camille, M.  </w:t>
      </w:r>
      <w:r w:rsidRPr="00B61234">
        <w:rPr>
          <w:rFonts w:asciiTheme="majorHAnsi" w:hAnsiTheme="majorHAnsi" w:cstheme="majorHAnsi"/>
          <w:i/>
          <w:iCs/>
        </w:rPr>
        <w:t xml:space="preserve">Labouring For The Lord: The Ploughman And Social Order In The Luttrell Psalter </w:t>
      </w:r>
      <w:r w:rsidRPr="00B61234">
        <w:rPr>
          <w:rFonts w:asciiTheme="majorHAnsi" w:hAnsiTheme="majorHAnsi" w:cstheme="majorHAnsi"/>
        </w:rPr>
        <w:t>(Wiley-Blackwell, Art History, 19</w:t>
      </w:r>
    </w:p>
    <w:p w14:paraId="408C6719"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Camille, M. </w:t>
      </w:r>
      <w:r w:rsidRPr="00B61234">
        <w:rPr>
          <w:rFonts w:asciiTheme="majorHAnsi" w:hAnsiTheme="majorHAnsi" w:cstheme="majorHAnsi"/>
          <w:i/>
          <w:iCs/>
        </w:rPr>
        <w:t xml:space="preserve">The Luttrell Psalter And The Making Of ‘Merrie England’ </w:t>
      </w:r>
      <w:r w:rsidRPr="00B61234">
        <w:rPr>
          <w:rFonts w:asciiTheme="majorHAnsi" w:hAnsiTheme="majorHAnsi" w:cstheme="majorHAnsi"/>
        </w:rPr>
        <w:t>(History Today, Sept 1998 Vol 48 Issue 9)</w:t>
      </w:r>
    </w:p>
    <w:p w14:paraId="655C0977"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Jones, M.  </w:t>
      </w:r>
      <w:r w:rsidRPr="00B61234">
        <w:rPr>
          <w:rFonts w:asciiTheme="majorHAnsi" w:hAnsiTheme="majorHAnsi" w:cstheme="majorHAnsi"/>
          <w:i/>
          <w:iCs/>
        </w:rPr>
        <w:t>Folklore Motifs In Late Medieval Art: Proverbial Follies and Impossibilities</w:t>
      </w:r>
      <w:r w:rsidRPr="00B61234">
        <w:rPr>
          <w:rFonts w:asciiTheme="majorHAnsi" w:hAnsiTheme="majorHAnsi" w:cstheme="majorHAnsi"/>
        </w:rPr>
        <w:t>, (Taylor &amp; Francis Ltd: Folklore 1989 Vol 100 (2))</w:t>
      </w:r>
    </w:p>
    <w:p w14:paraId="16E3FCD7"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Sandler, L.  </w:t>
      </w:r>
      <w:r w:rsidRPr="00B61234">
        <w:rPr>
          <w:rFonts w:asciiTheme="majorHAnsi" w:hAnsiTheme="majorHAnsi" w:cstheme="majorHAnsi"/>
          <w:i/>
          <w:iCs/>
        </w:rPr>
        <w:t xml:space="preserve">The Word In The Text And The Images In The Margin: The Case Of The Luttrell Psalter </w:t>
      </w:r>
      <w:r w:rsidRPr="00B61234">
        <w:rPr>
          <w:rFonts w:asciiTheme="majorHAnsi" w:hAnsiTheme="majorHAnsi" w:cstheme="majorHAnsi"/>
        </w:rPr>
        <w:t>(Walters Art Gallery: Journal of the Walters Art Gallery , 1996) Vol 54</w:t>
      </w:r>
    </w:p>
    <w:p w14:paraId="43677914" w14:textId="77777777" w:rsidR="00B61234" w:rsidRPr="00B61234" w:rsidRDefault="00B61234" w:rsidP="00B61234">
      <w:pPr>
        <w:rPr>
          <w:rFonts w:asciiTheme="majorHAnsi" w:hAnsiTheme="majorHAnsi" w:cstheme="majorHAnsi"/>
        </w:rPr>
      </w:pPr>
      <w:r w:rsidRPr="00B61234">
        <w:rPr>
          <w:rFonts w:asciiTheme="majorHAnsi" w:hAnsiTheme="majorHAnsi" w:cstheme="majorHAnsi"/>
        </w:rPr>
        <w:t xml:space="preserve">Sandler, L. </w:t>
      </w:r>
      <w:r w:rsidRPr="00B61234">
        <w:rPr>
          <w:rFonts w:asciiTheme="majorHAnsi" w:hAnsiTheme="majorHAnsi" w:cstheme="majorHAnsi"/>
          <w:i/>
          <w:iCs/>
        </w:rPr>
        <w:t xml:space="preserve">The World Of The Luttrell Psalter (Book Review), Catholic Historical Review </w:t>
      </w:r>
      <w:r w:rsidRPr="00B61234">
        <w:rPr>
          <w:rFonts w:asciiTheme="majorHAnsi" w:hAnsiTheme="majorHAnsi" w:cstheme="majorHAnsi"/>
        </w:rPr>
        <w:t>(Catholic University of America Press, The Catholic Historical Review Vol 94(2) p353)</w:t>
      </w:r>
    </w:p>
    <w:p w14:paraId="739CDE36" w14:textId="77777777" w:rsidR="00B61234" w:rsidRPr="00B61234" w:rsidRDefault="00B61234" w:rsidP="00B61234">
      <w:pPr>
        <w:rPr>
          <w:rFonts w:asciiTheme="majorHAnsi" w:hAnsiTheme="majorHAnsi" w:cstheme="majorHAnsi"/>
          <w:b/>
          <w:bCs/>
        </w:rPr>
      </w:pPr>
    </w:p>
    <w:p w14:paraId="38B27F11" w14:textId="77777777" w:rsidR="00B61234" w:rsidRPr="00B61234" w:rsidRDefault="00B61234" w:rsidP="00FA07E9">
      <w:pPr>
        <w:pStyle w:val="NormalWeb"/>
        <w:spacing w:before="0" w:beforeAutospacing="0" w:after="0" w:afterAutospacing="0"/>
        <w:ind w:right="-334"/>
        <w:rPr>
          <w:rFonts w:asciiTheme="majorHAnsi" w:hAnsiTheme="majorHAnsi" w:cstheme="majorHAnsi"/>
          <w:bCs/>
          <w:sz w:val="24"/>
          <w:szCs w:val="24"/>
        </w:rPr>
      </w:pPr>
    </w:p>
    <w:sectPr w:rsidR="00B61234" w:rsidRPr="00B61234" w:rsidSect="00B462B1">
      <w:footerReference w:type="default" r:id="rId9"/>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12E333" w14:textId="77777777" w:rsidR="00743B67" w:rsidRDefault="00743B67" w:rsidP="00AD5D5A">
      <w:r>
        <w:separator/>
      </w:r>
    </w:p>
  </w:endnote>
  <w:endnote w:type="continuationSeparator" w:id="0">
    <w:p w14:paraId="154F1369" w14:textId="77777777" w:rsidR="00743B67" w:rsidRDefault="00743B67"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943983"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25CC55" w14:textId="77777777" w:rsidR="00743B67" w:rsidRDefault="00743B67" w:rsidP="00AD5D5A">
      <w:r>
        <w:separator/>
      </w:r>
    </w:p>
  </w:footnote>
  <w:footnote w:type="continuationSeparator" w:id="0">
    <w:p w14:paraId="5C5B2F91" w14:textId="77777777" w:rsidR="00743B67" w:rsidRDefault="00743B67" w:rsidP="00AD5D5A">
      <w:r>
        <w:continuationSeparator/>
      </w:r>
    </w:p>
  </w:footnote>
  <w:footnote w:id="1">
    <w:p w14:paraId="6405B7AC" w14:textId="77777777" w:rsidR="00B61234" w:rsidRDefault="00B61234" w:rsidP="00B61234">
      <w:pPr>
        <w:pStyle w:val="FootnoteText"/>
      </w:pPr>
      <w:r>
        <w:rPr>
          <w:rStyle w:val="FootnoteReference"/>
        </w:rPr>
        <w:footnoteRef/>
      </w:r>
      <w:r>
        <w:t xml:space="preserve"> M. Camille, </w:t>
      </w:r>
      <w:r>
        <w:rPr>
          <w:i/>
          <w:iCs/>
        </w:rPr>
        <w:t xml:space="preserve">Mirror In Parchment (The Luttrell Psalter And The Making Of Medieval England) </w:t>
      </w:r>
      <w:r>
        <w:t xml:space="preserve">(London: Reaktion Books, 1998) Kindle loc 5588 of 9255.  </w:t>
      </w:r>
      <w:r>
        <w:rPr>
          <w:i/>
          <w:iCs/>
        </w:rPr>
        <w:t xml:space="preserve"> </w:t>
      </w:r>
      <w:r>
        <w:t>Camille gives a nickname to the various artists, the fourth artist being referred to ‘the Luttrell Master’</w:t>
      </w:r>
    </w:p>
  </w:footnote>
  <w:footnote w:id="2">
    <w:p w14:paraId="4A643DA4" w14:textId="77777777" w:rsidR="00B61234" w:rsidRPr="00B0594E" w:rsidRDefault="00B61234" w:rsidP="00B61234">
      <w:pPr>
        <w:pStyle w:val="FootnoteText"/>
      </w:pPr>
      <w:r>
        <w:rPr>
          <w:rStyle w:val="FootnoteReference"/>
        </w:rPr>
        <w:footnoteRef/>
      </w:r>
      <w:r>
        <w:t xml:space="preserve"> M. Camille, </w:t>
      </w:r>
      <w:r>
        <w:rPr>
          <w:i/>
          <w:iCs/>
        </w:rPr>
        <w:t xml:space="preserve">Mirror In Parchment </w:t>
      </w:r>
      <w:r>
        <w:t>Kindle loc 5551 - 5607</w:t>
      </w:r>
      <w:r>
        <w:rPr>
          <w:i/>
          <w:iCs/>
        </w:rPr>
        <w:t xml:space="preserve">. </w:t>
      </w:r>
      <w:r>
        <w:t>Following Camille, who breaks the artists down into a total of six.</w:t>
      </w:r>
    </w:p>
  </w:footnote>
  <w:footnote w:id="3">
    <w:p w14:paraId="029D9599" w14:textId="77777777" w:rsidR="00B61234" w:rsidRDefault="00B61234" w:rsidP="00B61234">
      <w:pPr>
        <w:pStyle w:val="FootnoteText"/>
      </w:pPr>
      <w:r>
        <w:rPr>
          <w:rStyle w:val="FootnoteReference"/>
        </w:rPr>
        <w:footnoteRef/>
      </w:r>
      <w:r>
        <w:t xml:space="preserve"> Ibid, Kindle loc 470</w:t>
      </w:r>
    </w:p>
  </w:footnote>
  <w:footnote w:id="4">
    <w:p w14:paraId="7280B9F6" w14:textId="77777777" w:rsidR="00B61234" w:rsidRDefault="00B61234" w:rsidP="00B61234">
      <w:pPr>
        <w:pStyle w:val="FootnoteText"/>
      </w:pPr>
      <w:r>
        <w:rPr>
          <w:rStyle w:val="FootnoteReference"/>
        </w:rPr>
        <w:footnoteRef/>
      </w:r>
      <w:r>
        <w:t xml:space="preserve"> Psalm 109v1 ‘The Lord said unto my lord, sit thou at my right hand, until I make thine enemies thy footstool’. NOTE: The Psalm numbers used relate to the Hebrew numbering system that would have been used at the time. Most modern translations follow the Greek numbering system, which increases the Psalm number by one. In a modern translation, therefore, this text can be found at Psalm 110v1. This is the case with all of the Psalms quoted in this essay.</w:t>
      </w:r>
    </w:p>
  </w:footnote>
  <w:footnote w:id="5">
    <w:p w14:paraId="4F6B1917" w14:textId="77777777" w:rsidR="00B61234" w:rsidRPr="00A5189D" w:rsidRDefault="00B61234" w:rsidP="00B61234">
      <w:pPr>
        <w:pStyle w:val="FootnoteText"/>
      </w:pPr>
      <w:r>
        <w:rPr>
          <w:rStyle w:val="FootnoteReference"/>
        </w:rPr>
        <w:footnoteRef/>
      </w:r>
      <w:r>
        <w:t xml:space="preserve"> This attitude is clearly seen in the near contemporary Piers Plowman poem by William Langland (c1370-90AD) (for example Passus 6, and Passus 21 in analogy to preachers) and as highlighted by M. Camille, </w:t>
      </w:r>
      <w:r>
        <w:rPr>
          <w:i/>
          <w:iCs/>
        </w:rPr>
        <w:t>Mirror In Parchment</w:t>
      </w:r>
      <w:r>
        <w:t xml:space="preserve"> Kindle for example loc 3089, referring to Piers Plowman by William Langland: an edition of the C-text. ed. D. Pearsall (Berkeley, 1978)</w:t>
      </w:r>
    </w:p>
  </w:footnote>
  <w:footnote w:id="6">
    <w:p w14:paraId="5AAE6889" w14:textId="77777777" w:rsidR="00B61234" w:rsidRDefault="00B61234" w:rsidP="00B61234">
      <w:pPr>
        <w:pStyle w:val="FootnoteText"/>
      </w:pPr>
      <w:r>
        <w:rPr>
          <w:rStyle w:val="FootnoteReference"/>
        </w:rPr>
        <w:footnoteRef/>
      </w:r>
      <w:r>
        <w:t xml:space="preserve"> Psalm 93v18 ‘My foot is moved, thy mercy, O Lord, assisted me’.</w:t>
      </w:r>
    </w:p>
  </w:footnote>
  <w:footnote w:id="7">
    <w:p w14:paraId="6FED4029" w14:textId="77777777" w:rsidR="00B61234" w:rsidRPr="00E176DE" w:rsidRDefault="00B61234" w:rsidP="00B61234">
      <w:pPr>
        <w:pStyle w:val="FootnoteText"/>
      </w:pPr>
      <w:r>
        <w:rPr>
          <w:rStyle w:val="FootnoteReference"/>
        </w:rPr>
        <w:footnoteRef/>
      </w:r>
      <w:r>
        <w:t xml:space="preserve"> M. P. Brown </w:t>
      </w:r>
      <w:r>
        <w:rPr>
          <w:i/>
          <w:iCs/>
        </w:rPr>
        <w:t xml:space="preserve">The World Of The Luttrell Psalter </w:t>
      </w:r>
      <w:r>
        <w:t>(London: The British Library, 2006) p 53</w:t>
      </w:r>
    </w:p>
  </w:footnote>
  <w:footnote w:id="8">
    <w:p w14:paraId="7BC3506A" w14:textId="77777777" w:rsidR="00B61234" w:rsidRPr="000E586D" w:rsidRDefault="00B61234" w:rsidP="00B61234">
      <w:pPr>
        <w:pStyle w:val="FootnoteText"/>
      </w:pPr>
      <w:r>
        <w:rPr>
          <w:rStyle w:val="FootnoteReference"/>
        </w:rPr>
        <w:footnoteRef/>
      </w:r>
      <w:r>
        <w:t xml:space="preserve"> M. Camille, </w:t>
      </w:r>
      <w:r>
        <w:rPr>
          <w:i/>
          <w:iCs/>
        </w:rPr>
        <w:t xml:space="preserve">Labouring For The Lord: The Ploughman And Social Order In The Luttrell Psalter </w:t>
      </w:r>
      <w:r>
        <w:t xml:space="preserve">(Wiley-Blackwell, Art History, 1987) Vol 10(4), p423 – 463 (quotation found on p429). </w:t>
      </w:r>
    </w:p>
  </w:footnote>
  <w:footnote w:id="9">
    <w:p w14:paraId="0EF0E587" w14:textId="77777777" w:rsidR="00B61234" w:rsidRPr="00AC7961" w:rsidRDefault="00B61234" w:rsidP="00B61234">
      <w:pPr>
        <w:pStyle w:val="FootnoteText"/>
      </w:pPr>
      <w:r>
        <w:rPr>
          <w:rStyle w:val="FootnoteReference"/>
        </w:rPr>
        <w:footnoteRef/>
      </w:r>
      <w:r>
        <w:t xml:space="preserve"> M. Camille </w:t>
      </w:r>
      <w:r>
        <w:rPr>
          <w:i/>
          <w:iCs/>
        </w:rPr>
        <w:t xml:space="preserve">Mirror In Parchment </w:t>
      </w:r>
      <w:r>
        <w:t>Kindle loc 3432</w:t>
      </w:r>
    </w:p>
  </w:footnote>
  <w:footnote w:id="10">
    <w:p w14:paraId="4AA218A0" w14:textId="77777777" w:rsidR="00B61234" w:rsidRDefault="00B61234" w:rsidP="00B61234">
      <w:pPr>
        <w:pStyle w:val="FootnoteText"/>
      </w:pPr>
      <w:r>
        <w:rPr>
          <w:rStyle w:val="FootnoteReference"/>
        </w:rPr>
        <w:footnoteRef/>
      </w:r>
      <w:r>
        <w:t xml:space="preserve"> Psalm 114v1 ‘Not to us, O Lord, but to thy name give glory, for the sake of thy steadfast love and faithfulness’</w:t>
      </w:r>
    </w:p>
  </w:footnote>
  <w:footnote w:id="11">
    <w:p w14:paraId="47978EE3" w14:textId="77777777" w:rsidR="00B61234" w:rsidRDefault="00B61234" w:rsidP="00B61234">
      <w:pPr>
        <w:pStyle w:val="FootnoteText"/>
      </w:pPr>
      <w:r>
        <w:rPr>
          <w:rStyle w:val="FootnoteReference"/>
        </w:rPr>
        <w:footnoteRef/>
      </w:r>
      <w:r>
        <w:t xml:space="preserve"> For example, f44v The Annunciation, f94r &amp; f94v Depiction of the Cross, f101v the Last Judgement.</w:t>
      </w:r>
    </w:p>
  </w:footnote>
  <w:footnote w:id="12">
    <w:p w14:paraId="1C516F5C" w14:textId="77777777" w:rsidR="00B61234" w:rsidRPr="00D63B4F" w:rsidRDefault="00B61234" w:rsidP="00B61234">
      <w:pPr>
        <w:pStyle w:val="FootnoteText"/>
      </w:pPr>
      <w:r>
        <w:rPr>
          <w:rStyle w:val="FootnoteReference"/>
        </w:rPr>
        <w:footnoteRef/>
      </w:r>
      <w:r>
        <w:t xml:space="preserve"> An example of study into this widely researched theme is that in M. Jones </w:t>
      </w:r>
      <w:r>
        <w:rPr>
          <w:i/>
          <w:iCs/>
        </w:rPr>
        <w:t xml:space="preserve">Folklore Motifs In Late Medieval Art: </w:t>
      </w:r>
      <w:r w:rsidRPr="00226821">
        <w:rPr>
          <w:i/>
          <w:iCs/>
        </w:rPr>
        <w:t>Proverbial Follies and Impossibilitie</w:t>
      </w:r>
      <w:r>
        <w:rPr>
          <w:i/>
          <w:iCs/>
        </w:rPr>
        <w:t>s</w:t>
      </w:r>
      <w:r>
        <w:t>, (Taylor &amp; Francis Ltd: Folklore 1989 Vol 100 (2)) p 201-218</w:t>
      </w:r>
    </w:p>
  </w:footnote>
  <w:footnote w:id="13">
    <w:p w14:paraId="7B29EE8A" w14:textId="77777777" w:rsidR="00B61234" w:rsidRPr="00C2593A" w:rsidRDefault="00B61234" w:rsidP="00B61234">
      <w:pPr>
        <w:pStyle w:val="FootnoteText"/>
      </w:pPr>
      <w:r>
        <w:rPr>
          <w:rStyle w:val="FootnoteReference"/>
        </w:rPr>
        <w:footnoteRef/>
      </w:r>
      <w:r>
        <w:t xml:space="preserve"> Robert Mannyng of Brunne, </w:t>
      </w:r>
      <w:r>
        <w:rPr>
          <w:i/>
          <w:iCs/>
        </w:rPr>
        <w:t xml:space="preserve">Handlyng Synne, </w:t>
      </w:r>
      <w:r>
        <w:t xml:space="preserve">a pastoral instruction written whilst he was a canon at the priory of Semplingham, a few miles from Irnham, between 1302-1317AD. It was based on William of Wadington’s </w:t>
      </w:r>
      <w:r>
        <w:rPr>
          <w:i/>
          <w:iCs/>
        </w:rPr>
        <w:t xml:space="preserve">Manuel Des Pechiez. </w:t>
      </w:r>
      <w:r>
        <w:t xml:space="preserve"> See Robert of Brunne’s </w:t>
      </w:r>
      <w:r>
        <w:rPr>
          <w:i/>
          <w:iCs/>
        </w:rPr>
        <w:t xml:space="preserve">Handlyng Synne </w:t>
      </w:r>
      <w:r>
        <w:t>ed. F.J. Furnivall (Early English Text Society, Original Series 119, republished Millwood, N.Y.: Kraus Reprint co 1973)</w:t>
      </w:r>
    </w:p>
  </w:footnote>
  <w:footnote w:id="14">
    <w:p w14:paraId="12B12756" w14:textId="77777777" w:rsidR="00B61234" w:rsidRPr="005E39DC" w:rsidRDefault="00B61234" w:rsidP="00B61234">
      <w:pPr>
        <w:pStyle w:val="FootnoteText"/>
      </w:pPr>
      <w:r>
        <w:rPr>
          <w:rStyle w:val="FootnoteReference"/>
        </w:rPr>
        <w:footnoteRef/>
      </w:r>
      <w:r>
        <w:t xml:space="preserve"> Bernard of Clairvaux </w:t>
      </w:r>
      <w:r>
        <w:rPr>
          <w:i/>
          <w:iCs/>
        </w:rPr>
        <w:t xml:space="preserve">Apologia Ad Guillelmum Sancti – Theoder Abbatem, </w:t>
      </w:r>
      <w:r>
        <w:t xml:space="preserve">trans M. Shapiro </w:t>
      </w:r>
      <w:r>
        <w:rPr>
          <w:i/>
          <w:iCs/>
        </w:rPr>
        <w:t xml:space="preserve">Romanesque Art: Selected Papers </w:t>
      </w:r>
      <w:r>
        <w:t>(London: Thames &amp; Hudson, 1993) Chapter ‘On the Aesthetic Attitude in Romanesque Art’.</w:t>
      </w:r>
    </w:p>
  </w:footnote>
  <w:footnote w:id="15">
    <w:p w14:paraId="313EC3D1" w14:textId="77777777" w:rsidR="00B61234" w:rsidRPr="000A3728" w:rsidRDefault="00B61234" w:rsidP="00B61234">
      <w:pPr>
        <w:pStyle w:val="FootnoteText"/>
      </w:pPr>
      <w:r>
        <w:rPr>
          <w:rStyle w:val="FootnoteReference"/>
        </w:rPr>
        <w:footnoteRef/>
      </w:r>
      <w:r>
        <w:t xml:space="preserve"> E. G. Millar </w:t>
      </w:r>
      <w:r>
        <w:rPr>
          <w:i/>
          <w:iCs/>
        </w:rPr>
        <w:t xml:space="preserve">English Illuminated Manuscripts of the XIVth and XVth Centuries </w:t>
      </w:r>
      <w:r>
        <w:t>(Paris and Brussels: G. Van Oest 1928) pp60 – 1 and his facsimilie introduction pp15-16</w:t>
      </w:r>
    </w:p>
  </w:footnote>
  <w:footnote w:id="16">
    <w:p w14:paraId="4FEAFDE5" w14:textId="77777777" w:rsidR="00B61234" w:rsidRDefault="00B61234" w:rsidP="00B61234">
      <w:pPr>
        <w:pStyle w:val="FootnoteText"/>
      </w:pPr>
      <w:r>
        <w:rPr>
          <w:rStyle w:val="FootnoteReference"/>
        </w:rPr>
        <w:footnoteRef/>
      </w:r>
      <w:r>
        <w:t xml:space="preserve"> Psalm 106v26 ‘They mounted up to the heavens and went down to the depths, in their peril their courage melted away’.</w:t>
      </w:r>
    </w:p>
  </w:footnote>
  <w:footnote w:id="17">
    <w:p w14:paraId="051B1349" w14:textId="77777777" w:rsidR="00B61234" w:rsidRPr="00D47E44" w:rsidRDefault="00B61234" w:rsidP="00B61234">
      <w:pPr>
        <w:pStyle w:val="FootnoteText"/>
        <w:rPr>
          <w:i/>
          <w:iCs/>
        </w:rPr>
      </w:pPr>
      <w:r>
        <w:rPr>
          <w:rStyle w:val="FootnoteReference"/>
        </w:rPr>
        <w:footnoteRef/>
      </w:r>
      <w:r>
        <w:t xml:space="preserve"> Robert Mannyng of Brunne, </w:t>
      </w:r>
      <w:r>
        <w:rPr>
          <w:i/>
          <w:iCs/>
        </w:rPr>
        <w:t>Handlyng Synne</w:t>
      </w:r>
    </w:p>
  </w:footnote>
  <w:footnote w:id="18">
    <w:p w14:paraId="7ABF89DE" w14:textId="77777777" w:rsidR="00B61234" w:rsidRDefault="00B61234" w:rsidP="00B61234">
      <w:pPr>
        <w:pStyle w:val="FootnoteText"/>
      </w:pPr>
      <w:r>
        <w:rPr>
          <w:rStyle w:val="FootnoteReference"/>
        </w:rPr>
        <w:footnoteRef/>
      </w:r>
      <w:r>
        <w:t xml:space="preserve"> Psalm 35v1 ‘An oracle is within my heart concerning the sins of the wicked’.</w:t>
      </w:r>
    </w:p>
  </w:footnote>
  <w:footnote w:id="19">
    <w:p w14:paraId="21190C40" w14:textId="77777777" w:rsidR="00B61234" w:rsidRDefault="00B61234" w:rsidP="00B61234">
      <w:pPr>
        <w:pStyle w:val="FootnoteText"/>
      </w:pPr>
      <w:r>
        <w:rPr>
          <w:rStyle w:val="FootnoteReference"/>
        </w:rPr>
        <w:footnoteRef/>
      </w:r>
      <w:r>
        <w:t xml:space="preserve"> Psalm 88v8 ‘Thou dost rule the raging of the sea, when its waves rise, thou stillest them’.</w:t>
      </w:r>
    </w:p>
  </w:footnote>
  <w:footnote w:id="20">
    <w:p w14:paraId="58F7BDCD" w14:textId="77777777" w:rsidR="00B61234" w:rsidRDefault="00B61234" w:rsidP="00B61234">
      <w:pPr>
        <w:pStyle w:val="FootnoteText"/>
      </w:pPr>
      <w:r>
        <w:rPr>
          <w:rStyle w:val="FootnoteReference"/>
        </w:rPr>
        <w:footnoteRef/>
      </w:r>
      <w:r>
        <w:t xml:space="preserve"> Psalm 93v6 ‘They slay the widow and the traveller, and murder the fatherless’</w:t>
      </w:r>
    </w:p>
  </w:footnote>
  <w:footnote w:id="21">
    <w:p w14:paraId="33395769" w14:textId="77777777" w:rsidR="00B61234" w:rsidRDefault="00B61234" w:rsidP="00B61234">
      <w:pPr>
        <w:pStyle w:val="FootnoteText"/>
      </w:pPr>
      <w:r>
        <w:rPr>
          <w:rStyle w:val="FootnoteReference"/>
        </w:rPr>
        <w:footnoteRef/>
      </w:r>
      <w:r>
        <w:t xml:space="preserve"> Psalm 86v4 ‘Behold Philistia and Tyre, with Ethiopia’</w:t>
      </w:r>
    </w:p>
  </w:footnote>
  <w:footnote w:id="22">
    <w:p w14:paraId="39DB2D3D" w14:textId="77777777" w:rsidR="00B61234" w:rsidRPr="003F6BE5" w:rsidRDefault="00B61234" w:rsidP="00B61234">
      <w:pPr>
        <w:pStyle w:val="FootnoteText"/>
        <w:rPr>
          <w:i/>
          <w:iCs/>
        </w:rPr>
      </w:pPr>
      <w:r>
        <w:rPr>
          <w:rStyle w:val="FootnoteReference"/>
        </w:rPr>
        <w:footnoteRef/>
      </w:r>
      <w:r>
        <w:t xml:space="preserve"> Robert Mannyng, </w:t>
      </w:r>
      <w:r>
        <w:rPr>
          <w:i/>
          <w:iCs/>
        </w:rPr>
        <w:t>Handlyng Synne</w:t>
      </w:r>
    </w:p>
  </w:footnote>
  <w:footnote w:id="23">
    <w:p w14:paraId="28634BB0" w14:textId="77777777" w:rsidR="00B61234" w:rsidRDefault="00B61234" w:rsidP="00B61234">
      <w:pPr>
        <w:pStyle w:val="FootnoteText"/>
      </w:pPr>
      <w:r>
        <w:rPr>
          <w:rStyle w:val="FootnoteReference"/>
        </w:rPr>
        <w:footnoteRef/>
      </w:r>
      <w:r>
        <w:t xml:space="preserve"> Psalm 80v1-3 ‘Sing aloud to God our strength, shout for joy to the God of Jacob! Raise a song, sound the timbrel, the sweet lyre with the harp. Blow the trumpet at the new moon….on our feast day’.</w:t>
      </w:r>
    </w:p>
  </w:footnote>
  <w:footnote w:id="24">
    <w:p w14:paraId="045B6034" w14:textId="77777777" w:rsidR="00B61234" w:rsidRPr="00031383" w:rsidRDefault="00B61234" w:rsidP="00B61234">
      <w:pPr>
        <w:pStyle w:val="FootnoteText"/>
      </w:pPr>
      <w:r>
        <w:rPr>
          <w:rStyle w:val="FootnoteReference"/>
        </w:rPr>
        <w:footnoteRef/>
      </w:r>
      <w:r>
        <w:t xml:space="preserve"> Lucy Sandler </w:t>
      </w:r>
      <w:r>
        <w:rPr>
          <w:i/>
          <w:iCs/>
        </w:rPr>
        <w:t xml:space="preserve">The Word In The Text And The Images In The Margin: The Case Of The Luttrell Psalter </w:t>
      </w:r>
      <w:r>
        <w:t>(Walters Art Gallery: Journal of the Walters Art Gallery , 1996) Vol 54 p87-100</w:t>
      </w:r>
    </w:p>
  </w:footnote>
  <w:footnote w:id="25">
    <w:p w14:paraId="40866662" w14:textId="77777777" w:rsidR="00B61234" w:rsidRPr="003B5F67" w:rsidRDefault="00B61234" w:rsidP="00B61234">
      <w:pPr>
        <w:pStyle w:val="FootnoteText"/>
      </w:pPr>
      <w:r>
        <w:rPr>
          <w:rStyle w:val="FootnoteReference"/>
        </w:rPr>
        <w:footnoteRef/>
      </w:r>
      <w:r>
        <w:t xml:space="preserve"> M. Brown </w:t>
      </w:r>
      <w:r>
        <w:rPr>
          <w:i/>
          <w:iCs/>
        </w:rPr>
        <w:t xml:space="preserve">The World Of The Luttrell Psalter </w:t>
      </w:r>
      <w:r>
        <w:t>p36</w:t>
      </w:r>
    </w:p>
  </w:footnote>
  <w:footnote w:id="26">
    <w:p w14:paraId="7F129FFB" w14:textId="77777777" w:rsidR="00B61234" w:rsidRPr="000C1A15" w:rsidRDefault="00B61234" w:rsidP="00B61234">
      <w:pPr>
        <w:pStyle w:val="FootnoteText"/>
      </w:pPr>
      <w:r>
        <w:rPr>
          <w:rStyle w:val="FootnoteReference"/>
        </w:rPr>
        <w:footnoteRef/>
      </w:r>
      <w:r>
        <w:t xml:space="preserve"> J. Backhouse </w:t>
      </w:r>
      <w:r>
        <w:rPr>
          <w:i/>
          <w:iCs/>
        </w:rPr>
        <w:t xml:space="preserve">The Luttrell Psalter </w:t>
      </w:r>
      <w:r>
        <w:t>(London: The British Library, 1989) p61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anna Dunlop">
    <w15:presenceInfo w15:providerId="Windows Live" w15:userId="7c11367e684cacd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275E2"/>
    <w:rsid w:val="00043549"/>
    <w:rsid w:val="00046A16"/>
    <w:rsid w:val="00047074"/>
    <w:rsid w:val="00076A0B"/>
    <w:rsid w:val="000854DF"/>
    <w:rsid w:val="000A6D49"/>
    <w:rsid w:val="000E3682"/>
    <w:rsid w:val="000E3751"/>
    <w:rsid w:val="000E6A3A"/>
    <w:rsid w:val="0010199D"/>
    <w:rsid w:val="001070F2"/>
    <w:rsid w:val="00111283"/>
    <w:rsid w:val="0011161A"/>
    <w:rsid w:val="00165047"/>
    <w:rsid w:val="00172497"/>
    <w:rsid w:val="001C0B52"/>
    <w:rsid w:val="001C4B2D"/>
    <w:rsid w:val="001E0E06"/>
    <w:rsid w:val="001F4CE1"/>
    <w:rsid w:val="002132DC"/>
    <w:rsid w:val="00216211"/>
    <w:rsid w:val="00222984"/>
    <w:rsid w:val="0022446F"/>
    <w:rsid w:val="00224B95"/>
    <w:rsid w:val="00230F35"/>
    <w:rsid w:val="0025530E"/>
    <w:rsid w:val="002715FA"/>
    <w:rsid w:val="00276002"/>
    <w:rsid w:val="00277421"/>
    <w:rsid w:val="00290783"/>
    <w:rsid w:val="002A4954"/>
    <w:rsid w:val="002C1630"/>
    <w:rsid w:val="002C55E9"/>
    <w:rsid w:val="002D2A04"/>
    <w:rsid w:val="002E2BA0"/>
    <w:rsid w:val="002E67CE"/>
    <w:rsid w:val="002F1475"/>
    <w:rsid w:val="002F467C"/>
    <w:rsid w:val="00305185"/>
    <w:rsid w:val="00307B22"/>
    <w:rsid w:val="00326631"/>
    <w:rsid w:val="00337A70"/>
    <w:rsid w:val="00341D2F"/>
    <w:rsid w:val="00351F4B"/>
    <w:rsid w:val="00352C14"/>
    <w:rsid w:val="0038342D"/>
    <w:rsid w:val="003C3F4F"/>
    <w:rsid w:val="003C7F6F"/>
    <w:rsid w:val="003D6255"/>
    <w:rsid w:val="003E08F3"/>
    <w:rsid w:val="003F0AD2"/>
    <w:rsid w:val="003F737B"/>
    <w:rsid w:val="0040732D"/>
    <w:rsid w:val="004250DD"/>
    <w:rsid w:val="0043758C"/>
    <w:rsid w:val="0044129B"/>
    <w:rsid w:val="00447497"/>
    <w:rsid w:val="00460A5C"/>
    <w:rsid w:val="004627BA"/>
    <w:rsid w:val="004724D6"/>
    <w:rsid w:val="00475C78"/>
    <w:rsid w:val="004A024B"/>
    <w:rsid w:val="004B73BA"/>
    <w:rsid w:val="004C79CE"/>
    <w:rsid w:val="00521E0F"/>
    <w:rsid w:val="00531109"/>
    <w:rsid w:val="00537B4C"/>
    <w:rsid w:val="005429EF"/>
    <w:rsid w:val="005627D4"/>
    <w:rsid w:val="0058726A"/>
    <w:rsid w:val="00590E9A"/>
    <w:rsid w:val="005942E9"/>
    <w:rsid w:val="005C6560"/>
    <w:rsid w:val="00610318"/>
    <w:rsid w:val="00632937"/>
    <w:rsid w:val="0064350C"/>
    <w:rsid w:val="0065654E"/>
    <w:rsid w:val="00662A40"/>
    <w:rsid w:val="006805EC"/>
    <w:rsid w:val="00691819"/>
    <w:rsid w:val="00693C4D"/>
    <w:rsid w:val="006A205D"/>
    <w:rsid w:val="006A65E9"/>
    <w:rsid w:val="006C0A3A"/>
    <w:rsid w:val="006C5E96"/>
    <w:rsid w:val="006E4F24"/>
    <w:rsid w:val="00743B67"/>
    <w:rsid w:val="00751BE2"/>
    <w:rsid w:val="00762134"/>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61234"/>
    <w:rsid w:val="00B72F46"/>
    <w:rsid w:val="00B81E5D"/>
    <w:rsid w:val="00B96983"/>
    <w:rsid w:val="00B9724B"/>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466C"/>
    <w:rsid w:val="00D56EFA"/>
    <w:rsid w:val="00D67BF8"/>
    <w:rsid w:val="00DA3217"/>
    <w:rsid w:val="00DA3E0F"/>
    <w:rsid w:val="00DB185F"/>
    <w:rsid w:val="00DB43BB"/>
    <w:rsid w:val="00DD363B"/>
    <w:rsid w:val="00DE54B1"/>
    <w:rsid w:val="00E3766D"/>
    <w:rsid w:val="00E502BA"/>
    <w:rsid w:val="00E57529"/>
    <w:rsid w:val="00E67719"/>
    <w:rsid w:val="00E84F5D"/>
    <w:rsid w:val="00EC7546"/>
    <w:rsid w:val="00F1661E"/>
    <w:rsid w:val="00F2453C"/>
    <w:rsid w:val="00F346BE"/>
    <w:rsid w:val="00F73533"/>
    <w:rsid w:val="00F75EB5"/>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AF9A034"/>
  <w15:chartTrackingRefBased/>
  <w15:docId w15:val="{E61016F1-B7F8-4B54-89C5-5862646EC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B61234"/>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B61234"/>
    <w:rPr>
      <w:rFonts w:ascii="Calibri" w:eastAsia="Calibri" w:hAnsi="Calibri"/>
      <w:lang w:eastAsia="en-US"/>
    </w:rPr>
  </w:style>
  <w:style w:type="character" w:styleId="FootnoteReference">
    <w:name w:val="footnote reference"/>
    <w:uiPriority w:val="99"/>
    <w:unhideWhenUsed/>
    <w:rsid w:val="00B6123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48AA79-C926-4773-9359-088E0ED6C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3092</Words>
  <Characters>17628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Joanna Dunlop</cp:lastModifiedBy>
  <cp:revision>2</cp:revision>
  <cp:lastPrinted>2011-03-31T13:57:00Z</cp:lastPrinted>
  <dcterms:created xsi:type="dcterms:W3CDTF">2020-05-03T12:33:00Z</dcterms:created>
  <dcterms:modified xsi:type="dcterms:W3CDTF">2020-05-03T12:33:00Z</dcterms:modified>
</cp:coreProperties>
</file>