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3C82A8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02C8F">
              <w:rPr>
                <w:rFonts w:ascii="Times New Roman" w:hAnsi="Times New Roman" w:cs="Times New Roman"/>
                <w:b/>
                <w:color w:val="auto"/>
                <w:sz w:val="48"/>
              </w:rPr>
              <w:t>Timothy Holt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2E8C3C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02C8F">
              <w:rPr>
                <w:rFonts w:ascii="Times New Roman" w:hAnsi="Times New Roman" w:cs="Times New Roman"/>
                <w:b/>
                <w:color w:val="auto"/>
                <w:sz w:val="48"/>
              </w:rPr>
              <w:t xml:space="preserve"> timothy.holt@swansea.gov.uk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3EFDCE5" w14:textId="77777777" w:rsidR="00902C8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02C8F">
              <w:rPr>
                <w:rFonts w:ascii="Times New Roman" w:hAnsi="Times New Roman" w:cs="Times New Roman"/>
                <w:b/>
                <w:color w:val="auto"/>
                <w:sz w:val="48"/>
              </w:rPr>
              <w:t xml:space="preserve"> </w:t>
            </w:r>
          </w:p>
          <w:p w14:paraId="0DE696B2" w14:textId="04330267" w:rsidR="00F927A1" w:rsidRPr="005D3F07" w:rsidRDefault="00902C8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2116689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55315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F73AA60" w14:textId="5D928550" w:rsidR="00902C8F" w:rsidRDefault="00902C8F" w:rsidP="00FF7EBB">
            <w:pPr>
              <w:jc w:val="both"/>
              <w:rPr>
                <w:i/>
                <w:sz w:val="24"/>
                <w:szCs w:val="24"/>
              </w:rPr>
            </w:pPr>
          </w:p>
          <w:p w14:paraId="7ED95834" w14:textId="77777777" w:rsidR="00975331" w:rsidRDefault="00975331" w:rsidP="00975331">
            <w:pPr>
              <w:spacing w:line="360" w:lineRule="auto"/>
              <w:jc w:val="both"/>
              <w:rPr>
                <w:sz w:val="24"/>
                <w:szCs w:val="24"/>
              </w:rPr>
            </w:pPr>
            <w:r>
              <w:rPr>
                <w:sz w:val="24"/>
                <w:szCs w:val="24"/>
              </w:rPr>
              <w:t xml:space="preserve">Within Social Work, critical reflection is a key tool for practitioners to foster continued learning and development of the ability to practice and engage with those they work with, building upon their toolbox.  Sheppard (2007) argues a reflexive practitioner has a high-degree of self-awareness, role awareness and regard to assumptions underlying their practice.  In practice, social workers should continually, critically reflect to ensure the best possible outcomes for those engaged.  To do this, practitioners use analysis, professional judgement and reasoning.    There is need to evaluate multiple sources of knowledge/evidence and how this impacts and benefits those citizens engaged.  Indeed, the National Occupational Standards (NOS) (Social Care Wales (SCW), 2011), require us to reflect upon our own values, beliefs and assumptions and how they impact our practice.  Critical reflection allows practitioners to challenge their thinking and that of professionals they work with (Knott and Scragg, 2016).  Furthermore, it fosters creativity in response to new scenarios, further building self-awareness.  To aid critical reflection, social workers make use of theories/models to allow reflection to be effective to aid learning (Scourfield, 2017).  To support my reflection within this essay, I will use Kolb’s model of experiential adult learning (2015).  </w:t>
            </w:r>
          </w:p>
          <w:p w14:paraId="7319BFA5" w14:textId="77777777" w:rsidR="00975331" w:rsidRDefault="00975331" w:rsidP="00975331">
            <w:pPr>
              <w:spacing w:line="360" w:lineRule="auto"/>
              <w:jc w:val="both"/>
              <w:rPr>
                <w:sz w:val="24"/>
                <w:szCs w:val="24"/>
              </w:rPr>
            </w:pPr>
          </w:p>
          <w:p w14:paraId="3DDA076A" w14:textId="77777777" w:rsidR="00975331" w:rsidRDefault="00975331" w:rsidP="00975331">
            <w:pPr>
              <w:spacing w:line="360" w:lineRule="auto"/>
              <w:jc w:val="both"/>
              <w:rPr>
                <w:sz w:val="24"/>
                <w:szCs w:val="24"/>
              </w:rPr>
            </w:pPr>
            <w:r w:rsidRPr="00721244">
              <w:rPr>
                <w:sz w:val="24"/>
                <w:szCs w:val="24"/>
              </w:rPr>
              <w:lastRenderedPageBreak/>
              <w:t xml:space="preserve">Critical reflections </w:t>
            </w:r>
            <w:r>
              <w:rPr>
                <w:sz w:val="24"/>
                <w:szCs w:val="24"/>
              </w:rPr>
              <w:t xml:space="preserve">concern an individual, 1, who is mid-90 years-old.  They currently live in a nursing home, having made a capacitated decision to move into placement following hospitalisation.  The referral was made by the placement manager, initially, to assess eligibility for funding and 1’s eligibility for the placement.  This referral was received in line with the Social Services and Wellbeing (Wales) Act (SSWBA) (2014).  The Safeguarding concerns arose when 1 alleged a previous carer had stolen a substantial sum of money from her prior to her hospitalisation and this individual and a friend failed to prioritise her wellbeing.  Working in an Initial Assessment Team, engagement in Safeguarding issues is normally limited.  This is due to the timescales such cases often will experience, especially should they be taken to the Court of Protection.  Our remit is for 6-8 weeks, beyond this cases transfer to a long-term community team for ongoing support.  Critically reflecting upon this, such a model has many strengths and weaknesses: positively, it allows for an initial examination of the case and initial requests for services to be processed.  However, due to the pandemic; waiting times and the level of need have increased (Simmonds, 2021).  This leads to a lengthening waiting list and often, families are in crisis when allocated.  This means an increase in complexity and increasing need for cases to pass to the long-term team ongoing.  As a result, families and individuals need to relay concerns and needs to multiple professionals.  This can make it more difficult for vulnerable people who may start to feel comfortable with one professional, needing to build a relationship with a new worker (Bell, 2011).  This impacts their ability to gain continuity and hinders attempts to obtain the best outcomes for them (Dennis, 2019).  </w:t>
            </w:r>
          </w:p>
          <w:p w14:paraId="705B4BB1" w14:textId="77777777" w:rsidR="00975331" w:rsidRDefault="00975331" w:rsidP="00975331">
            <w:pPr>
              <w:spacing w:line="360" w:lineRule="auto"/>
              <w:jc w:val="both"/>
              <w:rPr>
                <w:sz w:val="24"/>
                <w:szCs w:val="24"/>
              </w:rPr>
            </w:pPr>
          </w:p>
          <w:p w14:paraId="7973AB80" w14:textId="77777777" w:rsidR="00975331" w:rsidRDefault="00975331" w:rsidP="00975331">
            <w:pPr>
              <w:spacing w:line="360" w:lineRule="auto"/>
              <w:jc w:val="both"/>
              <w:rPr>
                <w:sz w:val="24"/>
                <w:szCs w:val="24"/>
              </w:rPr>
            </w:pPr>
            <w:r>
              <w:rPr>
                <w:sz w:val="24"/>
                <w:szCs w:val="24"/>
              </w:rPr>
              <w:t xml:space="preserve">Within Wales, Safeguarding is considered everyone’s responsibility.  This was extended to include Adults at Risk of Abuse/Neglect following the introduction of the Wales Safeguarding Procedures (2019).  Within the context of Adult Social Work, abuse can take several forms, being defined as physical, domestic violence, sexual, psychological, emotional, financial, self-neglect and modern-slavery, (SCIE, 2018).  Abuse can happen in any setting, whether at home, in a placement or in public.  Oftentimes, those abused are well known to the perpetrator (Meier, 1989).  This is the situation with 1, who alleges the person who cared for her, helping her to complete tasks, who she trusted, was; in conjunction with someone who she regarded as a friend, the perpetrator.  The friend is someone who 1 continues to trust to check on her property and manage some of her correspondence.  Throughout my engagement with 1, I </w:t>
            </w:r>
            <w:r>
              <w:rPr>
                <w:sz w:val="24"/>
                <w:szCs w:val="24"/>
              </w:rPr>
              <w:lastRenderedPageBreak/>
              <w:t xml:space="preserve">was aware of the need to ensure I worked collaboratively with both 1 herself and the staff where she lived (Crawford, 2011).  I sought to maximise 1’s voice in my work, ensuring her views and wishes were accurately reflected.  Within my practice, I ensured to fully align myself to person-centred theory, recognising 1 is the expert in her own life and putting her at the heart of my intervention, ensuring a personalised outcome best suiting her needs (Lynch, 2013).  I also wanted to draw upon the relationship she has with the staff in placement who would have better understanding of her situation than myself who had only just met her (Berry, 2007).  </w:t>
            </w:r>
          </w:p>
          <w:p w14:paraId="65874469" w14:textId="77777777" w:rsidR="00975331" w:rsidRDefault="00975331" w:rsidP="00975331">
            <w:pPr>
              <w:spacing w:line="360" w:lineRule="auto"/>
              <w:jc w:val="both"/>
              <w:rPr>
                <w:sz w:val="24"/>
                <w:szCs w:val="24"/>
              </w:rPr>
            </w:pPr>
          </w:p>
          <w:p w14:paraId="1158542D" w14:textId="77777777" w:rsidR="00975331" w:rsidRDefault="00975331" w:rsidP="00975331">
            <w:pPr>
              <w:spacing w:line="360" w:lineRule="auto"/>
              <w:jc w:val="both"/>
              <w:rPr>
                <w:sz w:val="24"/>
                <w:szCs w:val="24"/>
              </w:rPr>
            </w:pPr>
            <w:r>
              <w:rPr>
                <w:sz w:val="24"/>
                <w:szCs w:val="24"/>
              </w:rPr>
              <w:t xml:space="preserve">It wasn’t until SSWBA was enacted, 2016 that there was a single, unified piece of legislation governing safeguarding in Wales in relation to adults.  Part 7 of SSWBA directs the need to convene Safeguarding Boards and defines the duties of Local Authorities, under s.126 to complete investigations into safeguarding concerns.  The regional Safeguarding Boards were set up to challenge relevant agencies, ensuring sufficient </w:t>
            </w:r>
            <w:r w:rsidRPr="00943340">
              <w:rPr>
                <w:sz w:val="24"/>
                <w:szCs w:val="24"/>
              </w:rPr>
              <w:t>processes are present to protect both childr</w:t>
            </w:r>
            <w:r>
              <w:rPr>
                <w:sz w:val="24"/>
                <w:szCs w:val="24"/>
              </w:rPr>
              <w:t>en and adults at risk of abuse/</w:t>
            </w:r>
            <w:r w:rsidRPr="00943340">
              <w:rPr>
                <w:sz w:val="24"/>
                <w:szCs w:val="24"/>
              </w:rPr>
              <w:t>neglect, (Western Bay, 2022).  Furthermore</w:t>
            </w:r>
            <w:r>
              <w:rPr>
                <w:sz w:val="24"/>
                <w:szCs w:val="24"/>
              </w:rPr>
              <w:t>, they ensure collaboration and</w:t>
            </w:r>
            <w:r w:rsidRPr="00943340">
              <w:rPr>
                <w:sz w:val="24"/>
                <w:szCs w:val="24"/>
              </w:rPr>
              <w:t xml:space="preserve"> cooperation between agencies to protect those at risk.  Within adult safeg</w:t>
            </w:r>
            <w:r>
              <w:rPr>
                <w:sz w:val="24"/>
                <w:szCs w:val="24"/>
              </w:rPr>
              <w:t xml:space="preserve">uarding, </w:t>
            </w:r>
            <w:r w:rsidRPr="00943340">
              <w:rPr>
                <w:sz w:val="24"/>
                <w:szCs w:val="24"/>
              </w:rPr>
              <w:t xml:space="preserve">consent </w:t>
            </w:r>
            <w:r>
              <w:rPr>
                <w:sz w:val="24"/>
                <w:szCs w:val="24"/>
              </w:rPr>
              <w:t xml:space="preserve">is paramount </w:t>
            </w:r>
            <w:r w:rsidRPr="00943340">
              <w:rPr>
                <w:sz w:val="24"/>
                <w:szCs w:val="24"/>
              </w:rPr>
              <w:t>(Carr &amp; Goosey, 2017).  For a safeguarding referral to be made within Adult Se</w:t>
            </w:r>
            <w:r>
              <w:rPr>
                <w:sz w:val="24"/>
                <w:szCs w:val="24"/>
              </w:rPr>
              <w:t>rvices, the individual must</w:t>
            </w:r>
            <w:r w:rsidRPr="00943340">
              <w:rPr>
                <w:sz w:val="24"/>
                <w:szCs w:val="24"/>
              </w:rPr>
              <w:t xml:space="preserve"> consent.  To facilitate this and ensure individuals are aware, supporting legislation professionals</w:t>
            </w:r>
            <w:r>
              <w:rPr>
                <w:sz w:val="24"/>
                <w:szCs w:val="24"/>
              </w:rPr>
              <w:t xml:space="preserve"> should consider includes the Mental Capacity Act (MCA) (2005).  This legislation ensures individuals are protected to make potentially unwise decisions, ensuring they understand and engage in decisions </w:t>
            </w:r>
            <w:r w:rsidRPr="00943340">
              <w:rPr>
                <w:sz w:val="24"/>
                <w:szCs w:val="24"/>
              </w:rPr>
              <w:t>relating to them (Carr &amp; Goosey, 2017).  This legislation</w:t>
            </w:r>
            <w:r>
              <w:rPr>
                <w:sz w:val="24"/>
                <w:szCs w:val="24"/>
              </w:rPr>
              <w:t xml:space="preserve"> is used to determine whether an individual has capacity to decide.  Should they be assessed as lacking capacity, a Best Interest Meeting convenes to determine what action should be taken in their best interests.  This requires any decision to be the least restrictive option for the individual.  This right is further protected under the Human Rights Act (1998) Article 8, the right to a private and family life allows individuals the right to refuse access to their home.  </w:t>
            </w:r>
          </w:p>
          <w:p w14:paraId="04A208A2" w14:textId="77777777" w:rsidR="00975331" w:rsidRDefault="00975331" w:rsidP="00975331">
            <w:pPr>
              <w:spacing w:line="360" w:lineRule="auto"/>
              <w:jc w:val="both"/>
              <w:rPr>
                <w:sz w:val="24"/>
                <w:szCs w:val="24"/>
              </w:rPr>
            </w:pPr>
          </w:p>
          <w:p w14:paraId="5731F0DD" w14:textId="77777777" w:rsidR="00975331" w:rsidRDefault="00975331" w:rsidP="00975331">
            <w:pPr>
              <w:spacing w:line="360" w:lineRule="auto"/>
              <w:jc w:val="both"/>
              <w:rPr>
                <w:sz w:val="24"/>
                <w:szCs w:val="24"/>
              </w:rPr>
            </w:pPr>
            <w:r>
              <w:rPr>
                <w:sz w:val="24"/>
                <w:szCs w:val="24"/>
              </w:rPr>
              <w:t xml:space="preserve">While there is provision, should someone have capacity to decline to engage in any Safeguarding process or assessment of care and support needs.  Part 7, s.127 of SSWBA lays out provision for Adult Protection Support Orders (APSO) (WG, 2016).  These are used </w:t>
            </w:r>
            <w:r>
              <w:rPr>
                <w:sz w:val="24"/>
                <w:szCs w:val="24"/>
              </w:rPr>
              <w:lastRenderedPageBreak/>
              <w:t xml:space="preserve">to allow an authorised officer, or other named person, to be able to speak to someone thought to be at risk of abuse/neglect, on their own, in private.  APSO’s facilitate discussions to ascertain an individual’s ability to make decisions, to do so freely and determine if further action is required to keep them safe from harm.  APSO’s do not grant the right to removal but can facilitate private discussions away from any potential abuser (NHS, 2016).  The principle is to ascertain the individual’s right and ability to make decisions freely, allowing their views and wishes to be respected.  This displays a dichotomy in the law.  The Human Rights Act enshrines the right to a private and family life while SSWBA lays out a way to override this.  This leads to a potential hierarchy of legislation and </w:t>
            </w:r>
            <w:r w:rsidRPr="003F2AEC">
              <w:rPr>
                <w:sz w:val="24"/>
                <w:szCs w:val="24"/>
              </w:rPr>
              <w:t>practitioners may face ethical dil</w:t>
            </w:r>
            <w:r>
              <w:rPr>
                <w:sz w:val="24"/>
                <w:szCs w:val="24"/>
              </w:rPr>
              <w:t>emmas as they try to balance</w:t>
            </w:r>
            <w:r w:rsidRPr="003F2AEC">
              <w:rPr>
                <w:sz w:val="24"/>
                <w:szCs w:val="24"/>
              </w:rPr>
              <w:t xml:space="preserve"> rights and responsibilities</w:t>
            </w:r>
            <w:r>
              <w:rPr>
                <w:sz w:val="24"/>
                <w:szCs w:val="24"/>
              </w:rPr>
              <w:t xml:space="preserve"> enshrined in different</w:t>
            </w:r>
            <w:r w:rsidRPr="003F2AEC">
              <w:rPr>
                <w:sz w:val="24"/>
                <w:szCs w:val="24"/>
              </w:rPr>
              <w:t xml:space="preserve"> legislation (Bell and Hafford-Letchfield, 2015).  As a newly</w:t>
            </w:r>
            <w:r>
              <w:rPr>
                <w:sz w:val="24"/>
                <w:szCs w:val="24"/>
              </w:rPr>
              <w:t xml:space="preserve"> qualified social worker, the need to balance these responsibilities is quite daunting and applying them to more complex cases leads to a need for continued critical reflection (Fook, 2002).  This ensures one considers one’s professional judgement and following any engagement, consider how and what worked.  This in turn allows judgement to be refined, broadening ones thinking which in turn can be applied to future events (Kolb, 2015).</w:t>
            </w:r>
          </w:p>
          <w:p w14:paraId="31F22919" w14:textId="77777777" w:rsidR="00975331" w:rsidRDefault="00975331" w:rsidP="00975331">
            <w:pPr>
              <w:spacing w:line="360" w:lineRule="auto"/>
              <w:jc w:val="both"/>
              <w:rPr>
                <w:sz w:val="24"/>
                <w:szCs w:val="24"/>
              </w:rPr>
            </w:pPr>
          </w:p>
          <w:p w14:paraId="321F839E" w14:textId="77777777" w:rsidR="00975331" w:rsidRDefault="00975331" w:rsidP="00975331">
            <w:pPr>
              <w:spacing w:line="360" w:lineRule="auto"/>
              <w:jc w:val="both"/>
              <w:rPr>
                <w:sz w:val="24"/>
                <w:szCs w:val="24"/>
              </w:rPr>
            </w:pPr>
            <w:r>
              <w:rPr>
                <w:sz w:val="24"/>
                <w:szCs w:val="24"/>
              </w:rPr>
              <w:t xml:space="preserve">When considering the referral received for 1, it was noted she was very hard of hearing and would be unable to discuss her case on the telephone.  Therefore, I had to confirm initially, the care-home’s Covid status and whether I could visit.  I was able to collaborate with the manager to arrange a suitable time to visit and meet 1.  It was agreed, due to their pre-existing relationship, in the first instance the manager and deputy-manager would be present at the meeting.  This would facilitate my initial investigation, especially when 1’s capacity was still uncertain.  I reflected that having these individuals present would help 1 to feel more comfortable when initially engaging, allowing me to draw upon their insight into the care </w:t>
            </w:r>
            <w:r w:rsidRPr="003F2AEC">
              <w:rPr>
                <w:sz w:val="24"/>
                <w:szCs w:val="24"/>
              </w:rPr>
              <w:t>needs of 1 (Crawford, 2011).</w:t>
            </w:r>
            <w:r>
              <w:rPr>
                <w:sz w:val="24"/>
                <w:szCs w:val="24"/>
              </w:rPr>
              <w:t xml:space="preserve">  I considered Northouse and Northouse’s 1998 Model of Heath Communication.  This theory emphasizes how relationships, transactions and contexts impact communication between parties in a Healthcare setting (Berry, 2007).  Within this theory, all parties bring different perspectives to an interaction shaping the communication and decisions made, thus allowing me to achieve an outcome for 1 aligned with her needs/concerns.  </w:t>
            </w:r>
          </w:p>
          <w:p w14:paraId="7E090E93" w14:textId="77777777" w:rsidR="00975331" w:rsidRDefault="00975331" w:rsidP="00975331">
            <w:pPr>
              <w:spacing w:line="360" w:lineRule="auto"/>
              <w:jc w:val="both"/>
              <w:rPr>
                <w:sz w:val="24"/>
                <w:szCs w:val="24"/>
              </w:rPr>
            </w:pPr>
          </w:p>
          <w:p w14:paraId="3C8116DD" w14:textId="77777777" w:rsidR="00975331" w:rsidRDefault="00975331" w:rsidP="00975331">
            <w:pPr>
              <w:spacing w:line="360" w:lineRule="auto"/>
              <w:jc w:val="both"/>
              <w:rPr>
                <w:sz w:val="24"/>
                <w:szCs w:val="24"/>
              </w:rPr>
            </w:pPr>
            <w:r w:rsidRPr="003F2AEC">
              <w:rPr>
                <w:sz w:val="24"/>
                <w:szCs w:val="24"/>
              </w:rPr>
              <w:lastRenderedPageBreak/>
              <w:t>I was mindful of the need to comply with GDPR and the Wales Accords on Sharing Information</w:t>
            </w:r>
            <w:r>
              <w:rPr>
                <w:sz w:val="24"/>
                <w:szCs w:val="24"/>
              </w:rPr>
              <w:t xml:space="preserve"> (WASPI, 2022) and so agreed, at the start of my visit, to seek consent from 1 for the manager/deputy-manager to be present when I spoke to her.  While the referral clearly stated 1 is a white, Welsh woman and her primary language is English, I was mindful of the Active Offer under the Welsh Government’s ‘More Than Just Words’ Policy (WG, 2015).  Therefore, when we first met, I ensured to check she wished to continue in English and offered Welsh language provision.  This would potentially have allowed 1 to be more comfortable in communicating with us, allowing her to provide a more complete understanding of her situation and care and support needs (</w:t>
            </w:r>
            <w:r w:rsidRPr="009F4438">
              <w:rPr>
                <w:sz w:val="24"/>
                <w:szCs w:val="24"/>
              </w:rPr>
              <w:t>Birrell, 2009)</w:t>
            </w:r>
            <w:r>
              <w:rPr>
                <w:sz w:val="24"/>
                <w:szCs w:val="24"/>
              </w:rPr>
              <w:t xml:space="preserve">.  </w:t>
            </w:r>
          </w:p>
          <w:p w14:paraId="3F56E0B2" w14:textId="77777777" w:rsidR="00975331" w:rsidRDefault="00975331" w:rsidP="00975331">
            <w:pPr>
              <w:spacing w:line="360" w:lineRule="auto"/>
              <w:jc w:val="both"/>
              <w:rPr>
                <w:sz w:val="24"/>
                <w:szCs w:val="24"/>
              </w:rPr>
            </w:pPr>
          </w:p>
          <w:p w14:paraId="02F6E04A" w14:textId="77777777" w:rsidR="00975331" w:rsidRDefault="00975331" w:rsidP="00975331">
            <w:pPr>
              <w:spacing w:line="360" w:lineRule="auto"/>
              <w:jc w:val="both"/>
              <w:rPr>
                <w:sz w:val="24"/>
                <w:szCs w:val="24"/>
              </w:rPr>
            </w:pPr>
            <w:r>
              <w:rPr>
                <w:sz w:val="24"/>
                <w:szCs w:val="24"/>
              </w:rPr>
              <w:t xml:space="preserve">1 did confirm she wished to continue in English, however, there was a language barrier present.  While wearing hearing aids, 1 remained unable to clearly hear what was said to her.  It was therefore agreed questions would be written down that she could then respond to (Hall and Scragg, 2012).  I was concerned this potentially impacted my ability to determine her capacity to engage with the decision to remain in her placement.  I also worried it may reduce her ability to clearly recount concerns in relation to </w:t>
            </w:r>
            <w:r w:rsidRPr="00197932">
              <w:rPr>
                <w:sz w:val="24"/>
                <w:szCs w:val="24"/>
              </w:rPr>
              <w:t>the money being taken and actions of her friend/carer.  This trepidation was in equal measure due to my worries surrounding her ability to hear but also my ability in practice (Trevithick, 2005).</w:t>
            </w:r>
            <w:r>
              <w:rPr>
                <w:sz w:val="24"/>
                <w:szCs w:val="24"/>
              </w:rPr>
              <w:t xml:space="preserve">  I had not confronted a case like this previously and needed to carefully consider how questions were worded, when written, because this would impact her responses.  This also removed the ability to quickly ask follow up questions as she talked about her case.  As the session commenced, 1 agreed to the manager/deputy-manager’s presence and quickly proved she had capacity to engage in the discussions.  She clearly displayed the ability to retain and use information to make informed decisions </w:t>
            </w:r>
            <w:r w:rsidRPr="00943340">
              <w:rPr>
                <w:sz w:val="24"/>
                <w:szCs w:val="24"/>
              </w:rPr>
              <w:t>(Carr &amp; Goosey, 2017)</w:t>
            </w:r>
            <w:r>
              <w:rPr>
                <w:sz w:val="24"/>
                <w:szCs w:val="24"/>
              </w:rPr>
              <w:t xml:space="preserve">.  While there were times she would stray from her narrative, 1 would, with limited prompting, return to her report.  Over the course of the discussion confirming the same information several times.  The Deputy-Manager confirmed this information was the same as presented to her previously, the day before.  Because 1 had capacity and a potential crime was being reported, I clarified whether the police had been notified.  It was confirmed they had not, so therefore advised the police were called to alert them. 1 consented to this, to arrange a statement to be taken.  I agreed I would also seek clarification as to whether I would be allowed to support 1, if required, as a responsible person.  </w:t>
            </w:r>
            <w:r>
              <w:rPr>
                <w:sz w:val="24"/>
                <w:szCs w:val="24"/>
              </w:rPr>
              <w:lastRenderedPageBreak/>
              <w:t xml:space="preserve">This was because I had not had the relevant training and so would need clarification (Home Office, 2006).  </w:t>
            </w:r>
          </w:p>
          <w:p w14:paraId="54071F45" w14:textId="77777777" w:rsidR="00975331" w:rsidRDefault="00975331" w:rsidP="00975331">
            <w:pPr>
              <w:spacing w:line="360" w:lineRule="auto"/>
              <w:jc w:val="both"/>
              <w:rPr>
                <w:sz w:val="24"/>
                <w:szCs w:val="24"/>
              </w:rPr>
            </w:pPr>
          </w:p>
          <w:p w14:paraId="3047703D" w14:textId="77777777" w:rsidR="00975331" w:rsidRDefault="00975331" w:rsidP="00975331">
            <w:pPr>
              <w:spacing w:line="360" w:lineRule="auto"/>
              <w:jc w:val="both"/>
              <w:rPr>
                <w:sz w:val="24"/>
                <w:szCs w:val="24"/>
              </w:rPr>
            </w:pPr>
            <w:r>
              <w:rPr>
                <w:sz w:val="24"/>
                <w:szCs w:val="24"/>
              </w:rPr>
              <w:t>Beyond this, because 1 had capacity, I sought consent to report this to the Safeguarding Team.  Initially this would allow me to have a consultation with the Local Authority’s Safeguarding Team, in line with internal policies/procedure and if required flag a concern.  When 1 gave consent for this, I also advised the Manager that as a resident, should there be further accusations, she could seek permission from 1 and raise a concern with Safeguarding directly herself.  This was in line with Safeguarding being everyone’s responsibility (WG, 2019).  As part of this discussion, 1 requested a visit to her home address.  It was agreed an Occupational Therapist (OT) referral be made to determine her ability to manage the property due to reports the home conditions were very poor.  It was agreed I would raise this visit with the Safeguarding Team also.  1 reported, while money had been taken from her bag by her carer, there should be further money in the property.  She confirmed this money should be located either in the lounge or upstairs in the, ‘middle bedroom’.  On leaving 1 but prior to leaving the home, I discussed this briefly with the Manager, we reflected we would not feel comfortable to undertake this visit without Safeguarding’s agreement.  This was due to the potential need to consider the home as a crime scene should the police look to investigate further.  We further reflected, while 1 has capacity to make decisions, even if unwise, she could have refused the referral to the Safeguarding Team (Hardie and Brooks, 2009).  The Manager, with 1’s agreement, confirmed they would support 1 going forward to access the bank and arrange for all mail to be sent to her placement and not her home address.</w:t>
            </w:r>
          </w:p>
          <w:p w14:paraId="3FA99A4B" w14:textId="77777777" w:rsidR="00975331" w:rsidRDefault="00975331" w:rsidP="00975331">
            <w:pPr>
              <w:spacing w:line="360" w:lineRule="auto"/>
              <w:jc w:val="both"/>
              <w:rPr>
                <w:sz w:val="24"/>
                <w:szCs w:val="24"/>
              </w:rPr>
            </w:pPr>
          </w:p>
          <w:p w14:paraId="689109AF" w14:textId="77777777" w:rsidR="00975331" w:rsidRDefault="00975331" w:rsidP="00975331">
            <w:pPr>
              <w:spacing w:line="360" w:lineRule="auto"/>
              <w:jc w:val="both"/>
              <w:rPr>
                <w:sz w:val="24"/>
                <w:szCs w:val="24"/>
              </w:rPr>
            </w:pPr>
            <w:r>
              <w:rPr>
                <w:sz w:val="24"/>
                <w:szCs w:val="24"/>
              </w:rPr>
              <w:t xml:space="preserve">To refer to the Safeguarding Team, I initially sent an email to the duty officer within that team to request a consultation.  Within this, I included the relevant details in relation to 1, how she had come to be in placement and the accusations that she was making.  I included that she still owns her own home and that home conditions are reported to be very poor.  This led to an initial consultation with the duty worker.  She was able to discuss the case with me, drawing out all the pertinent information.  She confirmed, in this instance, 1 is immediately safeguarded due to no longer being in contact with the carer and no longer living at home.  1 is supported in her engagement with her friend and the home are now supporting her manage her finances </w:t>
            </w:r>
            <w:r>
              <w:rPr>
                <w:sz w:val="24"/>
                <w:szCs w:val="24"/>
              </w:rPr>
              <w:lastRenderedPageBreak/>
              <w:t xml:space="preserve">and mail.  It was confirmed the police will be informed and that they will be engaged to take a statement and determine if criminal proceedings need to be instigated.  Within this, due to the home conditions being as poor as they are reported, it was advised a home visit would be appropriate and to use judgement in relation to the property.  This was because following the events alleged, several other people have been in the house also, including paramedics who responded to take 1 into hospital and neighbours who were there at the time.  The duty worker requested an update following contact with the police and completion of the home visit.  </w:t>
            </w:r>
          </w:p>
          <w:p w14:paraId="1F2D61A2" w14:textId="77777777" w:rsidR="00975331" w:rsidRDefault="00975331" w:rsidP="00975331">
            <w:pPr>
              <w:spacing w:line="360" w:lineRule="auto"/>
              <w:jc w:val="both"/>
              <w:rPr>
                <w:sz w:val="24"/>
                <w:szCs w:val="24"/>
              </w:rPr>
            </w:pPr>
          </w:p>
          <w:p w14:paraId="2B073C46" w14:textId="77777777" w:rsidR="00975331" w:rsidRDefault="00975331" w:rsidP="00975331">
            <w:pPr>
              <w:spacing w:line="360" w:lineRule="auto"/>
              <w:jc w:val="both"/>
              <w:rPr>
                <w:sz w:val="24"/>
                <w:szCs w:val="24"/>
              </w:rPr>
            </w:pPr>
            <w:r>
              <w:rPr>
                <w:sz w:val="24"/>
                <w:szCs w:val="24"/>
              </w:rPr>
              <w:t xml:space="preserve">Following this consult, the home visit was arranged.  As reported, the home conditions were very poor and 1 would not be able to return there to live independently in the community without significant modernisation.  Entering the property with the Manager from the home, there was substantial clutter throughout the property.  There was no central heating, and the kitchen did not have a cooker, only a camp stove and a microwave.  The bathroom upstairs was not useable and the only toilet, an outhouse in the garden could not be safely accessed due to uneven footing.  We checked the area in the lounge and found no money.  This provided a reflection between my personal standards and values and the need to represent the agency’s standards in a professional manner (Banks, 2012).  Upstairs in the bedroom indicated, we found a bag with a roll of £5 notes.  This was photographed in place and taken to the care-home to be placed in the safe.  This allowed it to be counted in the presence of the police before being returned to 1.  It was agreed that 1 would more than likely not be able to manage the stairs and so her visit was confirmed as not to take place until the OT had assessed her ability to manage in the property.  The Manager confirmed they had contacted the police who were due to attend in due course to take a statement from 1 to inform their investigation.  This information and the outcome of the home visit was relayed to the Safeguarding Team.  They confirmed, as a result, 1 was currently being fully safeguarded from potential abuse and neglect by being placed in the nursing home.  Due to having capacity, she could be supported to engage with the police who could make relevant enquiries once her statement was taken.  Throughout my engagement with 1, I was grateful for supervision.  This was the first ‘Safeguarding’ case I had been asked to work, so supervision provided an invaluable tool, allowing me to critically reflect upon my practice (Bruce, 2013).  It meant I could make sense of my engagements with her and the care staff, adapting and </w:t>
            </w:r>
            <w:r>
              <w:rPr>
                <w:sz w:val="24"/>
                <w:szCs w:val="24"/>
              </w:rPr>
              <w:lastRenderedPageBreak/>
              <w:t>constructing plans for ongoing engagement (Kolb, 2015).  I was therefore able to determine strengths and vulnerabilities and what I could do going forward.  It also drew out how previous engagements could have been done differently (Bassot, 2013).</w:t>
            </w:r>
          </w:p>
          <w:p w14:paraId="4FA01AA7" w14:textId="77777777" w:rsidR="00975331" w:rsidRDefault="00975331" w:rsidP="00975331">
            <w:pPr>
              <w:spacing w:line="360" w:lineRule="auto"/>
              <w:jc w:val="both"/>
              <w:rPr>
                <w:sz w:val="24"/>
                <w:szCs w:val="24"/>
              </w:rPr>
            </w:pPr>
          </w:p>
          <w:p w14:paraId="4C2B4E9C" w14:textId="77777777" w:rsidR="00975331" w:rsidRDefault="00975331" w:rsidP="00975331">
            <w:pPr>
              <w:spacing w:line="360" w:lineRule="auto"/>
              <w:jc w:val="both"/>
              <w:rPr>
                <w:sz w:val="24"/>
                <w:szCs w:val="24"/>
              </w:rPr>
            </w:pPr>
            <w:r>
              <w:rPr>
                <w:sz w:val="24"/>
                <w:szCs w:val="24"/>
              </w:rPr>
              <w:t xml:space="preserve">While in this instance, 1 was being safeguarded correctly and policies had been followed as they should be.  It was confirmed had it been required the police investigation, while taking priority, could have run concurrently with the Local Authority (LA) Safeguarding Investigations.  Should further investigation be needed from the LA, a s.126 investigation could have been undertaken, utilising an APSO if required.  Once this had been completed, a Strategy Meeting could have been convened to allow for a multi-agency response determining how best to protect the individual (WG, 2016).  This could determine immediate protection is required, and the adult could be subject to a case conference, potentially being moved to a place of safety or the abuser being removed and prevented from continuing to perpetrate their abuse.  Alternatively, the Strategy Meeting may agree, while protection is needed, a more structured response under Part 4, SSWBA could be considered and care and support provided.  Alternatively, it is possible there is no need to protect, so an assessment under Part 3 of SSWBA could be recommended and potential eligibility for care and support explored.  While this is covered in Welsh specific legislation it is underpinned internationally in the United Nations Principles for Older Persons, adopted in 1991 (OHCHR, 2022a).  This seeks to ensure that older people should be able to be kept safe and have protection while maximising their independence.  </w:t>
            </w:r>
          </w:p>
          <w:p w14:paraId="34739DA0" w14:textId="77777777" w:rsidR="00975331" w:rsidRDefault="00975331" w:rsidP="00975331">
            <w:pPr>
              <w:spacing w:line="360" w:lineRule="auto"/>
              <w:jc w:val="both"/>
              <w:rPr>
                <w:sz w:val="24"/>
                <w:szCs w:val="24"/>
              </w:rPr>
            </w:pPr>
          </w:p>
          <w:p w14:paraId="5272CCA1" w14:textId="77777777" w:rsidR="00975331" w:rsidRDefault="00975331" w:rsidP="00975331">
            <w:pPr>
              <w:spacing w:line="360" w:lineRule="auto"/>
              <w:jc w:val="both"/>
              <w:rPr>
                <w:sz w:val="24"/>
                <w:szCs w:val="24"/>
              </w:rPr>
            </w:pPr>
            <w:r>
              <w:rPr>
                <w:sz w:val="24"/>
                <w:szCs w:val="24"/>
              </w:rPr>
              <w:t xml:space="preserve">When working with adults who are at risk of abuse and neglect, due regard should be given to Power of Attorney and Advance Decisions </w:t>
            </w:r>
            <w:r w:rsidRPr="00943340">
              <w:rPr>
                <w:sz w:val="24"/>
                <w:szCs w:val="24"/>
              </w:rPr>
              <w:t>(Carr &amp; Goosey, 2017)</w:t>
            </w:r>
            <w:r>
              <w:rPr>
                <w:sz w:val="24"/>
                <w:szCs w:val="24"/>
              </w:rPr>
              <w:t xml:space="preserve">.  Should the individual be determined to lack capacity and they have nominated an attorney, this person can make decisions for them (AgeUK, 2021).  However, abusers are often people who are well known to an individual (Meier, 1989).  Should the abuser be the person with attorney, then the case can be taken to the Court of Protection.  This would allow a judge to explore the facts of the case and make a determination.  This could result in a person </w:t>
            </w:r>
            <w:r w:rsidRPr="009C1DEC">
              <w:rPr>
                <w:sz w:val="24"/>
                <w:szCs w:val="24"/>
              </w:rPr>
              <w:t>with Power of Attorney being deemed an unsuitable person and stripped of their power (Wills-Goldingham and Leslie, 2017).  This allows fa</w:t>
            </w:r>
            <w:r>
              <w:rPr>
                <w:sz w:val="24"/>
                <w:szCs w:val="24"/>
              </w:rPr>
              <w:t>mily members and others with</w:t>
            </w:r>
            <w:r w:rsidRPr="009C1DEC">
              <w:rPr>
                <w:sz w:val="24"/>
                <w:szCs w:val="24"/>
              </w:rPr>
              <w:t xml:space="preserve"> concerns about a Power of </w:t>
            </w:r>
            <w:r w:rsidRPr="009C1DEC">
              <w:rPr>
                <w:sz w:val="24"/>
                <w:szCs w:val="24"/>
              </w:rPr>
              <w:lastRenderedPageBreak/>
              <w:t>Attorney to contest de</w:t>
            </w:r>
            <w:r>
              <w:rPr>
                <w:sz w:val="24"/>
                <w:szCs w:val="24"/>
              </w:rPr>
              <w:t xml:space="preserve">cisions </w:t>
            </w:r>
            <w:r w:rsidRPr="009C1DEC">
              <w:rPr>
                <w:sz w:val="24"/>
                <w:szCs w:val="24"/>
              </w:rPr>
              <w:t>add</w:t>
            </w:r>
            <w:r>
              <w:rPr>
                <w:sz w:val="24"/>
                <w:szCs w:val="24"/>
              </w:rPr>
              <w:t>ing</w:t>
            </w:r>
            <w:r w:rsidRPr="009C1DEC">
              <w:rPr>
                <w:sz w:val="24"/>
                <w:szCs w:val="24"/>
              </w:rPr>
              <w:t xml:space="preserve"> an additional layer of protection for individuals.  However, it</w:t>
            </w:r>
            <w:r>
              <w:rPr>
                <w:sz w:val="24"/>
                <w:szCs w:val="24"/>
              </w:rPr>
              <w:t xml:space="preserve"> should be noted, delays and backlogs in the Court of Protection mean there can be long waits for cases to be heard; often leaving individuals in limbo, unable to act.  Likewise, delays at the Office of the Public Guardian, who grant Power’s of Attorney, can mean long delays in this being put in place possibly leading to concerns surrounding the safeguarding of individuals (Simmonds, 2021).  I struggle to rationalise this because, as a social worker, we are meant to utilise legislation, relevant theories, duties and powers, (Brammer, 2010) we are sometimes limited in our responses to situations by external pressures and delays within other organisations.  This is currently an ethical dilemma faced within Adult Social Services when trying to commission services when there is a dearth of suitable </w:t>
            </w:r>
            <w:r w:rsidRPr="009C1DEC">
              <w:rPr>
                <w:sz w:val="24"/>
                <w:szCs w:val="24"/>
              </w:rPr>
              <w:t>provision and professionals leading to waiting lists and delays for people who are often at the point of crisis (Kelly and Chisnell, 2019).</w:t>
            </w:r>
            <w:r>
              <w:rPr>
                <w:sz w:val="24"/>
                <w:szCs w:val="24"/>
              </w:rPr>
              <w:t xml:space="preserve">  </w:t>
            </w:r>
          </w:p>
          <w:p w14:paraId="19211D99" w14:textId="77777777" w:rsidR="00975331" w:rsidRDefault="00975331" w:rsidP="00975331">
            <w:pPr>
              <w:spacing w:line="360" w:lineRule="auto"/>
              <w:jc w:val="both"/>
              <w:rPr>
                <w:sz w:val="24"/>
                <w:szCs w:val="24"/>
              </w:rPr>
            </w:pPr>
          </w:p>
          <w:p w14:paraId="267939A5" w14:textId="77777777" w:rsidR="00975331" w:rsidRDefault="00975331" w:rsidP="00975331">
            <w:pPr>
              <w:spacing w:line="360" w:lineRule="auto"/>
              <w:jc w:val="both"/>
              <w:rPr>
                <w:sz w:val="24"/>
                <w:szCs w:val="24"/>
              </w:rPr>
            </w:pPr>
            <w:r>
              <w:rPr>
                <w:sz w:val="24"/>
                <w:szCs w:val="24"/>
              </w:rPr>
              <w:t>Throughout my engagement with 1, I utilised Collaborative Communication (CC).  This is a strengths based, solutions-focussed model (Dumlao, 2018).  It is the model underpinning the way Adult Services practice within my LA.  I feel this model helped me to adapt to the communication needs of 1, helping me to empower her engagement in the process.  It allowed her to demonstrate she had capacity and clearly elucidated that questions surrounding her capacity were linked more around her ability to understand questions due to her hearing, rather than a disturbance of the mind or brain [as the MCA would require].  While CC has many positives, it is person-centred and aligns closely with the values we should adhere to through legislation, SSWBA, the Code of Professional Practice and NOS (SCW, 2017a).  This person-centred theory, centralises the individual at the heart of our engagement, maximising their voice, This allowed 1 to be the expert in her own story (Teater, 2014).  There are however shortfalls: in some cases individuals are wary of social services and may not wish to openly and honestly engage.  In cases where people only tell us what they think we want to hear; this can be problematic.  There can be a suggestion of disguised compliance (Mantell &amp; Scragg, 2018) hindering collaboration.  In such cases CC and the person-centred approach are difficult to achieve and there are conflicting agendas, personal and agency objectives.  Indeed, professionals could be caught in a situation of creating a self-fulfilling prophesy.  This would be exacerbated by potential creation of dependency, fostered by person-centred working (</w:t>
            </w:r>
            <w:r>
              <w:rPr>
                <w:color w:val="333333"/>
                <w:sz w:val="24"/>
                <w:szCs w:val="24"/>
              </w:rPr>
              <w:t xml:space="preserve">Hall </w:t>
            </w:r>
            <w:r>
              <w:rPr>
                <w:color w:val="333333"/>
                <w:sz w:val="24"/>
                <w:szCs w:val="24"/>
              </w:rPr>
              <w:lastRenderedPageBreak/>
              <w:t xml:space="preserve">and Scragg, 2012). </w:t>
            </w:r>
            <w:r>
              <w:rPr>
                <w:sz w:val="24"/>
                <w:szCs w:val="24"/>
              </w:rPr>
              <w:t xml:space="preserve">  Agency objectives could subsume the actual needs of the individual as workers impose their own beliefs and thoughts to a scenario.  This reinforces the need for supervision and space for reflection allowing experiences to be assimilated into future practice (</w:t>
            </w:r>
            <w:r w:rsidRPr="002E5A32">
              <w:rPr>
                <w:sz w:val="24"/>
                <w:szCs w:val="24"/>
              </w:rPr>
              <w:t>Kadushin</w:t>
            </w:r>
            <w:r>
              <w:rPr>
                <w:sz w:val="24"/>
                <w:szCs w:val="24"/>
              </w:rPr>
              <w:t xml:space="preserve"> and H</w:t>
            </w:r>
            <w:r w:rsidRPr="002E5A32">
              <w:rPr>
                <w:sz w:val="24"/>
                <w:szCs w:val="24"/>
              </w:rPr>
              <w:t>arkness,</w:t>
            </w:r>
            <w:r>
              <w:rPr>
                <w:sz w:val="24"/>
                <w:szCs w:val="24"/>
              </w:rPr>
              <w:t xml:space="preserve"> </w:t>
            </w:r>
            <w:r w:rsidRPr="002E5A32">
              <w:rPr>
                <w:sz w:val="24"/>
                <w:szCs w:val="24"/>
              </w:rPr>
              <w:t>1992)</w:t>
            </w:r>
            <w:r>
              <w:rPr>
                <w:sz w:val="24"/>
                <w:szCs w:val="24"/>
              </w:rPr>
              <w:t xml:space="preserve">.  To further underpin and support my application of CC with 1, I ensured I used the Crisis Intervention Theory, in particular the three step model (Roberts, 2005).  This helps focus our work to ensure the completion of each step, assessment, boiling down the problem and coping alternatives.  For 1, this allowed us to explore her allegations of abuse, rapidly focusing on the pertinent information and ensuring 1 was not only safe but able to make informed choices in relation to the next steps.  This Crisis Intervention Theory shapes a lot of the interventions undertaken within this team.  This is due to the impact of working with families who are in crisis and need a rapid response to ensure outcomes are met and Safeguarding is prioritised within complex cases.      </w:t>
            </w:r>
          </w:p>
          <w:p w14:paraId="13A53839" w14:textId="77777777" w:rsidR="00975331" w:rsidRDefault="00975331" w:rsidP="00975331">
            <w:pPr>
              <w:spacing w:line="360" w:lineRule="auto"/>
              <w:jc w:val="both"/>
              <w:rPr>
                <w:sz w:val="24"/>
                <w:szCs w:val="24"/>
              </w:rPr>
            </w:pPr>
          </w:p>
          <w:p w14:paraId="446AAEE9" w14:textId="77777777" w:rsidR="00975331" w:rsidRDefault="00975331" w:rsidP="00975331">
            <w:pPr>
              <w:spacing w:line="360" w:lineRule="auto"/>
              <w:jc w:val="both"/>
              <w:rPr>
                <w:sz w:val="24"/>
                <w:szCs w:val="24"/>
              </w:rPr>
            </w:pPr>
            <w:r>
              <w:rPr>
                <w:sz w:val="24"/>
                <w:szCs w:val="24"/>
              </w:rPr>
              <w:t>This case study provides me with an excellent chance to critically reflect upon my own practice.  I feel, due to my team’s role within initial assessment, I haven’t had a chance to engage previously with a case that has required a Safeguarding response in this way.  I feel, it has helped improve my confidence, showing the theoretical and practical understanding I have gained from my training.  This has allowed me to fully understand and engage with the process, ensuring 1 was correctly safeguarded; with decisions taken to maximise her control, understanding and engagement.  Thanks to regular supervision and reflection upon previous practice experiences, I was more comfortable than I may have been to exercise my professional judgement in this case.  In turn, further reflection and supervision will allow me to take this experience, building upon it to enable me to apply my professional judgement in future, more complex cases (</w:t>
            </w:r>
            <w:r w:rsidRPr="00E73944">
              <w:rPr>
                <w:sz w:val="24"/>
                <w:szCs w:val="24"/>
              </w:rPr>
              <w:t>Taylor, 2017)</w:t>
            </w:r>
            <w:r>
              <w:rPr>
                <w:sz w:val="24"/>
                <w:szCs w:val="24"/>
              </w:rPr>
              <w:t xml:space="preserve">.  This is underpinned by the recognition I must continue to build my professional knowledge of theories and ethics.  The British Association of Social Workers (2014) code of ethics requires us to support, empower and protect those we work with.  To ensure we do this we must ensure our practice remains honest, we are reliable, doing what we say we will to build trust with those we work with.  To do this, I ensured 1 was able to understand the assessment process and could tell us, in her own words, her concerns and the allegations she wished to make (SCW 2011 &amp; SCW 2017a).  Through engagement with the professionals within the Safeguarding team and the Managers at the </w:t>
            </w:r>
            <w:r>
              <w:rPr>
                <w:sz w:val="24"/>
                <w:szCs w:val="24"/>
              </w:rPr>
              <w:lastRenderedPageBreak/>
              <w:t xml:space="preserve">placement, I was able to display that I can work collaboratively.  I was able to obtain the required information to complete my assessment and to objectively, dispassionately relay that to others (SCW 2017b).  </w:t>
            </w:r>
          </w:p>
          <w:p w14:paraId="4BC4F011" w14:textId="77777777" w:rsidR="00975331" w:rsidRDefault="00975331" w:rsidP="00975331">
            <w:pPr>
              <w:spacing w:line="360" w:lineRule="auto"/>
              <w:jc w:val="both"/>
              <w:rPr>
                <w:sz w:val="24"/>
                <w:szCs w:val="24"/>
              </w:rPr>
            </w:pPr>
          </w:p>
          <w:p w14:paraId="5D3AAAB2" w14:textId="77777777" w:rsidR="00975331" w:rsidRDefault="00975331" w:rsidP="00975331">
            <w:pPr>
              <w:spacing w:line="360" w:lineRule="auto"/>
              <w:jc w:val="both"/>
              <w:rPr>
                <w:sz w:val="24"/>
                <w:szCs w:val="24"/>
              </w:rPr>
            </w:pPr>
            <w:r>
              <w:rPr>
                <w:sz w:val="24"/>
                <w:szCs w:val="24"/>
              </w:rPr>
              <w:t xml:space="preserve">I did have concerns in relation to my lack of experience.  I was worried I would not be able to capture the detail required by the Safeguarding Team and that when recording this could be present within my written assessment.  To that end, using Kolb, (2015) within supervision allowed my reflection to have meaning, giving shape to further development of my practice and helping inform my analysis within the written assessment.   I have been fortunate in other cases to be commended for the level of analysis within my assessments.  Indeed, assessments I have completed have been used as an exemplar for other members of the team.  However, as this was my first Safeguarding experience, I made sure to discuss </w:t>
            </w:r>
            <w:bookmarkStart w:id="0" w:name="_GoBack"/>
            <w:bookmarkEnd w:id="0"/>
            <w:r>
              <w:rPr>
                <w:sz w:val="24"/>
                <w:szCs w:val="24"/>
              </w:rPr>
              <w:t xml:space="preserve">progress with my supervisor in both formal and informal supervision.  Analysis is central to everyday social work practice, it is an ongoing process without which, we would be unable to make sound decisions or determine the best method for engaging with citizens (Koubel, 2013).  </w:t>
            </w:r>
          </w:p>
          <w:p w14:paraId="2EB3456F" w14:textId="77777777" w:rsidR="00975331" w:rsidRDefault="00975331" w:rsidP="00975331">
            <w:pPr>
              <w:spacing w:line="360" w:lineRule="auto"/>
              <w:jc w:val="both"/>
              <w:rPr>
                <w:sz w:val="24"/>
                <w:szCs w:val="24"/>
              </w:rPr>
            </w:pPr>
          </w:p>
          <w:p w14:paraId="2E7B73D7" w14:textId="77777777" w:rsidR="00975331" w:rsidRDefault="00975331" w:rsidP="00975331">
            <w:pPr>
              <w:spacing w:line="360" w:lineRule="auto"/>
              <w:jc w:val="both"/>
              <w:rPr>
                <w:sz w:val="24"/>
                <w:szCs w:val="24"/>
              </w:rPr>
            </w:pPr>
            <w:r>
              <w:rPr>
                <w:sz w:val="24"/>
                <w:szCs w:val="24"/>
              </w:rPr>
              <w:t xml:space="preserve">In conclusion, working with the individual, and using supervision and discussion with the other professionals engaged with 1, I was able to shape my views and analyse the case accurately to allow for a succinct and accurate assessment to be completed.  This is important within our assessments to allow future engagement to have a sound knowledge base and previous interventions to be known/understood.  Such collaborative working further helps to build resilience within practice.  Social workers can face extremely stressful situations and as a profession, along with other health and social care professionals, can suffer with work-related depression and anxiety.   To support staff, the team I am in has regular supervision and an active support network utilising both traditional and non-traditional means to communicate with each other further helping to build resilience within our practice (Niven, 2014).  </w:t>
            </w:r>
          </w:p>
          <w:p w14:paraId="59114114" w14:textId="77777777" w:rsidR="00975331" w:rsidRDefault="00975331" w:rsidP="00FF7EBB">
            <w:pPr>
              <w:jc w:val="both"/>
              <w:rPr>
                <w:i/>
                <w:sz w:val="24"/>
                <w:szCs w:val="24"/>
              </w:rPr>
            </w:pPr>
          </w:p>
          <w:p w14:paraId="681A08C0" w14:textId="183C25FD" w:rsidR="00902C8F" w:rsidRDefault="00902C8F" w:rsidP="00FF7EBB">
            <w:pPr>
              <w:jc w:val="both"/>
              <w:rPr>
                <w:iCs/>
                <w:sz w:val="24"/>
                <w:szCs w:val="24"/>
              </w:rPr>
            </w:pPr>
          </w:p>
          <w:p w14:paraId="5C222972" w14:textId="01FDEC9B" w:rsidR="00D3203C" w:rsidRDefault="00975331" w:rsidP="00FF7EBB">
            <w:pPr>
              <w:jc w:val="both"/>
              <w:rPr>
                <w:i/>
                <w:sz w:val="24"/>
                <w:szCs w:val="24"/>
              </w:rPr>
            </w:pPr>
            <w:r>
              <w:rPr>
                <w:iCs/>
                <w:sz w:val="24"/>
                <w:szCs w:val="24"/>
              </w:rPr>
              <w:t>(4392</w:t>
            </w:r>
            <w:r w:rsidR="00902C8F">
              <w:rPr>
                <w:iCs/>
                <w:sz w:val="24"/>
                <w:szCs w:val="24"/>
              </w:rPr>
              <w:t xml:space="preserve"> Words)</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3C89B1" w14:textId="77777777" w:rsidR="006D7F40" w:rsidRDefault="006D7F40">
      <w:r>
        <w:separator/>
      </w:r>
    </w:p>
  </w:endnote>
  <w:endnote w:type="continuationSeparator" w:id="0">
    <w:p w14:paraId="75024221" w14:textId="77777777" w:rsidR="006D7F40" w:rsidRDefault="006D7F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F3E3089" w:rsidR="00A5656A" w:rsidRDefault="00A5656A">
    <w:pPr>
      <w:pStyle w:val="Footer"/>
      <w:jc w:val="right"/>
    </w:pPr>
    <w:r>
      <w:fldChar w:fldCharType="begin"/>
    </w:r>
    <w:r>
      <w:instrText xml:space="preserve"> PAGE   \* MERGEFORMAT </w:instrText>
    </w:r>
    <w:r>
      <w:fldChar w:fldCharType="separate"/>
    </w:r>
    <w:r w:rsidR="00975331">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8D05CA" w14:textId="77777777" w:rsidR="006D7F40" w:rsidRDefault="006D7F40">
      <w:r>
        <w:separator/>
      </w:r>
    </w:p>
  </w:footnote>
  <w:footnote w:type="continuationSeparator" w:id="0">
    <w:p w14:paraId="0F9BFC3C" w14:textId="77777777" w:rsidR="006D7F40" w:rsidRDefault="006D7F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57B0"/>
    <w:rsid w:val="006D18A3"/>
    <w:rsid w:val="006D5970"/>
    <w:rsid w:val="006D7F4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2C8F"/>
    <w:rsid w:val="00903932"/>
    <w:rsid w:val="009079BD"/>
    <w:rsid w:val="00912BD9"/>
    <w:rsid w:val="00916FB2"/>
    <w:rsid w:val="00920E5B"/>
    <w:rsid w:val="00926436"/>
    <w:rsid w:val="00926C53"/>
    <w:rsid w:val="0093018C"/>
    <w:rsid w:val="0094495F"/>
    <w:rsid w:val="0095273D"/>
    <w:rsid w:val="009544C0"/>
    <w:rsid w:val="00954FA4"/>
    <w:rsid w:val="00956AE9"/>
    <w:rsid w:val="00964CC6"/>
    <w:rsid w:val="00967BFA"/>
    <w:rsid w:val="0097533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2E8"/>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B3001F30-7210-4B14-919A-E1D59BF4E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4299</Words>
  <Characters>24506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Timothy Holt</cp:lastModifiedBy>
  <cp:revision>2</cp:revision>
  <cp:lastPrinted>2020-02-11T19:20:00Z</cp:lastPrinted>
  <dcterms:created xsi:type="dcterms:W3CDTF">2023-02-23T23:52:00Z</dcterms:created>
  <dcterms:modified xsi:type="dcterms:W3CDTF">2023-02-23T23:52:00Z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