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9E663" w14:textId="77777777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Peter owned 100% of the equity share capital of Sharon, a </w:t>
      </w:r>
      <w:proofErr w:type="gramStart"/>
      <w:r w:rsidRPr="000720CA">
        <w:rPr>
          <w:sz w:val="32"/>
          <w:szCs w:val="32"/>
        </w:rPr>
        <w:t>wholly-owned</w:t>
      </w:r>
      <w:proofErr w:type="gramEnd"/>
      <w:r w:rsidRPr="000720CA">
        <w:rPr>
          <w:sz w:val="32"/>
          <w:szCs w:val="32"/>
        </w:rPr>
        <w:t xml:space="preserve"> subsidiary. The assets at the reporting date of Sharon were as follows:</w:t>
      </w:r>
    </w:p>
    <w:p w14:paraId="1D873385" w14:textId="77777777" w:rsidR="000720CA" w:rsidRDefault="000720CA">
      <w:pPr>
        <w:rPr>
          <w:sz w:val="32"/>
          <w:szCs w:val="32"/>
        </w:rPr>
      </w:pPr>
    </w:p>
    <w:p w14:paraId="5F0F537F" w14:textId="77777777" w:rsidR="000720CA" w:rsidRDefault="000720CA" w:rsidP="000720CA">
      <w:pPr>
        <w:ind w:left="2880" w:firstLine="720"/>
        <w:rPr>
          <w:sz w:val="32"/>
          <w:szCs w:val="32"/>
        </w:rPr>
      </w:pPr>
      <w:r w:rsidRPr="000720CA">
        <w:rPr>
          <w:sz w:val="32"/>
          <w:szCs w:val="32"/>
        </w:rPr>
        <w:t xml:space="preserve"> $’000 </w:t>
      </w:r>
    </w:p>
    <w:p w14:paraId="147E8DD6" w14:textId="23636F9E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Goodwill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20CA">
        <w:rPr>
          <w:sz w:val="32"/>
          <w:szCs w:val="32"/>
        </w:rPr>
        <w:t>2,400</w:t>
      </w:r>
    </w:p>
    <w:p w14:paraId="5931AED3" w14:textId="7D131001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 Buildings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20CA">
        <w:rPr>
          <w:sz w:val="32"/>
          <w:szCs w:val="32"/>
        </w:rPr>
        <w:t>6,000</w:t>
      </w:r>
    </w:p>
    <w:p w14:paraId="0FB0EB79" w14:textId="18E1EF99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 Plant and equipment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20CA">
        <w:rPr>
          <w:sz w:val="32"/>
          <w:szCs w:val="32"/>
        </w:rPr>
        <w:t>5,200</w:t>
      </w:r>
    </w:p>
    <w:p w14:paraId="4D987505" w14:textId="6B6D3636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 Other intangibles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20CA">
        <w:rPr>
          <w:sz w:val="32"/>
          <w:szCs w:val="32"/>
        </w:rPr>
        <w:t>2,000</w:t>
      </w:r>
    </w:p>
    <w:p w14:paraId="3CDB2E6F" w14:textId="52EC185A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 Receivables and cash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20CA">
        <w:rPr>
          <w:sz w:val="32"/>
          <w:szCs w:val="32"/>
        </w:rPr>
        <w:t>1,400</w:t>
      </w:r>
    </w:p>
    <w:p w14:paraId="3D80E67C" w14:textId="6E82F389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720CA">
        <w:rPr>
          <w:sz w:val="32"/>
          <w:szCs w:val="32"/>
        </w:rPr>
        <w:t>17,000</w:t>
      </w:r>
    </w:p>
    <w:p w14:paraId="2F1594F2" w14:textId="77777777" w:rsidR="000720CA" w:rsidRDefault="000720CA">
      <w:pPr>
        <w:rPr>
          <w:sz w:val="32"/>
          <w:szCs w:val="32"/>
        </w:rPr>
      </w:pPr>
    </w:p>
    <w:p w14:paraId="2F73FA46" w14:textId="77777777" w:rsid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 xml:space="preserve"> On the reporting date a fire within one of Sharon’s buildings led to an impairment review being carried out. The recoverable amount of the business was determined to be $9.8 million. The fire destroyed some plant and equipment with a carrying value of $1.2 million and there was no option but to scrap it. The other intangibles consist of a licence to operate Sharon’s plant and equipment. Following the scrapping of some of the plant and equipment a competitor offered to purchase the patent for $1.5 million. The receivable and cash are both stated at their realisable value and do not require impairment. </w:t>
      </w:r>
    </w:p>
    <w:p w14:paraId="5079351C" w14:textId="77777777" w:rsidR="000720CA" w:rsidRDefault="000720CA">
      <w:pPr>
        <w:rPr>
          <w:sz w:val="32"/>
          <w:szCs w:val="32"/>
        </w:rPr>
      </w:pPr>
    </w:p>
    <w:p w14:paraId="46408E8E" w14:textId="54F75148" w:rsidR="00632CC1" w:rsidRPr="000720CA" w:rsidRDefault="000720CA">
      <w:pPr>
        <w:rPr>
          <w:sz w:val="32"/>
          <w:szCs w:val="32"/>
        </w:rPr>
      </w:pPr>
      <w:r w:rsidRPr="000720CA">
        <w:rPr>
          <w:sz w:val="32"/>
          <w:szCs w:val="32"/>
        </w:rPr>
        <w:t>Show how the impairment loss in Sharon is allocated amongst the assets</w:t>
      </w:r>
    </w:p>
    <w:sectPr w:rsidR="00632CC1" w:rsidRPr="00072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0CA"/>
    <w:rsid w:val="000720CA"/>
    <w:rsid w:val="0007510F"/>
    <w:rsid w:val="0063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AE90"/>
  <w15:chartTrackingRefBased/>
  <w15:docId w15:val="{F1DF6DD8-08A7-4953-8656-B3CBBCD4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1</cp:revision>
  <dcterms:created xsi:type="dcterms:W3CDTF">2023-11-16T10:08:00Z</dcterms:created>
  <dcterms:modified xsi:type="dcterms:W3CDTF">2023-11-16T10:10:00Z</dcterms:modified>
</cp:coreProperties>
</file>