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71690E" w14:textId="01D8D102" w:rsidR="000B743B" w:rsidRDefault="009A6BEF" w:rsidP="009A6BEF">
      <w:pPr>
        <w:jc w:val="center"/>
        <w:rPr>
          <w:lang w:bidi="ur-PK"/>
        </w:rPr>
      </w:pPr>
      <w:r w:rsidRPr="009A6BEF">
        <w:rPr>
          <w:noProof/>
          <w:lang w:bidi="ur-PK"/>
        </w:rPr>
        <w:drawing>
          <wp:inline distT="0" distB="0" distL="0" distR="0" wp14:anchorId="75D6E508" wp14:editId="501D63A9">
            <wp:extent cx="4953000" cy="1384300"/>
            <wp:effectExtent l="0" t="0" r="0" b="0"/>
            <wp:docPr id="4736209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62097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0CFD0" w14:textId="77777777" w:rsidR="009A6BEF" w:rsidRDefault="009A6BEF" w:rsidP="009A6BEF">
      <w:pPr>
        <w:jc w:val="center"/>
        <w:rPr>
          <w:lang w:bidi="ur-PK"/>
        </w:rPr>
      </w:pPr>
    </w:p>
    <w:p w14:paraId="5DBE1143" w14:textId="37B185BF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Methods and Search Strategy Academic Poster</w:t>
      </w:r>
    </w:p>
    <w:p w14:paraId="45AB938B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02F42F95" w14:textId="77777777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5FA90C9B" w14:textId="4D364275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Student name:</w:t>
      </w:r>
      <w:r w:rsidR="006F1A8D">
        <w:rPr>
          <w:b/>
          <w:bCs/>
          <w:sz w:val="32"/>
          <w:szCs w:val="32"/>
          <w:lang w:bidi="ur-PK"/>
        </w:rPr>
        <w:t xml:space="preserve"> </w:t>
      </w:r>
      <w:r w:rsidR="006F1A8D" w:rsidRPr="006F1A8D">
        <w:rPr>
          <w:b/>
          <w:bCs/>
          <w:sz w:val="32"/>
          <w:szCs w:val="32"/>
          <w:lang w:bidi="ur-PK"/>
        </w:rPr>
        <w:t>Saireen Mahmood</w:t>
      </w:r>
    </w:p>
    <w:p w14:paraId="7F3C2455" w14:textId="0BD1163F" w:rsidR="009A6BEF" w:rsidRPr="009A6BEF" w:rsidRDefault="009A6BEF" w:rsidP="00FC632D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Student ID:</w:t>
      </w:r>
      <w:r w:rsidR="006F1A8D">
        <w:rPr>
          <w:b/>
          <w:bCs/>
          <w:sz w:val="32"/>
          <w:szCs w:val="32"/>
          <w:lang w:bidi="ur-PK"/>
        </w:rPr>
        <w:t xml:space="preserve"> </w:t>
      </w:r>
      <w:r w:rsidR="006F1A8D" w:rsidRPr="006F1A8D">
        <w:rPr>
          <w:b/>
          <w:bCs/>
          <w:sz w:val="32"/>
          <w:szCs w:val="32"/>
          <w:lang w:bidi="ur-PK"/>
        </w:rPr>
        <w:t xml:space="preserve">2238897 </w:t>
      </w:r>
    </w:p>
    <w:p w14:paraId="33CCC4A9" w14:textId="74675CD3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Module name:</w:t>
      </w:r>
      <w:r w:rsidR="00FC632D">
        <w:rPr>
          <w:b/>
          <w:bCs/>
          <w:sz w:val="32"/>
          <w:szCs w:val="32"/>
          <w:lang w:bidi="ur-PK"/>
        </w:rPr>
        <w:t xml:space="preserve"> </w:t>
      </w:r>
      <w:r w:rsidR="00FC632D" w:rsidRPr="00FC632D">
        <w:rPr>
          <w:b/>
          <w:bCs/>
          <w:sz w:val="32"/>
          <w:szCs w:val="32"/>
          <w:lang w:bidi="ur-PK"/>
        </w:rPr>
        <w:t>Independent Project</w:t>
      </w:r>
    </w:p>
    <w:p w14:paraId="59D96F97" w14:textId="62E679B3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  <w:r w:rsidRPr="009A6BEF">
        <w:rPr>
          <w:b/>
          <w:bCs/>
          <w:sz w:val="32"/>
          <w:szCs w:val="32"/>
          <w:lang w:bidi="ur-PK"/>
        </w:rPr>
        <w:t>Module code</w:t>
      </w:r>
      <w:r w:rsidR="00FC632D">
        <w:rPr>
          <w:b/>
          <w:bCs/>
          <w:sz w:val="32"/>
          <w:szCs w:val="32"/>
          <w:lang w:bidi="ur-PK"/>
        </w:rPr>
        <w:t xml:space="preserve">: </w:t>
      </w:r>
      <w:r w:rsidR="00FC632D" w:rsidRPr="00FC632D">
        <w:rPr>
          <w:b/>
          <w:bCs/>
          <w:sz w:val="32"/>
          <w:szCs w:val="32"/>
          <w:lang w:bidi="ur-PK"/>
        </w:rPr>
        <w:t>BMHP6020</w:t>
      </w:r>
    </w:p>
    <w:p w14:paraId="768B3837" w14:textId="372B563A" w:rsidR="00FC632D" w:rsidRDefault="00FC632D" w:rsidP="009A6BEF">
      <w:pPr>
        <w:jc w:val="center"/>
        <w:rPr>
          <w:b/>
          <w:bCs/>
          <w:sz w:val="32"/>
          <w:szCs w:val="32"/>
          <w:lang w:bidi="ur-PK"/>
        </w:rPr>
      </w:pPr>
      <w:r w:rsidRPr="00FC632D">
        <w:rPr>
          <w:b/>
          <w:bCs/>
          <w:sz w:val="32"/>
          <w:szCs w:val="32"/>
          <w:lang w:bidi="ur-PK"/>
        </w:rPr>
        <w:t>Lecturer: Chloe Harries</w:t>
      </w:r>
    </w:p>
    <w:p w14:paraId="6BF3BF04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27289922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76C7FD96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66CA5746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6D0A6AE7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025BD98E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  <w:sectPr w:rsidR="009A6BE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FB15D79" w14:textId="14AC8CDA" w:rsidR="009A6BEF" w:rsidRPr="003D3396" w:rsidRDefault="00250B82" w:rsidP="009A6BEF">
      <w:pPr>
        <w:jc w:val="center"/>
        <w:rPr>
          <w:b/>
          <w:bCs/>
          <w:sz w:val="28"/>
          <w:szCs w:val="28"/>
        </w:rPr>
      </w:pPr>
      <w:r w:rsidRPr="003D3396">
        <w:rPr>
          <w:b/>
          <w:bCs/>
          <w:sz w:val="28"/>
          <w:szCs w:val="28"/>
        </w:rPr>
        <w:lastRenderedPageBreak/>
        <w:t>The Impact of Socioeconomic Status on Access to Health and Social Care Services in Urban and Rural Communities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898"/>
        <w:gridCol w:w="7050"/>
      </w:tblGrid>
      <w:tr w:rsidR="00250B82" w14:paraId="2F45DEB6" w14:textId="77777777" w:rsidTr="003D3396">
        <w:tc>
          <w:tcPr>
            <w:tcW w:w="6974" w:type="dxa"/>
            <w:shd w:val="clear" w:color="auto" w:fill="F2CEED" w:themeFill="accent5" w:themeFillTint="33"/>
          </w:tcPr>
          <w:p w14:paraId="234BB4DD" w14:textId="07AF2E09" w:rsidR="00250B82" w:rsidRDefault="00250B82" w:rsidP="009A6BEF">
            <w:pPr>
              <w:jc w:val="center"/>
              <w:rPr>
                <w:b/>
                <w:bCs/>
                <w:sz w:val="32"/>
                <w:szCs w:val="32"/>
                <w:lang w:bidi="ur-PK"/>
              </w:rPr>
            </w:pPr>
            <w:r>
              <w:rPr>
                <w:rStyle w:val="Strong"/>
              </w:rPr>
              <w:t>Introduction and Research Aim</w:t>
            </w:r>
            <w:r>
              <w:br/>
              <w:t xml:space="preserve">This poster summarises the </w:t>
            </w:r>
            <w:r w:rsidRPr="009D2C12">
              <w:rPr>
                <w:rStyle w:val="Strong"/>
                <w:b w:val="0"/>
                <w:bCs w:val="0"/>
              </w:rPr>
              <w:t>Methods</w:t>
            </w:r>
            <w:r>
              <w:t xml:space="preserve"> chapter for a desk-based </w:t>
            </w:r>
            <w:r w:rsidRPr="009D2C12">
              <w:rPr>
                <w:rStyle w:val="Strong"/>
                <w:b w:val="0"/>
                <w:bCs w:val="0"/>
              </w:rPr>
              <w:t>systematic literature review (secondary research)</w:t>
            </w:r>
            <w:r w:rsidRPr="009D2C12">
              <w:rPr>
                <w:b/>
                <w:bCs/>
              </w:rPr>
              <w:t>,</w:t>
            </w:r>
            <w:r>
              <w:t xml:space="preserve"> using existing studies and policy evidence rather than collecting new data. </w:t>
            </w:r>
            <w:r>
              <w:br/>
            </w:r>
            <w:r>
              <w:rPr>
                <w:rStyle w:val="Strong"/>
              </w:rPr>
              <w:t>Aim:</w:t>
            </w:r>
            <w:r>
              <w:t xml:space="preserve"> To examine how socioeconomic status (income, education, occupation and deprivation) shapes access to health and social care across urban and rural communities.</w:t>
            </w:r>
          </w:p>
        </w:tc>
        <w:tc>
          <w:tcPr>
            <w:tcW w:w="6974" w:type="dxa"/>
            <w:shd w:val="clear" w:color="auto" w:fill="D9F2D0" w:themeFill="accent6" w:themeFillTint="33"/>
          </w:tcPr>
          <w:p w14:paraId="2A663D2E" w14:textId="56C3365C" w:rsidR="00250B82" w:rsidRDefault="00250B82" w:rsidP="009A6BEF">
            <w:pPr>
              <w:jc w:val="center"/>
              <w:rPr>
                <w:b/>
                <w:bCs/>
                <w:sz w:val="32"/>
                <w:szCs w:val="32"/>
                <w:lang w:bidi="ur-PK"/>
              </w:rPr>
            </w:pPr>
            <w:r>
              <w:rPr>
                <w:rStyle w:val="Strong"/>
              </w:rPr>
              <w:t>Search Strategy</w:t>
            </w:r>
            <w:r>
              <w:br/>
              <w:t xml:space="preserve">A </w:t>
            </w:r>
            <w:r w:rsidRPr="009D2C12">
              <w:rPr>
                <w:rStyle w:val="Strong"/>
                <w:b w:val="0"/>
                <w:bCs w:val="0"/>
              </w:rPr>
              <w:t>search strategy</w:t>
            </w:r>
            <w:r>
              <w:t xml:space="preserve"> is an organised plan of key concepts and terms combined to retrieve relevant evidence from databases. </w:t>
            </w:r>
            <w:r>
              <w:br/>
              <w:t>I translated the title into concepts (</w:t>
            </w:r>
            <w:r w:rsidRPr="009D2C12">
              <w:rPr>
                <w:rStyle w:val="Strong"/>
                <w:b w:val="0"/>
                <w:bCs w:val="0"/>
              </w:rPr>
              <w:t>SES + access/utilisation + urban/rural</w:t>
            </w:r>
            <w:r>
              <w:t>), generated synonyms, and used Boolean operators to refine results.</w:t>
            </w:r>
          </w:p>
        </w:tc>
      </w:tr>
      <w:tr w:rsidR="00250B82" w14:paraId="4F7AF16D" w14:textId="77777777" w:rsidTr="003D3396">
        <w:tc>
          <w:tcPr>
            <w:tcW w:w="13948" w:type="dxa"/>
            <w:gridSpan w:val="2"/>
            <w:shd w:val="clear" w:color="auto" w:fill="FAE2D5" w:themeFill="accent2" w:themeFillTint="33"/>
          </w:tcPr>
          <w:p w14:paraId="4C2852A1" w14:textId="77777777" w:rsidR="00250B82" w:rsidRDefault="00250B82" w:rsidP="00250B82">
            <w:pPr>
              <w:pStyle w:val="NormalWeb"/>
              <w:jc w:val="center"/>
            </w:pPr>
            <w:r>
              <w:rPr>
                <w:rStyle w:val="Strong"/>
                <w:rFonts w:eastAsiaTheme="majorEastAsia"/>
              </w:rPr>
              <w:t>Searching for Information</w:t>
            </w:r>
          </w:p>
          <w:p w14:paraId="3E68A47C" w14:textId="4AB17CA2" w:rsidR="00250B82" w:rsidRDefault="00250B82" w:rsidP="00250B82">
            <w:pPr>
              <w:pStyle w:val="NormalWeb"/>
              <w:rPr>
                <w:b/>
                <w:bCs/>
                <w:sz w:val="32"/>
                <w:szCs w:val="32"/>
                <w:lang w:bidi="ur-PK"/>
              </w:rPr>
            </w:pPr>
            <w:r>
              <w:rPr>
                <w:b/>
                <w:bCs/>
                <w:noProof/>
                <w:sz w:val="32"/>
                <w:szCs w:val="32"/>
                <w:lang w:bidi="ur-PK"/>
                <w14:ligatures w14:val="standardContextual"/>
              </w:rPr>
              <w:drawing>
                <wp:inline distT="0" distB="0" distL="0" distR="0" wp14:anchorId="16073E27" wp14:editId="013765DA">
                  <wp:extent cx="8774724" cy="1151890"/>
                  <wp:effectExtent l="38100" t="0" r="45720" b="0"/>
                  <wp:docPr id="182915779" name="Diagram 1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9" r:lo="rId10" r:qs="rId11" r:cs="rId12"/>
                    </a:graphicData>
                  </a:graphic>
                </wp:inline>
              </w:drawing>
            </w:r>
          </w:p>
        </w:tc>
      </w:tr>
      <w:tr w:rsidR="00250B82" w14:paraId="6D910412" w14:textId="77777777" w:rsidTr="003D3396">
        <w:tc>
          <w:tcPr>
            <w:tcW w:w="13948" w:type="dxa"/>
            <w:gridSpan w:val="2"/>
            <w:shd w:val="clear" w:color="auto" w:fill="DAE9F7" w:themeFill="text2" w:themeFillTint="1A"/>
          </w:tcPr>
          <w:p w14:paraId="6FC4F829" w14:textId="00F03526" w:rsidR="00264E5C" w:rsidRPr="003D3396" w:rsidRDefault="003D3396" w:rsidP="00264E5C">
            <w:pPr>
              <w:pStyle w:val="NormalWeb"/>
              <w:jc w:val="right"/>
              <w:rPr>
                <w:sz w:val="18"/>
                <w:szCs w:val="18"/>
              </w:rPr>
            </w:pPr>
            <w:r w:rsidRPr="003D3396">
              <w:rPr>
                <w:noProof/>
                <w:sz w:val="18"/>
                <w:szCs w:val="18"/>
              </w:rPr>
              <w:drawing>
                <wp:anchor distT="0" distB="0" distL="114300" distR="114300" simplePos="0" relativeHeight="251660288" behindDoc="1" locked="0" layoutInCell="1" allowOverlap="1" wp14:anchorId="60C077B8" wp14:editId="19FC789B">
                  <wp:simplePos x="0" y="0"/>
                  <wp:positionH relativeFrom="column">
                    <wp:posOffset>4599305</wp:posOffset>
                  </wp:positionH>
                  <wp:positionV relativeFrom="paragraph">
                    <wp:posOffset>158115</wp:posOffset>
                  </wp:positionV>
                  <wp:extent cx="3575685" cy="1779905"/>
                  <wp:effectExtent l="0" t="0" r="5715" b="0"/>
                  <wp:wrapTight wrapText="bothSides">
                    <wp:wrapPolygon edited="0">
                      <wp:start x="0" y="0"/>
                      <wp:lineTo x="0" y="21423"/>
                      <wp:lineTo x="21558" y="21423"/>
                      <wp:lineTo x="21558" y="0"/>
                      <wp:lineTo x="0" y="0"/>
                    </wp:wrapPolygon>
                  </wp:wrapTight>
                  <wp:docPr id="10119627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1962745" name="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75685" cy="1779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264E5C" w:rsidRPr="003D3396">
              <w:rPr>
                <w:b/>
                <w:bCs/>
                <w:noProof/>
                <w:sz w:val="18"/>
                <w:szCs w:val="18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0C262C4" wp14:editId="1A33A4DC">
                      <wp:simplePos x="0" y="0"/>
                      <wp:positionH relativeFrom="column">
                        <wp:posOffset>369557</wp:posOffset>
                      </wp:positionH>
                      <wp:positionV relativeFrom="paragraph">
                        <wp:posOffset>188846</wp:posOffset>
                      </wp:positionV>
                      <wp:extent cx="2617940" cy="1678488"/>
                      <wp:effectExtent l="0" t="0" r="11430" b="10795"/>
                      <wp:wrapNone/>
                      <wp:docPr id="1144687608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617940" cy="167848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368C6D9" w14:textId="69452D1E" w:rsidR="00264E5C" w:rsidRPr="00264E5C" w:rsidRDefault="00264E5C" w:rsidP="00264E5C">
                                  <w:pPr>
                                    <w:pStyle w:val="NormalWeb"/>
                                    <w:jc w:val="both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264E5C">
                                    <w:rPr>
                                      <w:sz w:val="20"/>
                                      <w:szCs w:val="20"/>
                                    </w:rPr>
                                    <w:t xml:space="preserve">The figure shows the percentage of patients reporting a ‘fairly good’ or ‘very good’ overall experience, stratified by Index of Multiple Deprivation (IMD) quintiles, highlighting persistent socioeconomic differences over time. Despite some narrowing since the 2022 peak, a clear socioeconomic gradient remains, with </w:t>
                                  </w:r>
                                  <w:r w:rsidRPr="00BE021C">
                                    <w:rPr>
                                      <w:rStyle w:val="Strong"/>
                                      <w:rFonts w:eastAsiaTheme="majorEastAsia"/>
                                      <w:b w:val="0"/>
                                      <w:bCs w:val="0"/>
                                      <w:sz w:val="20"/>
                                      <w:szCs w:val="20"/>
                                    </w:rPr>
                                    <w:t>79% satisfaction in the least deprived areas versus 72% in the most deprived areas in 2024</w:t>
                                  </w:r>
                                  <w:r w:rsidRPr="00BE021C">
                                    <w:rPr>
                                      <w:b/>
                                      <w:bCs/>
                                      <w:sz w:val="20"/>
                                      <w:szCs w:val="20"/>
                                    </w:rPr>
                                    <w:t>,</w:t>
                                  </w:r>
                                  <w:r w:rsidRPr="00264E5C">
                                    <w:rPr>
                                      <w:sz w:val="20"/>
                                      <w:szCs w:val="20"/>
                                    </w:rPr>
                                    <w:t xml:space="preserve"> mirroring the gap seen in 2017.</w:t>
                                  </w:r>
                                </w:p>
                                <w:p w14:paraId="158C6D6A" w14:textId="77777777" w:rsidR="00264E5C" w:rsidRDefault="00264E5C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w14:anchorId="20C262C4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29.1pt;margin-top:14.85pt;width:206.15pt;height:132.1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" fillcolor="white [3201]" strokeweight=".5pt">
                      <v:textbox>
                        <w:txbxContent>
                          <w:p w14:paraId="5368C6D9" w14:textId="69452D1E" w:rsidR="00264E5C" w:rsidRPr="00264E5C" w:rsidRDefault="00264E5C" w:rsidP="00264E5C">
                            <w:pPr>
                              <w:pStyle w:val="NormalWeb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264E5C">
                              <w:rPr>
                                <w:sz w:val="20"/>
                                <w:szCs w:val="20"/>
                              </w:rPr>
                              <w:t xml:space="preserve">The figure shows the percentage of patients reporting a ‘fairly good’ or ‘very good’ overall experience, stratified by Index of Multiple Deprivation (IMD) quintiles, highlighting persistent socioeconomic differences over time. Despite some narrowing since the 2022 peak, a clear socioeconomic gradient remains, with </w:t>
                            </w:r>
                            <w:r w:rsidRPr="00BE021C">
                              <w:rPr>
                                <w:rStyle w:val="Strong"/>
                                <w:rFonts w:eastAsiaTheme="majorEastAsia"/>
                                <w:b w:val="0"/>
                                <w:bCs w:val="0"/>
                                <w:sz w:val="20"/>
                                <w:szCs w:val="20"/>
                              </w:rPr>
                              <w:t>79% satisfaction in the least deprived areas versus 72% in the most deprived areas in 2024</w:t>
                            </w:r>
                            <w:r w:rsidRPr="00BE021C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,</w:t>
                            </w:r>
                            <w:r w:rsidRPr="00264E5C">
                              <w:rPr>
                                <w:sz w:val="20"/>
                                <w:szCs w:val="20"/>
                              </w:rPr>
                              <w:t xml:space="preserve"> mirroring the gap seen in 2017.</w:t>
                            </w:r>
                          </w:p>
                          <w:p w14:paraId="158C6D6A" w14:textId="77777777" w:rsidR="00264E5C" w:rsidRDefault="00264E5C"/>
                        </w:txbxContent>
                      </v:textbox>
                    </v:shape>
                  </w:pict>
                </mc:Fallback>
              </mc:AlternateContent>
            </w:r>
          </w:p>
          <w:p w14:paraId="44BB371C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0F4D6EE3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2A8885E5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66448CF4" w14:textId="77777777" w:rsidR="00264E5C" w:rsidRDefault="00264E5C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64ACC9B2" w14:textId="77777777" w:rsidR="003D3396" w:rsidRDefault="003D3396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22B664FC" w14:textId="77777777" w:rsidR="003D3396" w:rsidRDefault="003D3396" w:rsidP="00264E5C">
            <w:pPr>
              <w:pStyle w:val="NormalWeb"/>
              <w:jc w:val="right"/>
              <w:rPr>
                <w:b/>
                <w:bCs/>
                <w:sz w:val="18"/>
                <w:szCs w:val="18"/>
              </w:rPr>
            </w:pPr>
          </w:p>
          <w:p w14:paraId="34DB06AF" w14:textId="77777777" w:rsidR="00264E5C" w:rsidRDefault="003D3396" w:rsidP="003D3396">
            <w:pPr>
              <w:pStyle w:val="NormalWeb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 xml:space="preserve">                                                                                    </w:t>
            </w:r>
            <w:r w:rsidR="00264E5C" w:rsidRPr="00264E5C">
              <w:rPr>
                <w:b/>
                <w:bCs/>
                <w:sz w:val="18"/>
                <w:szCs w:val="18"/>
              </w:rPr>
              <w:t>Overall satisfaction with general practice in England by deprivation quintile (IMD), 2017–2024</w:t>
            </w:r>
            <w:r>
              <w:rPr>
                <w:b/>
                <w:bCs/>
                <w:sz w:val="18"/>
                <w:szCs w:val="18"/>
              </w:rPr>
              <w:t xml:space="preserve"> </w:t>
            </w:r>
            <w:r w:rsidRPr="003D3396">
              <w:rPr>
                <w:b/>
                <w:bCs/>
                <w:sz w:val="18"/>
                <w:szCs w:val="18"/>
              </w:rPr>
              <w:t>(Appel and Ford, 2024)</w:t>
            </w:r>
            <w:r w:rsidR="00264E5C">
              <w:rPr>
                <w:b/>
                <w:bCs/>
                <w:sz w:val="18"/>
                <w:szCs w:val="18"/>
              </w:rPr>
              <w:t xml:space="preserve">      </w:t>
            </w:r>
          </w:p>
          <w:p w14:paraId="174C84D8" w14:textId="3D777CD9" w:rsidR="003D3396" w:rsidRPr="003D3396" w:rsidRDefault="003D3396" w:rsidP="003D3396">
            <w:pPr>
              <w:pStyle w:val="NormalWeb"/>
              <w:rPr>
                <w:sz w:val="18"/>
                <w:szCs w:val="18"/>
              </w:rPr>
            </w:pPr>
          </w:p>
        </w:tc>
      </w:tr>
      <w:tr w:rsidR="00250B82" w14:paraId="6D395E4D" w14:textId="77777777" w:rsidTr="003D3396">
        <w:trPr>
          <w:trHeight w:val="1266"/>
        </w:trPr>
        <w:tc>
          <w:tcPr>
            <w:tcW w:w="13948" w:type="dxa"/>
            <w:gridSpan w:val="2"/>
            <w:shd w:val="clear" w:color="auto" w:fill="D9F2D0" w:themeFill="accent6" w:themeFillTint="33"/>
          </w:tcPr>
          <w:p w14:paraId="4035DBAD" w14:textId="1707CEA1" w:rsidR="00250B82" w:rsidRPr="003D3396" w:rsidRDefault="00250B82" w:rsidP="00264E5C">
            <w:pPr>
              <w:spacing w:line="276" w:lineRule="auto"/>
              <w:jc w:val="center"/>
              <w:rPr>
                <w:b/>
                <w:bCs/>
                <w:sz w:val="28"/>
                <w:szCs w:val="28"/>
                <w:lang w:bidi="ur-PK"/>
              </w:rPr>
            </w:pPr>
            <w:r w:rsidRPr="003D3396">
              <w:rPr>
                <w:rStyle w:val="Strong"/>
                <w:sz w:val="28"/>
                <w:szCs w:val="28"/>
              </w:rPr>
              <w:lastRenderedPageBreak/>
              <w:t>Research Validation and Analysis</w:t>
            </w:r>
            <w:r w:rsidRPr="003D3396">
              <w:rPr>
                <w:sz w:val="28"/>
                <w:szCs w:val="28"/>
              </w:rPr>
              <w:br/>
              <w:t xml:space="preserve">Validation means checking that evidence is credible and fit for purpose. </w:t>
            </w:r>
            <w:r w:rsidRPr="003D3396">
              <w:rPr>
                <w:rStyle w:val="Strong"/>
                <w:sz w:val="28"/>
                <w:szCs w:val="28"/>
              </w:rPr>
              <w:t>Validity</w:t>
            </w:r>
            <w:r w:rsidRPr="003D3396">
              <w:rPr>
                <w:sz w:val="28"/>
                <w:szCs w:val="28"/>
              </w:rPr>
              <w:t xml:space="preserve"> concerns accuracy; </w:t>
            </w:r>
            <w:r w:rsidRPr="003D3396">
              <w:rPr>
                <w:rStyle w:val="Strong"/>
                <w:sz w:val="28"/>
                <w:szCs w:val="28"/>
              </w:rPr>
              <w:t>reliability</w:t>
            </w:r>
            <w:r w:rsidRPr="003D3396">
              <w:rPr>
                <w:sz w:val="28"/>
                <w:szCs w:val="28"/>
              </w:rPr>
              <w:t xml:space="preserve"> concerns consistency. </w:t>
            </w:r>
            <w:r w:rsidRPr="003D3396">
              <w:rPr>
                <w:sz w:val="28"/>
                <w:szCs w:val="28"/>
              </w:rPr>
              <w:br/>
              <w:t>I appraised items for currency, relevance, authority and methodological clarity, prioritising peer-reviewed studies and reputable policy sources.</w:t>
            </w:r>
            <w:r w:rsidRPr="003D3396">
              <w:rPr>
                <w:sz w:val="28"/>
                <w:szCs w:val="28"/>
              </w:rPr>
              <w:br/>
            </w:r>
            <w:r w:rsidRPr="003D3396">
              <w:rPr>
                <w:rStyle w:val="Strong"/>
                <w:sz w:val="28"/>
                <w:szCs w:val="28"/>
              </w:rPr>
              <w:t>Analysis:</w:t>
            </w:r>
            <w:r w:rsidRPr="003D3396">
              <w:rPr>
                <w:sz w:val="28"/>
                <w:szCs w:val="28"/>
              </w:rPr>
              <w:t xml:space="preserve"> Braun &amp; Clarke thematic analysis was used to code findings and build themes explaining how SES and place shape access.</w:t>
            </w:r>
          </w:p>
        </w:tc>
      </w:tr>
      <w:tr w:rsidR="00250B82" w14:paraId="540D5590" w14:textId="77777777" w:rsidTr="003D3396">
        <w:tc>
          <w:tcPr>
            <w:tcW w:w="13948" w:type="dxa"/>
            <w:gridSpan w:val="2"/>
            <w:shd w:val="clear" w:color="auto" w:fill="FAE2D5" w:themeFill="accent2" w:themeFillTint="33"/>
          </w:tcPr>
          <w:p w14:paraId="21EFF51A" w14:textId="77777777" w:rsidR="00250B82" w:rsidRPr="003D3396" w:rsidRDefault="00250B82" w:rsidP="00264E5C">
            <w:pPr>
              <w:spacing w:line="276" w:lineRule="auto"/>
              <w:jc w:val="center"/>
              <w:rPr>
                <w:b/>
                <w:bCs/>
                <w:sz w:val="28"/>
                <w:szCs w:val="28"/>
                <w:lang w:bidi="ur-PK"/>
              </w:rPr>
            </w:pPr>
          </w:p>
          <w:tbl>
            <w:tblPr>
              <w:tblStyle w:val="GridTable2-Accent2"/>
              <w:tblW w:w="0" w:type="auto"/>
              <w:tblLook w:val="04A0" w:firstRow="1" w:lastRow="0" w:firstColumn="1" w:lastColumn="0" w:noHBand="0" w:noVBand="1"/>
            </w:tblPr>
            <w:tblGrid>
              <w:gridCol w:w="6861"/>
              <w:gridCol w:w="6861"/>
            </w:tblGrid>
            <w:tr w:rsidR="00250B82" w:rsidRPr="003D3396" w14:paraId="09A5EAC3" w14:textId="77777777" w:rsidTr="00264E5C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6861" w:type="dxa"/>
                </w:tcPr>
                <w:p w14:paraId="6203FB5A" w14:textId="677F94AE" w:rsidR="00250B82" w:rsidRPr="003D3396" w:rsidRDefault="00C83CCE" w:rsidP="00264E5C">
                  <w:pPr>
                    <w:spacing w:line="276" w:lineRule="auto"/>
                    <w:jc w:val="center"/>
                    <w:rPr>
                      <w:b w:val="0"/>
                      <w:bCs w:val="0"/>
                      <w:sz w:val="28"/>
                      <w:szCs w:val="28"/>
                      <w:lang w:bidi="ur-PK"/>
                    </w:rPr>
                  </w:pPr>
                  <w:r w:rsidRPr="003D3396">
                    <w:rPr>
                      <w:sz w:val="28"/>
                      <w:szCs w:val="28"/>
                    </w:rPr>
                    <w:t>Inclusion Criteria</w:t>
                  </w:r>
                </w:p>
              </w:tc>
              <w:tc>
                <w:tcPr>
                  <w:tcW w:w="6861" w:type="dxa"/>
                </w:tcPr>
                <w:p w14:paraId="4DCE97E4" w14:textId="201ABCD8" w:rsidR="00250B82" w:rsidRPr="003D3396" w:rsidRDefault="00C83CCE" w:rsidP="00264E5C">
                  <w:pPr>
                    <w:spacing w:line="276" w:lineRule="auto"/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b w:val="0"/>
                      <w:bCs w:val="0"/>
                      <w:sz w:val="28"/>
                      <w:szCs w:val="28"/>
                      <w:lang w:bidi="ur-PK"/>
                    </w:rPr>
                  </w:pPr>
                  <w:r w:rsidRPr="003D3396">
                    <w:rPr>
                      <w:sz w:val="28"/>
                      <w:szCs w:val="28"/>
                    </w:rPr>
                    <w:t>Exclusion Criteria</w:t>
                  </w:r>
                </w:p>
              </w:tc>
            </w:tr>
            <w:tr w:rsidR="00250B82" w:rsidRPr="003D3396" w14:paraId="63378FF3" w14:textId="77777777" w:rsidTr="00264E5C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6861" w:type="dxa"/>
                </w:tcPr>
                <w:p w14:paraId="653D5156" w14:textId="452C4BF5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SES-linked access/utilisation/barriers in health and/or social care</w:t>
                  </w:r>
                </w:p>
                <w:p w14:paraId="7C663DEF" w14:textId="244070CA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Urban and/or rural setting described</w:t>
                  </w:r>
                </w:p>
                <w:p w14:paraId="7962F707" w14:textId="5733BE10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Clear SES measures (income/education/occupation/deprivation)</w:t>
                  </w:r>
                </w:p>
                <w:p w14:paraId="64ABB576" w14:textId="770F4CFE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rPr>
                      <w:b w:val="0"/>
                      <w:bCs w:val="0"/>
                      <w:sz w:val="28"/>
                      <w:szCs w:val="28"/>
                    </w:rPr>
                  </w:pPr>
                  <w:r w:rsidRPr="003D3396">
                    <w:rPr>
                      <w:b w:val="0"/>
                      <w:bCs w:val="0"/>
                      <w:sz w:val="28"/>
                      <w:szCs w:val="28"/>
                    </w:rPr>
                    <w:t>English; mainly last 10–15 years; accessible full text</w:t>
                  </w:r>
                </w:p>
                <w:p w14:paraId="3D2BE1A7" w14:textId="77777777" w:rsidR="00250B82" w:rsidRPr="003D3396" w:rsidRDefault="00250B82" w:rsidP="00264E5C">
                  <w:pPr>
                    <w:spacing w:line="276" w:lineRule="auto"/>
                    <w:jc w:val="center"/>
                    <w:rPr>
                      <w:b w:val="0"/>
                      <w:bCs w:val="0"/>
                      <w:sz w:val="28"/>
                      <w:szCs w:val="28"/>
                      <w:lang w:bidi="ur-PK"/>
                    </w:rPr>
                  </w:pPr>
                </w:p>
              </w:tc>
              <w:tc>
                <w:tcPr>
                  <w:tcW w:w="6861" w:type="dxa"/>
                </w:tcPr>
                <w:p w14:paraId="706D45DF" w14:textId="3C8C4752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No SES or no access focus</w:t>
                  </w:r>
                </w:p>
                <w:p w14:paraId="2B1E82A9" w14:textId="6C98E27D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Unclear setting or SES proxy</w:t>
                  </w:r>
                </w:p>
                <w:p w14:paraId="4C87509B" w14:textId="4035BD1C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Editorials/blogs/non-empirical commentary; low-credibility websites</w:t>
                  </w:r>
                </w:p>
                <w:p w14:paraId="7E2C2186" w14:textId="68A4C3FF" w:rsidR="00C83CCE" w:rsidRPr="003D3396" w:rsidRDefault="00C83CCE" w:rsidP="003D3396">
                  <w:pPr>
                    <w:pStyle w:val="NormalWeb"/>
                    <w:numPr>
                      <w:ilvl w:val="0"/>
                      <w:numId w:val="3"/>
                    </w:numPr>
                    <w:spacing w:line="276" w:lineRule="auto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sz w:val="28"/>
                      <w:szCs w:val="28"/>
                    </w:rPr>
                  </w:pPr>
                  <w:r w:rsidRPr="003D3396">
                    <w:rPr>
                      <w:sz w:val="28"/>
                      <w:szCs w:val="28"/>
                    </w:rPr>
                    <w:t>Evidence too outdated for current service systems</w:t>
                  </w:r>
                </w:p>
                <w:p w14:paraId="577CA0F4" w14:textId="77777777" w:rsidR="00250B82" w:rsidRPr="003D3396" w:rsidRDefault="00250B82" w:rsidP="00264E5C">
                  <w:pPr>
                    <w:spacing w:line="276" w:lineRule="auto"/>
                    <w:jc w:val="center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sz w:val="28"/>
                      <w:szCs w:val="28"/>
                      <w:lang w:bidi="ur-PK"/>
                    </w:rPr>
                  </w:pPr>
                </w:p>
              </w:tc>
            </w:tr>
          </w:tbl>
          <w:p w14:paraId="4CE3A3BD" w14:textId="77777777" w:rsidR="00250B82" w:rsidRPr="003D3396" w:rsidRDefault="00250B82" w:rsidP="00264E5C">
            <w:pPr>
              <w:spacing w:line="276" w:lineRule="auto"/>
              <w:rPr>
                <w:b/>
                <w:bCs/>
                <w:sz w:val="28"/>
                <w:szCs w:val="28"/>
                <w:lang w:bidi="ur-PK"/>
              </w:rPr>
            </w:pPr>
          </w:p>
        </w:tc>
      </w:tr>
      <w:tr w:rsidR="00250B82" w14:paraId="54243CB6" w14:textId="77777777" w:rsidTr="003D3396">
        <w:tc>
          <w:tcPr>
            <w:tcW w:w="13948" w:type="dxa"/>
            <w:gridSpan w:val="2"/>
            <w:shd w:val="clear" w:color="auto" w:fill="D9F2D0" w:themeFill="accent6" w:themeFillTint="33"/>
          </w:tcPr>
          <w:p w14:paraId="1E984F3B" w14:textId="1CA2A429" w:rsidR="00250B82" w:rsidRPr="003D3396" w:rsidRDefault="00C83CCE" w:rsidP="00264E5C">
            <w:pPr>
              <w:spacing w:line="276" w:lineRule="auto"/>
              <w:jc w:val="center"/>
              <w:rPr>
                <w:b/>
                <w:bCs/>
                <w:sz w:val="28"/>
                <w:szCs w:val="28"/>
                <w:lang w:bidi="ur-PK"/>
              </w:rPr>
            </w:pPr>
            <w:r w:rsidRPr="003D3396">
              <w:rPr>
                <w:rStyle w:val="Strong"/>
                <w:sz w:val="28"/>
                <w:szCs w:val="28"/>
              </w:rPr>
              <w:t>Ethical Considerations</w:t>
            </w:r>
            <w:r w:rsidRPr="003D3396">
              <w:rPr>
                <w:sz w:val="28"/>
                <w:szCs w:val="28"/>
              </w:rPr>
              <w:br/>
              <w:t>Ethics in secondary research focused on accurate Harvard referencing, avoiding plagiarism, and transparent reporting of methods and limitations. Equity frameworks (e.g., NHS Core20PLUS5) informed interpretation of recommendations.</w:t>
            </w:r>
          </w:p>
        </w:tc>
      </w:tr>
    </w:tbl>
    <w:p w14:paraId="353E61D1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43293922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4D22C706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p w14:paraId="48EE90C4" w14:textId="77777777" w:rsidR="009A6BEF" w:rsidRDefault="009A6BEF" w:rsidP="009A6BEF">
      <w:pPr>
        <w:jc w:val="center"/>
        <w:rPr>
          <w:b/>
          <w:bCs/>
          <w:sz w:val="32"/>
          <w:szCs w:val="32"/>
          <w:lang w:bidi="ur-PK"/>
        </w:rPr>
        <w:sectPr w:rsidR="009A6BEF" w:rsidSect="009A6BE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6A06ECF" w14:textId="578BDB0C" w:rsidR="009A6BEF" w:rsidRPr="009A6BEF" w:rsidRDefault="009A6BEF" w:rsidP="009A6BEF">
      <w:pPr>
        <w:rPr>
          <w:b/>
          <w:bCs/>
          <w:lang w:bidi="ur-PK"/>
        </w:rPr>
      </w:pPr>
      <w:r>
        <w:rPr>
          <w:b/>
          <w:bCs/>
          <w:lang w:bidi="ur-PK"/>
        </w:rPr>
        <w:lastRenderedPageBreak/>
        <w:t xml:space="preserve">References </w:t>
      </w:r>
    </w:p>
    <w:p w14:paraId="537FAB36" w14:textId="77777777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Appel, C. and Ford, J. (2024) </w:t>
      </w:r>
      <w:r w:rsidRPr="009759BC">
        <w:rPr>
          <w:i/>
          <w:iCs/>
        </w:rPr>
        <w:t>What does the latest GP Patient Survey tell us about socio-economic inequalities in general practice? - Health Equity Evidence Centre</w:t>
      </w:r>
      <w:r w:rsidRPr="009759BC">
        <w:t xml:space="preserve">, </w:t>
      </w:r>
      <w:r w:rsidRPr="009759BC">
        <w:rPr>
          <w:i/>
          <w:iCs/>
        </w:rPr>
        <w:t>Health Equity Evidence Centre</w:t>
      </w:r>
      <w:r w:rsidRPr="009759BC">
        <w:t>. Available at: https://www.heec.co.uk/resource/what-does-the-latest-gp-patient-survey-tell-us-about-socio-economic-inequalities-in-general-practice/ (Accessed: 28 January 2026).</w:t>
      </w:r>
    </w:p>
    <w:p w14:paraId="3902F36F" w14:textId="2E444A18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Braun, V. and Clarke, V. (2006) ‘Using Thematic Analysis in Psychology’, </w:t>
      </w:r>
      <w:r w:rsidRPr="009759BC">
        <w:rPr>
          <w:i/>
          <w:iCs/>
        </w:rPr>
        <w:t>Qualitative Research in Psychology</w:t>
      </w:r>
      <w:r w:rsidRPr="009759BC">
        <w:t xml:space="preserve">, 3(2), pp. 77–101. </w:t>
      </w:r>
      <w:proofErr w:type="gramStart"/>
      <w:r w:rsidRPr="009759BC">
        <w:t>doi:https://doi.org/10.1191/1478088706qp063oa</w:t>
      </w:r>
      <w:proofErr w:type="gramEnd"/>
      <w:r w:rsidRPr="009759BC">
        <w:t>.</w:t>
      </w:r>
    </w:p>
    <w:p w14:paraId="4141A963" w14:textId="77777777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Chigbu, U.E., Atiku, S.O. and Du Plessis, C.C. (2023) ‘The Science of Literature Reviews: Searching, Identifying, Selecting, and Synthesising’, </w:t>
      </w:r>
      <w:r w:rsidRPr="009759BC">
        <w:rPr>
          <w:i/>
          <w:iCs/>
        </w:rPr>
        <w:t>Publications</w:t>
      </w:r>
      <w:r w:rsidRPr="009759BC">
        <w:t xml:space="preserve">, 11(1), p. 2. </w:t>
      </w:r>
      <w:proofErr w:type="gramStart"/>
      <w:r w:rsidRPr="009759BC">
        <w:t>doi:https://doi.org/10.3390/publications11010002</w:t>
      </w:r>
      <w:proofErr w:type="gramEnd"/>
      <w:r w:rsidRPr="009759BC">
        <w:t>.</w:t>
      </w:r>
    </w:p>
    <w:p w14:paraId="0F0C206C" w14:textId="77777777" w:rsidR="003D3396" w:rsidRPr="009759BC" w:rsidRDefault="003D3396" w:rsidP="009759BC">
      <w:pPr>
        <w:pStyle w:val="NormalWeb"/>
        <w:spacing w:before="0" w:beforeAutospacing="0" w:after="240" w:afterAutospacing="0" w:line="360" w:lineRule="auto"/>
        <w:jc w:val="both"/>
      </w:pPr>
      <w:r w:rsidRPr="009759BC">
        <w:t xml:space="preserve">Kalidas, A.J. (2021) ‘The Effectiveness of CRAAP Test in Evaluating Credibility of Sources’, </w:t>
      </w:r>
      <w:r w:rsidRPr="009759BC">
        <w:rPr>
          <w:i/>
          <w:iCs/>
        </w:rPr>
        <w:t>International Journal of TESOL &amp; Education</w:t>
      </w:r>
      <w:r w:rsidRPr="009759BC">
        <w:t>, 1(2), pp. 1–14.</w:t>
      </w:r>
    </w:p>
    <w:p w14:paraId="718A31BA" w14:textId="77777777" w:rsidR="009A6BEF" w:rsidRDefault="009A6BEF" w:rsidP="003D3396">
      <w:pPr>
        <w:rPr>
          <w:lang w:bidi="ur-PK"/>
        </w:rPr>
      </w:pPr>
    </w:p>
    <w:p w14:paraId="45521386" w14:textId="77777777" w:rsidR="009A6BEF" w:rsidRDefault="009A6BEF" w:rsidP="003D3396">
      <w:pPr>
        <w:rPr>
          <w:lang w:bidi="ur-PK"/>
        </w:rPr>
      </w:pPr>
    </w:p>
    <w:p w14:paraId="0B8A0500" w14:textId="77777777" w:rsidR="009A6BEF" w:rsidRPr="009A6BEF" w:rsidRDefault="009A6BEF" w:rsidP="009A6BEF">
      <w:pPr>
        <w:jc w:val="center"/>
        <w:rPr>
          <w:b/>
          <w:bCs/>
          <w:sz w:val="32"/>
          <w:szCs w:val="32"/>
          <w:lang w:bidi="ur-PK"/>
        </w:rPr>
      </w:pPr>
    </w:p>
    <w:sectPr w:rsidR="009A6BEF" w:rsidRPr="009A6BEF" w:rsidSect="009A6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F0C714" w14:textId="77777777" w:rsidR="007E5D30" w:rsidRDefault="007E5D30" w:rsidP="003D3396">
      <w:pPr>
        <w:spacing w:after="0" w:line="240" w:lineRule="auto"/>
      </w:pPr>
      <w:r>
        <w:separator/>
      </w:r>
    </w:p>
  </w:endnote>
  <w:endnote w:type="continuationSeparator" w:id="0">
    <w:p w14:paraId="261235C4" w14:textId="77777777" w:rsidR="007E5D30" w:rsidRDefault="007E5D30" w:rsidP="003D33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7E8104" w14:textId="77777777" w:rsidR="007E5D30" w:rsidRDefault="007E5D30" w:rsidP="003D3396">
      <w:pPr>
        <w:spacing w:after="0" w:line="240" w:lineRule="auto"/>
      </w:pPr>
      <w:r>
        <w:separator/>
      </w:r>
    </w:p>
  </w:footnote>
  <w:footnote w:type="continuationSeparator" w:id="0">
    <w:p w14:paraId="32D6C7D8" w14:textId="77777777" w:rsidR="007E5D30" w:rsidRDefault="007E5D30" w:rsidP="003D33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B62670"/>
    <w:multiLevelType w:val="multilevel"/>
    <w:tmpl w:val="969AF8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81D0F2E"/>
    <w:multiLevelType w:val="hybridMultilevel"/>
    <w:tmpl w:val="9F24C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61122"/>
    <w:multiLevelType w:val="hybridMultilevel"/>
    <w:tmpl w:val="0992A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657911">
    <w:abstractNumId w:val="0"/>
  </w:num>
  <w:num w:numId="2" w16cid:durableId="104038317">
    <w:abstractNumId w:val="2"/>
  </w:num>
  <w:num w:numId="3" w16cid:durableId="13113303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BEF"/>
    <w:rsid w:val="000363C5"/>
    <w:rsid w:val="000B743B"/>
    <w:rsid w:val="00250B82"/>
    <w:rsid w:val="00264E5C"/>
    <w:rsid w:val="002A5235"/>
    <w:rsid w:val="00340028"/>
    <w:rsid w:val="003D3396"/>
    <w:rsid w:val="00437888"/>
    <w:rsid w:val="00461624"/>
    <w:rsid w:val="006F1A8D"/>
    <w:rsid w:val="007E5D30"/>
    <w:rsid w:val="00804503"/>
    <w:rsid w:val="008476AB"/>
    <w:rsid w:val="0088436A"/>
    <w:rsid w:val="009759BC"/>
    <w:rsid w:val="009A6BEF"/>
    <w:rsid w:val="009B14D7"/>
    <w:rsid w:val="009D2C12"/>
    <w:rsid w:val="009F7FAC"/>
    <w:rsid w:val="00A64B78"/>
    <w:rsid w:val="00A938DB"/>
    <w:rsid w:val="00BE021C"/>
    <w:rsid w:val="00BE4882"/>
    <w:rsid w:val="00C2376F"/>
    <w:rsid w:val="00C83CCE"/>
    <w:rsid w:val="00D95A10"/>
    <w:rsid w:val="00E947F1"/>
    <w:rsid w:val="00FB6C67"/>
    <w:rsid w:val="00FC6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557EB"/>
  <w15:chartTrackingRefBased/>
  <w15:docId w15:val="{3EDF5766-8C30-E14F-A763-ED356EA57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5235"/>
    <w:rPr>
      <w:rFonts w:asciiTheme="majorBidi" w:hAnsiTheme="maj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1624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6C67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BE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BE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6BE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BE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BE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BE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624"/>
    <w:rPr>
      <w:rFonts w:asciiTheme="majorBidi" w:eastAsiaTheme="majorEastAsia" w:hAnsiTheme="majorBidi" w:cstheme="majorBidi"/>
      <w:b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6C67"/>
    <w:rPr>
      <w:rFonts w:asciiTheme="majorBidi" w:eastAsiaTheme="majorEastAsia" w:hAnsiTheme="majorBidi" w:cstheme="majorBidi"/>
      <w:b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B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B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6B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B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B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B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6B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6B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BE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6B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6B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6BEF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6B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6B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B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BEF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6BE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50B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250B8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50B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GridTable1Light-Accent4">
    <w:name w:val="Grid Table 1 Light Accent 4"/>
    <w:basedOn w:val="TableNormal"/>
    <w:uiPriority w:val="46"/>
    <w:rsid w:val="00264E5C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5">
    <w:name w:val="Grid Table 2 Accent 5"/>
    <w:basedOn w:val="TableNormal"/>
    <w:uiPriority w:val="47"/>
    <w:rsid w:val="00264E5C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2">
    <w:name w:val="Grid Table 2 Accent 2"/>
    <w:basedOn w:val="TableNormal"/>
    <w:uiPriority w:val="47"/>
    <w:rsid w:val="00264E5C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3D33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3396"/>
    <w:rPr>
      <w:rFonts w:asciiTheme="majorBidi" w:hAnsiTheme="majorBidi"/>
    </w:rPr>
  </w:style>
  <w:style w:type="paragraph" w:styleId="Footer">
    <w:name w:val="footer"/>
    <w:basedOn w:val="Normal"/>
    <w:link w:val="FooterChar"/>
    <w:uiPriority w:val="99"/>
    <w:unhideWhenUsed/>
    <w:rsid w:val="003D33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3396"/>
    <w:rPr>
      <w:rFonts w:asciiTheme="majorBidi" w:hAnsiTheme="majorBid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8AEA652-A9F1-8148-B717-7394D92EB13D}" type="doc">
      <dgm:prSet loTypeId="urn:microsoft.com/office/officeart/2005/8/layout/process1" loCatId="" qsTypeId="urn:microsoft.com/office/officeart/2005/8/quickstyle/simple3" qsCatId="simple" csTypeId="urn:microsoft.com/office/officeart/2005/8/colors/colorful3" csCatId="colorful" phldr="1"/>
      <dgm:spPr/>
    </dgm:pt>
    <dgm:pt modelId="{8F3F980B-5F20-4347-BCA6-46937608B4DC}">
      <dgm:prSet phldrT="[Text]"/>
      <dgm:spPr/>
      <dgm:t>
        <a:bodyPr/>
        <a:lstStyle/>
        <a:p>
          <a:pPr>
            <a:buNone/>
          </a:pPr>
          <a:r>
            <a:rPr lang="en-PK"/>
            <a:t>Chose relevant databases (Google Scholar plus health/social policy databases).</a:t>
          </a:r>
          <a:endParaRPr lang="en-GB"/>
        </a:p>
      </dgm:t>
    </dgm:pt>
    <dgm:pt modelId="{BF03995B-E9C6-674D-B420-48456EE44A58}" type="parTrans" cxnId="{B75A7F37-4E84-E647-9C86-540495BF83B8}">
      <dgm:prSet/>
      <dgm:spPr/>
      <dgm:t>
        <a:bodyPr/>
        <a:lstStyle/>
        <a:p>
          <a:endParaRPr lang="en-GB"/>
        </a:p>
      </dgm:t>
    </dgm:pt>
    <dgm:pt modelId="{8FFFBAB1-C216-DE4C-A235-2F9A6204A90C}" type="sibTrans" cxnId="{B75A7F37-4E84-E647-9C86-540495BF83B8}">
      <dgm:prSet/>
      <dgm:spPr/>
      <dgm:t>
        <a:bodyPr/>
        <a:lstStyle/>
        <a:p>
          <a:endParaRPr lang="en-GB"/>
        </a:p>
      </dgm:t>
    </dgm:pt>
    <dgm:pt modelId="{E3E86880-75CD-A245-9740-021BF9D4C2F0}">
      <dgm:prSet/>
      <dgm:spPr/>
      <dgm:t>
        <a:bodyPr/>
        <a:lstStyle/>
        <a:p>
          <a:pPr>
            <a:buNone/>
          </a:pPr>
          <a:r>
            <a:rPr lang="en-PK"/>
            <a:t>Ran saved search strings (e.g., “socioeconomic status” AND access AND (urban OR rural)).</a:t>
          </a:r>
        </a:p>
      </dgm:t>
    </dgm:pt>
    <dgm:pt modelId="{A4D17A99-F038-BD4E-9349-FDF0DA3877FF}" type="parTrans" cxnId="{AF118BE2-38AE-BA45-A70E-40B64590D9D7}">
      <dgm:prSet/>
      <dgm:spPr/>
      <dgm:t>
        <a:bodyPr/>
        <a:lstStyle/>
        <a:p>
          <a:endParaRPr lang="en-GB"/>
        </a:p>
      </dgm:t>
    </dgm:pt>
    <dgm:pt modelId="{3595FB81-854B-9442-85E5-15AE6B2A50EE}" type="sibTrans" cxnId="{AF118BE2-38AE-BA45-A70E-40B64590D9D7}">
      <dgm:prSet/>
      <dgm:spPr/>
      <dgm:t>
        <a:bodyPr/>
        <a:lstStyle/>
        <a:p>
          <a:endParaRPr lang="en-GB"/>
        </a:p>
      </dgm:t>
    </dgm:pt>
    <dgm:pt modelId="{78BE2F89-847A-8D4B-A37B-C49D90051735}">
      <dgm:prSet/>
      <dgm:spPr/>
      <dgm:t>
        <a:bodyPr/>
        <a:lstStyle/>
        <a:p>
          <a:pPr>
            <a:buNone/>
          </a:pPr>
          <a:r>
            <a:rPr lang="en-PK"/>
            <a:t>Limited results to English and mainly the last 10–15 years; prioritised peer-reviewed items.</a:t>
          </a:r>
        </a:p>
      </dgm:t>
    </dgm:pt>
    <dgm:pt modelId="{30D65EA8-B1BF-C04B-A74F-7B9BCF206A83}" type="parTrans" cxnId="{B0D8AFA0-7D36-7D48-90E5-125CFC2BC7A4}">
      <dgm:prSet/>
      <dgm:spPr/>
      <dgm:t>
        <a:bodyPr/>
        <a:lstStyle/>
        <a:p>
          <a:endParaRPr lang="en-GB"/>
        </a:p>
      </dgm:t>
    </dgm:pt>
    <dgm:pt modelId="{780D09A4-74EA-514E-8484-661098088929}" type="sibTrans" cxnId="{B0D8AFA0-7D36-7D48-90E5-125CFC2BC7A4}">
      <dgm:prSet/>
      <dgm:spPr/>
      <dgm:t>
        <a:bodyPr/>
        <a:lstStyle/>
        <a:p>
          <a:endParaRPr lang="en-GB"/>
        </a:p>
      </dgm:t>
    </dgm:pt>
    <dgm:pt modelId="{A02175CE-313C-3645-8B5A-DCC310B55C19}">
      <dgm:prSet/>
      <dgm:spPr/>
      <dgm:t>
        <a:bodyPr/>
        <a:lstStyle/>
        <a:p>
          <a:pPr>
            <a:buNone/>
          </a:pPr>
          <a:r>
            <a:rPr lang="en-PK"/>
            <a:t>Screened titles/abstracts then full texts; logged decisions in a tracking table.</a:t>
          </a:r>
        </a:p>
      </dgm:t>
    </dgm:pt>
    <dgm:pt modelId="{D3EC272C-2680-7C4F-9E98-170A77E08EC4}" type="parTrans" cxnId="{28A711FC-0BC3-BB44-A3CD-82C392F08192}">
      <dgm:prSet/>
      <dgm:spPr/>
      <dgm:t>
        <a:bodyPr/>
        <a:lstStyle/>
        <a:p>
          <a:endParaRPr lang="en-GB"/>
        </a:p>
      </dgm:t>
    </dgm:pt>
    <dgm:pt modelId="{B6E62A21-18C9-E64C-B28B-DEC80F75727F}" type="sibTrans" cxnId="{28A711FC-0BC3-BB44-A3CD-82C392F08192}">
      <dgm:prSet/>
      <dgm:spPr/>
      <dgm:t>
        <a:bodyPr/>
        <a:lstStyle/>
        <a:p>
          <a:endParaRPr lang="en-GB"/>
        </a:p>
      </dgm:t>
    </dgm:pt>
    <dgm:pt modelId="{C824AFF9-4A79-3446-AFFD-1C0E1B246CD2}" type="pres">
      <dgm:prSet presAssocID="{98AEA652-A9F1-8148-B717-7394D92EB13D}" presName="Name0" presStyleCnt="0">
        <dgm:presLayoutVars>
          <dgm:dir/>
          <dgm:resizeHandles val="exact"/>
        </dgm:presLayoutVars>
      </dgm:prSet>
      <dgm:spPr/>
    </dgm:pt>
    <dgm:pt modelId="{1DA93F95-8EE5-6B41-BCCB-0B4EE77B9A68}" type="pres">
      <dgm:prSet presAssocID="{8F3F980B-5F20-4347-BCA6-46937608B4DC}" presName="node" presStyleLbl="node1" presStyleIdx="0" presStyleCnt="4">
        <dgm:presLayoutVars>
          <dgm:bulletEnabled val="1"/>
        </dgm:presLayoutVars>
      </dgm:prSet>
      <dgm:spPr/>
    </dgm:pt>
    <dgm:pt modelId="{0124D55F-60A4-6C42-B10F-63A337257D73}" type="pres">
      <dgm:prSet presAssocID="{8FFFBAB1-C216-DE4C-A235-2F9A6204A90C}" presName="sibTrans" presStyleLbl="sibTrans2D1" presStyleIdx="0" presStyleCnt="3"/>
      <dgm:spPr/>
    </dgm:pt>
    <dgm:pt modelId="{5CDE02CC-9BFE-8A45-B728-F560462229DB}" type="pres">
      <dgm:prSet presAssocID="{8FFFBAB1-C216-DE4C-A235-2F9A6204A90C}" presName="connectorText" presStyleLbl="sibTrans2D1" presStyleIdx="0" presStyleCnt="3"/>
      <dgm:spPr/>
    </dgm:pt>
    <dgm:pt modelId="{197D256F-17DF-5949-90FA-9663223D7B97}" type="pres">
      <dgm:prSet presAssocID="{E3E86880-75CD-A245-9740-021BF9D4C2F0}" presName="node" presStyleLbl="node1" presStyleIdx="1" presStyleCnt="4">
        <dgm:presLayoutVars>
          <dgm:bulletEnabled val="1"/>
        </dgm:presLayoutVars>
      </dgm:prSet>
      <dgm:spPr/>
    </dgm:pt>
    <dgm:pt modelId="{6551F22C-779A-A742-89A1-D442DEB3ADB4}" type="pres">
      <dgm:prSet presAssocID="{3595FB81-854B-9442-85E5-15AE6B2A50EE}" presName="sibTrans" presStyleLbl="sibTrans2D1" presStyleIdx="1" presStyleCnt="3"/>
      <dgm:spPr/>
    </dgm:pt>
    <dgm:pt modelId="{17FF079D-3022-F74E-B7A1-42CFBFA97F2A}" type="pres">
      <dgm:prSet presAssocID="{3595FB81-854B-9442-85E5-15AE6B2A50EE}" presName="connectorText" presStyleLbl="sibTrans2D1" presStyleIdx="1" presStyleCnt="3"/>
      <dgm:spPr/>
    </dgm:pt>
    <dgm:pt modelId="{B2347423-547D-2F41-A3F8-1B199D7DCEB1}" type="pres">
      <dgm:prSet presAssocID="{78BE2F89-847A-8D4B-A37B-C49D90051735}" presName="node" presStyleLbl="node1" presStyleIdx="2" presStyleCnt="4">
        <dgm:presLayoutVars>
          <dgm:bulletEnabled val="1"/>
        </dgm:presLayoutVars>
      </dgm:prSet>
      <dgm:spPr/>
    </dgm:pt>
    <dgm:pt modelId="{E2D4C40E-E95F-5447-B84F-59FB348C3787}" type="pres">
      <dgm:prSet presAssocID="{780D09A4-74EA-514E-8484-661098088929}" presName="sibTrans" presStyleLbl="sibTrans2D1" presStyleIdx="2" presStyleCnt="3"/>
      <dgm:spPr/>
    </dgm:pt>
    <dgm:pt modelId="{B49DD0D9-6394-9C48-AF7E-E5C3EFFBD9EF}" type="pres">
      <dgm:prSet presAssocID="{780D09A4-74EA-514E-8484-661098088929}" presName="connectorText" presStyleLbl="sibTrans2D1" presStyleIdx="2" presStyleCnt="3"/>
      <dgm:spPr/>
    </dgm:pt>
    <dgm:pt modelId="{CA9AA1EC-EEE7-3B4E-B810-34DB32572D46}" type="pres">
      <dgm:prSet presAssocID="{A02175CE-313C-3645-8B5A-DCC310B55C19}" presName="node" presStyleLbl="node1" presStyleIdx="3" presStyleCnt="4">
        <dgm:presLayoutVars>
          <dgm:bulletEnabled val="1"/>
        </dgm:presLayoutVars>
      </dgm:prSet>
      <dgm:spPr/>
    </dgm:pt>
  </dgm:ptLst>
  <dgm:cxnLst>
    <dgm:cxn modelId="{569BC100-48C2-704C-ACD0-0814205E3017}" type="presOf" srcId="{8FFFBAB1-C216-DE4C-A235-2F9A6204A90C}" destId="{0124D55F-60A4-6C42-B10F-63A337257D73}" srcOrd="0" destOrd="0" presId="urn:microsoft.com/office/officeart/2005/8/layout/process1"/>
    <dgm:cxn modelId="{B196A330-2FAD-C14D-8468-CA9CBEFB4F39}" type="presOf" srcId="{8FFFBAB1-C216-DE4C-A235-2F9A6204A90C}" destId="{5CDE02CC-9BFE-8A45-B728-F560462229DB}" srcOrd="1" destOrd="0" presId="urn:microsoft.com/office/officeart/2005/8/layout/process1"/>
    <dgm:cxn modelId="{CD121434-5DD1-F34D-96F1-BF2346A570EE}" type="presOf" srcId="{3595FB81-854B-9442-85E5-15AE6B2A50EE}" destId="{17FF079D-3022-F74E-B7A1-42CFBFA97F2A}" srcOrd="1" destOrd="0" presId="urn:microsoft.com/office/officeart/2005/8/layout/process1"/>
    <dgm:cxn modelId="{B75A7F37-4E84-E647-9C86-540495BF83B8}" srcId="{98AEA652-A9F1-8148-B717-7394D92EB13D}" destId="{8F3F980B-5F20-4347-BCA6-46937608B4DC}" srcOrd="0" destOrd="0" parTransId="{BF03995B-E9C6-674D-B420-48456EE44A58}" sibTransId="{8FFFBAB1-C216-DE4C-A235-2F9A6204A90C}"/>
    <dgm:cxn modelId="{95E1F642-C7C1-BF4A-987E-C52959691135}" type="presOf" srcId="{3595FB81-854B-9442-85E5-15AE6B2A50EE}" destId="{6551F22C-779A-A742-89A1-D442DEB3ADB4}" srcOrd="0" destOrd="0" presId="urn:microsoft.com/office/officeart/2005/8/layout/process1"/>
    <dgm:cxn modelId="{2FA1D649-3CC6-074E-8D44-C47BD6542855}" type="presOf" srcId="{98AEA652-A9F1-8148-B717-7394D92EB13D}" destId="{C824AFF9-4A79-3446-AFFD-1C0E1B246CD2}" srcOrd="0" destOrd="0" presId="urn:microsoft.com/office/officeart/2005/8/layout/process1"/>
    <dgm:cxn modelId="{5FAFF66F-57F3-8D48-A029-9929B1D3694B}" type="presOf" srcId="{E3E86880-75CD-A245-9740-021BF9D4C2F0}" destId="{197D256F-17DF-5949-90FA-9663223D7B97}" srcOrd="0" destOrd="0" presId="urn:microsoft.com/office/officeart/2005/8/layout/process1"/>
    <dgm:cxn modelId="{3F4AFF7C-1DF5-AA46-AF4E-C18766B33E48}" type="presOf" srcId="{78BE2F89-847A-8D4B-A37B-C49D90051735}" destId="{B2347423-547D-2F41-A3F8-1B199D7DCEB1}" srcOrd="0" destOrd="0" presId="urn:microsoft.com/office/officeart/2005/8/layout/process1"/>
    <dgm:cxn modelId="{27CC6980-6360-0B4B-8C3B-B7E66BA93E05}" type="presOf" srcId="{780D09A4-74EA-514E-8484-661098088929}" destId="{E2D4C40E-E95F-5447-B84F-59FB348C3787}" srcOrd="0" destOrd="0" presId="urn:microsoft.com/office/officeart/2005/8/layout/process1"/>
    <dgm:cxn modelId="{B0D8AFA0-7D36-7D48-90E5-125CFC2BC7A4}" srcId="{98AEA652-A9F1-8148-B717-7394D92EB13D}" destId="{78BE2F89-847A-8D4B-A37B-C49D90051735}" srcOrd="2" destOrd="0" parTransId="{30D65EA8-B1BF-C04B-A74F-7B9BCF206A83}" sibTransId="{780D09A4-74EA-514E-8484-661098088929}"/>
    <dgm:cxn modelId="{3999B7A7-3006-CB44-8C44-A470DF6E21BE}" type="presOf" srcId="{780D09A4-74EA-514E-8484-661098088929}" destId="{B49DD0D9-6394-9C48-AF7E-E5C3EFFBD9EF}" srcOrd="1" destOrd="0" presId="urn:microsoft.com/office/officeart/2005/8/layout/process1"/>
    <dgm:cxn modelId="{598457B6-FC82-4840-83BE-96CD11EF0C21}" type="presOf" srcId="{8F3F980B-5F20-4347-BCA6-46937608B4DC}" destId="{1DA93F95-8EE5-6B41-BCCB-0B4EE77B9A68}" srcOrd="0" destOrd="0" presId="urn:microsoft.com/office/officeart/2005/8/layout/process1"/>
    <dgm:cxn modelId="{DF4BC7CE-A247-554C-8352-11393259326A}" type="presOf" srcId="{A02175CE-313C-3645-8B5A-DCC310B55C19}" destId="{CA9AA1EC-EEE7-3B4E-B810-34DB32572D46}" srcOrd="0" destOrd="0" presId="urn:microsoft.com/office/officeart/2005/8/layout/process1"/>
    <dgm:cxn modelId="{AF118BE2-38AE-BA45-A70E-40B64590D9D7}" srcId="{98AEA652-A9F1-8148-B717-7394D92EB13D}" destId="{E3E86880-75CD-A245-9740-021BF9D4C2F0}" srcOrd="1" destOrd="0" parTransId="{A4D17A99-F038-BD4E-9349-FDF0DA3877FF}" sibTransId="{3595FB81-854B-9442-85E5-15AE6B2A50EE}"/>
    <dgm:cxn modelId="{28A711FC-0BC3-BB44-A3CD-82C392F08192}" srcId="{98AEA652-A9F1-8148-B717-7394D92EB13D}" destId="{A02175CE-313C-3645-8B5A-DCC310B55C19}" srcOrd="3" destOrd="0" parTransId="{D3EC272C-2680-7C4F-9E98-170A77E08EC4}" sibTransId="{B6E62A21-18C9-E64C-B28B-DEC80F75727F}"/>
    <dgm:cxn modelId="{6FC3CB60-B603-4443-AF6D-E313F5241B8D}" type="presParOf" srcId="{C824AFF9-4A79-3446-AFFD-1C0E1B246CD2}" destId="{1DA93F95-8EE5-6B41-BCCB-0B4EE77B9A68}" srcOrd="0" destOrd="0" presId="urn:microsoft.com/office/officeart/2005/8/layout/process1"/>
    <dgm:cxn modelId="{BD818794-72F1-4044-A729-F956AAFA22C6}" type="presParOf" srcId="{C824AFF9-4A79-3446-AFFD-1C0E1B246CD2}" destId="{0124D55F-60A4-6C42-B10F-63A337257D73}" srcOrd="1" destOrd="0" presId="urn:microsoft.com/office/officeart/2005/8/layout/process1"/>
    <dgm:cxn modelId="{D2B12183-6A9C-EE46-B7DF-A8A6B94FCFF1}" type="presParOf" srcId="{0124D55F-60A4-6C42-B10F-63A337257D73}" destId="{5CDE02CC-9BFE-8A45-B728-F560462229DB}" srcOrd="0" destOrd="0" presId="urn:microsoft.com/office/officeart/2005/8/layout/process1"/>
    <dgm:cxn modelId="{3BDC7556-EE8C-394B-93C1-E6D0072006F0}" type="presParOf" srcId="{C824AFF9-4A79-3446-AFFD-1C0E1B246CD2}" destId="{197D256F-17DF-5949-90FA-9663223D7B97}" srcOrd="2" destOrd="0" presId="urn:microsoft.com/office/officeart/2005/8/layout/process1"/>
    <dgm:cxn modelId="{AFD6E376-6146-EB4B-854B-D1820B3517A9}" type="presParOf" srcId="{C824AFF9-4A79-3446-AFFD-1C0E1B246CD2}" destId="{6551F22C-779A-A742-89A1-D442DEB3ADB4}" srcOrd="3" destOrd="0" presId="urn:microsoft.com/office/officeart/2005/8/layout/process1"/>
    <dgm:cxn modelId="{0FF58914-B7B4-B544-9BE6-E3E69B5A370E}" type="presParOf" srcId="{6551F22C-779A-A742-89A1-D442DEB3ADB4}" destId="{17FF079D-3022-F74E-B7A1-42CFBFA97F2A}" srcOrd="0" destOrd="0" presId="urn:microsoft.com/office/officeart/2005/8/layout/process1"/>
    <dgm:cxn modelId="{9707770B-5736-A44A-9CB9-538279D48E7C}" type="presParOf" srcId="{C824AFF9-4A79-3446-AFFD-1C0E1B246CD2}" destId="{B2347423-547D-2F41-A3F8-1B199D7DCEB1}" srcOrd="4" destOrd="0" presId="urn:microsoft.com/office/officeart/2005/8/layout/process1"/>
    <dgm:cxn modelId="{AC76DD9D-0A77-6E4F-A88E-A7EEE7C45A02}" type="presParOf" srcId="{C824AFF9-4A79-3446-AFFD-1C0E1B246CD2}" destId="{E2D4C40E-E95F-5447-B84F-59FB348C3787}" srcOrd="5" destOrd="0" presId="urn:microsoft.com/office/officeart/2005/8/layout/process1"/>
    <dgm:cxn modelId="{DC5DA8EB-01B3-F849-97AA-CFA6BFEAC442}" type="presParOf" srcId="{E2D4C40E-E95F-5447-B84F-59FB348C3787}" destId="{B49DD0D9-6394-9C48-AF7E-E5C3EFFBD9EF}" srcOrd="0" destOrd="0" presId="urn:microsoft.com/office/officeart/2005/8/layout/process1"/>
    <dgm:cxn modelId="{DCA2077E-7352-2349-B0C8-F8EF02D1D296}" type="presParOf" srcId="{C824AFF9-4A79-3446-AFFD-1C0E1B246CD2}" destId="{CA9AA1EC-EEE7-3B4E-B810-34DB32572D46}" srcOrd="6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DA93F95-8EE5-6B41-BCCB-0B4EE77B9A68}">
      <dsp:nvSpPr>
        <dsp:cNvPr id="0" name=""/>
        <dsp:cNvSpPr/>
      </dsp:nvSpPr>
      <dsp:spPr>
        <a:xfrm>
          <a:off x="3856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Chose relevant databases (Google Scholar plus health/social policy databases).</a:t>
          </a:r>
          <a:endParaRPr lang="en-GB" sz="1200" kern="1200"/>
        </a:p>
      </dsp:txBody>
      <dsp:txXfrm>
        <a:off x="33484" y="99783"/>
        <a:ext cx="1626707" cy="952322"/>
      </dsp:txXfrm>
    </dsp:sp>
    <dsp:sp modelId="{0124D55F-60A4-6C42-B10F-63A337257D73}">
      <dsp:nvSpPr>
        <dsp:cNvPr id="0" name=""/>
        <dsp:cNvSpPr/>
      </dsp:nvSpPr>
      <dsp:spPr>
        <a:xfrm>
          <a:off x="1858416" y="366885"/>
          <a:ext cx="357424" cy="41811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858416" y="450509"/>
        <a:ext cx="250197" cy="250871"/>
      </dsp:txXfrm>
    </dsp:sp>
    <dsp:sp modelId="{197D256F-17DF-5949-90FA-9663223D7B97}">
      <dsp:nvSpPr>
        <dsp:cNvPr id="0" name=""/>
        <dsp:cNvSpPr/>
      </dsp:nvSpPr>
      <dsp:spPr>
        <a:xfrm>
          <a:off x="2364205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1372388"/>
                <a:satOff val="8237"/>
                <a:lumOff val="6275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1372388"/>
                <a:satOff val="8237"/>
                <a:lumOff val="6275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1372388"/>
                <a:satOff val="8237"/>
                <a:lumOff val="6275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Ran saved search strings (e.g., “socioeconomic status” AND access AND (urban OR rural)).</a:t>
          </a:r>
        </a:p>
      </dsp:txBody>
      <dsp:txXfrm>
        <a:off x="2393833" y="99783"/>
        <a:ext cx="1626707" cy="952322"/>
      </dsp:txXfrm>
    </dsp:sp>
    <dsp:sp modelId="{6551F22C-779A-A742-89A1-D442DEB3ADB4}">
      <dsp:nvSpPr>
        <dsp:cNvPr id="0" name=""/>
        <dsp:cNvSpPr/>
      </dsp:nvSpPr>
      <dsp:spPr>
        <a:xfrm>
          <a:off x="4218765" y="366885"/>
          <a:ext cx="357424" cy="41811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2058582"/>
                <a:satOff val="12356"/>
                <a:lumOff val="9413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2058582"/>
                <a:satOff val="12356"/>
                <a:lumOff val="9413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2058582"/>
                <a:satOff val="12356"/>
                <a:lumOff val="9413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4218765" y="450509"/>
        <a:ext cx="250197" cy="250871"/>
      </dsp:txXfrm>
    </dsp:sp>
    <dsp:sp modelId="{B2347423-547D-2F41-A3F8-1B199D7DCEB1}">
      <dsp:nvSpPr>
        <dsp:cNvPr id="0" name=""/>
        <dsp:cNvSpPr/>
      </dsp:nvSpPr>
      <dsp:spPr>
        <a:xfrm>
          <a:off x="4724554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2744775"/>
                <a:satOff val="16475"/>
                <a:lumOff val="1255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2744775"/>
                <a:satOff val="16475"/>
                <a:lumOff val="1255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2744775"/>
                <a:satOff val="16475"/>
                <a:lumOff val="1255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Limited results to English and mainly the last 10–15 years; prioritised peer-reviewed items.</a:t>
          </a:r>
        </a:p>
      </dsp:txBody>
      <dsp:txXfrm>
        <a:off x="4754182" y="99783"/>
        <a:ext cx="1626707" cy="952322"/>
      </dsp:txXfrm>
    </dsp:sp>
    <dsp:sp modelId="{E2D4C40E-E95F-5447-B84F-59FB348C3787}">
      <dsp:nvSpPr>
        <dsp:cNvPr id="0" name=""/>
        <dsp:cNvSpPr/>
      </dsp:nvSpPr>
      <dsp:spPr>
        <a:xfrm>
          <a:off x="6579114" y="366885"/>
          <a:ext cx="357424" cy="41811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3">
                <a:hueOff val="4117163"/>
                <a:satOff val="24712"/>
                <a:lumOff val="18825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6579114" y="450509"/>
        <a:ext cx="250197" cy="250871"/>
      </dsp:txXfrm>
    </dsp:sp>
    <dsp:sp modelId="{CA9AA1EC-EEE7-3B4E-B810-34DB32572D46}">
      <dsp:nvSpPr>
        <dsp:cNvPr id="0" name=""/>
        <dsp:cNvSpPr/>
      </dsp:nvSpPr>
      <dsp:spPr>
        <a:xfrm>
          <a:off x="7084904" y="70155"/>
          <a:ext cx="1685963" cy="1011578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3">
                <a:hueOff val="4117163"/>
                <a:satOff val="24712"/>
                <a:lumOff val="18825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3">
                <a:hueOff val="4117163"/>
                <a:satOff val="24712"/>
                <a:lumOff val="18825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PK" sz="1200" kern="1200"/>
            <a:t>Screened titles/abstracts then full texts; logged decisions in a tracking table.</a:t>
          </a:r>
        </a:p>
      </dsp:txBody>
      <dsp:txXfrm>
        <a:off x="7114532" y="99783"/>
        <a:ext cx="1626707" cy="95232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747BCDF-CA21-D44E-8CD1-BB9BDBCF61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490</Words>
  <Characters>2799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Saireen Mahmood (2238897)</cp:lastModifiedBy>
  <cp:revision>2</cp:revision>
  <dcterms:created xsi:type="dcterms:W3CDTF">2026-03-12T17:23:00Z</dcterms:created>
  <dcterms:modified xsi:type="dcterms:W3CDTF">2026-03-12T17:23:00Z</dcterms:modified>
</cp:coreProperties>
</file>