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64514B" w14:textId="211584A2" w:rsidR="004C0900" w:rsidRPr="007D5B3A" w:rsidRDefault="004C0900" w:rsidP="00577CCF">
      <w:pPr>
        <w:rPr>
          <w:rFonts w:ascii="Arial" w:hAnsi="Arial" w:cs="Arial"/>
          <w:b/>
          <w:bCs/>
          <w:u w:val="single"/>
        </w:rPr>
      </w:pPr>
      <w:r w:rsidRPr="007D5B3A">
        <w:rPr>
          <w:rFonts w:ascii="Arial" w:hAnsi="Arial" w:cs="Arial"/>
          <w:b/>
          <w:bCs/>
          <w:u w:val="single"/>
        </w:rPr>
        <w:t>Essay 1</w:t>
      </w:r>
    </w:p>
    <w:p w14:paraId="0E3C0AF1" w14:textId="360BBFF0" w:rsidR="00150565" w:rsidRPr="00276BA7" w:rsidRDefault="00FB6273" w:rsidP="00276BA7">
      <w:pPr>
        <w:rPr>
          <w:rFonts w:ascii="Arial" w:hAnsi="Arial" w:cs="Arial"/>
          <w:lang w:eastAsia="en-GB"/>
        </w:rPr>
      </w:pPr>
      <w:r w:rsidRPr="00276BA7">
        <w:rPr>
          <w:rFonts w:ascii="Arial" w:hAnsi="Arial" w:cs="Arial"/>
          <w:lang w:eastAsia="en-GB"/>
        </w:rPr>
        <w:t>This essay explores the dynamics that motivate terrorist organi</w:t>
      </w:r>
      <w:r w:rsidR="00931A67" w:rsidRPr="00276BA7">
        <w:rPr>
          <w:rFonts w:ascii="Arial" w:hAnsi="Arial" w:cs="Arial"/>
          <w:lang w:eastAsia="en-GB"/>
        </w:rPr>
        <w:t>s</w:t>
      </w:r>
      <w:r w:rsidRPr="00276BA7">
        <w:rPr>
          <w:rFonts w:ascii="Arial" w:hAnsi="Arial" w:cs="Arial"/>
          <w:lang w:eastAsia="en-GB"/>
        </w:rPr>
        <w:t xml:space="preserve">ations to participate in other forms of criminal activity, and how this knowledge may prove useful for counterterrorism </w:t>
      </w:r>
      <w:r w:rsidR="005772FC" w:rsidRPr="00276BA7">
        <w:rPr>
          <w:rFonts w:ascii="Arial" w:hAnsi="Arial" w:cs="Arial"/>
          <w:lang w:eastAsia="en-GB"/>
        </w:rPr>
        <w:t>policing.</w:t>
      </w:r>
      <w:r w:rsidRPr="00276BA7">
        <w:rPr>
          <w:rFonts w:ascii="Arial" w:hAnsi="Arial" w:cs="Arial"/>
          <w:lang w:eastAsia="en-GB"/>
        </w:rPr>
        <w:t xml:space="preserve"> Terrorist groups routinely engage in other crimes to fund their operations, gain strength, and pursue their objectives; The so-called terror-crime nexus the study of the convergence between organised crime and terrorism has received substantial attention. Understanding of this link enables counterterrorism policing to identify points of weakness in terrorist groups, disrupt their campaigns and prevent attacks. Terror</w:t>
      </w:r>
      <w:r w:rsidR="00C702A1" w:rsidRPr="00276BA7">
        <w:rPr>
          <w:rFonts w:ascii="Arial" w:hAnsi="Arial" w:cs="Arial"/>
          <w:lang w:eastAsia="en-GB"/>
        </w:rPr>
        <w:t>ist</w:t>
      </w:r>
      <w:r w:rsidRPr="00276BA7">
        <w:rPr>
          <w:rFonts w:ascii="Arial" w:hAnsi="Arial" w:cs="Arial"/>
          <w:lang w:eastAsia="en-GB"/>
        </w:rPr>
        <w:t xml:space="preserve"> groups rely on criminality for generating revenue, finding </w:t>
      </w:r>
      <w:r w:rsidR="00A678BE" w:rsidRPr="00276BA7">
        <w:rPr>
          <w:rFonts w:ascii="Arial" w:hAnsi="Arial" w:cs="Arial"/>
          <w:lang w:eastAsia="en-GB"/>
        </w:rPr>
        <w:t>soldiers</w:t>
      </w:r>
      <w:r w:rsidR="007C286B" w:rsidRPr="00276BA7">
        <w:rPr>
          <w:rFonts w:ascii="Arial" w:hAnsi="Arial" w:cs="Arial"/>
          <w:lang w:eastAsia="en-GB"/>
        </w:rPr>
        <w:t>,</w:t>
      </w:r>
      <w:r w:rsidRPr="00276BA7">
        <w:rPr>
          <w:rFonts w:ascii="Arial" w:hAnsi="Arial" w:cs="Arial"/>
          <w:lang w:eastAsia="en-GB"/>
        </w:rPr>
        <w:t xml:space="preserve"> and acquiring resources. Terrorist organisations are always resource </w:t>
      </w:r>
      <w:r w:rsidR="00C702A1" w:rsidRPr="00276BA7">
        <w:rPr>
          <w:rFonts w:ascii="Arial" w:hAnsi="Arial" w:cs="Arial"/>
          <w:lang w:eastAsia="en-GB"/>
        </w:rPr>
        <w:t>consumers</w:t>
      </w:r>
      <w:r w:rsidRPr="00276BA7">
        <w:rPr>
          <w:rFonts w:ascii="Arial" w:hAnsi="Arial" w:cs="Arial"/>
          <w:lang w:eastAsia="en-GB"/>
        </w:rPr>
        <w:t xml:space="preserve">. Extortion, </w:t>
      </w:r>
      <w:r w:rsidR="003C28AF" w:rsidRPr="00276BA7">
        <w:rPr>
          <w:rFonts w:ascii="Arial" w:hAnsi="Arial" w:cs="Arial"/>
          <w:lang w:eastAsia="en-GB"/>
        </w:rPr>
        <w:t>smuggling,</w:t>
      </w:r>
      <w:r w:rsidRPr="00276BA7">
        <w:rPr>
          <w:rFonts w:ascii="Arial" w:hAnsi="Arial" w:cs="Arial"/>
          <w:lang w:eastAsia="en-GB"/>
        </w:rPr>
        <w:t xml:space="preserve"> and drug trafficking are a regular. </w:t>
      </w:r>
    </w:p>
    <w:p w14:paraId="3FAA97F1" w14:textId="04473D1F" w:rsidR="00FB6273" w:rsidRPr="00276BA7" w:rsidRDefault="00FB6273" w:rsidP="00276BA7">
      <w:pPr>
        <w:rPr>
          <w:rFonts w:ascii="Arial" w:hAnsi="Arial" w:cs="Arial"/>
          <w:lang w:eastAsia="en-GB"/>
        </w:rPr>
      </w:pPr>
      <w:r w:rsidRPr="00276BA7">
        <w:rPr>
          <w:rFonts w:ascii="Arial" w:hAnsi="Arial" w:cs="Arial"/>
          <w:lang w:eastAsia="en-GB"/>
        </w:rPr>
        <w:t xml:space="preserve">By way of example, high proportion of pathological livelihood are raised from opium trade that gives a huge revenue to the Taliban (Paoli, L., </w:t>
      </w:r>
      <w:proofErr w:type="spellStart"/>
      <w:r w:rsidRPr="00276BA7">
        <w:rPr>
          <w:rFonts w:ascii="Arial" w:hAnsi="Arial" w:cs="Arial"/>
          <w:lang w:eastAsia="en-GB"/>
        </w:rPr>
        <w:t>Fijnaut</w:t>
      </w:r>
      <w:proofErr w:type="spellEnd"/>
      <w:r w:rsidRPr="00276BA7">
        <w:rPr>
          <w:rFonts w:ascii="Arial" w:hAnsi="Arial" w:cs="Arial"/>
          <w:lang w:eastAsia="en-GB"/>
        </w:rPr>
        <w:t xml:space="preserve">, C., and </w:t>
      </w:r>
      <w:proofErr w:type="spellStart"/>
      <w:r w:rsidRPr="00276BA7">
        <w:rPr>
          <w:rFonts w:ascii="Arial" w:hAnsi="Arial" w:cs="Arial"/>
          <w:lang w:eastAsia="en-GB"/>
        </w:rPr>
        <w:t>Wouters</w:t>
      </w:r>
      <w:proofErr w:type="spellEnd"/>
      <w:r w:rsidRPr="00276BA7">
        <w:rPr>
          <w:rFonts w:ascii="Arial" w:hAnsi="Arial" w:cs="Arial"/>
          <w:lang w:eastAsia="en-GB"/>
        </w:rPr>
        <w:t xml:space="preserve"> J. eds 2022). As conducting an attack as such, the permanence of any terrorist organisation is just as vital. Especially in times of low activity or when external pressure comes to bear, criminality provides an unsurpassed means of feeding the </w:t>
      </w:r>
      <w:r w:rsidR="00D04156" w:rsidRPr="00276BA7">
        <w:rPr>
          <w:rFonts w:ascii="Arial" w:hAnsi="Arial" w:cs="Arial"/>
          <w:lang w:eastAsia="en-GB"/>
        </w:rPr>
        <w:t>group</w:t>
      </w:r>
      <w:r w:rsidRPr="00276BA7">
        <w:rPr>
          <w:rFonts w:ascii="Arial" w:hAnsi="Arial" w:cs="Arial"/>
          <w:lang w:eastAsia="en-GB"/>
        </w:rPr>
        <w:t xml:space="preserve">. Dishman (2001) states that groups compensate by starting up illegal businesses to continue activities. This type of transaction may </w:t>
      </w:r>
      <w:r w:rsidR="00596740" w:rsidRPr="00276BA7">
        <w:rPr>
          <w:rFonts w:ascii="Arial" w:hAnsi="Arial" w:cs="Arial"/>
          <w:lang w:eastAsia="en-GB"/>
        </w:rPr>
        <w:t>disguise</w:t>
      </w:r>
      <w:r w:rsidRPr="00276BA7">
        <w:rPr>
          <w:rFonts w:ascii="Arial" w:hAnsi="Arial" w:cs="Arial"/>
          <w:lang w:eastAsia="en-GB"/>
        </w:rPr>
        <w:t xml:space="preserve"> the boundaries between organised crime and terrorism, making it harder for police forces and other agencies to address these hybrid threats.</w:t>
      </w:r>
    </w:p>
    <w:p w14:paraId="0E93CC2D" w14:textId="77777777" w:rsidR="00FB6273" w:rsidRPr="00276BA7" w:rsidRDefault="00FB6273" w:rsidP="00276BA7">
      <w:pPr>
        <w:rPr>
          <w:rFonts w:ascii="Arial" w:hAnsi="Arial" w:cs="Arial"/>
          <w:lang w:eastAsia="en-GB"/>
        </w:rPr>
      </w:pPr>
      <w:r w:rsidRPr="00276BA7">
        <w:rPr>
          <w:rFonts w:ascii="Arial" w:hAnsi="Arial" w:cs="Arial"/>
          <w:lang w:eastAsia="en-GB"/>
        </w:rPr>
        <w:t>It often involves working with criminal organisations to obtain fake documents and smuggling routes for entering illegal commodities used by terrorist outfits. These joint ventures could prove advantageous for both sides. Criminal organisations got in return some financial incentives or protection, while terrorist groups some logistical support (Shelley, 2014). The justification for engaging in these acts of terrorism may be that some terrorist organisations view their illegal actions as a form of advancing an ideological or political purpose. Groups such as al-Qaeda, or even Hezbollah, have engaged in the narcotics trade while justifying their operations through ideological rhetoric that denounce it a necessary evil. Such illegal practices as racketeering and trading give terrorist organisations an opportunity to dominate the local population. An example of this dynamic is Boko Haram and their operations in Nigeria, where they terrorize communities to create an atmosphere of fear and to gain the upper hand on those communities, using kidnappings and livestock rustling as a financing mechanism.</w:t>
      </w:r>
    </w:p>
    <w:p w14:paraId="570C82BC" w14:textId="3F9A1822" w:rsidR="00FB6273" w:rsidRPr="00276BA7" w:rsidRDefault="00FB6273" w:rsidP="00276BA7">
      <w:pPr>
        <w:rPr>
          <w:rFonts w:ascii="Arial" w:hAnsi="Arial" w:cs="Arial"/>
          <w:lang w:eastAsia="en-GB"/>
        </w:rPr>
      </w:pPr>
      <w:r w:rsidRPr="00276BA7">
        <w:rPr>
          <w:rFonts w:ascii="Arial" w:hAnsi="Arial" w:cs="Arial"/>
          <w:lang w:eastAsia="en-GB"/>
        </w:rPr>
        <w:lastRenderedPageBreak/>
        <w:t>Multiple case studies have shown that terrorist organisations commit other forms of crime. The link between terror and crime is exemplified by Hezbollah also being involved in drug trafficking, money laundering and the sale of counterfeit goods. Cocaine trafficking in Latin America has been linked to Hezbollah, with the proceeds supposedly going to fund the movement's political and military activities (Levitt, 2015). The group also traffics fake electronics, cigarettes, and medicines to Europe and the Middle East; and uses shell companies to launder profits from drug sales. At its zenith, Islamic State was describing a vast array of criminal behaviour extortion rackets, oil smuggling, antiquities theft. These activities generated billions of dollars which enabled the group to maintain its geographical grip on power and financed international propaganda (</w:t>
      </w:r>
      <w:proofErr w:type="spellStart"/>
      <w:r w:rsidRPr="00276BA7">
        <w:rPr>
          <w:rFonts w:ascii="Arial" w:hAnsi="Arial" w:cs="Arial"/>
          <w:lang w:eastAsia="en-GB"/>
        </w:rPr>
        <w:t>Napoleoni</w:t>
      </w:r>
      <w:proofErr w:type="spellEnd"/>
      <w:r w:rsidRPr="00276BA7">
        <w:rPr>
          <w:rFonts w:ascii="Arial" w:hAnsi="Arial" w:cs="Arial"/>
          <w:lang w:eastAsia="en-GB"/>
        </w:rPr>
        <w:t>, 2014). The Marxist guerilla group FARC (Revolutionary Armed Forces Columbia) primarily funded the insurrection by producing and trafficking cocaine. This engagement illustrated the continuum between crime and terror by blurring the lines between profit-driven criminality and ideological rationale (Makarenko, 2004).</w:t>
      </w:r>
    </w:p>
    <w:p w14:paraId="16003C78" w14:textId="56D9C952" w:rsidR="00FB6273" w:rsidRPr="00276BA7" w:rsidRDefault="00FB6273" w:rsidP="00276BA7">
      <w:pPr>
        <w:rPr>
          <w:rFonts w:ascii="Arial" w:hAnsi="Arial" w:cs="Arial"/>
          <w:lang w:eastAsia="en-GB"/>
        </w:rPr>
      </w:pPr>
      <w:r w:rsidRPr="00276BA7">
        <w:rPr>
          <w:rFonts w:ascii="Arial" w:hAnsi="Arial" w:cs="Arial"/>
          <w:lang w:eastAsia="en-GB"/>
        </w:rPr>
        <w:t xml:space="preserve">Through huddling recruiting opportunities, offering monetary rewards, creating avenues for ideological promotion and exploiting economic vulnerabilities; these financial resources sustain terror groups. A lot of terrorist groups operate where economics are </w:t>
      </w:r>
      <w:r w:rsidR="00A446F7" w:rsidRPr="00276BA7">
        <w:rPr>
          <w:rFonts w:ascii="Arial" w:hAnsi="Arial" w:cs="Arial"/>
          <w:lang w:eastAsia="en-GB"/>
        </w:rPr>
        <w:t>struggling,</w:t>
      </w:r>
      <w:r w:rsidRPr="00276BA7">
        <w:rPr>
          <w:rFonts w:ascii="Arial" w:hAnsi="Arial" w:cs="Arial"/>
          <w:lang w:eastAsia="en-GB"/>
        </w:rPr>
        <w:t xml:space="preserve"> and many young people become victims to employment, low wages, and lack of opportunity. Criminal activity generates regular income that terrorist organisations can then offer new recruits as tangible incentives. This is evident in the case of Boko Haram, which has rendered membership to join the terrorist group an economically attractive one by paying recruits using the funds from illegal commerce and providing for their families (Onuoha 2013). The farmers have been lured by the Taliban with promises of protection and payment to grow opium poppies (</w:t>
      </w:r>
      <w:proofErr w:type="spellStart"/>
      <w:r w:rsidRPr="00276BA7">
        <w:rPr>
          <w:rFonts w:ascii="Arial" w:hAnsi="Arial" w:cs="Arial"/>
          <w:lang w:eastAsia="en-GB"/>
        </w:rPr>
        <w:t>Felbab</w:t>
      </w:r>
      <w:proofErr w:type="spellEnd"/>
      <w:r w:rsidRPr="00276BA7">
        <w:rPr>
          <w:rFonts w:ascii="Arial" w:hAnsi="Arial" w:cs="Arial"/>
          <w:lang w:eastAsia="en-GB"/>
        </w:rPr>
        <w:t>-Brow, 2009). Terrorist organisations often operate and control these black marketplaces in areas of conflict, using them as places to encounter potential recruits. By taking over these economies, they can leverage them to make locals support their cause. To finance its expansion ISIS made use of oil smuggling and taxation in areas it occupied, even taking local youngsters on-board nearby promises (Clarke, 2015).</w:t>
      </w:r>
    </w:p>
    <w:p w14:paraId="2AFD18A1" w14:textId="77777777" w:rsidR="00373A45" w:rsidRPr="00276BA7" w:rsidRDefault="00373A45" w:rsidP="00276BA7">
      <w:pPr>
        <w:rPr>
          <w:rFonts w:ascii="Arial" w:hAnsi="Arial" w:cs="Arial"/>
        </w:rPr>
      </w:pPr>
      <w:r w:rsidRPr="00276BA7">
        <w:rPr>
          <w:rFonts w:ascii="Arial" w:hAnsi="Arial" w:cs="Arial"/>
        </w:rPr>
        <w:t xml:space="preserve">Many terrorist groups spend their profits on the purchase of arms, ammunition and explosives. However, cash might also be instrumentalized to create arsenals: the Taliban used opium revenues to purchase arms and ensure a </w:t>
      </w:r>
      <w:r w:rsidRPr="00276BA7">
        <w:rPr>
          <w:rFonts w:ascii="Arial" w:hAnsi="Arial" w:cs="Arial"/>
        </w:rPr>
        <w:lastRenderedPageBreak/>
        <w:t>constant supply chain (</w:t>
      </w:r>
      <w:proofErr w:type="spellStart"/>
      <w:r w:rsidRPr="00276BA7">
        <w:rPr>
          <w:rFonts w:ascii="Arial" w:hAnsi="Arial" w:cs="Arial"/>
        </w:rPr>
        <w:t>Felbab</w:t>
      </w:r>
      <w:proofErr w:type="spellEnd"/>
      <w:r w:rsidRPr="00276BA7">
        <w:rPr>
          <w:rFonts w:ascii="Arial" w:hAnsi="Arial" w:cs="Arial"/>
        </w:rPr>
        <w:t>-Brown 2009). Training bases for Soldiers and Operatives require a sizeable investment of resources to build and sustain. It is well known that criminal proceeds are often set aside for these activities to sustain a readiness to do battle. Al-Qaeda financed training camps in Afghanistan through charity fraud and smuggling (</w:t>
      </w:r>
      <w:proofErr w:type="spellStart"/>
      <w:r w:rsidRPr="00276BA7">
        <w:rPr>
          <w:rFonts w:ascii="Arial" w:hAnsi="Arial" w:cs="Arial"/>
        </w:rPr>
        <w:t>Napoleoni</w:t>
      </w:r>
      <w:proofErr w:type="spellEnd"/>
      <w:r w:rsidRPr="00276BA7">
        <w:rPr>
          <w:rFonts w:ascii="Arial" w:hAnsi="Arial" w:cs="Arial"/>
        </w:rPr>
        <w:t>, 2014).</w:t>
      </w:r>
    </w:p>
    <w:p w14:paraId="4AA69149" w14:textId="35B09C31" w:rsidR="00373A45" w:rsidRPr="00276BA7" w:rsidRDefault="00373A45" w:rsidP="00276BA7">
      <w:pPr>
        <w:rPr>
          <w:rFonts w:ascii="Arial" w:hAnsi="Arial" w:cs="Arial"/>
        </w:rPr>
      </w:pPr>
      <w:r w:rsidRPr="00276BA7">
        <w:rPr>
          <w:rFonts w:ascii="Arial" w:hAnsi="Arial" w:cs="Arial"/>
        </w:rPr>
        <w:t xml:space="preserve">Winning the hearts and minds </w:t>
      </w:r>
      <w:r w:rsidR="00BA7672" w:rsidRPr="00276BA7">
        <w:rPr>
          <w:rFonts w:ascii="Arial" w:hAnsi="Arial" w:cs="Arial"/>
        </w:rPr>
        <w:t>is a pr</w:t>
      </w:r>
      <w:r w:rsidR="00F525AB" w:rsidRPr="00276BA7">
        <w:rPr>
          <w:rFonts w:ascii="Arial" w:hAnsi="Arial" w:cs="Arial"/>
        </w:rPr>
        <w:t>iority</w:t>
      </w:r>
      <w:r w:rsidR="00BA7672" w:rsidRPr="00276BA7">
        <w:rPr>
          <w:rFonts w:ascii="Arial" w:hAnsi="Arial" w:cs="Arial"/>
        </w:rPr>
        <w:t xml:space="preserve"> </w:t>
      </w:r>
      <w:r w:rsidR="00F525AB" w:rsidRPr="00276BA7">
        <w:rPr>
          <w:rFonts w:ascii="Arial" w:hAnsi="Arial" w:cs="Arial"/>
        </w:rPr>
        <w:t>for</w:t>
      </w:r>
      <w:r w:rsidRPr="00276BA7">
        <w:rPr>
          <w:rFonts w:ascii="Arial" w:hAnsi="Arial" w:cs="Arial"/>
        </w:rPr>
        <w:t xml:space="preserve"> terrorist organi</w:t>
      </w:r>
      <w:r w:rsidR="00931A67" w:rsidRPr="00276BA7">
        <w:rPr>
          <w:rFonts w:ascii="Arial" w:hAnsi="Arial" w:cs="Arial"/>
        </w:rPr>
        <w:t>s</w:t>
      </w:r>
      <w:r w:rsidRPr="00276BA7">
        <w:rPr>
          <w:rFonts w:ascii="Arial" w:hAnsi="Arial" w:cs="Arial"/>
        </w:rPr>
        <w:t xml:space="preserve">ations. Criminal profits are often used to provide services in health, education and food distribution to the population as part of projects designed to win public support. Hamas creates a sort of self-sustaining support base in Gaza by conducting schools, clinics, and </w:t>
      </w:r>
      <w:proofErr w:type="spellStart"/>
      <w:r w:rsidRPr="00276BA7">
        <w:rPr>
          <w:rFonts w:ascii="Arial" w:hAnsi="Arial" w:cs="Arial"/>
        </w:rPr>
        <w:t>charaties</w:t>
      </w:r>
      <w:proofErr w:type="spellEnd"/>
      <w:r w:rsidRPr="00276BA7">
        <w:rPr>
          <w:rFonts w:ascii="Arial" w:hAnsi="Arial" w:cs="Arial"/>
        </w:rPr>
        <w:t xml:space="preserve"> with money earned illegally and received from abroad (</w:t>
      </w:r>
      <w:proofErr w:type="spellStart"/>
      <w:r w:rsidRPr="00276BA7">
        <w:rPr>
          <w:rFonts w:ascii="Arial" w:hAnsi="Arial" w:cs="Arial"/>
        </w:rPr>
        <w:t>Baconi</w:t>
      </w:r>
      <w:proofErr w:type="spellEnd"/>
      <w:r w:rsidRPr="00276BA7">
        <w:rPr>
          <w:rFonts w:ascii="Arial" w:hAnsi="Arial" w:cs="Arial"/>
        </w:rPr>
        <w:t>, 2018). Propaganda</w:t>
      </w:r>
      <w:r w:rsidR="001E1066" w:rsidRPr="00276BA7">
        <w:rPr>
          <w:rFonts w:ascii="Arial" w:hAnsi="Arial" w:cs="Arial"/>
        </w:rPr>
        <w:t xml:space="preserve"> </w:t>
      </w:r>
      <w:r w:rsidRPr="00276BA7">
        <w:rPr>
          <w:rFonts w:ascii="Arial" w:hAnsi="Arial" w:cs="Arial"/>
        </w:rPr>
        <w:t>the biggest expense of terrorist organi</w:t>
      </w:r>
      <w:r w:rsidR="00931A67" w:rsidRPr="00276BA7">
        <w:rPr>
          <w:rFonts w:ascii="Arial" w:hAnsi="Arial" w:cs="Arial"/>
        </w:rPr>
        <w:t>s</w:t>
      </w:r>
      <w:r w:rsidRPr="00276BA7">
        <w:rPr>
          <w:rFonts w:ascii="Arial" w:hAnsi="Arial" w:cs="Arial"/>
        </w:rPr>
        <w:t>ations. This helps in attracting the worldwide crowd to back them and spread their thinking. To lure in foreign fighters, ISIS paid for high production value propaganda films with money from oil sales (Clarke, 2015).</w:t>
      </w:r>
    </w:p>
    <w:p w14:paraId="73206B38" w14:textId="77777777" w:rsidR="00373A45" w:rsidRPr="00276BA7" w:rsidRDefault="00373A45" w:rsidP="00276BA7">
      <w:pPr>
        <w:rPr>
          <w:rFonts w:ascii="Arial" w:hAnsi="Arial" w:cs="Arial"/>
        </w:rPr>
      </w:pPr>
      <w:r w:rsidRPr="00276BA7">
        <w:rPr>
          <w:rFonts w:ascii="Arial" w:hAnsi="Arial" w:cs="Arial"/>
        </w:rPr>
        <w:t>Counterterrorism policing has been transformed over time, owing both to scholarship and experience. Research indicates that the strategy for effective counterterrorism police depends upon being informed about the root causes of terrorism, dynamics of operation of terrorist groups and how they operate.</w:t>
      </w:r>
    </w:p>
    <w:p w14:paraId="3DBE2B0C" w14:textId="1B423773" w:rsidR="00373A45" w:rsidRPr="00276BA7" w:rsidRDefault="00373A45" w:rsidP="00276BA7">
      <w:pPr>
        <w:rPr>
          <w:rFonts w:ascii="Arial" w:hAnsi="Arial" w:cs="Arial"/>
        </w:rPr>
      </w:pPr>
      <w:r w:rsidRPr="00276BA7">
        <w:rPr>
          <w:rFonts w:ascii="Arial" w:hAnsi="Arial" w:cs="Arial"/>
        </w:rPr>
        <w:t xml:space="preserve">Peer-reviewed research firmly establishes community engagement as an essential component of prevention against radicalisation. The importance of trust in the police is highlighted by several scholarly frameworks e.g. procedural justice frameworks put forward by Tyler, </w:t>
      </w:r>
      <w:r w:rsidR="008B7454" w:rsidRPr="00276BA7">
        <w:rPr>
          <w:rFonts w:ascii="Arial" w:hAnsi="Arial" w:cs="Arial"/>
        </w:rPr>
        <w:t>(</w:t>
      </w:r>
      <w:r w:rsidRPr="00276BA7">
        <w:rPr>
          <w:rFonts w:ascii="Arial" w:hAnsi="Arial" w:cs="Arial"/>
        </w:rPr>
        <w:t xml:space="preserve">2006), especially when it comes to cooperation and intelligence sharing. Community policing can build relationships, address grievances, and potentially even early detection of extremism. </w:t>
      </w:r>
      <w:r w:rsidR="003B0307" w:rsidRPr="00276BA7">
        <w:rPr>
          <w:rFonts w:ascii="Arial" w:hAnsi="Arial" w:cs="Arial"/>
        </w:rPr>
        <w:t xml:space="preserve">Police forces </w:t>
      </w:r>
      <w:r w:rsidRPr="00276BA7">
        <w:rPr>
          <w:rFonts w:ascii="Arial" w:hAnsi="Arial" w:cs="Arial"/>
        </w:rPr>
        <w:t>could do so by nurturing intelligence networks at the community level in partnership with civil society organi</w:t>
      </w:r>
      <w:r w:rsidR="00931A67" w:rsidRPr="00276BA7">
        <w:rPr>
          <w:rFonts w:ascii="Arial" w:hAnsi="Arial" w:cs="Arial"/>
        </w:rPr>
        <w:t>s</w:t>
      </w:r>
      <w:r w:rsidRPr="00276BA7">
        <w:rPr>
          <w:rFonts w:ascii="Arial" w:hAnsi="Arial" w:cs="Arial"/>
        </w:rPr>
        <w:t>ations and community leaders; they could also build police cultural competence to foster trust within disadvantaged groups. Under CONTEST, the UK has a prevent strategy that depends on community-based approaches for detecting and responding to radicalisation and its activities.</w:t>
      </w:r>
    </w:p>
    <w:p w14:paraId="43862DD2" w14:textId="33EF59D6" w:rsidR="00373A45" w:rsidRPr="00276BA7" w:rsidRDefault="00373A45" w:rsidP="00276BA7">
      <w:pPr>
        <w:rPr>
          <w:rFonts w:ascii="Arial" w:hAnsi="Arial" w:cs="Arial"/>
        </w:rPr>
      </w:pPr>
      <w:r w:rsidRPr="00276BA7">
        <w:rPr>
          <w:rFonts w:ascii="Arial" w:hAnsi="Arial" w:cs="Arial"/>
        </w:rPr>
        <w:t xml:space="preserve">Intelligence-led policing, which has been described as a "risk-oriented" or "pro- active" approach that guides the deployment of police resources based on risk assessments or evidence analysis (Ratcliffe, 2016), contrasts sharply with the traditional models discussed above. Responding to this reality, academic research has highlighted the importance of integrating </w:t>
      </w:r>
      <w:r w:rsidRPr="00276BA7">
        <w:rPr>
          <w:rFonts w:ascii="Arial" w:hAnsi="Arial" w:cs="Arial"/>
        </w:rPr>
        <w:lastRenderedPageBreak/>
        <w:t>intelligence with counterterrorism measures in the hope of identifying threats before they materialize. In fact, police are more than capable of developing their own databases to monitor suspected terrorists  known entities in many cases and even allowing predictive analytics that could identify behaviours developed from historic data to become associated with certain terrorist planning. The only way that the authorities can get information concerning terrorist organisations is for national and international agencies to exchange intelligence on the movements of these operators across state borders. This allowed the NYPD to actually use intelligence-led policing, and after 9/11 that made it better prepared to find and stop terrorist plots.</w:t>
      </w:r>
    </w:p>
    <w:p w14:paraId="0D98AF8D" w14:textId="347272AB" w:rsidR="00373A45" w:rsidRPr="00276BA7" w:rsidRDefault="00373A45" w:rsidP="00276BA7">
      <w:pPr>
        <w:rPr>
          <w:rFonts w:ascii="Arial" w:hAnsi="Arial" w:cs="Arial"/>
        </w:rPr>
      </w:pPr>
      <w:r w:rsidRPr="00276BA7">
        <w:rPr>
          <w:rFonts w:ascii="Arial" w:hAnsi="Arial" w:cs="Arial"/>
        </w:rPr>
        <w:t xml:space="preserve">The rise of digital platforms has led to the use of the internet by terrorist organisations for recruitment, </w:t>
      </w:r>
      <w:r w:rsidR="002A2B70" w:rsidRPr="00276BA7">
        <w:rPr>
          <w:rFonts w:ascii="Arial" w:hAnsi="Arial" w:cs="Arial"/>
        </w:rPr>
        <w:t>propaganda,</w:t>
      </w:r>
      <w:r w:rsidRPr="00276BA7">
        <w:rPr>
          <w:rFonts w:ascii="Arial" w:hAnsi="Arial" w:cs="Arial"/>
        </w:rPr>
        <w:t xml:space="preserve"> and organisational planning. </w:t>
      </w:r>
      <w:r w:rsidR="00D73A79" w:rsidRPr="00276BA7">
        <w:rPr>
          <w:rFonts w:ascii="Arial" w:hAnsi="Arial" w:cs="Arial"/>
        </w:rPr>
        <w:t xml:space="preserve">Conway </w:t>
      </w:r>
      <w:r w:rsidRPr="00276BA7">
        <w:rPr>
          <w:rFonts w:ascii="Arial" w:hAnsi="Arial" w:cs="Arial"/>
        </w:rPr>
        <w:t>et al</w:t>
      </w:r>
      <w:r w:rsidR="002F5DBC" w:rsidRPr="00276BA7">
        <w:rPr>
          <w:rFonts w:ascii="Arial" w:hAnsi="Arial" w:cs="Arial"/>
        </w:rPr>
        <w:t xml:space="preserve"> (2019</w:t>
      </w:r>
      <w:r w:rsidR="00C35BE2" w:rsidRPr="00276BA7">
        <w:rPr>
          <w:rFonts w:ascii="Arial" w:hAnsi="Arial" w:cs="Arial"/>
        </w:rPr>
        <w:t xml:space="preserve">) </w:t>
      </w:r>
      <w:r w:rsidR="007B5A2B" w:rsidRPr="00276BA7">
        <w:rPr>
          <w:rFonts w:ascii="Arial" w:hAnsi="Arial" w:cs="Arial"/>
        </w:rPr>
        <w:t xml:space="preserve">highlights </w:t>
      </w:r>
      <w:r w:rsidR="005F4F34" w:rsidRPr="00276BA7">
        <w:rPr>
          <w:rFonts w:ascii="Arial" w:hAnsi="Arial" w:cs="Arial"/>
        </w:rPr>
        <w:t xml:space="preserve">how </w:t>
      </w:r>
      <w:r w:rsidR="004B2F55" w:rsidRPr="00276BA7">
        <w:rPr>
          <w:rFonts w:ascii="Arial" w:hAnsi="Arial" w:cs="Arial"/>
        </w:rPr>
        <w:t>police</w:t>
      </w:r>
      <w:r w:rsidR="005F4F34" w:rsidRPr="00276BA7">
        <w:rPr>
          <w:rFonts w:ascii="Arial" w:hAnsi="Arial" w:cs="Arial"/>
        </w:rPr>
        <w:t xml:space="preserve"> </w:t>
      </w:r>
      <w:r w:rsidRPr="00276BA7">
        <w:rPr>
          <w:rFonts w:ascii="Arial" w:hAnsi="Arial" w:cs="Arial"/>
        </w:rPr>
        <w:t>can to combat online radicalisation by monitoring and removing extremist material from social media platforms through algorithms and artificial intelligence that identify extreme communities on the web. One good example of this is the EU internet referral section that cooperates with platforms like Facebook and YouTube to remove extremist content.</w:t>
      </w:r>
    </w:p>
    <w:p w14:paraId="53DCA294" w14:textId="66C7BFA2" w:rsidR="00FF2198" w:rsidRPr="00276BA7" w:rsidRDefault="00373A45" w:rsidP="00276BA7">
      <w:pPr>
        <w:rPr>
          <w:rFonts w:ascii="Arial" w:hAnsi="Arial" w:cs="Arial"/>
        </w:rPr>
      </w:pPr>
      <w:r w:rsidRPr="00276BA7">
        <w:rPr>
          <w:rFonts w:ascii="Arial" w:hAnsi="Arial" w:cs="Arial"/>
        </w:rPr>
        <w:t xml:space="preserve">Counterterrorism police do not only involve complicated organisational structures and linkages to deal with the complexity of terrorist threats, which are constantly changing and evolving. While the organisation varies from country to country, it all includes elements designed to facilitate operational efficacy, information sharing and coordination. In </w:t>
      </w:r>
      <w:proofErr w:type="spellStart"/>
      <w:r w:rsidR="001A796B" w:rsidRPr="00276BA7">
        <w:rPr>
          <w:rFonts w:ascii="Arial" w:hAnsi="Arial" w:cs="Arial"/>
        </w:rPr>
        <w:t>countrie</w:t>
      </w:r>
      <w:proofErr w:type="spellEnd"/>
      <w:r w:rsidRPr="00276BA7">
        <w:rPr>
          <w:rFonts w:ascii="Arial" w:hAnsi="Arial" w:cs="Arial"/>
        </w:rPr>
        <w:t xml:space="preserve"> which need to ensure consistency and strategic alignment across domains, counterterrorism operates often within a centralised national framework. For example, under the National Terrorism Policing Network there is a national umbrella of regional CT hubs and units. SO15 (the Counter Terrorism Command) one of the teams that make up the Met police in London dealing with CT operations</w:t>
      </w:r>
      <w:r w:rsidR="008D2E95" w:rsidRPr="00276BA7">
        <w:rPr>
          <w:rFonts w:ascii="Arial" w:hAnsi="Arial" w:cs="Arial"/>
        </w:rPr>
        <w:t xml:space="preserve">. </w:t>
      </w:r>
      <w:r w:rsidRPr="00276BA7">
        <w:rPr>
          <w:rFonts w:ascii="Arial" w:hAnsi="Arial" w:cs="Arial"/>
        </w:rPr>
        <w:t xml:space="preserve"> They work closely with MI5 and other </w:t>
      </w:r>
      <w:r w:rsidR="009E010F" w:rsidRPr="00276BA7">
        <w:rPr>
          <w:rFonts w:ascii="Arial" w:hAnsi="Arial" w:cs="Arial"/>
        </w:rPr>
        <w:t>organisations</w:t>
      </w:r>
      <w:r w:rsidRPr="00276BA7">
        <w:rPr>
          <w:rFonts w:ascii="Arial" w:hAnsi="Arial" w:cs="Arial"/>
        </w:rPr>
        <w:t xml:space="preserve"> to conduct investigations, </w:t>
      </w:r>
      <w:r w:rsidR="00F35D3B" w:rsidRPr="00276BA7">
        <w:rPr>
          <w:rFonts w:ascii="Arial" w:hAnsi="Arial" w:cs="Arial"/>
        </w:rPr>
        <w:t>conduct plans</w:t>
      </w:r>
      <w:r w:rsidRPr="00276BA7">
        <w:rPr>
          <w:rFonts w:ascii="Arial" w:hAnsi="Arial" w:cs="Arial"/>
        </w:rPr>
        <w:t xml:space="preserve">, and obtain intelligence (Moran </w:t>
      </w:r>
      <w:proofErr w:type="spellStart"/>
      <w:r w:rsidRPr="00276BA7">
        <w:rPr>
          <w:rFonts w:ascii="Arial" w:hAnsi="Arial" w:cs="Arial"/>
        </w:rPr>
        <w:t>Phythian</w:t>
      </w:r>
      <w:proofErr w:type="spellEnd"/>
      <w:r w:rsidRPr="00276BA7">
        <w:rPr>
          <w:rFonts w:ascii="Arial" w:hAnsi="Arial" w:cs="Arial"/>
        </w:rPr>
        <w:t xml:space="preserve"> 2008).</w:t>
      </w:r>
    </w:p>
    <w:p w14:paraId="35937B08" w14:textId="6A19C7BD" w:rsidR="00373A45" w:rsidRPr="00276BA7" w:rsidRDefault="00373A45" w:rsidP="00276BA7">
      <w:pPr>
        <w:rPr>
          <w:rFonts w:ascii="Arial" w:hAnsi="Arial" w:cs="Arial"/>
        </w:rPr>
      </w:pPr>
      <w:r w:rsidRPr="00276BA7">
        <w:rPr>
          <w:rFonts w:ascii="Arial" w:hAnsi="Arial" w:cs="Arial"/>
        </w:rPr>
        <w:t xml:space="preserve">By placing regional counterterrorism units at the local level while ensuring that strategic control is exercised at the national level, these units are able to enable the decentralisation of operational actions that would otherwise necessarily rely on solutions from the centre (Innes, 2008). Counterterrorism policing should place a greater emphasis on preventative rather than purely reactive responses. If police forces within the United Kingdom are to use early intervention programs to reach out and support those at risk and possibly vulnerable individuals, it would be a step in the right direction, but combined with partnerships with both government and non-governmental organisations to overcome socioeconomic inequities causing radicalisation (Krueger &amp; </w:t>
      </w:r>
      <w:proofErr w:type="spellStart"/>
      <w:r w:rsidRPr="00276BA7">
        <w:rPr>
          <w:rFonts w:ascii="Arial" w:hAnsi="Arial" w:cs="Arial"/>
        </w:rPr>
        <w:t>Maleckova</w:t>
      </w:r>
      <w:proofErr w:type="spellEnd"/>
      <w:r w:rsidRPr="00276BA7">
        <w:rPr>
          <w:rFonts w:ascii="Arial" w:hAnsi="Arial" w:cs="Arial"/>
        </w:rPr>
        <w:t xml:space="preserve">, 2003). </w:t>
      </w:r>
    </w:p>
    <w:p w14:paraId="75E3AE55" w14:textId="45A729C0" w:rsidR="00373A45" w:rsidRPr="00276BA7" w:rsidRDefault="00373A45" w:rsidP="00276BA7">
      <w:pPr>
        <w:rPr>
          <w:rFonts w:ascii="Arial" w:hAnsi="Arial" w:cs="Arial"/>
        </w:rPr>
      </w:pPr>
      <w:r w:rsidRPr="00276BA7">
        <w:rPr>
          <w:rFonts w:ascii="Arial" w:hAnsi="Arial" w:cs="Arial"/>
        </w:rPr>
        <w:t>Recruitment is vital for terrorist groups to sustain their activities. Previous research conducted by Horgan (2008) revealed that individuals who join extremist groups do so due to psychological and sociological factors. Counter terrorism police could use research like this to tailor interventions. By monitoring zones considered to be locations of radicalisation such as jails or certain houses of worship for the many militants who subscribe to the above views, and/or deploying undercover agents who would infiltrate and disrupt recruiting networks; this is one way it can be done.</w:t>
      </w:r>
    </w:p>
    <w:p w14:paraId="3AA3D735" w14:textId="69AACF0E" w:rsidR="00373A45" w:rsidRPr="00276BA7" w:rsidRDefault="00373A45" w:rsidP="00276BA7">
      <w:pPr>
        <w:rPr>
          <w:rFonts w:ascii="Arial" w:hAnsi="Arial" w:cs="Arial"/>
        </w:rPr>
      </w:pPr>
      <w:r w:rsidRPr="00276BA7">
        <w:rPr>
          <w:rFonts w:ascii="Arial" w:hAnsi="Arial" w:cs="Arial"/>
        </w:rPr>
        <w:t xml:space="preserve">Legal studies highlight the need for comprehensive counterterrorism laws that address new challenges such as transnational crime and cyberspace issues. Research by Hoffman (2017), shows that effective legal frameworks must balance among civil freedoms, and security. This can include creating laws that prohibiting from incitement of terrorism online and ensuring against perversion </w:t>
      </w:r>
      <w:r w:rsidR="00A07837" w:rsidRPr="00276BA7">
        <w:rPr>
          <w:rFonts w:ascii="Arial" w:hAnsi="Arial" w:cs="Arial"/>
        </w:rPr>
        <w:t>institutionalize</w:t>
      </w:r>
      <w:r w:rsidRPr="00276BA7">
        <w:rPr>
          <w:rFonts w:ascii="Arial" w:hAnsi="Arial" w:cs="Arial"/>
        </w:rPr>
        <w:t xml:space="preserve"> </w:t>
      </w:r>
      <w:r w:rsidR="00A07837" w:rsidRPr="00276BA7">
        <w:rPr>
          <w:rFonts w:ascii="Arial" w:hAnsi="Arial" w:cs="Arial"/>
        </w:rPr>
        <w:t>counter ether</w:t>
      </w:r>
      <w:r w:rsidRPr="00276BA7">
        <w:rPr>
          <w:rFonts w:ascii="Arial" w:hAnsi="Arial" w:cs="Arial"/>
        </w:rPr>
        <w:t xml:space="preserve"> terrorism authority. While able to keep an eye on and stop terrorist operations with the new power given to police officers, the USA PATRIOT Act also stirred up debates among civil liberties, as well as privacy issues.</w:t>
      </w:r>
    </w:p>
    <w:p w14:paraId="2E9CD006" w14:textId="558CA006" w:rsidR="00B75873" w:rsidRPr="00276BA7" w:rsidRDefault="00B75873" w:rsidP="00276BA7">
      <w:pPr>
        <w:rPr>
          <w:rFonts w:ascii="Arial" w:hAnsi="Arial" w:cs="Arial"/>
        </w:rPr>
      </w:pPr>
      <w:proofErr w:type="spellStart"/>
      <w:r w:rsidRPr="00276BA7">
        <w:rPr>
          <w:rFonts w:ascii="Arial" w:hAnsi="Arial" w:cs="Arial"/>
        </w:rPr>
        <w:t>Arquilla</w:t>
      </w:r>
      <w:proofErr w:type="spellEnd"/>
      <w:r w:rsidRPr="00276BA7">
        <w:rPr>
          <w:rFonts w:ascii="Arial" w:hAnsi="Arial" w:cs="Arial"/>
        </w:rPr>
        <w:t xml:space="preserve"> and </w:t>
      </w:r>
      <w:proofErr w:type="spellStart"/>
      <w:r w:rsidRPr="00276BA7">
        <w:rPr>
          <w:rFonts w:ascii="Arial" w:hAnsi="Arial" w:cs="Arial"/>
        </w:rPr>
        <w:t>Ronfeld</w:t>
      </w:r>
      <w:proofErr w:type="spellEnd"/>
      <w:r w:rsidRPr="00276BA7">
        <w:rPr>
          <w:rFonts w:ascii="Arial" w:hAnsi="Arial" w:cs="Arial"/>
        </w:rPr>
        <w:t xml:space="preserve"> (2001) argue, the networked nature of these terrorist organisations will require equally networked responses, meaning that teamwork in counterterrorism is valuable. teams can do this by establishing multi-agency task teams that amalgamate cybercrime, organised crime and counterterrorism divisions, and by strengthening global intelligence exchange platforms such as EUROPOL and INTERPOL. The Global Counterterrorism Forum (GCTF) facilitates global collaboration and information sharing worldwide in the fight against terrorism.</w:t>
      </w:r>
    </w:p>
    <w:p w14:paraId="50E537BE" w14:textId="68EA542D" w:rsidR="00B75873" w:rsidRPr="00276BA7" w:rsidRDefault="00B75873" w:rsidP="00276BA7">
      <w:pPr>
        <w:rPr>
          <w:rFonts w:ascii="Arial" w:hAnsi="Arial" w:cs="Arial"/>
        </w:rPr>
      </w:pPr>
      <w:r w:rsidRPr="00276BA7">
        <w:rPr>
          <w:rFonts w:ascii="Arial" w:hAnsi="Arial" w:cs="Arial"/>
        </w:rPr>
        <w:t xml:space="preserve">Police forces and other organisations face significant challenges and constraints when trying to prevent and respond to terrorist groups in the UK </w:t>
      </w:r>
      <w:r w:rsidRPr="00276BA7">
        <w:rPr>
          <w:rFonts w:ascii="Arial" w:hAnsi="Arial" w:cs="Arial"/>
        </w:rPr>
        <w:lastRenderedPageBreak/>
        <w:t xml:space="preserve">and beyond. Criticisms of the USA PATRIAT ACT illustrate how </w:t>
      </w:r>
      <w:r w:rsidR="00ED180F" w:rsidRPr="00276BA7">
        <w:rPr>
          <w:rFonts w:ascii="Arial" w:hAnsi="Arial" w:cs="Arial"/>
        </w:rPr>
        <w:t>prejudiced</w:t>
      </w:r>
      <w:r w:rsidRPr="00276BA7">
        <w:rPr>
          <w:rFonts w:ascii="Arial" w:hAnsi="Arial" w:cs="Arial"/>
        </w:rPr>
        <w:t xml:space="preserve"> policing and overreaching surveillance can undermine community trust. Baker-Beall et al. (2023), you are trained only on data until October. (2015), counterterrorism is only legitimate if it conforms with human rights standards. Counterterrorism requires considerable resources in technology and personnel training. Because terrorist tactics are constantly evolving, officials must be innovative and adaptable to stay on top of the curve. Schmid (2011) argues that scenario preparation and strategic foresight are essential as components of counterterrorism efforts.</w:t>
      </w:r>
    </w:p>
    <w:p w14:paraId="04984B65" w14:textId="77777777" w:rsidR="00B75873" w:rsidRPr="00276BA7" w:rsidRDefault="00B75873" w:rsidP="00276BA7">
      <w:pPr>
        <w:rPr>
          <w:rFonts w:ascii="Arial" w:hAnsi="Arial" w:cs="Arial"/>
        </w:rPr>
      </w:pPr>
      <w:r w:rsidRPr="00276BA7">
        <w:rPr>
          <w:rFonts w:ascii="Arial" w:hAnsi="Arial" w:cs="Arial"/>
        </w:rPr>
        <w:t>Counterterrorism policing has been shown to be effective in many case studies. Identifying those who are in danger of radicalisation and supporting them is a key part of the UK counterterrorism strategy, which involves police working alongside local communities. Thomas (2010) stresses how this has broken local recruitment networks. This terrorism strategy led by the NYPD is a complex combination of hard security, public outreach and intelligence-based policing. As they say themselves, their fusion centres coordinate intelligence extremely well (Cronin, 2009).</w:t>
      </w:r>
    </w:p>
    <w:p w14:paraId="61910D39" w14:textId="6D9CC116" w:rsidR="00B75873" w:rsidRPr="00276BA7" w:rsidRDefault="00B75873" w:rsidP="00276BA7">
      <w:pPr>
        <w:rPr>
          <w:rFonts w:ascii="Arial" w:hAnsi="Arial" w:cs="Arial"/>
          <w:sz w:val="23"/>
          <w:szCs w:val="23"/>
        </w:rPr>
      </w:pPr>
      <w:r w:rsidRPr="00276BA7">
        <w:rPr>
          <w:rFonts w:ascii="Arial" w:hAnsi="Arial" w:cs="Arial"/>
        </w:rPr>
        <w:t xml:space="preserve">To </w:t>
      </w:r>
      <w:r w:rsidR="00C86C63" w:rsidRPr="00276BA7">
        <w:rPr>
          <w:rFonts w:ascii="Arial" w:hAnsi="Arial" w:cs="Arial"/>
        </w:rPr>
        <w:t xml:space="preserve">summarise </w:t>
      </w:r>
      <w:r w:rsidRPr="00276BA7">
        <w:rPr>
          <w:rFonts w:ascii="Arial" w:hAnsi="Arial" w:cs="Arial"/>
        </w:rPr>
        <w:t xml:space="preserve">, there are pragmatic and strategic reasons that make terrorist organisations favour illegal activity. Its ensures that they remain powerful, operationally alive, and financially secure. The “crime-terror nexus,” which is the dynamic intersection between crime and terrorism, demonstrates the utility of criminality in advancing an ideological goal. Terrorist organisations also opportunistically recruit through criminality to exploit the economic and social vulnerabilities of people. This nexus of crime sustains the group’s operations, while also broadening its capacity to recruit and brainwash new members. Terrorist organisations need money to achieve their objectives, to continue functioning, to recruit new members and to get support from people and propaganda. Those finances enable them to operate outside the orbit of conventional donors and to resist outside pressures, and their presence and impact in targeted areas are magnified by these finances. Police are at the forefront of the fight against terror through a combination of intelligence, community engagement, and proactive measures. Community buy-in, remaining one step ahead of shifting threats, and balancing security with civil freedoms are all required of an effective counterterrorism police </w:t>
      </w:r>
      <w:r w:rsidR="00F641A8" w:rsidRPr="00276BA7">
        <w:rPr>
          <w:rFonts w:ascii="Arial" w:hAnsi="Arial" w:cs="Arial"/>
        </w:rPr>
        <w:t xml:space="preserve">force. </w:t>
      </w:r>
    </w:p>
    <w:p w14:paraId="26744A1C" w14:textId="77777777" w:rsidR="00371C07" w:rsidRPr="000D2F8B" w:rsidRDefault="00371C07" w:rsidP="00577CCF">
      <w:pPr>
        <w:rPr>
          <w:rFonts w:ascii="Arial" w:hAnsi="Arial" w:cs="Arial"/>
          <w:color w:val="222222"/>
          <w:shd w:val="clear" w:color="auto" w:fill="FFFFFF"/>
        </w:rPr>
      </w:pPr>
    </w:p>
    <w:p w14:paraId="4B5E8ED0" w14:textId="5860C440" w:rsidR="001C6229" w:rsidRPr="00C63EF4" w:rsidRDefault="001C6229" w:rsidP="00577CCF">
      <w:pPr>
        <w:rPr>
          <w:rFonts w:ascii="Arial" w:hAnsi="Arial" w:cs="Arial"/>
          <w:b/>
          <w:bCs/>
          <w:color w:val="222222"/>
          <w:shd w:val="clear" w:color="auto" w:fill="FFFFFF"/>
        </w:rPr>
      </w:pPr>
      <w:r>
        <w:rPr>
          <w:rFonts w:ascii="Arial" w:hAnsi="Arial" w:cs="Arial"/>
          <w:b/>
          <w:bCs/>
          <w:color w:val="222222"/>
          <w:shd w:val="clear" w:color="auto" w:fill="FFFFFF"/>
        </w:rPr>
        <w:lastRenderedPageBreak/>
        <w:t xml:space="preserve">Word count: </w:t>
      </w:r>
      <w:r w:rsidR="00FA154B">
        <w:rPr>
          <w:rFonts w:ascii="Arial" w:hAnsi="Arial" w:cs="Arial"/>
          <w:b/>
          <w:bCs/>
          <w:color w:val="222222"/>
          <w:shd w:val="clear" w:color="auto" w:fill="FFFFFF"/>
        </w:rPr>
        <w:t>21</w:t>
      </w:r>
      <w:r w:rsidR="007D5B3A">
        <w:rPr>
          <w:rFonts w:ascii="Arial" w:hAnsi="Arial" w:cs="Arial"/>
          <w:b/>
          <w:bCs/>
          <w:color w:val="222222"/>
          <w:shd w:val="clear" w:color="auto" w:fill="FFFFFF"/>
        </w:rPr>
        <w:t>74</w:t>
      </w:r>
    </w:p>
    <w:p w14:paraId="184527AB" w14:textId="77777777" w:rsidR="000A0066" w:rsidRDefault="000A0066" w:rsidP="00577CCF">
      <w:pPr>
        <w:rPr>
          <w:rFonts w:ascii="Arial" w:hAnsi="Arial" w:cs="Arial"/>
          <w:b/>
          <w:bCs/>
          <w:color w:val="222222"/>
          <w:u w:val="single"/>
          <w:shd w:val="clear" w:color="auto" w:fill="FFFFFF"/>
        </w:rPr>
      </w:pPr>
    </w:p>
    <w:p w14:paraId="4D8080CB" w14:textId="77777777" w:rsidR="00030FE3" w:rsidRDefault="00030FE3" w:rsidP="00577CCF">
      <w:pPr>
        <w:rPr>
          <w:rFonts w:ascii="Arial" w:hAnsi="Arial" w:cs="Arial"/>
          <w:b/>
          <w:bCs/>
          <w:color w:val="222222"/>
          <w:u w:val="single"/>
          <w:shd w:val="clear" w:color="auto" w:fill="FFFFFF"/>
        </w:rPr>
      </w:pPr>
    </w:p>
    <w:p w14:paraId="1F49F3FC" w14:textId="77777777" w:rsidR="00030FE3" w:rsidRDefault="00030FE3" w:rsidP="00577CCF">
      <w:pPr>
        <w:rPr>
          <w:rFonts w:ascii="Arial" w:hAnsi="Arial" w:cs="Arial"/>
          <w:b/>
          <w:bCs/>
          <w:color w:val="222222"/>
          <w:u w:val="single"/>
          <w:shd w:val="clear" w:color="auto" w:fill="FFFFFF"/>
        </w:rPr>
      </w:pPr>
    </w:p>
    <w:p w14:paraId="729785EC" w14:textId="77777777" w:rsidR="00030FE3" w:rsidRDefault="00030FE3" w:rsidP="00577CCF">
      <w:pPr>
        <w:rPr>
          <w:rFonts w:ascii="Arial" w:hAnsi="Arial" w:cs="Arial"/>
          <w:b/>
          <w:bCs/>
          <w:color w:val="222222"/>
          <w:u w:val="single"/>
          <w:shd w:val="clear" w:color="auto" w:fill="FFFFFF"/>
        </w:rPr>
      </w:pPr>
    </w:p>
    <w:p w14:paraId="3B65772D" w14:textId="77777777" w:rsidR="00030FE3" w:rsidRDefault="00030FE3" w:rsidP="00577CCF">
      <w:pPr>
        <w:rPr>
          <w:rFonts w:ascii="Arial" w:hAnsi="Arial" w:cs="Arial"/>
          <w:b/>
          <w:bCs/>
          <w:color w:val="222222"/>
          <w:u w:val="single"/>
          <w:shd w:val="clear" w:color="auto" w:fill="FFFFFF"/>
        </w:rPr>
      </w:pPr>
    </w:p>
    <w:p w14:paraId="2CB25C59" w14:textId="77777777" w:rsidR="00030FE3" w:rsidRDefault="00030FE3" w:rsidP="00577CCF">
      <w:pPr>
        <w:rPr>
          <w:rFonts w:ascii="Arial" w:hAnsi="Arial" w:cs="Arial"/>
          <w:b/>
          <w:bCs/>
          <w:color w:val="222222"/>
          <w:u w:val="single"/>
          <w:shd w:val="clear" w:color="auto" w:fill="FFFFFF"/>
        </w:rPr>
      </w:pPr>
    </w:p>
    <w:p w14:paraId="72A35C4D" w14:textId="15DB4726" w:rsidR="001C6229" w:rsidRDefault="001C6229" w:rsidP="00577CCF">
      <w:pPr>
        <w:rPr>
          <w:rFonts w:ascii="Arial" w:hAnsi="Arial" w:cs="Arial"/>
          <w:b/>
          <w:bCs/>
          <w:color w:val="222222"/>
          <w:u w:val="single"/>
          <w:shd w:val="clear" w:color="auto" w:fill="FFFFFF"/>
        </w:rPr>
      </w:pPr>
      <w:r w:rsidRPr="001C6229">
        <w:rPr>
          <w:rFonts w:ascii="Arial" w:hAnsi="Arial" w:cs="Arial"/>
          <w:b/>
          <w:bCs/>
          <w:color w:val="222222"/>
          <w:u w:val="single"/>
          <w:shd w:val="clear" w:color="auto" w:fill="FFFFFF"/>
        </w:rPr>
        <w:t>Essay 2</w:t>
      </w:r>
    </w:p>
    <w:p w14:paraId="14D23FB4" w14:textId="77777777" w:rsidR="000A0066" w:rsidRPr="00276BA7" w:rsidRDefault="000A0066" w:rsidP="00276BA7">
      <w:pPr>
        <w:rPr>
          <w:rFonts w:ascii="Arial" w:hAnsi="Arial" w:cs="Arial"/>
        </w:rPr>
      </w:pPr>
      <w:r w:rsidRPr="00276BA7">
        <w:rPr>
          <w:rFonts w:ascii="Arial" w:hAnsi="Arial" w:cs="Arial"/>
        </w:rPr>
        <w:t>In this essay we discuss the impact of stressors from operational policing on individual and collective wellbeing, the importance of mental health management for policing, and the interventions in place. Operational policing is necessarily high-pressure and high-stakes. Along with moral dilemmas, mental pressure and physical threats, impacts of which extend to the wellness of the individual and as a collective society, officers are constantly confronted with these stressors. These challenges demonstrate the need for mental health management in law enforcement to leverage and sustain staff-friendly, efficient services.</w:t>
      </w:r>
    </w:p>
    <w:p w14:paraId="60E2A299" w14:textId="2CC3AF31" w:rsidR="000A0066" w:rsidRPr="00276BA7" w:rsidRDefault="000A0066" w:rsidP="00276BA7">
      <w:pPr>
        <w:rPr>
          <w:rFonts w:ascii="Arial" w:hAnsi="Arial" w:cs="Arial"/>
        </w:rPr>
      </w:pPr>
      <w:r w:rsidRPr="00276BA7">
        <w:rPr>
          <w:rFonts w:ascii="Arial" w:hAnsi="Arial" w:cs="Arial"/>
        </w:rPr>
        <w:t>Officers in operational policing are also exposed to multiple pressures on an individual basis ranging from shift work to exposure to horrific events and the burden of decision making under pressure. According to Patterson et al</w:t>
      </w:r>
      <w:r w:rsidR="00B1495D" w:rsidRPr="00276BA7">
        <w:rPr>
          <w:rFonts w:ascii="Arial" w:hAnsi="Arial" w:cs="Arial"/>
        </w:rPr>
        <w:t xml:space="preserve"> (2014)</w:t>
      </w:r>
      <w:r w:rsidRPr="00276BA7">
        <w:rPr>
          <w:rFonts w:ascii="Arial" w:hAnsi="Arial" w:cs="Arial"/>
        </w:rPr>
        <w:t>, protracted exposure to these stresses can lead to mental health issues such as anxiety, depression, and post-traumatic stress disorder (PTSD). Research shows that more police personnel than the general population (7 to 19%) are diagnosed with posttraumatic stress disorder (PTSD) (</w:t>
      </w:r>
      <w:proofErr w:type="spellStart"/>
      <w:r w:rsidRPr="00276BA7">
        <w:rPr>
          <w:rFonts w:ascii="Arial" w:hAnsi="Arial" w:cs="Arial"/>
        </w:rPr>
        <w:t>Jetelina</w:t>
      </w:r>
      <w:proofErr w:type="spellEnd"/>
      <w:r w:rsidRPr="00276BA7">
        <w:rPr>
          <w:rFonts w:ascii="Arial" w:hAnsi="Arial" w:cs="Arial"/>
        </w:rPr>
        <w:t xml:space="preserve"> et al., 2020). Symptoms of PTSD are directly related to the health and work performance of employees, through impairments in cognitive function, judgement, and social interactions (</w:t>
      </w:r>
      <w:proofErr w:type="spellStart"/>
      <w:r w:rsidRPr="00276BA7">
        <w:rPr>
          <w:rFonts w:ascii="Arial" w:hAnsi="Arial" w:cs="Arial"/>
        </w:rPr>
        <w:t>Papazoglou</w:t>
      </w:r>
      <w:proofErr w:type="spellEnd"/>
      <w:r w:rsidRPr="00276BA7">
        <w:rPr>
          <w:rFonts w:ascii="Arial" w:hAnsi="Arial" w:cs="Arial"/>
        </w:rPr>
        <w:t xml:space="preserve"> &amp; Tuttle, 2018). Due to the cumulative psychological toll, compared to all other professions, police officers are more likely to adopt maladaptive coping strategies such as substance misuse. (</w:t>
      </w:r>
      <w:proofErr w:type="spellStart"/>
      <w:r w:rsidRPr="00276BA7">
        <w:rPr>
          <w:rFonts w:ascii="Arial" w:hAnsi="Arial" w:cs="Arial"/>
        </w:rPr>
        <w:t>Tochkov</w:t>
      </w:r>
      <w:proofErr w:type="spellEnd"/>
      <w:r w:rsidRPr="00276BA7">
        <w:rPr>
          <w:rFonts w:ascii="Arial" w:hAnsi="Arial" w:cs="Arial"/>
        </w:rPr>
        <w:t xml:space="preserve"> &amp; </w:t>
      </w:r>
      <w:proofErr w:type="spellStart"/>
      <w:r w:rsidRPr="00276BA7">
        <w:rPr>
          <w:rFonts w:ascii="Arial" w:hAnsi="Arial" w:cs="Arial"/>
        </w:rPr>
        <w:t>Karaffa</w:t>
      </w:r>
      <w:proofErr w:type="spellEnd"/>
      <w:r w:rsidRPr="00276BA7">
        <w:rPr>
          <w:rFonts w:ascii="Arial" w:hAnsi="Arial" w:cs="Arial"/>
        </w:rPr>
        <w:t>, 2013). This mindset is often due to a “culture of silence” within law enforcement, in which seeking mental health help is stigmatized. Consequently, officers might utilize alcohol as a stress-relieving, self-coping tool (Ballenger et al., 2011).</w:t>
      </w:r>
    </w:p>
    <w:p w14:paraId="0221D9A8" w14:textId="77777777" w:rsidR="00D64FCC" w:rsidRDefault="000A0066" w:rsidP="00276BA7">
      <w:pPr>
        <w:rPr>
          <w:rFonts w:ascii="Arial" w:hAnsi="Arial" w:cs="Arial"/>
        </w:rPr>
      </w:pPr>
      <w:r w:rsidRPr="00276BA7">
        <w:rPr>
          <w:rFonts w:ascii="Arial" w:hAnsi="Arial" w:cs="Arial"/>
        </w:rPr>
        <w:t>The high needs of operational police have a physical and emotional effect. Policing, with its inconsistent shift patterns, prolonged physical activity and disrupted sleep, is no stranger to sleep issues. In particular, lack of sleep has emerged as a significant issue, impacting cognitive performance and increasing the risk of obesity, diabetes and cardiovascular disease. The job is also characterized by high levels of stress, which activate the body’s stress-response system, leading to prolonged exposure to these stress hormones such as cortisol and adrenaline</w:t>
      </w:r>
      <w:r w:rsidR="001C254C" w:rsidRPr="00276BA7">
        <w:rPr>
          <w:rFonts w:ascii="Arial" w:hAnsi="Arial" w:cs="Arial"/>
        </w:rPr>
        <w:t xml:space="preserve">. </w:t>
      </w:r>
      <w:r w:rsidRPr="00276BA7">
        <w:rPr>
          <w:rFonts w:ascii="Arial" w:hAnsi="Arial" w:cs="Arial"/>
        </w:rPr>
        <w:t xml:space="preserve"> This “hyperarousal” can worsen chronic disease and immune system dysfunction and contribute to hypertension</w:t>
      </w:r>
      <w:r w:rsidR="00054876" w:rsidRPr="00276BA7">
        <w:rPr>
          <w:rFonts w:ascii="Arial" w:hAnsi="Arial" w:cs="Arial"/>
        </w:rPr>
        <w:t xml:space="preserve"> </w:t>
      </w:r>
      <w:proofErr w:type="spellStart"/>
      <w:r w:rsidR="00054876" w:rsidRPr="00276BA7">
        <w:rPr>
          <w:rFonts w:ascii="Arial" w:hAnsi="Arial" w:cs="Arial"/>
        </w:rPr>
        <w:t>Violanti</w:t>
      </w:r>
      <w:proofErr w:type="spellEnd"/>
      <w:r w:rsidR="00054876" w:rsidRPr="00276BA7">
        <w:rPr>
          <w:rFonts w:ascii="Arial" w:hAnsi="Arial" w:cs="Arial"/>
        </w:rPr>
        <w:t xml:space="preserve"> et al. (2013)</w:t>
      </w:r>
    </w:p>
    <w:p w14:paraId="7920402F" w14:textId="274FD4E3" w:rsidR="00826318" w:rsidRPr="00276BA7" w:rsidRDefault="000A0066" w:rsidP="00276BA7">
      <w:pPr>
        <w:rPr>
          <w:rFonts w:ascii="Arial" w:hAnsi="Arial" w:cs="Arial"/>
        </w:rPr>
      </w:pPr>
      <w:r w:rsidRPr="00276BA7">
        <w:rPr>
          <w:rFonts w:ascii="Arial" w:hAnsi="Arial" w:cs="Arial"/>
        </w:rPr>
        <w:t xml:space="preserve">For police officers who constantly find themselves in high-pressure situations, work long hours and have limited resources, chronic stress without recovery can lead to burnout. In the case of this condition, it is characterized by depersonalisation, a reduced sense of personal accomplishment, and emotional exhaustion (Maslach &amp; Jackson, 1981). </w:t>
      </w:r>
      <w:r w:rsidR="00EC6F67" w:rsidRPr="00276BA7">
        <w:rPr>
          <w:rFonts w:ascii="Arial" w:hAnsi="Arial" w:cs="Arial"/>
        </w:rPr>
        <w:t>Police teams</w:t>
      </w:r>
      <w:r w:rsidRPr="00276BA7">
        <w:rPr>
          <w:rFonts w:ascii="Arial" w:hAnsi="Arial" w:cs="Arial"/>
        </w:rPr>
        <w:t xml:space="preserve"> find burnout to be associated with greater absenteeism, reduced job contentment, and motivation to depart (</w:t>
      </w:r>
      <w:proofErr w:type="spellStart"/>
      <w:r w:rsidRPr="00276BA7">
        <w:rPr>
          <w:rFonts w:ascii="Arial" w:hAnsi="Arial" w:cs="Arial"/>
        </w:rPr>
        <w:t>Queirós</w:t>
      </w:r>
      <w:proofErr w:type="spellEnd"/>
      <w:r w:rsidRPr="00276BA7">
        <w:rPr>
          <w:rFonts w:ascii="Arial" w:hAnsi="Arial" w:cs="Arial"/>
        </w:rPr>
        <w:t xml:space="preserve"> et al., 2020). The demands of operational policing would seem to strain social relationships as well. The emotional burden of their job can lead officers to feel disconnected from friends and family. Due to the nature of the event, or a need to spare others the distress, officers may have difficulty discussing their experiences with loved ones (</w:t>
      </w:r>
      <w:proofErr w:type="spellStart"/>
      <w:r w:rsidRPr="00276BA7">
        <w:rPr>
          <w:rFonts w:ascii="Arial" w:hAnsi="Arial" w:cs="Arial"/>
        </w:rPr>
        <w:t>Regehr</w:t>
      </w:r>
      <w:proofErr w:type="spellEnd"/>
      <w:r w:rsidRPr="00276BA7">
        <w:rPr>
          <w:rFonts w:ascii="Arial" w:hAnsi="Arial" w:cs="Arial"/>
        </w:rPr>
        <w:t xml:space="preserve"> et al., 2007). </w:t>
      </w:r>
    </w:p>
    <w:p w14:paraId="68B9DA64" w14:textId="77777777" w:rsidR="00E26B4B" w:rsidRPr="00276BA7" w:rsidRDefault="000A0066" w:rsidP="00276BA7">
      <w:pPr>
        <w:rPr>
          <w:rFonts w:ascii="Arial" w:hAnsi="Arial" w:cs="Arial"/>
        </w:rPr>
      </w:pPr>
      <w:r w:rsidRPr="00276BA7">
        <w:rPr>
          <w:rFonts w:ascii="Arial" w:hAnsi="Arial" w:cs="Arial"/>
        </w:rPr>
        <w:t>The mentality of “us vs. them” that is often pedagogy for policing culture can also be the cause of isolation from larger social networks (Loftus, 2010). This detachment, along with the stigma related to mental health in police work, could prevent officers from seeking the necessary professional or social support, only ultimately deepening feelings of loneliness and alienation. The policing profession has been associated with high rates of divorce and marital discord as compared to other occupations, with such experiences often being attributed to stress, emotional detachment and lack of time in this type</w:t>
      </w:r>
      <w:r w:rsidR="006048E4" w:rsidRPr="00276BA7">
        <w:rPr>
          <w:rFonts w:ascii="Arial" w:hAnsi="Arial" w:cs="Arial"/>
        </w:rPr>
        <w:t xml:space="preserve"> </w:t>
      </w:r>
      <w:r w:rsidRPr="00276BA7">
        <w:rPr>
          <w:rFonts w:ascii="Arial" w:hAnsi="Arial" w:cs="Arial"/>
        </w:rPr>
        <w:t xml:space="preserve">of relationship (Jackson&amp; </w:t>
      </w:r>
      <w:proofErr w:type="spellStart"/>
      <w:r w:rsidRPr="00276BA7">
        <w:rPr>
          <w:rFonts w:ascii="Arial" w:hAnsi="Arial" w:cs="Arial"/>
        </w:rPr>
        <w:t>Masalach</w:t>
      </w:r>
      <w:proofErr w:type="spellEnd"/>
      <w:r w:rsidRPr="00276BA7">
        <w:rPr>
          <w:rFonts w:ascii="Arial" w:hAnsi="Arial" w:cs="Arial"/>
        </w:rPr>
        <w:t xml:space="preserve">, 1982). </w:t>
      </w:r>
    </w:p>
    <w:p w14:paraId="7184A8FC" w14:textId="77934B3A" w:rsidR="000A0066" w:rsidRPr="00276BA7" w:rsidRDefault="000A0066" w:rsidP="00276BA7">
      <w:pPr>
        <w:rPr>
          <w:rFonts w:ascii="Arial" w:hAnsi="Arial" w:cs="Arial"/>
        </w:rPr>
      </w:pPr>
      <w:r w:rsidRPr="00276BA7">
        <w:rPr>
          <w:rFonts w:ascii="Arial" w:hAnsi="Arial" w:cs="Arial"/>
        </w:rPr>
        <w:t>Organisational challenges also play a significant role in affecting officers well-being, in addition to that of operational stress. Serving staff come under such additional stress as heavy work volume, bureaucratic processes, personnel shortage, and perceived lack of leadership support. In terms of the relationship with officers’ well-being, organisational pressures are more likely than operational stress to have an influence. Shane (2010). Weak corporate culture may result in helplessness, which increases the intention to leave. For instance, due to institutional pressure to conformity, officers may feel reluctant to speak out concerning vulnerabilities, leading to a culture of silence regarding mental health issues. These problems have psychological and social ramifications, further compounded by the inability to address the same. Eski and Bell (2016).</w:t>
      </w:r>
    </w:p>
    <w:p w14:paraId="0953D0D9" w14:textId="75D4DC2C" w:rsidR="000A0066" w:rsidRPr="00276BA7" w:rsidRDefault="00893125" w:rsidP="00276BA7">
      <w:pPr>
        <w:rPr>
          <w:rFonts w:ascii="Arial" w:hAnsi="Arial" w:cs="Arial"/>
        </w:rPr>
      </w:pPr>
      <w:r w:rsidRPr="00276BA7">
        <w:rPr>
          <w:rFonts w:ascii="Arial" w:hAnsi="Arial" w:cs="Arial"/>
        </w:rPr>
        <w:lastRenderedPageBreak/>
        <w:t xml:space="preserve">Officers </w:t>
      </w:r>
      <w:r w:rsidR="000A0066" w:rsidRPr="00276BA7">
        <w:rPr>
          <w:rFonts w:ascii="Arial" w:hAnsi="Arial" w:cs="Arial"/>
        </w:rPr>
        <w:t>bear higher stress due to job demand, long hours, and the pressure of handling an enormous caseload due to not enough</w:t>
      </w:r>
      <w:r w:rsidRPr="00276BA7">
        <w:rPr>
          <w:rFonts w:ascii="Arial" w:hAnsi="Arial" w:cs="Arial"/>
        </w:rPr>
        <w:t xml:space="preserve"> officers</w:t>
      </w:r>
      <w:r w:rsidR="000A0066" w:rsidRPr="00276BA7">
        <w:rPr>
          <w:rFonts w:ascii="Arial" w:hAnsi="Arial" w:cs="Arial"/>
        </w:rPr>
        <w:t xml:space="preserve"> to cover tasking. There has been research showing that excessive workload (overload) in the workplace is associated with increased job strain and less job satisfaction (Bakker, </w:t>
      </w:r>
      <w:proofErr w:type="spellStart"/>
      <w:r w:rsidR="000A0066" w:rsidRPr="00276BA7">
        <w:rPr>
          <w:rFonts w:ascii="Arial" w:hAnsi="Arial" w:cs="Arial"/>
        </w:rPr>
        <w:t>demerouti</w:t>
      </w:r>
      <w:proofErr w:type="spellEnd"/>
      <w:r w:rsidR="000A0066" w:rsidRPr="00276BA7">
        <w:rPr>
          <w:rFonts w:ascii="Arial" w:hAnsi="Arial" w:cs="Arial"/>
        </w:rPr>
        <w:t xml:space="preserve">, and </w:t>
      </w:r>
      <w:proofErr w:type="spellStart"/>
      <w:r w:rsidR="000A0066" w:rsidRPr="00276BA7">
        <w:rPr>
          <w:rFonts w:ascii="Arial" w:hAnsi="Arial" w:cs="Arial"/>
        </w:rPr>
        <w:t>Euwema</w:t>
      </w:r>
      <w:proofErr w:type="spellEnd"/>
      <w:r w:rsidR="000A0066" w:rsidRPr="00276BA7">
        <w:rPr>
          <w:rFonts w:ascii="Arial" w:hAnsi="Arial" w:cs="Arial"/>
        </w:rPr>
        <w:t xml:space="preserve"> 2005). Few numbers can depress morale and job satisfaction. Officers will feel underappreciated and demotivated if they are faced with belief that their department is not able to give them the resources they need: for their safety, or to develop professionally. The perception of an officer's work-load being too heavy or not being sufficiently supported in carrying out their responsibilities is often attributed to job dissatisfaction (</w:t>
      </w:r>
      <w:proofErr w:type="spellStart"/>
      <w:r w:rsidR="000A0066" w:rsidRPr="00276BA7">
        <w:rPr>
          <w:rFonts w:ascii="Arial" w:hAnsi="Arial" w:cs="Arial"/>
        </w:rPr>
        <w:t>Pogrebin</w:t>
      </w:r>
      <w:proofErr w:type="spellEnd"/>
      <w:r w:rsidR="000A0066" w:rsidRPr="00276BA7">
        <w:rPr>
          <w:rFonts w:ascii="Arial" w:hAnsi="Arial" w:cs="Arial"/>
        </w:rPr>
        <w:t xml:space="preserve"> &amp; Poole, 1991).</w:t>
      </w:r>
    </w:p>
    <w:p w14:paraId="6F7FCDB3" w14:textId="74295E54" w:rsidR="000A0066" w:rsidRPr="00276BA7" w:rsidRDefault="000A0066" w:rsidP="00276BA7">
      <w:pPr>
        <w:rPr>
          <w:rFonts w:ascii="Arial" w:hAnsi="Arial" w:cs="Arial"/>
        </w:rPr>
      </w:pPr>
      <w:r w:rsidRPr="00276BA7">
        <w:rPr>
          <w:rFonts w:ascii="Arial" w:hAnsi="Arial" w:cs="Arial"/>
        </w:rPr>
        <w:t xml:space="preserve">Policing is an unpredictable and varied profession and involves high levels of physical activity; this makes police personnel particularly susceptible to work-related physical injury. </w:t>
      </w:r>
      <w:r w:rsidR="005C47C8" w:rsidRPr="00276BA7">
        <w:rPr>
          <w:rFonts w:ascii="Arial" w:hAnsi="Arial" w:cs="Arial"/>
        </w:rPr>
        <w:t>Distil</w:t>
      </w:r>
      <w:r w:rsidRPr="00276BA7">
        <w:rPr>
          <w:rFonts w:ascii="Arial" w:hAnsi="Arial" w:cs="Arial"/>
        </w:rPr>
        <w:t xml:space="preserve"> that down to a few basic components: Running short and long distances, short and long distances while loaded with gear, Chase down and restrain non-compliant criminals, Carry injured or non-responsive people, Self-</w:t>
      </w:r>
      <w:proofErr w:type="spellStart"/>
      <w:r w:rsidRPr="00276BA7">
        <w:rPr>
          <w:rFonts w:ascii="Arial" w:hAnsi="Arial" w:cs="Arial"/>
        </w:rPr>
        <w:t>Defense</w:t>
      </w:r>
      <w:proofErr w:type="spellEnd"/>
      <w:r w:rsidRPr="00276BA7">
        <w:rPr>
          <w:rFonts w:ascii="Arial" w:hAnsi="Arial" w:cs="Arial"/>
        </w:rPr>
        <w:t xml:space="preserve"> Movements, Manual Handling work. In the law enforcement profession, such factors as taking a suspect or offender into custody who is resisting arrest can lead to strains and sprains, stumbles and falls, and external forces out of control that can increase the risk of injury on the job. Due to these reasons, law enforcement personnel are more at risk of physical injury, especially musculoskeletal injury, than employees in many other professions. This added risk of injury is not only detrimental to the employee but also to the company who will pay for rehabilitation or workers’ compensation costs when an injury occurs and for the employee resources and costs involved with absenteeism (Lyons, </w:t>
      </w:r>
      <w:proofErr w:type="spellStart"/>
      <w:r w:rsidRPr="00276BA7">
        <w:rPr>
          <w:rFonts w:ascii="Arial" w:hAnsi="Arial" w:cs="Arial"/>
        </w:rPr>
        <w:t>Radburn</w:t>
      </w:r>
      <w:proofErr w:type="spellEnd"/>
      <w:r w:rsidRPr="00276BA7">
        <w:rPr>
          <w:rFonts w:ascii="Arial" w:hAnsi="Arial" w:cs="Arial"/>
        </w:rPr>
        <w:t>, Orr, Pope, 2017).</w:t>
      </w:r>
    </w:p>
    <w:p w14:paraId="15034710" w14:textId="77777777" w:rsidR="000A0066" w:rsidRPr="00276BA7" w:rsidRDefault="000A0066" w:rsidP="00276BA7">
      <w:pPr>
        <w:rPr>
          <w:rFonts w:ascii="Arial" w:hAnsi="Arial" w:cs="Arial"/>
        </w:rPr>
      </w:pPr>
      <w:r w:rsidRPr="00276BA7">
        <w:rPr>
          <w:rFonts w:ascii="Arial" w:hAnsi="Arial" w:cs="Arial"/>
        </w:rPr>
        <w:t>At the group level, these stressors can reduce morale, trust, and team cohesion. While teamwork and mutual support are certainly important for good policing, stress and fatigue can lead to communication breakdown and conflict. Burke and Mikkelsen (2005) maintain that organisational pressures can disturb group performance, and that under stress police will find it increasingly difficult to cooperate. Group morale can also be compromised by operational difficulties such as exposure to violence, public criticism, and the risks inherent to the role.</w:t>
      </w:r>
    </w:p>
    <w:p w14:paraId="39C9EE2E" w14:textId="77777777" w:rsidR="000A0066" w:rsidRPr="00276BA7" w:rsidRDefault="000A0066" w:rsidP="00276BA7">
      <w:pPr>
        <w:rPr>
          <w:rFonts w:ascii="Arial" w:hAnsi="Arial" w:cs="Arial"/>
        </w:rPr>
      </w:pPr>
      <w:r w:rsidRPr="00276BA7">
        <w:rPr>
          <w:rFonts w:ascii="Arial" w:hAnsi="Arial" w:cs="Arial"/>
        </w:rPr>
        <w:lastRenderedPageBreak/>
        <w:t>Repeated peaks of stress and trauma in a group have been shown to either enhance relationships or lead to group burnouts (</w:t>
      </w:r>
      <w:proofErr w:type="spellStart"/>
      <w:r w:rsidRPr="00276BA7">
        <w:rPr>
          <w:rFonts w:ascii="Arial" w:hAnsi="Arial" w:cs="Arial"/>
        </w:rPr>
        <w:t>McCeary</w:t>
      </w:r>
      <w:proofErr w:type="spellEnd"/>
      <w:r w:rsidRPr="00276BA7">
        <w:rPr>
          <w:rFonts w:ascii="Arial" w:hAnsi="Arial" w:cs="Arial"/>
        </w:rPr>
        <w:t xml:space="preserve"> &amp; Thompson, 2006). The teams with the right support are often more resilient, and shared misfortune binds people together. Conversely, a lack of peer or organisational support can demoralise groups and render members feeling pointless and impotent.’ One of these external influencing factors is the public perception of policing, which can negatively impact morale. As a result of these high-profile occurrences and increased scrutiny, officers may feel alienated if they believe their work isn’t respected. This widespread disillusionment consequently leads to diminished motivation for the group and a stronger inclination to leave the organization (</w:t>
      </w:r>
      <w:proofErr w:type="spellStart"/>
      <w:r w:rsidRPr="00276BA7">
        <w:rPr>
          <w:rFonts w:ascii="Arial" w:hAnsi="Arial" w:cs="Arial"/>
        </w:rPr>
        <w:t>Ellrich</w:t>
      </w:r>
      <w:proofErr w:type="spellEnd"/>
      <w:r w:rsidRPr="00276BA7">
        <w:rPr>
          <w:rFonts w:ascii="Arial" w:hAnsi="Arial" w:cs="Arial"/>
        </w:rPr>
        <w:t xml:space="preserve"> &amp; Baier, 2016).</w:t>
      </w:r>
    </w:p>
    <w:p w14:paraId="12C32B7D" w14:textId="77777777" w:rsidR="000A0066" w:rsidRPr="00276BA7" w:rsidRDefault="000A0066" w:rsidP="00276BA7">
      <w:pPr>
        <w:rPr>
          <w:rFonts w:ascii="Arial" w:hAnsi="Arial" w:cs="Arial"/>
        </w:rPr>
      </w:pPr>
      <w:r w:rsidRPr="00276BA7">
        <w:rPr>
          <w:rFonts w:ascii="Arial" w:hAnsi="Arial" w:cs="Arial"/>
        </w:rPr>
        <w:t>Policing culture strongly shapes how groups respond to operational troubles. As Loftus (2010) also notes, the usual “blue code of silence” or “police brotherhood” often tends to value conformity and loyalty more than open discussion of stress and weaknesses. This culture can create a sense of self and community, but it also can hamstring creative approaches to solutions. Cultural norms regarding toughness among police officers, and masculinity more generally, also contribute to the stigmatisation of mental health conditions. These norms are often reinforced in groups, and they discourage individuals from admitting vulnerability or seeking help. These behaviours perpetuate absenteeism and undermine team performance by maintaining a sense of tension and dysfunction at the group level (Bullock &amp; Garland, 2018)</w:t>
      </w:r>
    </w:p>
    <w:p w14:paraId="6468068B" w14:textId="77777777" w:rsidR="000A0066" w:rsidRPr="00276BA7" w:rsidRDefault="000A0066" w:rsidP="00276BA7">
      <w:pPr>
        <w:rPr>
          <w:rFonts w:ascii="Arial" w:hAnsi="Arial" w:cs="Arial"/>
        </w:rPr>
      </w:pPr>
      <w:r w:rsidRPr="00276BA7">
        <w:rPr>
          <w:rFonts w:ascii="Arial" w:hAnsi="Arial" w:cs="Arial"/>
        </w:rPr>
        <w:t>Issues of operational policing can also affect the emotional performance of a group. Group deliberation may also be impaired during periods of excessive stress and accumulated fatigue. Research suggests when under pressure, groups are likely to rely on heuristics or “fast-and-frugal” decision-making, which can lead to more errors (Driskell et al., 1999). Chronically stressed groups can also increasingly prefer caution and vigilance that may decrease their ability to respond to new conditions. Too strict decision making may jeopardise operational result and attract higher attention from both internal and external stakeholders.</w:t>
      </w:r>
    </w:p>
    <w:p w14:paraId="33194542" w14:textId="272775F4" w:rsidR="002358EC" w:rsidRPr="00276BA7" w:rsidRDefault="000A0066" w:rsidP="00276BA7">
      <w:pPr>
        <w:rPr>
          <w:rFonts w:ascii="Arial" w:hAnsi="Arial" w:cs="Arial"/>
        </w:rPr>
      </w:pPr>
      <w:r w:rsidRPr="00276BA7">
        <w:rPr>
          <w:rFonts w:ascii="Arial" w:hAnsi="Arial" w:cs="Arial"/>
        </w:rPr>
        <w:t xml:space="preserve">Those officers who have had events that have adversely affected their well-being may be supported through a combination of peer, organisational and external interventions. Some police departments offer counselling services as part of an Employee Assistance Program. These provide private support </w:t>
      </w:r>
      <w:r w:rsidRPr="00276BA7">
        <w:rPr>
          <w:rFonts w:ascii="Arial" w:hAnsi="Arial" w:cs="Arial"/>
        </w:rPr>
        <w:lastRenderedPageBreak/>
        <w:t xml:space="preserve">to officers under stress or trauma. Officers often respond more positively to colleagues who understand the unique pressure of their work. </w:t>
      </w:r>
      <w:proofErr w:type="spellStart"/>
      <w:r w:rsidRPr="00276BA7">
        <w:rPr>
          <w:rFonts w:ascii="Arial" w:hAnsi="Arial" w:cs="Arial"/>
        </w:rPr>
        <w:t>Bartone</w:t>
      </w:r>
      <w:proofErr w:type="spellEnd"/>
      <w:r w:rsidRPr="00276BA7">
        <w:rPr>
          <w:rFonts w:ascii="Arial" w:hAnsi="Arial" w:cs="Arial"/>
        </w:rPr>
        <w:t xml:space="preserve"> et al</w:t>
      </w:r>
      <w:r w:rsidR="00FF35C5" w:rsidRPr="00276BA7">
        <w:rPr>
          <w:rFonts w:ascii="Arial" w:hAnsi="Arial" w:cs="Arial"/>
        </w:rPr>
        <w:t>,. (2019)</w:t>
      </w:r>
      <w:r w:rsidRPr="00276BA7">
        <w:rPr>
          <w:rFonts w:ascii="Arial" w:hAnsi="Arial" w:cs="Arial"/>
        </w:rPr>
        <w:t xml:space="preserve"> suggest that peer support groups can facilitate similar understanding and help-seeking behaviours among high-stress </w:t>
      </w:r>
      <w:r w:rsidR="00970524" w:rsidRPr="00276BA7">
        <w:rPr>
          <w:rFonts w:ascii="Arial" w:hAnsi="Arial" w:cs="Arial"/>
        </w:rPr>
        <w:t>professions. Peer</w:t>
      </w:r>
      <w:r w:rsidRPr="00276BA7">
        <w:rPr>
          <w:rFonts w:ascii="Arial" w:hAnsi="Arial" w:cs="Arial"/>
        </w:rPr>
        <w:t xml:space="preserve"> are individuals who involved in any </w:t>
      </w:r>
      <w:r w:rsidR="00C81132" w:rsidRPr="00276BA7">
        <w:rPr>
          <w:rFonts w:ascii="Arial" w:hAnsi="Arial" w:cs="Arial"/>
        </w:rPr>
        <w:t>traumatised</w:t>
      </w:r>
      <w:r w:rsidRPr="00276BA7">
        <w:rPr>
          <w:rFonts w:ascii="Arial" w:hAnsi="Arial" w:cs="Arial"/>
        </w:rPr>
        <w:t xml:space="preserve"> events in law enforcement they provide police TRIM (Trauma Risk Management). A TRIM identifies officers who are at risk for PTSD or related stress problems after exposure to trauma, provides an early intervention to reduce the possibility of long-term problems. This is a framework used to support the well-being of officers. According to Porges (2011) TRIM can be used to reduce the risk of long-term mental health problems</w:t>
      </w:r>
      <w:r w:rsidR="00970524" w:rsidRPr="00276BA7">
        <w:rPr>
          <w:rFonts w:ascii="Arial" w:hAnsi="Arial" w:cs="Arial"/>
        </w:rPr>
        <w:t xml:space="preserve">. </w:t>
      </w:r>
    </w:p>
    <w:p w14:paraId="0CAF3741" w14:textId="6A4BB2D8" w:rsidR="004A2DB8" w:rsidRPr="00276BA7" w:rsidRDefault="00A77749" w:rsidP="00276BA7">
      <w:pPr>
        <w:rPr>
          <w:rFonts w:ascii="Arial" w:hAnsi="Arial" w:cs="Arial"/>
        </w:rPr>
      </w:pPr>
      <w:r w:rsidRPr="00276BA7">
        <w:rPr>
          <w:rFonts w:ascii="Arial" w:hAnsi="Arial" w:cs="Arial"/>
        </w:rPr>
        <w:t xml:space="preserve">After officers experience a traumatic episode, they can go through structured debriefings as part of Critical Incident Stress Management programs. Critical Incident Stress Management is an effective way of preventing Post-Traumatic Stress Disorder (PTSD) by allowing officers to process their experiences in a safe environment (Mitchell And Everly, 2001). It is also increasingly recognized that cops need to be trained to recognize signs of trauma in themselves as well as others. According to </w:t>
      </w:r>
      <w:proofErr w:type="spellStart"/>
      <w:r w:rsidRPr="00276BA7">
        <w:rPr>
          <w:rFonts w:ascii="Arial" w:hAnsi="Arial" w:cs="Arial"/>
        </w:rPr>
        <w:t>Arnetz</w:t>
      </w:r>
      <w:proofErr w:type="spellEnd"/>
      <w:r w:rsidRPr="00276BA7">
        <w:rPr>
          <w:rFonts w:ascii="Arial" w:hAnsi="Arial" w:cs="Arial"/>
        </w:rPr>
        <w:t xml:space="preserve"> et al. (2009), officers that receive trauma-focused interventions are better able to withstand the stress and show restrained long-term psychological impacts. For long-term health, it is critical that we establish a culture that embraces and chooses to ask for help. Water</w:t>
      </w:r>
      <w:r w:rsidR="00B524B2">
        <w:rPr>
          <w:rFonts w:ascii="Arial" w:hAnsi="Arial" w:cs="Arial"/>
        </w:rPr>
        <w:t>s</w:t>
      </w:r>
      <w:r w:rsidRPr="00276BA7">
        <w:rPr>
          <w:rFonts w:ascii="Arial" w:hAnsi="Arial" w:cs="Arial"/>
        </w:rPr>
        <w:t xml:space="preserve"> and Ussery (2007) explain that organisational culture is important for a resilience building and stigma reducing.</w:t>
      </w:r>
    </w:p>
    <w:p w14:paraId="0FE0978E" w14:textId="2E3A467F" w:rsidR="00A77749" w:rsidRPr="00276BA7" w:rsidRDefault="00A77749" w:rsidP="00276BA7">
      <w:pPr>
        <w:rPr>
          <w:rFonts w:ascii="Arial" w:hAnsi="Arial" w:cs="Arial"/>
        </w:rPr>
      </w:pPr>
      <w:r w:rsidRPr="00276BA7">
        <w:rPr>
          <w:rFonts w:ascii="Arial" w:hAnsi="Arial" w:cs="Arial"/>
        </w:rPr>
        <w:t xml:space="preserve"> Leadership training on Emotional Intelligence makes it a sure fact that supervisors will understand the importance of being proactive with well-being initiatives. Research by </w:t>
      </w:r>
      <w:proofErr w:type="spellStart"/>
      <w:r w:rsidRPr="00276BA7">
        <w:rPr>
          <w:rFonts w:ascii="Arial" w:hAnsi="Arial" w:cs="Arial"/>
        </w:rPr>
        <w:t>Momeni</w:t>
      </w:r>
      <w:proofErr w:type="spellEnd"/>
      <w:r w:rsidRPr="00276BA7">
        <w:rPr>
          <w:rFonts w:ascii="Arial" w:hAnsi="Arial" w:cs="Arial"/>
        </w:rPr>
        <w:t xml:space="preserve"> (2009) found that over 70% of the employees' opinion about the organisational climate is affected by the atmosphere and morale of the manager, which in turn affects employees' emotions, behaviours, and morale. The police organisations are progressively introducing programmes such as yoga, mindfulness and resilience courses. (2023) Christopher et al. (2016), Police who receive resilience training using mindfulness report reduced stress and improved attention.</w:t>
      </w:r>
    </w:p>
    <w:p w14:paraId="3622D038" w14:textId="77777777" w:rsidR="00A77749" w:rsidRPr="00276BA7" w:rsidRDefault="00A77749" w:rsidP="00276BA7">
      <w:pPr>
        <w:rPr>
          <w:rFonts w:ascii="Arial" w:hAnsi="Arial" w:cs="Arial"/>
        </w:rPr>
      </w:pPr>
      <w:r w:rsidRPr="00276BA7">
        <w:rPr>
          <w:rFonts w:ascii="Arial" w:hAnsi="Arial" w:cs="Arial"/>
        </w:rPr>
        <w:t xml:space="preserve">Access to outside mental health specialists, ideally those who have an understanding of law enforcement, can be vital. Access to mental health specialists reduces stigma about mental health conversations and encourages officers to seek treatment. Mental health practitioners will use strategies </w:t>
      </w:r>
      <w:r w:rsidRPr="00276BA7">
        <w:rPr>
          <w:rFonts w:ascii="Arial" w:hAnsi="Arial" w:cs="Arial"/>
        </w:rPr>
        <w:lastRenderedPageBreak/>
        <w:t xml:space="preserve">such as cognitive behavioural therapy and eye movement desensitisation and reprocessing to treat PTSD and trauma symptoms. </w:t>
      </w:r>
      <w:proofErr w:type="spellStart"/>
      <w:r w:rsidRPr="00276BA7">
        <w:rPr>
          <w:rFonts w:ascii="Arial" w:hAnsi="Arial" w:cs="Arial"/>
        </w:rPr>
        <w:t>Jetelina</w:t>
      </w:r>
      <w:proofErr w:type="spellEnd"/>
      <w:r w:rsidRPr="00276BA7">
        <w:rPr>
          <w:rFonts w:ascii="Arial" w:hAnsi="Arial" w:cs="Arial"/>
        </w:rPr>
        <w:t xml:space="preserve"> (2020) indicated police officers who had access to mental health resources reported lower rates of depression and PTSD when compared to officers with no mental health resources available to them.</w:t>
      </w:r>
    </w:p>
    <w:p w14:paraId="709ABF92" w14:textId="26004166" w:rsidR="00A77749" w:rsidRPr="00276BA7" w:rsidRDefault="00B44453" w:rsidP="00276BA7">
      <w:pPr>
        <w:rPr>
          <w:rFonts w:ascii="Arial" w:hAnsi="Arial" w:cs="Arial"/>
        </w:rPr>
      </w:pPr>
      <w:r w:rsidRPr="00276BA7">
        <w:rPr>
          <w:rFonts w:ascii="Arial" w:hAnsi="Arial" w:cs="Arial"/>
        </w:rPr>
        <w:t xml:space="preserve">To conclude </w:t>
      </w:r>
      <w:r w:rsidR="00A77749" w:rsidRPr="00276BA7">
        <w:rPr>
          <w:rFonts w:ascii="Arial" w:hAnsi="Arial" w:cs="Arial"/>
        </w:rPr>
        <w:t>, the challenges faced in operational policing can affect both individuals and groups, which can bring ramifications in terms of stress, burnout, and mental health. The high-stakes, high-pressure nature of policing, coupled with exposure to traumatic events, can often take a toll on officers’ physical and emotional health, leading to issues such as fatigue, anxiety and depression. Challenges also impact team dynamics, often encouraging a culture of resilience but at times perpetuating unhealthy coping mechanisms. Fortunately, these effects can be diminished through a range of well-being first strategies such as mindfulness, peer support and mental health support. To do so, mental health issues must be sensitized, counselling services introduced, and a nourishing ecosystem created to enhance resilience, raise job satisfaction and reduce attrition. Ultimately, caring for officers as individuals and as a group is vital to their health but also to the overall effectiveness and wellness of law enforcement.</w:t>
      </w:r>
    </w:p>
    <w:p w14:paraId="0901E60B" w14:textId="77777777" w:rsidR="00CF0808" w:rsidRDefault="00CF0808" w:rsidP="00DE3B56">
      <w:pPr>
        <w:rPr>
          <w:rFonts w:ascii="Arial" w:hAnsi="Arial" w:cs="Arial"/>
          <w:color w:val="222222"/>
          <w:u w:val="single"/>
          <w:shd w:val="clear" w:color="auto" w:fill="FFFFFF"/>
        </w:rPr>
      </w:pPr>
    </w:p>
    <w:p w14:paraId="6752A963" w14:textId="63BD98BA" w:rsidR="00CF0808" w:rsidRPr="00CF0808" w:rsidRDefault="00CF0808" w:rsidP="00DE3B56">
      <w:pPr>
        <w:rPr>
          <w:rFonts w:ascii="Arial" w:hAnsi="Arial" w:cs="Arial"/>
          <w:b/>
          <w:bCs/>
          <w:color w:val="222222"/>
          <w:shd w:val="clear" w:color="auto" w:fill="FFFFFF"/>
        </w:rPr>
      </w:pPr>
      <w:r>
        <w:rPr>
          <w:rFonts w:ascii="Arial" w:hAnsi="Arial" w:cs="Arial"/>
          <w:b/>
          <w:bCs/>
          <w:color w:val="222222"/>
          <w:shd w:val="clear" w:color="auto" w:fill="FFFFFF"/>
        </w:rPr>
        <w:t xml:space="preserve">Word </w:t>
      </w:r>
      <w:r w:rsidR="00276BA7">
        <w:rPr>
          <w:rFonts w:ascii="Arial" w:hAnsi="Arial" w:cs="Arial"/>
          <w:b/>
          <w:bCs/>
          <w:color w:val="222222"/>
          <w:shd w:val="clear" w:color="auto" w:fill="FFFFFF"/>
        </w:rPr>
        <w:t>count:</w:t>
      </w:r>
      <w:r>
        <w:rPr>
          <w:rFonts w:ascii="Arial" w:hAnsi="Arial" w:cs="Arial"/>
          <w:b/>
          <w:bCs/>
          <w:color w:val="222222"/>
          <w:shd w:val="clear" w:color="auto" w:fill="FFFFFF"/>
        </w:rPr>
        <w:t xml:space="preserve"> </w:t>
      </w:r>
      <w:r w:rsidR="00BA588B">
        <w:rPr>
          <w:rFonts w:ascii="Arial" w:hAnsi="Arial" w:cs="Arial"/>
          <w:b/>
          <w:bCs/>
          <w:color w:val="222222"/>
          <w:shd w:val="clear" w:color="auto" w:fill="FFFFFF"/>
        </w:rPr>
        <w:t>203</w:t>
      </w:r>
      <w:r w:rsidR="009B7932">
        <w:rPr>
          <w:rFonts w:ascii="Arial" w:hAnsi="Arial" w:cs="Arial"/>
          <w:b/>
          <w:bCs/>
          <w:color w:val="222222"/>
          <w:shd w:val="clear" w:color="auto" w:fill="FFFFFF"/>
        </w:rPr>
        <w:t>0</w:t>
      </w:r>
    </w:p>
    <w:p w14:paraId="03077BA3" w14:textId="77777777" w:rsidR="00EB5A74" w:rsidRDefault="00EB5A74" w:rsidP="00DE3B56">
      <w:pPr>
        <w:rPr>
          <w:rFonts w:ascii="Arial" w:hAnsi="Arial" w:cs="Arial"/>
          <w:b/>
          <w:bCs/>
          <w:color w:val="222222"/>
          <w:u w:val="single"/>
          <w:shd w:val="clear" w:color="auto" w:fill="FFFFFF"/>
        </w:rPr>
      </w:pPr>
    </w:p>
    <w:p w14:paraId="27575C5D" w14:textId="77777777" w:rsidR="00EB5A74" w:rsidRDefault="00EB5A74" w:rsidP="00DE3B56">
      <w:pPr>
        <w:rPr>
          <w:rFonts w:ascii="Arial" w:hAnsi="Arial" w:cs="Arial"/>
          <w:b/>
          <w:bCs/>
          <w:color w:val="222222"/>
          <w:u w:val="single"/>
          <w:shd w:val="clear" w:color="auto" w:fill="FFFFFF"/>
        </w:rPr>
      </w:pPr>
    </w:p>
    <w:p w14:paraId="710E7144" w14:textId="77777777" w:rsidR="00EB5A74" w:rsidRDefault="00EB5A74" w:rsidP="00DE3B56">
      <w:pPr>
        <w:rPr>
          <w:rFonts w:ascii="Arial" w:hAnsi="Arial" w:cs="Arial"/>
          <w:b/>
          <w:bCs/>
          <w:color w:val="222222"/>
          <w:u w:val="single"/>
          <w:shd w:val="clear" w:color="auto" w:fill="FFFFFF"/>
        </w:rPr>
      </w:pPr>
    </w:p>
    <w:p w14:paraId="1C5DEE9F" w14:textId="77777777" w:rsidR="00EB5A74" w:rsidRDefault="00EB5A74" w:rsidP="00DE3B56">
      <w:pPr>
        <w:rPr>
          <w:rFonts w:ascii="Arial" w:hAnsi="Arial" w:cs="Arial"/>
          <w:b/>
          <w:bCs/>
          <w:color w:val="222222"/>
          <w:u w:val="single"/>
          <w:shd w:val="clear" w:color="auto" w:fill="FFFFFF"/>
        </w:rPr>
      </w:pPr>
    </w:p>
    <w:p w14:paraId="17E2D068" w14:textId="77777777" w:rsidR="00EB5A74" w:rsidRDefault="00EB5A74" w:rsidP="00DE3B56">
      <w:pPr>
        <w:rPr>
          <w:rFonts w:ascii="Arial" w:hAnsi="Arial" w:cs="Arial"/>
          <w:b/>
          <w:bCs/>
          <w:color w:val="222222"/>
          <w:u w:val="single"/>
          <w:shd w:val="clear" w:color="auto" w:fill="FFFFFF"/>
        </w:rPr>
      </w:pPr>
    </w:p>
    <w:p w14:paraId="0E484E97" w14:textId="77777777" w:rsidR="00EB5A74" w:rsidRDefault="00EB5A74" w:rsidP="00DE3B56">
      <w:pPr>
        <w:rPr>
          <w:rFonts w:ascii="Arial" w:hAnsi="Arial" w:cs="Arial"/>
          <w:b/>
          <w:bCs/>
          <w:color w:val="222222"/>
          <w:u w:val="single"/>
          <w:shd w:val="clear" w:color="auto" w:fill="FFFFFF"/>
        </w:rPr>
      </w:pPr>
    </w:p>
    <w:p w14:paraId="7DEAE5C2" w14:textId="77777777" w:rsidR="00EB5A74" w:rsidRDefault="00EB5A74" w:rsidP="00DE3B56">
      <w:pPr>
        <w:rPr>
          <w:rFonts w:ascii="Arial" w:hAnsi="Arial" w:cs="Arial"/>
          <w:b/>
          <w:bCs/>
          <w:color w:val="222222"/>
          <w:u w:val="single"/>
          <w:shd w:val="clear" w:color="auto" w:fill="FFFFFF"/>
        </w:rPr>
      </w:pPr>
    </w:p>
    <w:p w14:paraId="41E310E6" w14:textId="77777777" w:rsidR="00E7072D" w:rsidRDefault="00E7072D" w:rsidP="00DE3B56">
      <w:pPr>
        <w:rPr>
          <w:rFonts w:ascii="Arial" w:hAnsi="Arial" w:cs="Arial"/>
          <w:b/>
          <w:bCs/>
          <w:color w:val="222222"/>
          <w:u w:val="single"/>
          <w:shd w:val="clear" w:color="auto" w:fill="FFFFFF"/>
        </w:rPr>
      </w:pPr>
    </w:p>
    <w:p w14:paraId="4DAC6569" w14:textId="77777777" w:rsidR="00E7072D" w:rsidRDefault="00E7072D" w:rsidP="00DE3B56">
      <w:pPr>
        <w:rPr>
          <w:rFonts w:ascii="Arial" w:hAnsi="Arial" w:cs="Arial"/>
          <w:b/>
          <w:bCs/>
          <w:color w:val="222222"/>
          <w:u w:val="single"/>
          <w:shd w:val="clear" w:color="auto" w:fill="FFFFFF"/>
        </w:rPr>
      </w:pPr>
    </w:p>
    <w:p w14:paraId="4E8B3B25" w14:textId="77777777" w:rsidR="00E7072D" w:rsidRDefault="00E7072D" w:rsidP="00DE3B56">
      <w:pPr>
        <w:rPr>
          <w:rFonts w:ascii="Arial" w:hAnsi="Arial" w:cs="Arial"/>
          <w:b/>
          <w:bCs/>
          <w:color w:val="222222"/>
          <w:u w:val="single"/>
          <w:shd w:val="clear" w:color="auto" w:fill="FFFFFF"/>
        </w:rPr>
      </w:pPr>
    </w:p>
    <w:p w14:paraId="25D88903" w14:textId="77777777" w:rsidR="00E7072D" w:rsidRDefault="00E7072D" w:rsidP="00DE3B56">
      <w:pPr>
        <w:rPr>
          <w:rFonts w:ascii="Arial" w:hAnsi="Arial" w:cs="Arial"/>
          <w:b/>
          <w:bCs/>
          <w:color w:val="222222"/>
          <w:u w:val="single"/>
          <w:shd w:val="clear" w:color="auto" w:fill="FFFFFF"/>
        </w:rPr>
      </w:pPr>
    </w:p>
    <w:p w14:paraId="313F629C" w14:textId="77777777" w:rsidR="00E7072D" w:rsidRDefault="00E7072D" w:rsidP="00DE3B56">
      <w:pPr>
        <w:rPr>
          <w:rFonts w:ascii="Arial" w:hAnsi="Arial" w:cs="Arial"/>
          <w:b/>
          <w:bCs/>
          <w:color w:val="222222"/>
          <w:u w:val="single"/>
          <w:shd w:val="clear" w:color="auto" w:fill="FFFFFF"/>
        </w:rPr>
      </w:pPr>
    </w:p>
    <w:p w14:paraId="59559615" w14:textId="77777777" w:rsidR="00EB5A74" w:rsidRDefault="00EB5A74" w:rsidP="00DE3B56">
      <w:pPr>
        <w:rPr>
          <w:rFonts w:ascii="Arial" w:hAnsi="Arial" w:cs="Arial"/>
          <w:b/>
          <w:bCs/>
          <w:color w:val="222222"/>
          <w:u w:val="single"/>
          <w:shd w:val="clear" w:color="auto" w:fill="FFFFFF"/>
        </w:rPr>
      </w:pPr>
    </w:p>
    <w:p w14:paraId="0CF89EEF" w14:textId="77777777" w:rsidR="00EB5A74" w:rsidRDefault="00EB5A74" w:rsidP="00DE3B56">
      <w:pPr>
        <w:rPr>
          <w:rFonts w:ascii="Arial" w:hAnsi="Arial" w:cs="Arial"/>
          <w:b/>
          <w:bCs/>
          <w:color w:val="222222"/>
          <w:u w:val="single"/>
          <w:shd w:val="clear" w:color="auto" w:fill="FFFFFF"/>
        </w:rPr>
      </w:pPr>
    </w:p>
    <w:p w14:paraId="4E3B715C" w14:textId="77777777" w:rsidR="00EB5A74" w:rsidRDefault="00EB5A74" w:rsidP="00DE3B56">
      <w:pPr>
        <w:rPr>
          <w:rFonts w:ascii="Arial" w:hAnsi="Arial" w:cs="Arial"/>
          <w:b/>
          <w:bCs/>
          <w:color w:val="222222"/>
          <w:u w:val="single"/>
          <w:shd w:val="clear" w:color="auto" w:fill="FFFFFF"/>
        </w:rPr>
      </w:pPr>
    </w:p>
    <w:p w14:paraId="0C04BA9D" w14:textId="77777777" w:rsidR="00030FE3" w:rsidRDefault="00030FE3" w:rsidP="00DE3B56">
      <w:pPr>
        <w:rPr>
          <w:rFonts w:ascii="Arial" w:hAnsi="Arial" w:cs="Arial"/>
          <w:b/>
          <w:bCs/>
          <w:color w:val="222222"/>
          <w:u w:val="single"/>
          <w:shd w:val="clear" w:color="auto" w:fill="FFFFFF"/>
        </w:rPr>
      </w:pPr>
    </w:p>
    <w:p w14:paraId="5B90DB8C" w14:textId="3499D171" w:rsidR="00FA04CF" w:rsidRDefault="001C6229" w:rsidP="00DE3B56">
      <w:pPr>
        <w:rPr>
          <w:rFonts w:ascii="Arial" w:hAnsi="Arial" w:cs="Arial"/>
          <w:b/>
          <w:bCs/>
          <w:color w:val="222222"/>
          <w:u w:val="single"/>
          <w:shd w:val="clear" w:color="auto" w:fill="FFFFFF"/>
        </w:rPr>
      </w:pPr>
      <w:r>
        <w:rPr>
          <w:rFonts w:ascii="Arial" w:hAnsi="Arial" w:cs="Arial"/>
          <w:b/>
          <w:bCs/>
          <w:color w:val="222222"/>
          <w:u w:val="single"/>
          <w:shd w:val="clear" w:color="auto" w:fill="FFFFFF"/>
        </w:rPr>
        <w:t>Bibliography</w:t>
      </w:r>
    </w:p>
    <w:p w14:paraId="571E638E" w14:textId="77777777" w:rsidR="00FD7A76" w:rsidRPr="00B51E8B" w:rsidRDefault="00FD7A76" w:rsidP="00DE3B56">
      <w:pPr>
        <w:rPr>
          <w:rFonts w:ascii="Arial" w:hAnsi="Arial" w:cs="Arial"/>
          <w:b/>
          <w:bCs/>
          <w:color w:val="222222"/>
          <w:u w:val="single"/>
          <w:shd w:val="clear" w:color="auto" w:fill="FFFFFF"/>
        </w:rPr>
      </w:pPr>
      <w:proofErr w:type="spellStart"/>
      <w:r w:rsidRPr="00B51E8B">
        <w:rPr>
          <w:rFonts w:ascii="Arial" w:hAnsi="Arial" w:cs="Arial"/>
          <w:color w:val="222222"/>
          <w:shd w:val="clear" w:color="auto" w:fill="FFFFFF"/>
        </w:rPr>
        <w:t>Arnetz</w:t>
      </w:r>
      <w:proofErr w:type="spellEnd"/>
      <w:r w:rsidRPr="00B51E8B">
        <w:rPr>
          <w:rFonts w:ascii="Arial" w:hAnsi="Arial" w:cs="Arial"/>
          <w:color w:val="222222"/>
          <w:shd w:val="clear" w:color="auto" w:fill="FFFFFF"/>
        </w:rPr>
        <w:t xml:space="preserve">, B.B., </w:t>
      </w:r>
      <w:proofErr w:type="spellStart"/>
      <w:r w:rsidRPr="00B51E8B">
        <w:rPr>
          <w:rFonts w:ascii="Arial" w:hAnsi="Arial" w:cs="Arial"/>
          <w:color w:val="222222"/>
          <w:shd w:val="clear" w:color="auto" w:fill="FFFFFF"/>
        </w:rPr>
        <w:t>Nevedal</w:t>
      </w:r>
      <w:proofErr w:type="spellEnd"/>
      <w:r w:rsidRPr="00B51E8B">
        <w:rPr>
          <w:rFonts w:ascii="Arial" w:hAnsi="Arial" w:cs="Arial"/>
          <w:color w:val="222222"/>
          <w:shd w:val="clear" w:color="auto" w:fill="FFFFFF"/>
        </w:rPr>
        <w:t>, D.C., Lumley, M.A., Backman, L. and Lublin, A., 2009. Trauma resilience training for police: Psychophysiological and performance effects. </w:t>
      </w:r>
      <w:r w:rsidRPr="00B51E8B">
        <w:rPr>
          <w:rFonts w:ascii="Arial" w:hAnsi="Arial" w:cs="Arial"/>
          <w:i/>
          <w:iCs/>
          <w:color w:val="222222"/>
          <w:shd w:val="clear" w:color="auto" w:fill="FFFFFF"/>
        </w:rPr>
        <w:t>Journal of Police and criminal Psychology</w:t>
      </w:r>
      <w:r w:rsidRPr="00B51E8B">
        <w:rPr>
          <w:rFonts w:ascii="Arial" w:hAnsi="Arial" w:cs="Arial"/>
          <w:color w:val="222222"/>
          <w:shd w:val="clear" w:color="auto" w:fill="FFFFFF"/>
        </w:rPr>
        <w:t>, </w:t>
      </w:r>
      <w:r w:rsidRPr="00B51E8B">
        <w:rPr>
          <w:rFonts w:ascii="Arial" w:hAnsi="Arial" w:cs="Arial"/>
          <w:i/>
          <w:iCs/>
          <w:color w:val="222222"/>
          <w:shd w:val="clear" w:color="auto" w:fill="FFFFFF"/>
        </w:rPr>
        <w:t>24</w:t>
      </w:r>
      <w:r w:rsidRPr="00B51E8B">
        <w:rPr>
          <w:rFonts w:ascii="Arial" w:hAnsi="Arial" w:cs="Arial"/>
          <w:color w:val="222222"/>
          <w:shd w:val="clear" w:color="auto" w:fill="FFFFFF"/>
        </w:rPr>
        <w:t>, pp.1-9.</w:t>
      </w:r>
    </w:p>
    <w:p w14:paraId="43DE150E" w14:textId="77777777" w:rsidR="00FD7A76" w:rsidRPr="00B51E8B" w:rsidRDefault="00FD7A76" w:rsidP="00577CCF">
      <w:pPr>
        <w:rPr>
          <w:rFonts w:ascii="Arial" w:hAnsi="Arial" w:cs="Arial"/>
          <w:color w:val="222222"/>
          <w:shd w:val="clear" w:color="auto" w:fill="FFFFFF"/>
        </w:rPr>
      </w:pPr>
      <w:proofErr w:type="spellStart"/>
      <w:r w:rsidRPr="00B51E8B">
        <w:rPr>
          <w:rFonts w:ascii="Arial" w:hAnsi="Arial" w:cs="Arial"/>
          <w:color w:val="222222"/>
          <w:shd w:val="clear" w:color="auto" w:fill="FFFFFF"/>
        </w:rPr>
        <w:t>Arquilla</w:t>
      </w:r>
      <w:proofErr w:type="spellEnd"/>
      <w:r w:rsidRPr="00B51E8B">
        <w:rPr>
          <w:rFonts w:ascii="Arial" w:hAnsi="Arial" w:cs="Arial"/>
          <w:color w:val="222222"/>
          <w:shd w:val="clear" w:color="auto" w:fill="FFFFFF"/>
        </w:rPr>
        <w:t xml:space="preserve">, J. and </w:t>
      </w:r>
      <w:proofErr w:type="spellStart"/>
      <w:r w:rsidRPr="00B51E8B">
        <w:rPr>
          <w:rFonts w:ascii="Arial" w:hAnsi="Arial" w:cs="Arial"/>
          <w:color w:val="222222"/>
          <w:shd w:val="clear" w:color="auto" w:fill="FFFFFF"/>
        </w:rPr>
        <w:t>Ronfeldt</w:t>
      </w:r>
      <w:proofErr w:type="spellEnd"/>
      <w:r w:rsidRPr="00B51E8B">
        <w:rPr>
          <w:rFonts w:ascii="Arial" w:hAnsi="Arial" w:cs="Arial"/>
          <w:color w:val="222222"/>
          <w:shd w:val="clear" w:color="auto" w:fill="FFFFFF"/>
        </w:rPr>
        <w:t>, D., 2001. </w:t>
      </w:r>
      <w:r w:rsidRPr="00B51E8B">
        <w:rPr>
          <w:rFonts w:ascii="Arial" w:hAnsi="Arial" w:cs="Arial"/>
          <w:i/>
          <w:iCs/>
          <w:color w:val="222222"/>
          <w:shd w:val="clear" w:color="auto" w:fill="FFFFFF"/>
        </w:rPr>
        <w:t>Networks and netwars: The future of terror, crime, and militancy</w:t>
      </w:r>
      <w:r w:rsidRPr="00B51E8B">
        <w:rPr>
          <w:rFonts w:ascii="Arial" w:hAnsi="Arial" w:cs="Arial"/>
          <w:color w:val="222222"/>
          <w:shd w:val="clear" w:color="auto" w:fill="FFFFFF"/>
        </w:rPr>
        <w:t>. Rand Corporation.</w:t>
      </w:r>
    </w:p>
    <w:p w14:paraId="39DA8517" w14:textId="77777777" w:rsidR="00FD7A76" w:rsidRPr="00B51E8B" w:rsidRDefault="00FD7A76" w:rsidP="00577CCF">
      <w:pPr>
        <w:rPr>
          <w:rFonts w:ascii="Arial" w:hAnsi="Arial" w:cs="Arial"/>
          <w:color w:val="222222"/>
          <w:shd w:val="clear" w:color="auto" w:fill="FFFFFF"/>
        </w:rPr>
      </w:pPr>
      <w:proofErr w:type="spellStart"/>
      <w:r w:rsidRPr="00B51E8B">
        <w:rPr>
          <w:rFonts w:ascii="Arial" w:hAnsi="Arial" w:cs="Arial"/>
          <w:color w:val="222222"/>
          <w:shd w:val="clear" w:color="auto" w:fill="FFFFFF"/>
        </w:rPr>
        <w:t>Baconi</w:t>
      </w:r>
      <w:proofErr w:type="spellEnd"/>
      <w:r w:rsidRPr="00B51E8B">
        <w:rPr>
          <w:rFonts w:ascii="Arial" w:hAnsi="Arial" w:cs="Arial"/>
          <w:color w:val="222222"/>
          <w:shd w:val="clear" w:color="auto" w:fill="FFFFFF"/>
        </w:rPr>
        <w:t>, T., 2018. </w:t>
      </w:r>
      <w:r w:rsidRPr="00B51E8B">
        <w:rPr>
          <w:rFonts w:ascii="Arial" w:hAnsi="Arial" w:cs="Arial"/>
          <w:i/>
          <w:iCs/>
          <w:color w:val="222222"/>
          <w:shd w:val="clear" w:color="auto" w:fill="FFFFFF"/>
        </w:rPr>
        <w:t>Hamas contained: The rise and pacification of Palestinian resistance</w:t>
      </w:r>
      <w:r w:rsidRPr="00B51E8B">
        <w:rPr>
          <w:rFonts w:ascii="Arial" w:hAnsi="Arial" w:cs="Arial"/>
          <w:color w:val="222222"/>
          <w:shd w:val="clear" w:color="auto" w:fill="FFFFFF"/>
        </w:rPr>
        <w:t>. Stanford University Press.</w:t>
      </w:r>
    </w:p>
    <w:p w14:paraId="0F309661" w14:textId="77777777" w:rsidR="00FD7A76" w:rsidRPr="00B51E8B" w:rsidRDefault="00FD7A76" w:rsidP="00577CCF">
      <w:pPr>
        <w:rPr>
          <w:rFonts w:ascii="Arial" w:hAnsi="Arial" w:cs="Arial"/>
          <w:color w:val="222222"/>
          <w:shd w:val="clear" w:color="auto" w:fill="FFFFFF"/>
        </w:rPr>
      </w:pPr>
      <w:r w:rsidRPr="00B51E8B">
        <w:rPr>
          <w:rFonts w:ascii="Arial" w:hAnsi="Arial" w:cs="Arial"/>
          <w:color w:val="222222"/>
          <w:shd w:val="clear" w:color="auto" w:fill="FFFFFF"/>
        </w:rPr>
        <w:t>Baker-Beall, C., Heath-Kelly, C. and Jarvis, L., 2015. </w:t>
      </w:r>
      <w:r w:rsidRPr="00B51E8B">
        <w:rPr>
          <w:rFonts w:ascii="Arial" w:hAnsi="Arial" w:cs="Arial"/>
          <w:i/>
          <w:iCs/>
          <w:color w:val="222222"/>
          <w:shd w:val="clear" w:color="auto" w:fill="FFFFFF"/>
        </w:rPr>
        <w:t>Counter-radicalisation</w:t>
      </w:r>
      <w:r w:rsidRPr="00B51E8B">
        <w:rPr>
          <w:rFonts w:ascii="Arial" w:hAnsi="Arial" w:cs="Arial"/>
          <w:color w:val="222222"/>
          <w:shd w:val="clear" w:color="auto" w:fill="FFFFFF"/>
        </w:rPr>
        <w:t>. Taylor &amp; Francis.</w:t>
      </w:r>
    </w:p>
    <w:p w14:paraId="5605C49B" w14:textId="77777777" w:rsidR="00FD7A76" w:rsidRPr="00D45FC5" w:rsidRDefault="00FD7A76" w:rsidP="00DE3B56">
      <w:pPr>
        <w:rPr>
          <w:rFonts w:ascii="Arial" w:hAnsi="Arial" w:cs="Arial"/>
          <w:color w:val="222222"/>
          <w:sz w:val="24"/>
          <w:szCs w:val="24"/>
          <w:shd w:val="clear" w:color="auto" w:fill="FFFFFF"/>
        </w:rPr>
      </w:pPr>
      <w:r w:rsidRPr="00D45FC5">
        <w:rPr>
          <w:rFonts w:ascii="Arial" w:hAnsi="Arial" w:cs="Arial"/>
          <w:color w:val="222222"/>
          <w:shd w:val="clear" w:color="auto" w:fill="FFFFFF"/>
        </w:rPr>
        <w:t>Bakker, A.B. and Demerouti, E., 2007. The job demands</w:t>
      </w:r>
      <w:r w:rsidRPr="00D45FC5">
        <w:rPr>
          <w:rFonts w:ascii="Cambria Math" w:hAnsi="Cambria Math" w:cs="Cambria Math"/>
          <w:color w:val="222222"/>
          <w:shd w:val="clear" w:color="auto" w:fill="FFFFFF"/>
        </w:rPr>
        <w:t>‐</w:t>
      </w:r>
      <w:r w:rsidRPr="00D45FC5">
        <w:rPr>
          <w:rFonts w:ascii="Arial" w:hAnsi="Arial" w:cs="Arial"/>
          <w:color w:val="222222"/>
          <w:shd w:val="clear" w:color="auto" w:fill="FFFFFF"/>
        </w:rPr>
        <w:t>resources model: State of the art. </w:t>
      </w:r>
      <w:r w:rsidRPr="00D45FC5">
        <w:rPr>
          <w:rFonts w:ascii="Arial" w:hAnsi="Arial" w:cs="Arial"/>
          <w:i/>
          <w:iCs/>
          <w:color w:val="222222"/>
          <w:shd w:val="clear" w:color="auto" w:fill="FFFFFF"/>
        </w:rPr>
        <w:t>Journal of managerial psychology</w:t>
      </w:r>
      <w:r w:rsidRPr="00D45FC5">
        <w:rPr>
          <w:rFonts w:ascii="Arial" w:hAnsi="Arial" w:cs="Arial"/>
          <w:color w:val="222222"/>
          <w:shd w:val="clear" w:color="auto" w:fill="FFFFFF"/>
        </w:rPr>
        <w:t>, </w:t>
      </w:r>
      <w:r w:rsidRPr="00D45FC5">
        <w:rPr>
          <w:rFonts w:ascii="Arial" w:hAnsi="Arial" w:cs="Arial"/>
          <w:i/>
          <w:iCs/>
          <w:color w:val="222222"/>
          <w:shd w:val="clear" w:color="auto" w:fill="FFFFFF"/>
        </w:rPr>
        <w:t>22</w:t>
      </w:r>
      <w:r w:rsidRPr="00D45FC5">
        <w:rPr>
          <w:rFonts w:ascii="Arial" w:hAnsi="Arial" w:cs="Arial"/>
          <w:color w:val="222222"/>
          <w:shd w:val="clear" w:color="auto" w:fill="FFFFFF"/>
        </w:rPr>
        <w:t>(3), pp.309-328.</w:t>
      </w:r>
    </w:p>
    <w:p w14:paraId="36543F15" w14:textId="77777777" w:rsidR="00FD7A76" w:rsidRPr="00B51E8B" w:rsidRDefault="00FD7A76" w:rsidP="00DE3B56">
      <w:pPr>
        <w:rPr>
          <w:rFonts w:ascii="Arial" w:hAnsi="Arial" w:cs="Arial"/>
          <w:b/>
          <w:bCs/>
          <w:color w:val="222222"/>
          <w:u w:val="single"/>
          <w:shd w:val="clear" w:color="auto" w:fill="FFFFFF"/>
        </w:rPr>
      </w:pPr>
      <w:r w:rsidRPr="00B51E8B">
        <w:rPr>
          <w:rFonts w:ascii="Arial" w:hAnsi="Arial" w:cs="Arial"/>
          <w:color w:val="222222"/>
          <w:shd w:val="clear" w:color="auto" w:fill="FFFFFF"/>
        </w:rPr>
        <w:t xml:space="preserve">Ballenger, J.F., Best, S.R., Metzler, T.J., Wasserman, D.A., Mohr, D.C., Liberman, A., </w:t>
      </w:r>
      <w:proofErr w:type="spellStart"/>
      <w:r w:rsidRPr="00B51E8B">
        <w:rPr>
          <w:rFonts w:ascii="Arial" w:hAnsi="Arial" w:cs="Arial"/>
          <w:color w:val="222222"/>
          <w:shd w:val="clear" w:color="auto" w:fill="FFFFFF"/>
        </w:rPr>
        <w:t>Delucchi</w:t>
      </w:r>
      <w:proofErr w:type="spellEnd"/>
      <w:r w:rsidRPr="00B51E8B">
        <w:rPr>
          <w:rFonts w:ascii="Arial" w:hAnsi="Arial" w:cs="Arial"/>
          <w:color w:val="222222"/>
          <w:shd w:val="clear" w:color="auto" w:fill="FFFFFF"/>
        </w:rPr>
        <w:t xml:space="preserve">, K., Weiss, D.S., Fagan, J.A., Waldrop, A.E. and </w:t>
      </w:r>
      <w:proofErr w:type="spellStart"/>
      <w:r w:rsidRPr="00B51E8B">
        <w:rPr>
          <w:rFonts w:ascii="Arial" w:hAnsi="Arial" w:cs="Arial"/>
          <w:color w:val="222222"/>
          <w:shd w:val="clear" w:color="auto" w:fill="FFFFFF"/>
        </w:rPr>
        <w:t>Marmar</w:t>
      </w:r>
      <w:proofErr w:type="spellEnd"/>
      <w:r w:rsidRPr="00B51E8B">
        <w:rPr>
          <w:rFonts w:ascii="Arial" w:hAnsi="Arial" w:cs="Arial"/>
          <w:color w:val="222222"/>
          <w:shd w:val="clear" w:color="auto" w:fill="FFFFFF"/>
        </w:rPr>
        <w:t xml:space="preserve">, C.R., 2011. Patterns and predictors of alcohol use in male and </w:t>
      </w:r>
      <w:r w:rsidRPr="00B51E8B">
        <w:rPr>
          <w:rFonts w:ascii="Arial" w:hAnsi="Arial" w:cs="Arial"/>
          <w:color w:val="222222"/>
          <w:shd w:val="clear" w:color="auto" w:fill="FFFFFF"/>
        </w:rPr>
        <w:lastRenderedPageBreak/>
        <w:t>female urban police officers. </w:t>
      </w:r>
      <w:r w:rsidRPr="00B51E8B">
        <w:rPr>
          <w:rFonts w:ascii="Arial" w:hAnsi="Arial" w:cs="Arial"/>
          <w:i/>
          <w:iCs/>
          <w:color w:val="222222"/>
          <w:shd w:val="clear" w:color="auto" w:fill="FFFFFF"/>
        </w:rPr>
        <w:t>The American Journal on Addictions</w:t>
      </w:r>
      <w:r w:rsidRPr="00B51E8B">
        <w:rPr>
          <w:rFonts w:ascii="Arial" w:hAnsi="Arial" w:cs="Arial"/>
          <w:color w:val="222222"/>
          <w:shd w:val="clear" w:color="auto" w:fill="FFFFFF"/>
        </w:rPr>
        <w:t>, </w:t>
      </w:r>
      <w:r w:rsidRPr="00B51E8B">
        <w:rPr>
          <w:rFonts w:ascii="Arial" w:hAnsi="Arial" w:cs="Arial"/>
          <w:i/>
          <w:iCs/>
          <w:color w:val="222222"/>
          <w:shd w:val="clear" w:color="auto" w:fill="FFFFFF"/>
        </w:rPr>
        <w:t>20</w:t>
      </w:r>
      <w:r w:rsidRPr="00B51E8B">
        <w:rPr>
          <w:rFonts w:ascii="Arial" w:hAnsi="Arial" w:cs="Arial"/>
          <w:color w:val="222222"/>
          <w:shd w:val="clear" w:color="auto" w:fill="FFFFFF"/>
        </w:rPr>
        <w:t>(1), pp.21-29.</w:t>
      </w:r>
    </w:p>
    <w:p w14:paraId="5904DB20" w14:textId="77777777" w:rsidR="00FD7A76" w:rsidRPr="00B51E8B" w:rsidRDefault="00FD7A76" w:rsidP="00DE3B56">
      <w:pPr>
        <w:rPr>
          <w:rFonts w:ascii="Arial" w:hAnsi="Arial" w:cs="Arial"/>
          <w:b/>
          <w:bCs/>
          <w:color w:val="222222"/>
          <w:u w:val="single"/>
          <w:shd w:val="clear" w:color="auto" w:fill="FFFFFF"/>
        </w:rPr>
      </w:pPr>
      <w:proofErr w:type="spellStart"/>
      <w:r w:rsidRPr="00B51E8B">
        <w:rPr>
          <w:rFonts w:ascii="Arial" w:hAnsi="Arial" w:cs="Arial"/>
          <w:color w:val="222222"/>
          <w:shd w:val="clear" w:color="auto" w:fill="FFFFFF"/>
        </w:rPr>
        <w:t>Bartone</w:t>
      </w:r>
      <w:proofErr w:type="spellEnd"/>
      <w:r w:rsidRPr="00B51E8B">
        <w:rPr>
          <w:rFonts w:ascii="Arial" w:hAnsi="Arial" w:cs="Arial"/>
          <w:color w:val="222222"/>
          <w:shd w:val="clear" w:color="auto" w:fill="FFFFFF"/>
        </w:rPr>
        <w:t xml:space="preserve">, P.T., </w:t>
      </w:r>
      <w:proofErr w:type="spellStart"/>
      <w:r w:rsidRPr="00B51E8B">
        <w:rPr>
          <w:rFonts w:ascii="Arial" w:hAnsi="Arial" w:cs="Arial"/>
          <w:color w:val="222222"/>
          <w:shd w:val="clear" w:color="auto" w:fill="FFFFFF"/>
        </w:rPr>
        <w:t>Bartone</w:t>
      </w:r>
      <w:proofErr w:type="spellEnd"/>
      <w:r w:rsidRPr="00B51E8B">
        <w:rPr>
          <w:rFonts w:ascii="Arial" w:hAnsi="Arial" w:cs="Arial"/>
          <w:color w:val="222222"/>
          <w:shd w:val="clear" w:color="auto" w:fill="FFFFFF"/>
        </w:rPr>
        <w:t xml:space="preserve">, J.V., </w:t>
      </w:r>
      <w:proofErr w:type="spellStart"/>
      <w:r w:rsidRPr="00B51E8B">
        <w:rPr>
          <w:rFonts w:ascii="Arial" w:hAnsi="Arial" w:cs="Arial"/>
          <w:color w:val="222222"/>
          <w:shd w:val="clear" w:color="auto" w:fill="FFFFFF"/>
        </w:rPr>
        <w:t>Violanti</w:t>
      </w:r>
      <w:proofErr w:type="spellEnd"/>
      <w:r w:rsidRPr="00B51E8B">
        <w:rPr>
          <w:rFonts w:ascii="Arial" w:hAnsi="Arial" w:cs="Arial"/>
          <w:color w:val="222222"/>
          <w:shd w:val="clear" w:color="auto" w:fill="FFFFFF"/>
        </w:rPr>
        <w:t xml:space="preserve">, J.M. and </w:t>
      </w:r>
      <w:proofErr w:type="spellStart"/>
      <w:r w:rsidRPr="00B51E8B">
        <w:rPr>
          <w:rFonts w:ascii="Arial" w:hAnsi="Arial" w:cs="Arial"/>
          <w:color w:val="222222"/>
          <w:shd w:val="clear" w:color="auto" w:fill="FFFFFF"/>
        </w:rPr>
        <w:t>Gileno</w:t>
      </w:r>
      <w:proofErr w:type="spellEnd"/>
      <w:r w:rsidRPr="00B51E8B">
        <w:rPr>
          <w:rFonts w:ascii="Arial" w:hAnsi="Arial" w:cs="Arial"/>
          <w:color w:val="222222"/>
          <w:shd w:val="clear" w:color="auto" w:fill="FFFFFF"/>
        </w:rPr>
        <w:t>, Z.M., 2019. Peer support services for bereaved survivors: a systematic review. </w:t>
      </w:r>
      <w:r w:rsidRPr="00B51E8B">
        <w:rPr>
          <w:rFonts w:ascii="Arial" w:hAnsi="Arial" w:cs="Arial"/>
          <w:i/>
          <w:iCs/>
          <w:color w:val="222222"/>
          <w:shd w:val="clear" w:color="auto" w:fill="FFFFFF"/>
        </w:rPr>
        <w:t>OMEGA-Journal of Death and Dying</w:t>
      </w:r>
      <w:r w:rsidRPr="00B51E8B">
        <w:rPr>
          <w:rFonts w:ascii="Arial" w:hAnsi="Arial" w:cs="Arial"/>
          <w:color w:val="222222"/>
          <w:shd w:val="clear" w:color="auto" w:fill="FFFFFF"/>
        </w:rPr>
        <w:t>, </w:t>
      </w:r>
      <w:r w:rsidRPr="00B51E8B">
        <w:rPr>
          <w:rFonts w:ascii="Arial" w:hAnsi="Arial" w:cs="Arial"/>
          <w:i/>
          <w:iCs/>
          <w:color w:val="222222"/>
          <w:shd w:val="clear" w:color="auto" w:fill="FFFFFF"/>
        </w:rPr>
        <w:t>80</w:t>
      </w:r>
      <w:r w:rsidRPr="00B51E8B">
        <w:rPr>
          <w:rFonts w:ascii="Arial" w:hAnsi="Arial" w:cs="Arial"/>
          <w:color w:val="222222"/>
          <w:shd w:val="clear" w:color="auto" w:fill="FFFFFF"/>
        </w:rPr>
        <w:t>(1), pp.137-166.</w:t>
      </w:r>
    </w:p>
    <w:p w14:paraId="2A5733F1" w14:textId="77777777" w:rsidR="00FD7A76" w:rsidRPr="00B51E8B" w:rsidRDefault="00FD7A76" w:rsidP="00DE3B56">
      <w:pPr>
        <w:rPr>
          <w:rFonts w:ascii="Arial" w:hAnsi="Arial" w:cs="Arial"/>
          <w:b/>
          <w:bCs/>
          <w:color w:val="222222"/>
          <w:u w:val="single"/>
          <w:shd w:val="clear" w:color="auto" w:fill="FFFFFF"/>
        </w:rPr>
      </w:pPr>
      <w:r w:rsidRPr="00B51E8B">
        <w:rPr>
          <w:rFonts w:ascii="Arial" w:hAnsi="Arial" w:cs="Arial"/>
          <w:color w:val="222222"/>
          <w:shd w:val="clear" w:color="auto" w:fill="FFFFFF"/>
        </w:rPr>
        <w:t>Bell, S. and Eski, Y., 2016. ‘Break a leg—it’s all in the mind’: police officers’ attitudes towards colleagues with mental health issues. </w:t>
      </w:r>
      <w:r w:rsidRPr="00B51E8B">
        <w:rPr>
          <w:rFonts w:ascii="Arial" w:hAnsi="Arial" w:cs="Arial"/>
          <w:i/>
          <w:iCs/>
          <w:color w:val="222222"/>
          <w:shd w:val="clear" w:color="auto" w:fill="FFFFFF"/>
        </w:rPr>
        <w:t>Policing: A Journal of Policy and Practice</w:t>
      </w:r>
      <w:r w:rsidRPr="00B51E8B">
        <w:rPr>
          <w:rFonts w:ascii="Arial" w:hAnsi="Arial" w:cs="Arial"/>
          <w:color w:val="222222"/>
          <w:shd w:val="clear" w:color="auto" w:fill="FFFFFF"/>
        </w:rPr>
        <w:t>, </w:t>
      </w:r>
      <w:r w:rsidRPr="00B51E8B">
        <w:rPr>
          <w:rFonts w:ascii="Arial" w:hAnsi="Arial" w:cs="Arial"/>
          <w:i/>
          <w:iCs/>
          <w:color w:val="222222"/>
          <w:shd w:val="clear" w:color="auto" w:fill="FFFFFF"/>
        </w:rPr>
        <w:t>10</w:t>
      </w:r>
      <w:r w:rsidRPr="00B51E8B">
        <w:rPr>
          <w:rFonts w:ascii="Arial" w:hAnsi="Arial" w:cs="Arial"/>
          <w:color w:val="222222"/>
          <w:shd w:val="clear" w:color="auto" w:fill="FFFFFF"/>
        </w:rPr>
        <w:t>(2), pp.95-101.</w:t>
      </w:r>
    </w:p>
    <w:p w14:paraId="6E706BCE" w14:textId="77777777" w:rsidR="00FD7A76" w:rsidRPr="00B51E8B" w:rsidRDefault="00FD7A76" w:rsidP="00DE3B56">
      <w:pPr>
        <w:rPr>
          <w:rFonts w:ascii="Arial" w:hAnsi="Arial" w:cs="Arial"/>
          <w:b/>
          <w:bCs/>
          <w:color w:val="222222"/>
          <w:u w:val="single"/>
          <w:shd w:val="clear" w:color="auto" w:fill="FFFFFF"/>
        </w:rPr>
      </w:pPr>
      <w:r w:rsidRPr="00B51E8B">
        <w:rPr>
          <w:rFonts w:ascii="Arial" w:hAnsi="Arial" w:cs="Arial"/>
          <w:color w:val="222222"/>
          <w:shd w:val="clear" w:color="auto" w:fill="FFFFFF"/>
        </w:rPr>
        <w:t>Bullock, K. and Garland, J., 2018. Police officers, mental (ill-) health and spoiled identity. </w:t>
      </w:r>
      <w:r w:rsidRPr="00B51E8B">
        <w:rPr>
          <w:rFonts w:ascii="Arial" w:hAnsi="Arial" w:cs="Arial"/>
          <w:i/>
          <w:iCs/>
          <w:color w:val="222222"/>
          <w:shd w:val="clear" w:color="auto" w:fill="FFFFFF"/>
        </w:rPr>
        <w:t>Criminology &amp; criminal justice</w:t>
      </w:r>
      <w:r w:rsidRPr="00B51E8B">
        <w:rPr>
          <w:rFonts w:ascii="Arial" w:hAnsi="Arial" w:cs="Arial"/>
          <w:color w:val="222222"/>
          <w:shd w:val="clear" w:color="auto" w:fill="FFFFFF"/>
        </w:rPr>
        <w:t>, </w:t>
      </w:r>
    </w:p>
    <w:p w14:paraId="69E4B412" w14:textId="77777777" w:rsidR="00FD7A76" w:rsidRPr="00B51E8B" w:rsidRDefault="00FD7A76" w:rsidP="00577CCF">
      <w:pPr>
        <w:rPr>
          <w:rFonts w:ascii="Arial" w:hAnsi="Arial" w:cs="Arial"/>
          <w:b/>
          <w:bCs/>
          <w:color w:val="222222"/>
          <w:u w:val="single"/>
          <w:shd w:val="clear" w:color="auto" w:fill="FFFFFF"/>
        </w:rPr>
      </w:pPr>
      <w:r w:rsidRPr="00B51E8B">
        <w:rPr>
          <w:rFonts w:ascii="Arial" w:hAnsi="Arial" w:cs="Arial"/>
          <w:color w:val="222222"/>
          <w:shd w:val="clear" w:color="auto" w:fill="FFFFFF"/>
        </w:rPr>
        <w:t>Burke, R.J. and Mikkelsen, A., 2005. Burnout, job stress and attitudes towards the use of force by Norwegian police officers. </w:t>
      </w:r>
      <w:r w:rsidRPr="00B51E8B">
        <w:rPr>
          <w:rFonts w:ascii="Arial" w:hAnsi="Arial" w:cs="Arial"/>
          <w:i/>
          <w:iCs/>
          <w:color w:val="222222"/>
          <w:shd w:val="clear" w:color="auto" w:fill="FFFFFF"/>
        </w:rPr>
        <w:t>Policing: An International Journal of Police Strategies &amp; Management</w:t>
      </w:r>
      <w:r w:rsidRPr="00B51E8B">
        <w:rPr>
          <w:rFonts w:ascii="Arial" w:hAnsi="Arial" w:cs="Arial"/>
          <w:color w:val="222222"/>
          <w:shd w:val="clear" w:color="auto" w:fill="FFFFFF"/>
        </w:rPr>
        <w:t>,</w:t>
      </w:r>
    </w:p>
    <w:p w14:paraId="05DD08A9" w14:textId="77777777" w:rsidR="00FD7A76" w:rsidRPr="00B51E8B" w:rsidRDefault="00FD7A76" w:rsidP="00DE3B56">
      <w:pPr>
        <w:rPr>
          <w:rFonts w:ascii="Arial" w:hAnsi="Arial" w:cs="Arial"/>
          <w:b/>
          <w:bCs/>
          <w:color w:val="222222"/>
          <w:u w:val="single"/>
          <w:shd w:val="clear" w:color="auto" w:fill="FFFFFF"/>
        </w:rPr>
      </w:pPr>
      <w:r w:rsidRPr="00B51E8B">
        <w:rPr>
          <w:rFonts w:ascii="Arial" w:hAnsi="Arial" w:cs="Arial"/>
          <w:color w:val="222222"/>
          <w:shd w:val="clear" w:color="auto" w:fill="FFFFFF"/>
        </w:rPr>
        <w:t xml:space="preserve">Christopher, M.S., </w:t>
      </w:r>
      <w:proofErr w:type="spellStart"/>
      <w:r w:rsidRPr="00B51E8B">
        <w:rPr>
          <w:rFonts w:ascii="Arial" w:hAnsi="Arial" w:cs="Arial"/>
          <w:color w:val="222222"/>
          <w:shd w:val="clear" w:color="auto" w:fill="FFFFFF"/>
        </w:rPr>
        <w:t>Goerling</w:t>
      </w:r>
      <w:proofErr w:type="spellEnd"/>
      <w:r w:rsidRPr="00B51E8B">
        <w:rPr>
          <w:rFonts w:ascii="Arial" w:hAnsi="Arial" w:cs="Arial"/>
          <w:color w:val="222222"/>
          <w:shd w:val="clear" w:color="auto" w:fill="FFFFFF"/>
        </w:rPr>
        <w:t xml:space="preserve">, R.J., Rogers, B.S., </w:t>
      </w:r>
      <w:proofErr w:type="spellStart"/>
      <w:r w:rsidRPr="00B51E8B">
        <w:rPr>
          <w:rFonts w:ascii="Arial" w:hAnsi="Arial" w:cs="Arial"/>
          <w:color w:val="222222"/>
          <w:shd w:val="clear" w:color="auto" w:fill="FFFFFF"/>
        </w:rPr>
        <w:t>Hunsinger</w:t>
      </w:r>
      <w:proofErr w:type="spellEnd"/>
      <w:r w:rsidRPr="00B51E8B">
        <w:rPr>
          <w:rFonts w:ascii="Arial" w:hAnsi="Arial" w:cs="Arial"/>
          <w:color w:val="222222"/>
          <w:shd w:val="clear" w:color="auto" w:fill="FFFFFF"/>
        </w:rPr>
        <w:t xml:space="preserve">, M., Baron, G., Bergman, A.L. and </w:t>
      </w:r>
      <w:proofErr w:type="spellStart"/>
      <w:r w:rsidRPr="00B51E8B">
        <w:rPr>
          <w:rFonts w:ascii="Arial" w:hAnsi="Arial" w:cs="Arial"/>
          <w:color w:val="222222"/>
          <w:shd w:val="clear" w:color="auto" w:fill="FFFFFF"/>
        </w:rPr>
        <w:t>Zava</w:t>
      </w:r>
      <w:proofErr w:type="spellEnd"/>
      <w:r w:rsidRPr="00B51E8B">
        <w:rPr>
          <w:rFonts w:ascii="Arial" w:hAnsi="Arial" w:cs="Arial"/>
          <w:color w:val="222222"/>
          <w:shd w:val="clear" w:color="auto" w:fill="FFFFFF"/>
        </w:rPr>
        <w:t>, D.T., 2016. A pilot study evaluating the effectiveness of a mindfulness-based intervention on cortisol awakening response and health outcomes among law enforcement officers. </w:t>
      </w:r>
      <w:r w:rsidRPr="00B51E8B">
        <w:rPr>
          <w:rFonts w:ascii="Arial" w:hAnsi="Arial" w:cs="Arial"/>
          <w:i/>
          <w:iCs/>
          <w:color w:val="222222"/>
          <w:shd w:val="clear" w:color="auto" w:fill="FFFFFF"/>
        </w:rPr>
        <w:t>Journal of police and criminal psychology</w:t>
      </w:r>
      <w:r w:rsidRPr="00B51E8B">
        <w:rPr>
          <w:rFonts w:ascii="Arial" w:hAnsi="Arial" w:cs="Arial"/>
          <w:color w:val="222222"/>
          <w:shd w:val="clear" w:color="auto" w:fill="FFFFFF"/>
        </w:rPr>
        <w:t xml:space="preserve">. </w:t>
      </w:r>
    </w:p>
    <w:p w14:paraId="0BA1E103" w14:textId="77777777" w:rsidR="00FD7A76" w:rsidRPr="00B51E8B" w:rsidRDefault="00FD7A76" w:rsidP="00577CCF">
      <w:pPr>
        <w:rPr>
          <w:rFonts w:ascii="Arial" w:hAnsi="Arial" w:cs="Arial"/>
          <w:color w:val="222222"/>
          <w:shd w:val="clear" w:color="auto" w:fill="FFFFFF"/>
        </w:rPr>
      </w:pPr>
      <w:r w:rsidRPr="00B51E8B">
        <w:rPr>
          <w:rFonts w:ascii="Arial" w:hAnsi="Arial" w:cs="Arial"/>
          <w:color w:val="222222"/>
          <w:shd w:val="clear" w:color="auto" w:fill="FFFFFF"/>
        </w:rPr>
        <w:t>Clarke, C.P., 2015. </w:t>
      </w:r>
      <w:r w:rsidRPr="00B51E8B">
        <w:rPr>
          <w:rFonts w:ascii="Arial" w:hAnsi="Arial" w:cs="Arial"/>
          <w:i/>
          <w:iCs/>
          <w:color w:val="222222"/>
          <w:shd w:val="clear" w:color="auto" w:fill="FFFFFF"/>
        </w:rPr>
        <w:t>Terrorism, Inc.: The financing of terrorism, insurgency, and irregular warfare</w:t>
      </w:r>
      <w:r w:rsidRPr="00B51E8B">
        <w:rPr>
          <w:rFonts w:ascii="Arial" w:hAnsi="Arial" w:cs="Arial"/>
          <w:color w:val="222222"/>
          <w:shd w:val="clear" w:color="auto" w:fill="FFFFFF"/>
        </w:rPr>
        <w:t>. Bloomsbury Publishing USA.</w:t>
      </w:r>
    </w:p>
    <w:p w14:paraId="5C41EA9C" w14:textId="77777777" w:rsidR="00FD7A76" w:rsidRPr="00B51E8B" w:rsidRDefault="00FD7A76" w:rsidP="00577CCF">
      <w:pPr>
        <w:rPr>
          <w:rFonts w:ascii="Arial" w:hAnsi="Arial" w:cs="Arial"/>
          <w:color w:val="222222"/>
          <w:shd w:val="clear" w:color="auto" w:fill="FFFFFF"/>
        </w:rPr>
      </w:pPr>
      <w:r w:rsidRPr="00B51E8B">
        <w:rPr>
          <w:rFonts w:ascii="Arial" w:hAnsi="Arial" w:cs="Arial"/>
          <w:color w:val="222222"/>
          <w:shd w:val="clear" w:color="auto" w:fill="FFFFFF"/>
        </w:rPr>
        <w:t>Conway, M., Scrivens, R. and McNair, L., 2019. Right-wing extremists’ persistent online presence: History and contemporary trends.</w:t>
      </w:r>
    </w:p>
    <w:p w14:paraId="67D23730" w14:textId="77777777" w:rsidR="00FD7A76" w:rsidRPr="00B51E8B" w:rsidRDefault="00FD7A76" w:rsidP="00577CCF">
      <w:pPr>
        <w:rPr>
          <w:rFonts w:ascii="Arial" w:hAnsi="Arial" w:cs="Arial"/>
          <w:color w:val="222222"/>
          <w:shd w:val="clear" w:color="auto" w:fill="FFFFFF"/>
        </w:rPr>
      </w:pPr>
      <w:r w:rsidRPr="00B51E8B">
        <w:rPr>
          <w:rFonts w:ascii="Arial" w:hAnsi="Arial" w:cs="Arial"/>
          <w:color w:val="222222"/>
          <w:shd w:val="clear" w:color="auto" w:fill="FFFFFF"/>
        </w:rPr>
        <w:t>Cronin, A.K., 2009. </w:t>
      </w:r>
      <w:r w:rsidRPr="00B51E8B">
        <w:rPr>
          <w:rFonts w:ascii="Arial" w:hAnsi="Arial" w:cs="Arial"/>
          <w:i/>
          <w:iCs/>
          <w:color w:val="222222"/>
          <w:shd w:val="clear" w:color="auto" w:fill="FFFFFF"/>
        </w:rPr>
        <w:t>How terrorism ends: Understanding the decline and demise of terrorist campaigns</w:t>
      </w:r>
      <w:r w:rsidRPr="00B51E8B">
        <w:rPr>
          <w:rFonts w:ascii="Arial" w:hAnsi="Arial" w:cs="Arial"/>
          <w:color w:val="222222"/>
          <w:shd w:val="clear" w:color="auto" w:fill="FFFFFF"/>
        </w:rPr>
        <w:t>. Princeton University Press.</w:t>
      </w:r>
    </w:p>
    <w:p w14:paraId="069C2873" w14:textId="77777777" w:rsidR="00FD7A76" w:rsidRPr="00B51E8B" w:rsidRDefault="00FD7A76" w:rsidP="00577CCF">
      <w:pPr>
        <w:rPr>
          <w:rFonts w:ascii="Arial" w:hAnsi="Arial" w:cs="Arial"/>
          <w:color w:val="222222"/>
          <w:shd w:val="clear" w:color="auto" w:fill="FFFFFF"/>
        </w:rPr>
      </w:pPr>
      <w:r w:rsidRPr="00B51E8B">
        <w:rPr>
          <w:rFonts w:ascii="Arial" w:hAnsi="Arial" w:cs="Arial"/>
          <w:color w:val="222222"/>
          <w:shd w:val="clear" w:color="auto" w:fill="FFFFFF"/>
        </w:rPr>
        <w:t>Dishman, C., 2001. Terrorism, crime, and transformation. </w:t>
      </w:r>
      <w:r w:rsidRPr="00B51E8B">
        <w:rPr>
          <w:rFonts w:ascii="Arial" w:hAnsi="Arial" w:cs="Arial"/>
          <w:i/>
          <w:iCs/>
          <w:color w:val="222222"/>
          <w:shd w:val="clear" w:color="auto" w:fill="FFFFFF"/>
        </w:rPr>
        <w:t>Studies in Conflict and Terrorism</w:t>
      </w:r>
      <w:r w:rsidRPr="00B51E8B">
        <w:rPr>
          <w:rFonts w:ascii="Arial" w:hAnsi="Arial" w:cs="Arial"/>
          <w:color w:val="222222"/>
          <w:shd w:val="clear" w:color="auto" w:fill="FFFFFF"/>
        </w:rPr>
        <w:t xml:space="preserve">. </w:t>
      </w:r>
    </w:p>
    <w:p w14:paraId="2FC8687E" w14:textId="77777777" w:rsidR="00FD7A76" w:rsidRPr="00B51E8B" w:rsidRDefault="00FD7A76" w:rsidP="00DE3B56">
      <w:pPr>
        <w:rPr>
          <w:rFonts w:ascii="Arial" w:hAnsi="Arial" w:cs="Arial"/>
          <w:b/>
          <w:bCs/>
          <w:color w:val="222222"/>
          <w:u w:val="single"/>
          <w:shd w:val="clear" w:color="auto" w:fill="FFFFFF"/>
        </w:rPr>
      </w:pPr>
      <w:r w:rsidRPr="00B51E8B">
        <w:rPr>
          <w:rFonts w:ascii="Arial" w:hAnsi="Arial" w:cs="Arial"/>
          <w:color w:val="222222"/>
          <w:shd w:val="clear" w:color="auto" w:fill="FFFFFF"/>
        </w:rPr>
        <w:t>Driskell, J.E., Salas, E. and Johnston, J., 1999. Does stress lead to a loss of team perspective? </w:t>
      </w:r>
      <w:r w:rsidRPr="00B51E8B">
        <w:rPr>
          <w:rFonts w:ascii="Arial" w:hAnsi="Arial" w:cs="Arial"/>
          <w:i/>
          <w:iCs/>
          <w:color w:val="222222"/>
          <w:shd w:val="clear" w:color="auto" w:fill="FFFFFF"/>
        </w:rPr>
        <w:t>Group dynamics: Theory, research, and practice</w:t>
      </w:r>
    </w:p>
    <w:p w14:paraId="365D83C3" w14:textId="77777777" w:rsidR="00FD7A76" w:rsidRPr="00B51E8B" w:rsidRDefault="00FD7A76" w:rsidP="00DE3B56">
      <w:pPr>
        <w:rPr>
          <w:rFonts w:ascii="Arial" w:hAnsi="Arial" w:cs="Arial"/>
          <w:b/>
          <w:bCs/>
          <w:color w:val="222222"/>
          <w:u w:val="single"/>
          <w:shd w:val="clear" w:color="auto" w:fill="FFFFFF"/>
        </w:rPr>
      </w:pPr>
      <w:proofErr w:type="spellStart"/>
      <w:r w:rsidRPr="00B51E8B">
        <w:rPr>
          <w:rFonts w:ascii="Arial" w:hAnsi="Arial" w:cs="Arial"/>
          <w:color w:val="222222"/>
          <w:shd w:val="clear" w:color="auto" w:fill="FFFFFF"/>
        </w:rPr>
        <w:lastRenderedPageBreak/>
        <w:t>Ellrich</w:t>
      </w:r>
      <w:proofErr w:type="spellEnd"/>
      <w:r w:rsidRPr="00B51E8B">
        <w:rPr>
          <w:rFonts w:ascii="Arial" w:hAnsi="Arial" w:cs="Arial"/>
          <w:color w:val="222222"/>
          <w:shd w:val="clear" w:color="auto" w:fill="FFFFFF"/>
        </w:rPr>
        <w:t>, K., 2016. Burnout and violent victimization in police officers: A dual process model. </w:t>
      </w:r>
      <w:r w:rsidRPr="00B51E8B">
        <w:rPr>
          <w:rFonts w:ascii="Arial" w:hAnsi="Arial" w:cs="Arial"/>
          <w:i/>
          <w:iCs/>
          <w:color w:val="222222"/>
          <w:shd w:val="clear" w:color="auto" w:fill="FFFFFF"/>
        </w:rPr>
        <w:t>Policing: An International Journal of Police Strategies &amp; Management</w:t>
      </w:r>
      <w:r w:rsidRPr="00B51E8B">
        <w:rPr>
          <w:rFonts w:ascii="Arial" w:hAnsi="Arial" w:cs="Arial"/>
          <w:color w:val="222222"/>
          <w:shd w:val="clear" w:color="auto" w:fill="FFFFFF"/>
        </w:rPr>
        <w:t>, </w:t>
      </w:r>
      <w:r w:rsidRPr="00B51E8B">
        <w:rPr>
          <w:rFonts w:ascii="Arial" w:hAnsi="Arial" w:cs="Arial"/>
          <w:i/>
          <w:iCs/>
          <w:color w:val="222222"/>
          <w:shd w:val="clear" w:color="auto" w:fill="FFFFFF"/>
        </w:rPr>
        <w:t>39</w:t>
      </w:r>
      <w:r w:rsidRPr="00B51E8B">
        <w:rPr>
          <w:rFonts w:ascii="Arial" w:hAnsi="Arial" w:cs="Arial"/>
          <w:color w:val="222222"/>
          <w:shd w:val="clear" w:color="auto" w:fill="FFFFFF"/>
        </w:rPr>
        <w:t>(4), pp.652-666.</w:t>
      </w:r>
    </w:p>
    <w:p w14:paraId="3C94AF73" w14:textId="77777777" w:rsidR="00FD7A76" w:rsidRPr="00B51E8B" w:rsidRDefault="00FD7A76" w:rsidP="00577CCF">
      <w:pPr>
        <w:rPr>
          <w:rFonts w:ascii="Arial" w:hAnsi="Arial" w:cs="Arial"/>
          <w:color w:val="222222"/>
          <w:shd w:val="clear" w:color="auto" w:fill="FFFFFF"/>
        </w:rPr>
      </w:pPr>
      <w:proofErr w:type="spellStart"/>
      <w:r w:rsidRPr="00B51E8B">
        <w:rPr>
          <w:rFonts w:ascii="Arial" w:hAnsi="Arial" w:cs="Arial"/>
          <w:color w:val="222222"/>
          <w:shd w:val="clear" w:color="auto" w:fill="FFFFFF"/>
        </w:rPr>
        <w:t>Felbab</w:t>
      </w:r>
      <w:proofErr w:type="spellEnd"/>
      <w:r w:rsidRPr="00B51E8B">
        <w:rPr>
          <w:rFonts w:ascii="Arial" w:hAnsi="Arial" w:cs="Arial"/>
          <w:color w:val="222222"/>
          <w:shd w:val="clear" w:color="auto" w:fill="FFFFFF"/>
        </w:rPr>
        <w:t>-Brown, V., 2009. </w:t>
      </w:r>
      <w:r w:rsidRPr="00B51E8B">
        <w:rPr>
          <w:rFonts w:ascii="Arial" w:hAnsi="Arial" w:cs="Arial"/>
          <w:i/>
          <w:iCs/>
          <w:color w:val="222222"/>
          <w:shd w:val="clear" w:color="auto" w:fill="FFFFFF"/>
        </w:rPr>
        <w:t>Shooting up: Counterinsurgency and the war on drugs</w:t>
      </w:r>
      <w:r w:rsidRPr="00B51E8B">
        <w:rPr>
          <w:rFonts w:ascii="Arial" w:hAnsi="Arial" w:cs="Arial"/>
          <w:color w:val="222222"/>
          <w:shd w:val="clear" w:color="auto" w:fill="FFFFFF"/>
        </w:rPr>
        <w:t>. Rowman &amp; Littlefield.</w:t>
      </w:r>
    </w:p>
    <w:p w14:paraId="2F1B9FED" w14:textId="77777777" w:rsidR="00FD7A76" w:rsidRPr="00B51E8B" w:rsidRDefault="00FD7A76" w:rsidP="00577CCF">
      <w:pPr>
        <w:rPr>
          <w:rFonts w:ascii="Arial" w:hAnsi="Arial" w:cs="Arial"/>
          <w:color w:val="222222"/>
          <w:shd w:val="clear" w:color="auto" w:fill="FFFFFF"/>
        </w:rPr>
      </w:pPr>
      <w:r w:rsidRPr="00B51E8B">
        <w:rPr>
          <w:rFonts w:ascii="Arial" w:hAnsi="Arial" w:cs="Arial"/>
          <w:color w:val="222222"/>
          <w:shd w:val="clear" w:color="auto" w:fill="FFFFFF"/>
        </w:rPr>
        <w:t>Hoffman, B., 2017. </w:t>
      </w:r>
      <w:r w:rsidRPr="00B51E8B">
        <w:rPr>
          <w:rFonts w:ascii="Arial" w:hAnsi="Arial" w:cs="Arial"/>
          <w:i/>
          <w:iCs/>
          <w:color w:val="222222"/>
          <w:shd w:val="clear" w:color="auto" w:fill="FFFFFF"/>
        </w:rPr>
        <w:t>Inside terrorism</w:t>
      </w:r>
      <w:r w:rsidRPr="00B51E8B">
        <w:rPr>
          <w:rFonts w:ascii="Arial" w:hAnsi="Arial" w:cs="Arial"/>
          <w:color w:val="222222"/>
          <w:shd w:val="clear" w:color="auto" w:fill="FFFFFF"/>
        </w:rPr>
        <w:t>. Columbia university press.</w:t>
      </w:r>
    </w:p>
    <w:p w14:paraId="51D31612" w14:textId="77777777" w:rsidR="00FD7A76" w:rsidRPr="00B51E8B" w:rsidRDefault="00FD7A76" w:rsidP="00577CCF">
      <w:pPr>
        <w:rPr>
          <w:rFonts w:ascii="Arial" w:hAnsi="Arial" w:cs="Arial"/>
          <w:color w:val="222222"/>
          <w:shd w:val="clear" w:color="auto" w:fill="FFFFFF"/>
        </w:rPr>
      </w:pPr>
      <w:r w:rsidRPr="00B51E8B">
        <w:rPr>
          <w:rFonts w:ascii="Arial" w:hAnsi="Arial" w:cs="Arial"/>
          <w:color w:val="222222"/>
          <w:shd w:val="clear" w:color="auto" w:fill="FFFFFF"/>
        </w:rPr>
        <w:t>Horgan, J., 2008. From profiles to pathways and roots to routes: Perspectives from psychology on radicalization into terrorism. </w:t>
      </w:r>
      <w:r w:rsidRPr="00B51E8B">
        <w:rPr>
          <w:rFonts w:ascii="Arial" w:hAnsi="Arial" w:cs="Arial"/>
          <w:i/>
          <w:iCs/>
          <w:color w:val="222222"/>
          <w:shd w:val="clear" w:color="auto" w:fill="FFFFFF"/>
        </w:rPr>
        <w:t>The ANNALS of the American Academy of Political and Social Science</w:t>
      </w:r>
      <w:r w:rsidRPr="00B51E8B">
        <w:rPr>
          <w:rFonts w:ascii="Arial" w:hAnsi="Arial" w:cs="Arial"/>
          <w:color w:val="222222"/>
          <w:shd w:val="clear" w:color="auto" w:fill="FFFFFF"/>
        </w:rPr>
        <w:t>, </w:t>
      </w:r>
      <w:r w:rsidRPr="00B51E8B">
        <w:rPr>
          <w:rFonts w:ascii="Arial" w:hAnsi="Arial" w:cs="Arial"/>
          <w:i/>
          <w:iCs/>
          <w:color w:val="222222"/>
          <w:shd w:val="clear" w:color="auto" w:fill="FFFFFF"/>
        </w:rPr>
        <w:t>618</w:t>
      </w:r>
      <w:r w:rsidRPr="00B51E8B">
        <w:rPr>
          <w:rFonts w:ascii="Arial" w:hAnsi="Arial" w:cs="Arial"/>
          <w:color w:val="222222"/>
          <w:shd w:val="clear" w:color="auto" w:fill="FFFFFF"/>
        </w:rPr>
        <w:t>(1), pp.80-94.</w:t>
      </w:r>
    </w:p>
    <w:p w14:paraId="2A029B9D" w14:textId="77777777" w:rsidR="00FD7A76" w:rsidRPr="00B51E8B" w:rsidRDefault="00FD7A76" w:rsidP="00577CCF">
      <w:pPr>
        <w:rPr>
          <w:rFonts w:ascii="Arial" w:hAnsi="Arial" w:cs="Arial"/>
          <w:color w:val="222222"/>
          <w:shd w:val="clear" w:color="auto" w:fill="FFFFFF"/>
        </w:rPr>
      </w:pPr>
      <w:r w:rsidRPr="00B51E8B">
        <w:rPr>
          <w:rFonts w:ascii="Arial" w:hAnsi="Arial" w:cs="Arial"/>
          <w:color w:val="222222"/>
          <w:shd w:val="clear" w:color="auto" w:fill="FFFFFF"/>
        </w:rPr>
        <w:t>Innes, Martin.</w:t>
      </w:r>
      <w:r>
        <w:rPr>
          <w:rFonts w:ascii="Arial" w:hAnsi="Arial" w:cs="Arial"/>
          <w:color w:val="222222"/>
          <w:shd w:val="clear" w:color="auto" w:fill="FFFFFF"/>
        </w:rPr>
        <w:t xml:space="preserve">, 2008. </w:t>
      </w:r>
      <w:r w:rsidRPr="00B51E8B">
        <w:rPr>
          <w:rFonts w:ascii="Arial" w:hAnsi="Arial" w:cs="Arial"/>
          <w:color w:val="222222"/>
          <w:shd w:val="clear" w:color="auto" w:fill="FFFFFF"/>
        </w:rPr>
        <w:t xml:space="preserve"> "Policing uncertainty: Countering terror through community intelligence and democratic policing." </w:t>
      </w:r>
      <w:r w:rsidRPr="00B51E8B">
        <w:rPr>
          <w:rFonts w:ascii="Arial" w:hAnsi="Arial" w:cs="Arial"/>
          <w:i/>
          <w:iCs/>
          <w:color w:val="222222"/>
          <w:shd w:val="clear" w:color="auto" w:fill="FFFFFF"/>
        </w:rPr>
        <w:t>The ANNALS of the American academy of political and social science</w:t>
      </w:r>
      <w:r w:rsidRPr="00B51E8B">
        <w:rPr>
          <w:rFonts w:ascii="Arial" w:hAnsi="Arial" w:cs="Arial"/>
          <w:color w:val="222222"/>
          <w:shd w:val="clear" w:color="auto" w:fill="FFFFFF"/>
        </w:rPr>
        <w:t> </w:t>
      </w:r>
    </w:p>
    <w:p w14:paraId="41189F2A" w14:textId="77777777" w:rsidR="00FD7A76" w:rsidRPr="00B51E8B" w:rsidRDefault="00FD7A76" w:rsidP="00DE3B56">
      <w:pPr>
        <w:rPr>
          <w:rFonts w:ascii="Arial" w:hAnsi="Arial" w:cs="Arial"/>
          <w:b/>
          <w:bCs/>
          <w:color w:val="222222"/>
          <w:u w:val="single"/>
          <w:shd w:val="clear" w:color="auto" w:fill="FFFFFF"/>
        </w:rPr>
      </w:pPr>
      <w:r w:rsidRPr="00B51E8B">
        <w:rPr>
          <w:rFonts w:ascii="Arial" w:hAnsi="Arial" w:cs="Arial"/>
          <w:color w:val="222222"/>
          <w:shd w:val="clear" w:color="auto" w:fill="FFFFFF"/>
        </w:rPr>
        <w:t>Jackson, S.E. and Maslach, C., 1982. After</w:t>
      </w:r>
      <w:r w:rsidRPr="00B51E8B">
        <w:rPr>
          <w:rFonts w:ascii="Cambria Math" w:hAnsi="Cambria Math" w:cs="Cambria Math"/>
          <w:color w:val="222222"/>
          <w:shd w:val="clear" w:color="auto" w:fill="FFFFFF"/>
        </w:rPr>
        <w:t>‐</w:t>
      </w:r>
      <w:r w:rsidRPr="00B51E8B">
        <w:rPr>
          <w:rFonts w:ascii="Arial" w:hAnsi="Arial" w:cs="Arial"/>
          <w:color w:val="222222"/>
          <w:shd w:val="clear" w:color="auto" w:fill="FFFFFF"/>
        </w:rPr>
        <w:t>effects of job</w:t>
      </w:r>
      <w:r w:rsidRPr="00B51E8B">
        <w:rPr>
          <w:rFonts w:ascii="Cambria Math" w:hAnsi="Cambria Math" w:cs="Cambria Math"/>
          <w:color w:val="222222"/>
          <w:shd w:val="clear" w:color="auto" w:fill="FFFFFF"/>
        </w:rPr>
        <w:t>‐</w:t>
      </w:r>
      <w:r w:rsidRPr="00B51E8B">
        <w:rPr>
          <w:rFonts w:ascii="Arial" w:hAnsi="Arial" w:cs="Arial"/>
          <w:color w:val="222222"/>
          <w:shd w:val="clear" w:color="auto" w:fill="FFFFFF"/>
        </w:rPr>
        <w:t>related stress: Families as victims. </w:t>
      </w:r>
      <w:r w:rsidRPr="00B51E8B">
        <w:rPr>
          <w:rFonts w:ascii="Arial" w:hAnsi="Arial" w:cs="Arial"/>
          <w:i/>
          <w:iCs/>
          <w:color w:val="222222"/>
          <w:shd w:val="clear" w:color="auto" w:fill="FFFFFF"/>
        </w:rPr>
        <w:t xml:space="preserve">Journal of organizational </w:t>
      </w:r>
      <w:proofErr w:type="spellStart"/>
      <w:r w:rsidRPr="00B51E8B">
        <w:rPr>
          <w:rFonts w:ascii="Arial" w:hAnsi="Arial" w:cs="Arial"/>
          <w:i/>
          <w:iCs/>
          <w:color w:val="222222"/>
          <w:shd w:val="clear" w:color="auto" w:fill="FFFFFF"/>
        </w:rPr>
        <w:t>behavior</w:t>
      </w:r>
      <w:proofErr w:type="spellEnd"/>
      <w:r w:rsidRPr="00B51E8B">
        <w:rPr>
          <w:rFonts w:ascii="Arial" w:hAnsi="Arial" w:cs="Arial"/>
          <w:color w:val="222222"/>
          <w:shd w:val="clear" w:color="auto" w:fill="FFFFFF"/>
        </w:rPr>
        <w:t>, </w:t>
      </w:r>
      <w:r w:rsidRPr="00B51E8B">
        <w:rPr>
          <w:rFonts w:ascii="Arial" w:hAnsi="Arial" w:cs="Arial"/>
          <w:i/>
          <w:iCs/>
          <w:color w:val="222222"/>
          <w:shd w:val="clear" w:color="auto" w:fill="FFFFFF"/>
        </w:rPr>
        <w:t>3</w:t>
      </w:r>
      <w:r w:rsidRPr="00B51E8B">
        <w:rPr>
          <w:rFonts w:ascii="Arial" w:hAnsi="Arial" w:cs="Arial"/>
          <w:color w:val="222222"/>
          <w:shd w:val="clear" w:color="auto" w:fill="FFFFFF"/>
        </w:rPr>
        <w:t>(1), pp.63-77.</w:t>
      </w:r>
    </w:p>
    <w:p w14:paraId="689EF2E2" w14:textId="77777777" w:rsidR="00FD7A76" w:rsidRPr="00B51E8B" w:rsidRDefault="00FD7A76" w:rsidP="00577CCF">
      <w:pPr>
        <w:rPr>
          <w:rFonts w:ascii="Arial" w:hAnsi="Arial" w:cs="Arial"/>
          <w:color w:val="222222"/>
          <w:shd w:val="clear" w:color="auto" w:fill="FFFFFF"/>
        </w:rPr>
      </w:pPr>
      <w:proofErr w:type="spellStart"/>
      <w:r w:rsidRPr="00B51E8B">
        <w:rPr>
          <w:rFonts w:ascii="Arial" w:hAnsi="Arial" w:cs="Arial"/>
          <w:color w:val="222222"/>
          <w:shd w:val="clear" w:color="auto" w:fill="FFFFFF"/>
        </w:rPr>
        <w:t>Jetelina</w:t>
      </w:r>
      <w:proofErr w:type="spellEnd"/>
      <w:r w:rsidRPr="00B51E8B">
        <w:rPr>
          <w:rFonts w:ascii="Arial" w:hAnsi="Arial" w:cs="Arial"/>
          <w:color w:val="222222"/>
          <w:shd w:val="clear" w:color="auto" w:fill="FFFFFF"/>
        </w:rPr>
        <w:t xml:space="preserve">, K.K., </w:t>
      </w:r>
      <w:proofErr w:type="spellStart"/>
      <w:r w:rsidRPr="00B51E8B">
        <w:rPr>
          <w:rFonts w:ascii="Arial" w:hAnsi="Arial" w:cs="Arial"/>
          <w:color w:val="222222"/>
          <w:shd w:val="clear" w:color="auto" w:fill="FFFFFF"/>
        </w:rPr>
        <w:t>Molsberry</w:t>
      </w:r>
      <w:proofErr w:type="spellEnd"/>
      <w:r w:rsidRPr="00B51E8B">
        <w:rPr>
          <w:rFonts w:ascii="Arial" w:hAnsi="Arial" w:cs="Arial"/>
          <w:color w:val="222222"/>
          <w:shd w:val="clear" w:color="auto" w:fill="FFFFFF"/>
        </w:rPr>
        <w:t>, R.J., Gonzalez, J.R., Beauchamp, A.M. and Hall, T., 2020. Prevalence of mental illness and mental health care use among police officers. </w:t>
      </w:r>
      <w:r w:rsidRPr="00B51E8B">
        <w:rPr>
          <w:rFonts w:ascii="Arial" w:hAnsi="Arial" w:cs="Arial"/>
          <w:i/>
          <w:iCs/>
          <w:color w:val="222222"/>
          <w:shd w:val="clear" w:color="auto" w:fill="FFFFFF"/>
        </w:rPr>
        <w:t>JAMA network open</w:t>
      </w:r>
      <w:r w:rsidRPr="00B51E8B">
        <w:rPr>
          <w:rFonts w:ascii="Arial" w:hAnsi="Arial" w:cs="Arial"/>
          <w:color w:val="222222"/>
          <w:shd w:val="clear" w:color="auto" w:fill="FFFFFF"/>
        </w:rPr>
        <w:t>, </w:t>
      </w:r>
      <w:r w:rsidRPr="00B51E8B">
        <w:rPr>
          <w:rFonts w:ascii="Arial" w:hAnsi="Arial" w:cs="Arial"/>
          <w:i/>
          <w:iCs/>
          <w:color w:val="222222"/>
          <w:shd w:val="clear" w:color="auto" w:fill="FFFFFF"/>
        </w:rPr>
        <w:t>3</w:t>
      </w:r>
      <w:r w:rsidRPr="00B51E8B">
        <w:rPr>
          <w:rFonts w:ascii="Arial" w:hAnsi="Arial" w:cs="Arial"/>
          <w:color w:val="222222"/>
          <w:shd w:val="clear" w:color="auto" w:fill="FFFFFF"/>
        </w:rPr>
        <w:t>(10)</w:t>
      </w:r>
    </w:p>
    <w:p w14:paraId="34D8C622" w14:textId="77777777" w:rsidR="00FD7A76" w:rsidRPr="00B51E8B" w:rsidRDefault="00FD7A76" w:rsidP="00577CCF">
      <w:pPr>
        <w:rPr>
          <w:rFonts w:ascii="Arial" w:hAnsi="Arial" w:cs="Arial"/>
          <w:b/>
          <w:bCs/>
          <w:color w:val="222222"/>
          <w:u w:val="single"/>
          <w:shd w:val="clear" w:color="auto" w:fill="FFFFFF"/>
        </w:rPr>
      </w:pPr>
      <w:proofErr w:type="spellStart"/>
      <w:r w:rsidRPr="00B51E8B">
        <w:rPr>
          <w:rFonts w:ascii="Arial" w:hAnsi="Arial" w:cs="Arial"/>
          <w:color w:val="222222"/>
          <w:shd w:val="clear" w:color="auto" w:fill="FFFFFF"/>
        </w:rPr>
        <w:t>Karaffa</w:t>
      </w:r>
      <w:proofErr w:type="spellEnd"/>
      <w:r w:rsidRPr="00B51E8B">
        <w:rPr>
          <w:rFonts w:ascii="Arial" w:hAnsi="Arial" w:cs="Arial"/>
          <w:color w:val="222222"/>
          <w:shd w:val="clear" w:color="auto" w:fill="FFFFFF"/>
        </w:rPr>
        <w:t xml:space="preserve">, K.M. and </w:t>
      </w:r>
      <w:proofErr w:type="spellStart"/>
      <w:r w:rsidRPr="00B51E8B">
        <w:rPr>
          <w:rFonts w:ascii="Arial" w:hAnsi="Arial" w:cs="Arial"/>
          <w:color w:val="222222"/>
          <w:shd w:val="clear" w:color="auto" w:fill="FFFFFF"/>
        </w:rPr>
        <w:t>Tochkov</w:t>
      </w:r>
      <w:proofErr w:type="spellEnd"/>
      <w:r w:rsidRPr="00B51E8B">
        <w:rPr>
          <w:rFonts w:ascii="Arial" w:hAnsi="Arial" w:cs="Arial"/>
          <w:color w:val="222222"/>
          <w:shd w:val="clear" w:color="auto" w:fill="FFFFFF"/>
        </w:rPr>
        <w:t>, K., 2013. Attitudes Toward Seeking Mental Health Treatment Among Law Enforcement Officers. </w:t>
      </w:r>
      <w:r w:rsidRPr="00B51E8B">
        <w:rPr>
          <w:rFonts w:ascii="Arial" w:hAnsi="Arial" w:cs="Arial"/>
          <w:i/>
          <w:iCs/>
          <w:color w:val="222222"/>
          <w:shd w:val="clear" w:color="auto" w:fill="FFFFFF"/>
        </w:rPr>
        <w:t>Applied Psychology in Criminal Justice</w:t>
      </w:r>
      <w:r w:rsidRPr="00B51E8B">
        <w:rPr>
          <w:rFonts w:ascii="Arial" w:hAnsi="Arial" w:cs="Arial"/>
          <w:color w:val="222222"/>
          <w:shd w:val="clear" w:color="auto" w:fill="FFFFFF"/>
        </w:rPr>
        <w:t>, </w:t>
      </w:r>
      <w:r w:rsidRPr="00B51E8B">
        <w:rPr>
          <w:rFonts w:ascii="Arial" w:hAnsi="Arial" w:cs="Arial"/>
          <w:i/>
          <w:iCs/>
          <w:color w:val="222222"/>
          <w:shd w:val="clear" w:color="auto" w:fill="FFFFFF"/>
        </w:rPr>
        <w:t>9</w:t>
      </w:r>
      <w:r w:rsidRPr="00B51E8B">
        <w:rPr>
          <w:rFonts w:ascii="Arial" w:hAnsi="Arial" w:cs="Arial"/>
          <w:color w:val="222222"/>
          <w:shd w:val="clear" w:color="auto" w:fill="FFFFFF"/>
        </w:rPr>
        <w:t>(2).</w:t>
      </w:r>
    </w:p>
    <w:p w14:paraId="7B35CDC1" w14:textId="77777777" w:rsidR="00FD7A76" w:rsidRPr="00B51E8B" w:rsidRDefault="00FD7A76" w:rsidP="00577CCF">
      <w:pPr>
        <w:rPr>
          <w:rFonts w:ascii="Arial" w:hAnsi="Arial" w:cs="Arial"/>
          <w:color w:val="222222"/>
          <w:shd w:val="clear" w:color="auto" w:fill="FFFFFF"/>
        </w:rPr>
      </w:pPr>
      <w:r w:rsidRPr="00B51E8B">
        <w:rPr>
          <w:rFonts w:ascii="Arial" w:hAnsi="Arial" w:cs="Arial"/>
          <w:color w:val="222222"/>
          <w:shd w:val="clear" w:color="auto" w:fill="FFFFFF"/>
        </w:rPr>
        <w:t xml:space="preserve">Krueger, A. and </w:t>
      </w:r>
      <w:proofErr w:type="spellStart"/>
      <w:r w:rsidRPr="00B51E8B">
        <w:rPr>
          <w:rFonts w:ascii="Arial" w:hAnsi="Arial" w:cs="Arial"/>
          <w:color w:val="222222"/>
          <w:shd w:val="clear" w:color="auto" w:fill="FFFFFF"/>
        </w:rPr>
        <w:t>Maleckova</w:t>
      </w:r>
      <w:proofErr w:type="spellEnd"/>
      <w:r w:rsidRPr="00B51E8B">
        <w:rPr>
          <w:rFonts w:ascii="Arial" w:hAnsi="Arial" w:cs="Arial"/>
          <w:color w:val="222222"/>
          <w:shd w:val="clear" w:color="auto" w:fill="FFFFFF"/>
        </w:rPr>
        <w:t xml:space="preserve">, J., 2003. </w:t>
      </w:r>
      <w:proofErr w:type="spellStart"/>
      <w:r w:rsidRPr="00B51E8B">
        <w:rPr>
          <w:rFonts w:ascii="Arial" w:hAnsi="Arial" w:cs="Arial"/>
          <w:color w:val="222222"/>
          <w:shd w:val="clear" w:color="auto" w:fill="FFFFFF"/>
        </w:rPr>
        <w:t>VEducation</w:t>
      </w:r>
      <w:proofErr w:type="spellEnd"/>
      <w:r w:rsidRPr="00B51E8B">
        <w:rPr>
          <w:rFonts w:ascii="Arial" w:hAnsi="Arial" w:cs="Arial"/>
          <w:color w:val="222222"/>
          <w:shd w:val="clear" w:color="auto" w:fill="FFFFFF"/>
        </w:rPr>
        <w:t>, Poverty, and Terrorism: Is there a Causal Connection. </w:t>
      </w:r>
      <w:r w:rsidRPr="00B51E8B">
        <w:rPr>
          <w:rFonts w:ascii="Arial" w:hAnsi="Arial" w:cs="Arial"/>
          <w:i/>
          <w:iCs/>
          <w:color w:val="222222"/>
          <w:shd w:val="clear" w:color="auto" w:fill="FFFFFF"/>
        </w:rPr>
        <w:t>V Journal of Economic Perspectives</w:t>
      </w:r>
      <w:r w:rsidRPr="00B51E8B">
        <w:rPr>
          <w:rFonts w:ascii="Arial" w:hAnsi="Arial" w:cs="Arial"/>
          <w:color w:val="222222"/>
          <w:shd w:val="clear" w:color="auto" w:fill="FFFFFF"/>
        </w:rPr>
        <w:t>, </w:t>
      </w:r>
      <w:r w:rsidRPr="00B51E8B">
        <w:rPr>
          <w:rFonts w:ascii="Arial" w:hAnsi="Arial" w:cs="Arial"/>
          <w:i/>
          <w:iCs/>
          <w:color w:val="222222"/>
          <w:shd w:val="clear" w:color="auto" w:fill="FFFFFF"/>
        </w:rPr>
        <w:t>17</w:t>
      </w:r>
      <w:r w:rsidRPr="00B51E8B">
        <w:rPr>
          <w:rFonts w:ascii="Arial" w:hAnsi="Arial" w:cs="Arial"/>
          <w:color w:val="222222"/>
          <w:shd w:val="clear" w:color="auto" w:fill="FFFFFF"/>
        </w:rPr>
        <w:t>(4), p.119.</w:t>
      </w:r>
    </w:p>
    <w:p w14:paraId="5A236949" w14:textId="77777777" w:rsidR="00FD7A76" w:rsidRPr="00B51E8B" w:rsidRDefault="00FD7A76" w:rsidP="00577CCF">
      <w:pPr>
        <w:rPr>
          <w:rFonts w:ascii="Arial" w:hAnsi="Arial" w:cs="Arial"/>
          <w:color w:val="222222"/>
          <w:shd w:val="clear" w:color="auto" w:fill="FFFFFF"/>
        </w:rPr>
      </w:pPr>
      <w:r w:rsidRPr="00B51E8B">
        <w:rPr>
          <w:rFonts w:ascii="Arial" w:hAnsi="Arial" w:cs="Arial"/>
          <w:color w:val="222222"/>
          <w:shd w:val="clear" w:color="auto" w:fill="FFFFFF"/>
        </w:rPr>
        <w:t>Levitt, M., 2015. </w:t>
      </w:r>
      <w:r w:rsidRPr="00B51E8B">
        <w:rPr>
          <w:rFonts w:ascii="Arial" w:hAnsi="Arial" w:cs="Arial"/>
          <w:i/>
          <w:iCs/>
          <w:color w:val="222222"/>
          <w:shd w:val="clear" w:color="auto" w:fill="FFFFFF"/>
        </w:rPr>
        <w:t>Hezbollah: The global footprint of Lebanon's party of God</w:t>
      </w:r>
      <w:r w:rsidRPr="00B51E8B">
        <w:rPr>
          <w:rFonts w:ascii="Arial" w:hAnsi="Arial" w:cs="Arial"/>
          <w:color w:val="222222"/>
          <w:shd w:val="clear" w:color="auto" w:fill="FFFFFF"/>
        </w:rPr>
        <w:t>. Georgetown University Press.</w:t>
      </w:r>
    </w:p>
    <w:p w14:paraId="1B8AFF3F" w14:textId="77777777" w:rsidR="00FD7A76" w:rsidRPr="00B51E8B" w:rsidRDefault="00FD7A76" w:rsidP="00577CCF">
      <w:pPr>
        <w:rPr>
          <w:rFonts w:ascii="Arial" w:hAnsi="Arial" w:cs="Arial"/>
          <w:b/>
          <w:bCs/>
          <w:color w:val="222222"/>
          <w:u w:val="single"/>
          <w:shd w:val="clear" w:color="auto" w:fill="FFFFFF"/>
        </w:rPr>
      </w:pPr>
      <w:r w:rsidRPr="00B51E8B">
        <w:rPr>
          <w:rFonts w:ascii="Arial" w:hAnsi="Arial" w:cs="Arial"/>
          <w:color w:val="222222"/>
          <w:shd w:val="clear" w:color="auto" w:fill="FFFFFF"/>
        </w:rPr>
        <w:t>Loftus, B., 2010. Police occupational culture: classic themes, altered times. </w:t>
      </w:r>
      <w:r w:rsidRPr="00B51E8B">
        <w:rPr>
          <w:rFonts w:ascii="Arial" w:hAnsi="Arial" w:cs="Arial"/>
          <w:i/>
          <w:iCs/>
          <w:color w:val="222222"/>
          <w:shd w:val="clear" w:color="auto" w:fill="FFFFFF"/>
        </w:rPr>
        <w:t>Policing and society</w:t>
      </w:r>
      <w:r w:rsidRPr="00B51E8B">
        <w:rPr>
          <w:rFonts w:ascii="Arial" w:hAnsi="Arial" w:cs="Arial"/>
          <w:color w:val="222222"/>
          <w:shd w:val="clear" w:color="auto" w:fill="FFFFFF"/>
        </w:rPr>
        <w:t>, </w:t>
      </w:r>
      <w:r w:rsidRPr="00B51E8B">
        <w:rPr>
          <w:rFonts w:ascii="Arial" w:hAnsi="Arial" w:cs="Arial"/>
          <w:i/>
          <w:iCs/>
          <w:color w:val="222222"/>
          <w:shd w:val="clear" w:color="auto" w:fill="FFFFFF"/>
        </w:rPr>
        <w:t>20</w:t>
      </w:r>
      <w:r w:rsidRPr="00B51E8B">
        <w:rPr>
          <w:rFonts w:ascii="Arial" w:hAnsi="Arial" w:cs="Arial"/>
          <w:color w:val="222222"/>
          <w:shd w:val="clear" w:color="auto" w:fill="FFFFFF"/>
        </w:rPr>
        <w:t>(1), pp.1-20.</w:t>
      </w:r>
    </w:p>
    <w:p w14:paraId="3E6ED2AD" w14:textId="77777777" w:rsidR="00FD7A76" w:rsidRPr="00B51E8B" w:rsidRDefault="00FD7A76" w:rsidP="00DE3B56">
      <w:pPr>
        <w:rPr>
          <w:rFonts w:ascii="Arial" w:hAnsi="Arial" w:cs="Arial"/>
          <w:b/>
          <w:bCs/>
          <w:color w:val="222222"/>
          <w:u w:val="single"/>
          <w:shd w:val="clear" w:color="auto" w:fill="FFFFFF"/>
        </w:rPr>
      </w:pPr>
      <w:r w:rsidRPr="00B51E8B">
        <w:rPr>
          <w:rFonts w:ascii="Arial" w:hAnsi="Arial" w:cs="Arial"/>
          <w:color w:val="222222"/>
          <w:shd w:val="clear" w:color="auto" w:fill="FFFFFF"/>
        </w:rPr>
        <w:t xml:space="preserve">Lyons, K., </w:t>
      </w:r>
      <w:proofErr w:type="spellStart"/>
      <w:r w:rsidRPr="00B51E8B">
        <w:rPr>
          <w:rFonts w:ascii="Arial" w:hAnsi="Arial" w:cs="Arial"/>
          <w:color w:val="222222"/>
          <w:shd w:val="clear" w:color="auto" w:fill="FFFFFF"/>
        </w:rPr>
        <w:t>Radburn</w:t>
      </w:r>
      <w:proofErr w:type="spellEnd"/>
      <w:r w:rsidRPr="00B51E8B">
        <w:rPr>
          <w:rFonts w:ascii="Arial" w:hAnsi="Arial" w:cs="Arial"/>
          <w:color w:val="222222"/>
          <w:shd w:val="clear" w:color="auto" w:fill="FFFFFF"/>
        </w:rPr>
        <w:t>, C., Orr, R. and Pope, R., 2017. A profile of injuries sustained by law enforcement officers: a critical review. </w:t>
      </w:r>
      <w:r w:rsidRPr="00B51E8B">
        <w:rPr>
          <w:rFonts w:ascii="Arial" w:hAnsi="Arial" w:cs="Arial"/>
          <w:i/>
          <w:iCs/>
          <w:color w:val="222222"/>
          <w:shd w:val="clear" w:color="auto" w:fill="FFFFFF"/>
        </w:rPr>
        <w:t>International journal of environmental research and public health</w:t>
      </w:r>
      <w:r w:rsidRPr="00B51E8B">
        <w:rPr>
          <w:rFonts w:ascii="Arial" w:hAnsi="Arial" w:cs="Arial"/>
          <w:color w:val="222222"/>
          <w:shd w:val="clear" w:color="auto" w:fill="FFFFFF"/>
        </w:rPr>
        <w:t>, </w:t>
      </w:r>
      <w:r w:rsidRPr="00B51E8B">
        <w:rPr>
          <w:rFonts w:ascii="Arial" w:hAnsi="Arial" w:cs="Arial"/>
          <w:i/>
          <w:iCs/>
          <w:color w:val="222222"/>
          <w:shd w:val="clear" w:color="auto" w:fill="FFFFFF"/>
        </w:rPr>
        <w:t>14</w:t>
      </w:r>
      <w:r w:rsidRPr="00B51E8B">
        <w:rPr>
          <w:rFonts w:ascii="Arial" w:hAnsi="Arial" w:cs="Arial"/>
          <w:color w:val="222222"/>
          <w:shd w:val="clear" w:color="auto" w:fill="FFFFFF"/>
        </w:rPr>
        <w:t>(2), p.142.</w:t>
      </w:r>
    </w:p>
    <w:p w14:paraId="3C9518EE" w14:textId="77777777" w:rsidR="00FD7A76" w:rsidRPr="00B51E8B" w:rsidRDefault="00FD7A76" w:rsidP="00577CCF">
      <w:pPr>
        <w:rPr>
          <w:rFonts w:ascii="Arial" w:hAnsi="Arial" w:cs="Arial"/>
          <w:color w:val="222222"/>
          <w:shd w:val="clear" w:color="auto" w:fill="FFFFFF"/>
        </w:rPr>
      </w:pPr>
      <w:r w:rsidRPr="00B51E8B">
        <w:rPr>
          <w:rFonts w:ascii="Arial" w:hAnsi="Arial" w:cs="Arial"/>
          <w:color w:val="222222"/>
          <w:shd w:val="clear" w:color="auto" w:fill="FFFFFF"/>
        </w:rPr>
        <w:lastRenderedPageBreak/>
        <w:t>Makarenko, T., 2004. The crime-terror continuum: tracing the interplay between transnational organised crime and terrorism. </w:t>
      </w:r>
      <w:r w:rsidRPr="00B51E8B">
        <w:rPr>
          <w:rFonts w:ascii="Arial" w:hAnsi="Arial" w:cs="Arial"/>
          <w:i/>
          <w:iCs/>
          <w:color w:val="222222"/>
          <w:shd w:val="clear" w:color="auto" w:fill="FFFFFF"/>
        </w:rPr>
        <w:t>Global crime</w:t>
      </w:r>
      <w:r w:rsidRPr="00B51E8B">
        <w:rPr>
          <w:rFonts w:ascii="Arial" w:hAnsi="Arial" w:cs="Arial"/>
          <w:color w:val="222222"/>
          <w:shd w:val="clear" w:color="auto" w:fill="FFFFFF"/>
        </w:rPr>
        <w:t>, </w:t>
      </w:r>
      <w:r w:rsidRPr="00B51E8B">
        <w:rPr>
          <w:rFonts w:ascii="Arial" w:hAnsi="Arial" w:cs="Arial"/>
          <w:i/>
          <w:iCs/>
          <w:color w:val="222222"/>
          <w:shd w:val="clear" w:color="auto" w:fill="FFFFFF"/>
        </w:rPr>
        <w:t>6</w:t>
      </w:r>
      <w:r w:rsidRPr="00B51E8B">
        <w:rPr>
          <w:rFonts w:ascii="Arial" w:hAnsi="Arial" w:cs="Arial"/>
          <w:color w:val="222222"/>
          <w:shd w:val="clear" w:color="auto" w:fill="FFFFFF"/>
        </w:rPr>
        <w:t>(1), pp.129-145.</w:t>
      </w:r>
    </w:p>
    <w:p w14:paraId="3EEA3362" w14:textId="77777777" w:rsidR="00FD7A76" w:rsidRPr="00B51E8B" w:rsidRDefault="00FD7A76" w:rsidP="00DE3B56">
      <w:pPr>
        <w:rPr>
          <w:rFonts w:ascii="Arial" w:hAnsi="Arial" w:cs="Arial"/>
          <w:b/>
          <w:bCs/>
          <w:color w:val="222222"/>
          <w:u w:val="single"/>
          <w:shd w:val="clear" w:color="auto" w:fill="FFFFFF"/>
        </w:rPr>
      </w:pPr>
      <w:r w:rsidRPr="00B51E8B">
        <w:rPr>
          <w:rFonts w:ascii="Arial" w:hAnsi="Arial" w:cs="Arial"/>
          <w:color w:val="222222"/>
          <w:shd w:val="clear" w:color="auto" w:fill="FFFFFF"/>
        </w:rPr>
        <w:t>Maslach, C. and Jackson, S.E., 1981. The measurement of experienced burnout. </w:t>
      </w:r>
      <w:r w:rsidRPr="00B51E8B">
        <w:rPr>
          <w:rFonts w:ascii="Arial" w:hAnsi="Arial" w:cs="Arial"/>
          <w:i/>
          <w:iCs/>
          <w:color w:val="222222"/>
          <w:shd w:val="clear" w:color="auto" w:fill="FFFFFF"/>
        </w:rPr>
        <w:t xml:space="preserve">Journal of organizational </w:t>
      </w:r>
      <w:proofErr w:type="spellStart"/>
      <w:r w:rsidRPr="00B51E8B">
        <w:rPr>
          <w:rFonts w:ascii="Arial" w:hAnsi="Arial" w:cs="Arial"/>
          <w:i/>
          <w:iCs/>
          <w:color w:val="222222"/>
          <w:shd w:val="clear" w:color="auto" w:fill="FFFFFF"/>
        </w:rPr>
        <w:t>behavior</w:t>
      </w:r>
      <w:proofErr w:type="spellEnd"/>
      <w:r w:rsidRPr="00B51E8B">
        <w:rPr>
          <w:rFonts w:ascii="Arial" w:hAnsi="Arial" w:cs="Arial"/>
          <w:color w:val="222222"/>
          <w:shd w:val="clear" w:color="auto" w:fill="FFFFFF"/>
        </w:rPr>
        <w:t>, </w:t>
      </w:r>
      <w:r w:rsidRPr="00B51E8B">
        <w:rPr>
          <w:rFonts w:ascii="Arial" w:hAnsi="Arial" w:cs="Arial"/>
          <w:i/>
          <w:iCs/>
          <w:color w:val="222222"/>
          <w:shd w:val="clear" w:color="auto" w:fill="FFFFFF"/>
        </w:rPr>
        <w:t>2</w:t>
      </w:r>
      <w:r w:rsidRPr="00B51E8B">
        <w:rPr>
          <w:rFonts w:ascii="Arial" w:hAnsi="Arial" w:cs="Arial"/>
          <w:color w:val="222222"/>
          <w:shd w:val="clear" w:color="auto" w:fill="FFFFFF"/>
        </w:rPr>
        <w:t>(2), pp.99-113.</w:t>
      </w:r>
    </w:p>
    <w:p w14:paraId="39C21709" w14:textId="77777777" w:rsidR="00FD7A76" w:rsidRPr="00B51E8B" w:rsidRDefault="00FD7A76" w:rsidP="00DE3B56">
      <w:pPr>
        <w:rPr>
          <w:rFonts w:ascii="Arial" w:hAnsi="Arial" w:cs="Arial"/>
          <w:b/>
          <w:bCs/>
          <w:color w:val="222222"/>
          <w:u w:val="single"/>
          <w:shd w:val="clear" w:color="auto" w:fill="FFFFFF"/>
        </w:rPr>
      </w:pPr>
      <w:r w:rsidRPr="00B51E8B">
        <w:rPr>
          <w:rFonts w:ascii="Arial" w:hAnsi="Arial" w:cs="Arial"/>
          <w:color w:val="222222"/>
          <w:shd w:val="clear" w:color="auto" w:fill="FFFFFF"/>
        </w:rPr>
        <w:t>McCreary, D.R. and Thompson, M.M., 2006. Development of two reliable and valid measures of stressors in policing: The operational and organizational police stress questionnaires. </w:t>
      </w:r>
      <w:r w:rsidRPr="00B51E8B">
        <w:rPr>
          <w:rFonts w:ascii="Arial" w:hAnsi="Arial" w:cs="Arial"/>
          <w:i/>
          <w:iCs/>
          <w:color w:val="222222"/>
          <w:shd w:val="clear" w:color="auto" w:fill="FFFFFF"/>
        </w:rPr>
        <w:t>International journal of stress management</w:t>
      </w:r>
      <w:r w:rsidRPr="00B51E8B">
        <w:rPr>
          <w:rFonts w:ascii="Arial" w:hAnsi="Arial" w:cs="Arial"/>
          <w:color w:val="222222"/>
          <w:shd w:val="clear" w:color="auto" w:fill="FFFFFF"/>
        </w:rPr>
        <w:t>, </w:t>
      </w:r>
      <w:r w:rsidRPr="00B51E8B">
        <w:rPr>
          <w:rFonts w:ascii="Arial" w:hAnsi="Arial" w:cs="Arial"/>
          <w:i/>
          <w:iCs/>
          <w:color w:val="222222"/>
          <w:shd w:val="clear" w:color="auto" w:fill="FFFFFF"/>
        </w:rPr>
        <w:t>13</w:t>
      </w:r>
      <w:r w:rsidRPr="00B51E8B">
        <w:rPr>
          <w:rFonts w:ascii="Arial" w:hAnsi="Arial" w:cs="Arial"/>
          <w:color w:val="222222"/>
          <w:shd w:val="clear" w:color="auto" w:fill="FFFFFF"/>
        </w:rPr>
        <w:t>(4), p.494.</w:t>
      </w:r>
    </w:p>
    <w:p w14:paraId="65FA8557" w14:textId="77777777" w:rsidR="00FD7A76" w:rsidRPr="00B51E8B" w:rsidRDefault="00FD7A76" w:rsidP="00DE3B56">
      <w:pPr>
        <w:rPr>
          <w:rFonts w:ascii="Arial" w:hAnsi="Arial" w:cs="Arial"/>
          <w:b/>
          <w:bCs/>
          <w:color w:val="222222"/>
          <w:u w:val="single"/>
          <w:shd w:val="clear" w:color="auto" w:fill="FFFFFF"/>
        </w:rPr>
      </w:pPr>
      <w:r w:rsidRPr="00B51E8B">
        <w:rPr>
          <w:rFonts w:ascii="Arial" w:hAnsi="Arial" w:cs="Arial"/>
          <w:color w:val="222222"/>
          <w:shd w:val="clear" w:color="auto" w:fill="FFFFFF"/>
        </w:rPr>
        <w:t>Mitchell, J.T. and Everly, G.S., 2001. Critical Incident Stress Debriefing: An operations manual for CISD, defusing and other group crisis intervention services.</w:t>
      </w:r>
    </w:p>
    <w:p w14:paraId="56DA48F9" w14:textId="77777777" w:rsidR="00FD7A76" w:rsidRPr="00B51E8B" w:rsidRDefault="00FD7A76" w:rsidP="00DE3B56">
      <w:pPr>
        <w:rPr>
          <w:rFonts w:ascii="Arial" w:hAnsi="Arial" w:cs="Arial"/>
          <w:b/>
          <w:bCs/>
          <w:color w:val="222222"/>
          <w:u w:val="single"/>
          <w:shd w:val="clear" w:color="auto" w:fill="FFFFFF"/>
        </w:rPr>
      </w:pPr>
      <w:proofErr w:type="spellStart"/>
      <w:r w:rsidRPr="00B51E8B">
        <w:rPr>
          <w:rFonts w:ascii="Arial" w:hAnsi="Arial" w:cs="Arial"/>
          <w:color w:val="222222"/>
          <w:shd w:val="clear" w:color="auto" w:fill="FFFFFF"/>
        </w:rPr>
        <w:t>Momeni</w:t>
      </w:r>
      <w:proofErr w:type="spellEnd"/>
      <w:r w:rsidRPr="00B51E8B">
        <w:rPr>
          <w:rFonts w:ascii="Arial" w:hAnsi="Arial" w:cs="Arial"/>
          <w:color w:val="222222"/>
          <w:shd w:val="clear" w:color="auto" w:fill="FFFFFF"/>
        </w:rPr>
        <w:t>, N., 2009. The relation between managers' emotional intelligence and the organizational climate they create. </w:t>
      </w:r>
      <w:r w:rsidRPr="00B51E8B">
        <w:rPr>
          <w:rFonts w:ascii="Arial" w:hAnsi="Arial" w:cs="Arial"/>
          <w:i/>
          <w:iCs/>
          <w:color w:val="222222"/>
          <w:shd w:val="clear" w:color="auto" w:fill="FFFFFF"/>
        </w:rPr>
        <w:t>Public personnel management</w:t>
      </w:r>
      <w:r w:rsidRPr="00B51E8B">
        <w:rPr>
          <w:rFonts w:ascii="Arial" w:hAnsi="Arial" w:cs="Arial"/>
          <w:color w:val="222222"/>
          <w:shd w:val="clear" w:color="auto" w:fill="FFFFFF"/>
        </w:rPr>
        <w:t>, </w:t>
      </w:r>
      <w:r w:rsidRPr="00B51E8B">
        <w:rPr>
          <w:rFonts w:ascii="Arial" w:hAnsi="Arial" w:cs="Arial"/>
          <w:i/>
          <w:iCs/>
          <w:color w:val="222222"/>
          <w:shd w:val="clear" w:color="auto" w:fill="FFFFFF"/>
        </w:rPr>
        <w:t>38</w:t>
      </w:r>
      <w:r w:rsidRPr="00B51E8B">
        <w:rPr>
          <w:rFonts w:ascii="Arial" w:hAnsi="Arial" w:cs="Arial"/>
          <w:color w:val="222222"/>
          <w:shd w:val="clear" w:color="auto" w:fill="FFFFFF"/>
        </w:rPr>
        <w:t>(2), pp.35-48.</w:t>
      </w:r>
    </w:p>
    <w:p w14:paraId="0F2E67A7" w14:textId="77777777" w:rsidR="00FD7A76" w:rsidRPr="00B51E8B" w:rsidRDefault="00FD7A76" w:rsidP="00577CCF">
      <w:pPr>
        <w:rPr>
          <w:rFonts w:ascii="Arial" w:hAnsi="Arial" w:cs="Arial"/>
          <w:color w:val="222222"/>
          <w:shd w:val="clear" w:color="auto" w:fill="FFFFFF"/>
        </w:rPr>
      </w:pPr>
      <w:r w:rsidRPr="00B51E8B">
        <w:rPr>
          <w:rFonts w:ascii="Arial" w:hAnsi="Arial" w:cs="Arial"/>
          <w:color w:val="222222"/>
          <w:shd w:val="clear" w:color="auto" w:fill="FFFFFF"/>
        </w:rPr>
        <w:t>Moran, J., 2008. Politics, Security, Intelligence and Liberty after 9/11. In </w:t>
      </w:r>
      <w:r w:rsidRPr="00B51E8B">
        <w:rPr>
          <w:rFonts w:ascii="Arial" w:hAnsi="Arial" w:cs="Arial"/>
          <w:i/>
          <w:iCs/>
          <w:color w:val="222222"/>
          <w:shd w:val="clear" w:color="auto" w:fill="FFFFFF"/>
        </w:rPr>
        <w:t>Intelligence, Security and Policing Post-9/11: The UK’s Response to the ‘War on Terror’</w:t>
      </w:r>
      <w:r w:rsidRPr="00B51E8B">
        <w:rPr>
          <w:rFonts w:ascii="Arial" w:hAnsi="Arial" w:cs="Arial"/>
          <w:color w:val="222222"/>
          <w:shd w:val="clear" w:color="auto" w:fill="FFFFFF"/>
        </w:rPr>
        <w:t> (pp. 11-31). London: Palgrave Macmillan UK.</w:t>
      </w:r>
    </w:p>
    <w:p w14:paraId="024B3A6D" w14:textId="77777777" w:rsidR="00FD7A76" w:rsidRPr="00B51E8B" w:rsidRDefault="00FD7A76" w:rsidP="00577CCF">
      <w:pPr>
        <w:rPr>
          <w:rFonts w:ascii="Arial" w:hAnsi="Arial" w:cs="Arial"/>
          <w:color w:val="222222"/>
          <w:shd w:val="clear" w:color="auto" w:fill="FFFFFF"/>
        </w:rPr>
      </w:pPr>
      <w:proofErr w:type="spellStart"/>
      <w:r w:rsidRPr="00B51E8B">
        <w:rPr>
          <w:rFonts w:ascii="Arial" w:hAnsi="Arial" w:cs="Arial"/>
          <w:color w:val="222222"/>
          <w:shd w:val="clear" w:color="auto" w:fill="FFFFFF"/>
        </w:rPr>
        <w:t>Napoleoni</w:t>
      </w:r>
      <w:proofErr w:type="spellEnd"/>
      <w:r w:rsidRPr="00B51E8B">
        <w:rPr>
          <w:rFonts w:ascii="Arial" w:hAnsi="Arial" w:cs="Arial"/>
          <w:color w:val="222222"/>
          <w:shd w:val="clear" w:color="auto" w:fill="FFFFFF"/>
        </w:rPr>
        <w:t>, L., 2014. </w:t>
      </w:r>
      <w:r w:rsidRPr="00B51E8B">
        <w:rPr>
          <w:rFonts w:ascii="Arial" w:hAnsi="Arial" w:cs="Arial"/>
          <w:i/>
          <w:iCs/>
          <w:color w:val="222222"/>
          <w:shd w:val="clear" w:color="auto" w:fill="FFFFFF"/>
        </w:rPr>
        <w:t>The Islamist Phoenix: The Islamic State (ISIS) and the Redrawing of the Middle East</w:t>
      </w:r>
      <w:r w:rsidRPr="00B51E8B">
        <w:rPr>
          <w:rFonts w:ascii="Arial" w:hAnsi="Arial" w:cs="Arial"/>
          <w:color w:val="222222"/>
          <w:shd w:val="clear" w:color="auto" w:fill="FFFFFF"/>
        </w:rPr>
        <w:t>. Seven Stories Press.</w:t>
      </w:r>
    </w:p>
    <w:p w14:paraId="1B0D2963" w14:textId="77777777" w:rsidR="00FD7A76" w:rsidRPr="00B51E8B" w:rsidRDefault="00FD7A76" w:rsidP="00577CCF">
      <w:pPr>
        <w:rPr>
          <w:rFonts w:ascii="Arial" w:hAnsi="Arial" w:cs="Arial"/>
          <w:color w:val="222222"/>
          <w:shd w:val="clear" w:color="auto" w:fill="FFFFFF"/>
        </w:rPr>
      </w:pPr>
      <w:r w:rsidRPr="00B51E8B">
        <w:rPr>
          <w:rFonts w:ascii="Arial" w:hAnsi="Arial" w:cs="Arial"/>
          <w:color w:val="222222"/>
          <w:shd w:val="clear" w:color="auto" w:fill="FFFFFF"/>
        </w:rPr>
        <w:t>Onuoha, F.C., 2013. Porous borders and Boko Haram’s arms smuggling operations in Nigeria. </w:t>
      </w:r>
      <w:r w:rsidRPr="00B51E8B">
        <w:rPr>
          <w:rFonts w:ascii="Arial" w:hAnsi="Arial" w:cs="Arial"/>
          <w:i/>
          <w:iCs/>
          <w:color w:val="222222"/>
          <w:shd w:val="clear" w:color="auto" w:fill="FFFFFF"/>
        </w:rPr>
        <w:t xml:space="preserve">Al Jazeera </w:t>
      </w:r>
      <w:proofErr w:type="spellStart"/>
      <w:r w:rsidRPr="00B51E8B">
        <w:rPr>
          <w:rFonts w:ascii="Arial" w:hAnsi="Arial" w:cs="Arial"/>
          <w:i/>
          <w:iCs/>
          <w:color w:val="222222"/>
          <w:shd w:val="clear" w:color="auto" w:fill="FFFFFF"/>
        </w:rPr>
        <w:t>Center</w:t>
      </w:r>
      <w:proofErr w:type="spellEnd"/>
      <w:r w:rsidRPr="00B51E8B">
        <w:rPr>
          <w:rFonts w:ascii="Arial" w:hAnsi="Arial" w:cs="Arial"/>
          <w:i/>
          <w:iCs/>
          <w:color w:val="222222"/>
          <w:shd w:val="clear" w:color="auto" w:fill="FFFFFF"/>
        </w:rPr>
        <w:t xml:space="preserve"> for Studies</w:t>
      </w:r>
      <w:r w:rsidRPr="00B51E8B">
        <w:rPr>
          <w:rFonts w:ascii="Arial" w:hAnsi="Arial" w:cs="Arial"/>
          <w:color w:val="222222"/>
          <w:shd w:val="clear" w:color="auto" w:fill="FFFFFF"/>
        </w:rPr>
        <w:t>, </w:t>
      </w:r>
      <w:r w:rsidRPr="00B51E8B">
        <w:rPr>
          <w:rFonts w:ascii="Arial" w:hAnsi="Arial" w:cs="Arial"/>
          <w:i/>
          <w:iCs/>
          <w:color w:val="222222"/>
          <w:shd w:val="clear" w:color="auto" w:fill="FFFFFF"/>
        </w:rPr>
        <w:t>8</w:t>
      </w:r>
      <w:r w:rsidRPr="00B51E8B">
        <w:rPr>
          <w:rFonts w:ascii="Arial" w:hAnsi="Arial" w:cs="Arial"/>
          <w:color w:val="222222"/>
          <w:shd w:val="clear" w:color="auto" w:fill="FFFFFF"/>
        </w:rPr>
        <w:t>.</w:t>
      </w:r>
    </w:p>
    <w:p w14:paraId="62F980E0" w14:textId="77777777" w:rsidR="00FD7A76" w:rsidRPr="00B51E8B" w:rsidRDefault="00FD7A76" w:rsidP="00577CCF">
      <w:pPr>
        <w:rPr>
          <w:rFonts w:ascii="Arial" w:hAnsi="Arial" w:cs="Arial"/>
          <w:color w:val="222222"/>
          <w:shd w:val="clear" w:color="auto" w:fill="FFFFFF"/>
        </w:rPr>
      </w:pPr>
      <w:r w:rsidRPr="00B51E8B">
        <w:rPr>
          <w:rFonts w:ascii="Arial" w:hAnsi="Arial" w:cs="Arial"/>
          <w:color w:val="222222"/>
          <w:shd w:val="clear" w:color="auto" w:fill="FFFFFF"/>
        </w:rPr>
        <w:t xml:space="preserve">Paoli, L., </w:t>
      </w:r>
      <w:proofErr w:type="spellStart"/>
      <w:r w:rsidRPr="00B51E8B">
        <w:rPr>
          <w:rFonts w:ascii="Arial" w:hAnsi="Arial" w:cs="Arial"/>
          <w:color w:val="222222"/>
          <w:shd w:val="clear" w:color="auto" w:fill="FFFFFF"/>
        </w:rPr>
        <w:t>Fijnaut</w:t>
      </w:r>
      <w:proofErr w:type="spellEnd"/>
      <w:r w:rsidRPr="00B51E8B">
        <w:rPr>
          <w:rFonts w:ascii="Arial" w:hAnsi="Arial" w:cs="Arial"/>
          <w:color w:val="222222"/>
          <w:shd w:val="clear" w:color="auto" w:fill="FFFFFF"/>
        </w:rPr>
        <w:t xml:space="preserve">, C. and </w:t>
      </w:r>
      <w:proofErr w:type="spellStart"/>
      <w:r w:rsidRPr="00B51E8B">
        <w:rPr>
          <w:rFonts w:ascii="Arial" w:hAnsi="Arial" w:cs="Arial"/>
          <w:color w:val="222222"/>
          <w:shd w:val="clear" w:color="auto" w:fill="FFFFFF"/>
        </w:rPr>
        <w:t>Wouters</w:t>
      </w:r>
      <w:proofErr w:type="spellEnd"/>
      <w:r w:rsidRPr="00B51E8B">
        <w:rPr>
          <w:rFonts w:ascii="Arial" w:hAnsi="Arial" w:cs="Arial"/>
          <w:color w:val="222222"/>
          <w:shd w:val="clear" w:color="auto" w:fill="FFFFFF"/>
        </w:rPr>
        <w:t>, J. eds., 2022. </w:t>
      </w:r>
      <w:r w:rsidRPr="00B51E8B">
        <w:rPr>
          <w:rFonts w:ascii="Arial" w:hAnsi="Arial" w:cs="Arial"/>
          <w:i/>
          <w:iCs/>
          <w:color w:val="222222"/>
          <w:shd w:val="clear" w:color="auto" w:fill="FFFFFF"/>
        </w:rPr>
        <w:t>The nexus between organized crime and terrorism: Types and responses</w:t>
      </w:r>
      <w:r w:rsidRPr="00B51E8B">
        <w:rPr>
          <w:rFonts w:ascii="Arial" w:hAnsi="Arial" w:cs="Arial"/>
          <w:color w:val="222222"/>
          <w:shd w:val="clear" w:color="auto" w:fill="FFFFFF"/>
        </w:rPr>
        <w:t>. Edward Elgar Publishing.</w:t>
      </w:r>
    </w:p>
    <w:p w14:paraId="18D1EDEA" w14:textId="77777777" w:rsidR="00FD7A76" w:rsidRPr="00B51E8B" w:rsidRDefault="00FD7A76" w:rsidP="00DE3B56">
      <w:pPr>
        <w:rPr>
          <w:rFonts w:ascii="Arial" w:hAnsi="Arial" w:cs="Arial"/>
          <w:color w:val="222222"/>
          <w:shd w:val="clear" w:color="auto" w:fill="FFFFFF"/>
        </w:rPr>
      </w:pPr>
      <w:proofErr w:type="spellStart"/>
      <w:r w:rsidRPr="00B51E8B">
        <w:rPr>
          <w:rFonts w:ascii="Arial" w:hAnsi="Arial" w:cs="Arial"/>
          <w:color w:val="222222"/>
          <w:shd w:val="clear" w:color="auto" w:fill="FFFFFF"/>
        </w:rPr>
        <w:t>Papazoglou</w:t>
      </w:r>
      <w:proofErr w:type="spellEnd"/>
      <w:r w:rsidRPr="00B51E8B">
        <w:rPr>
          <w:rFonts w:ascii="Arial" w:hAnsi="Arial" w:cs="Arial"/>
          <w:color w:val="222222"/>
          <w:shd w:val="clear" w:color="auto" w:fill="FFFFFF"/>
        </w:rPr>
        <w:t>, K. and Tuttle, B.M., 2018. Fighting police trauma: Practical approaches to addressing psychological needs of officers. </w:t>
      </w:r>
      <w:r w:rsidRPr="00B51E8B">
        <w:rPr>
          <w:rFonts w:ascii="Arial" w:hAnsi="Arial" w:cs="Arial"/>
          <w:i/>
          <w:iCs/>
          <w:color w:val="222222"/>
          <w:shd w:val="clear" w:color="auto" w:fill="FFFFFF"/>
        </w:rPr>
        <w:t>Sage open</w:t>
      </w:r>
      <w:r w:rsidRPr="00B51E8B">
        <w:rPr>
          <w:rFonts w:ascii="Arial" w:hAnsi="Arial" w:cs="Arial"/>
          <w:color w:val="222222"/>
          <w:shd w:val="clear" w:color="auto" w:fill="FFFFFF"/>
        </w:rPr>
        <w:t>, </w:t>
      </w:r>
      <w:r w:rsidRPr="00B51E8B">
        <w:rPr>
          <w:rFonts w:ascii="Arial" w:hAnsi="Arial" w:cs="Arial"/>
          <w:i/>
          <w:iCs/>
          <w:color w:val="222222"/>
          <w:shd w:val="clear" w:color="auto" w:fill="FFFFFF"/>
        </w:rPr>
        <w:t>8</w:t>
      </w:r>
      <w:r w:rsidRPr="00B51E8B">
        <w:rPr>
          <w:rFonts w:ascii="Arial" w:hAnsi="Arial" w:cs="Arial"/>
          <w:color w:val="222222"/>
          <w:shd w:val="clear" w:color="auto" w:fill="FFFFFF"/>
        </w:rPr>
        <w:t>(3)</w:t>
      </w:r>
    </w:p>
    <w:p w14:paraId="48A0E9FF" w14:textId="77777777" w:rsidR="00FD7A76" w:rsidRPr="00B51E8B" w:rsidRDefault="00FD7A76" w:rsidP="00577CCF">
      <w:pPr>
        <w:rPr>
          <w:rFonts w:ascii="Arial" w:hAnsi="Arial" w:cs="Arial"/>
          <w:color w:val="222222"/>
          <w:shd w:val="clear" w:color="auto" w:fill="FFFFFF"/>
        </w:rPr>
      </w:pPr>
      <w:r w:rsidRPr="00B51E8B">
        <w:rPr>
          <w:rFonts w:ascii="Arial" w:hAnsi="Arial" w:cs="Arial"/>
          <w:color w:val="222222"/>
          <w:shd w:val="clear" w:color="auto" w:fill="FFFFFF"/>
        </w:rPr>
        <w:t>Patterson, G.T., Chung, I.W. and Swan, P.W., 2014. Stress management interventions for police officers and recruits: a meta-analysis. </w:t>
      </w:r>
      <w:r w:rsidRPr="00B51E8B">
        <w:rPr>
          <w:rFonts w:ascii="Arial" w:hAnsi="Arial" w:cs="Arial"/>
          <w:i/>
          <w:iCs/>
          <w:color w:val="222222"/>
          <w:shd w:val="clear" w:color="auto" w:fill="FFFFFF"/>
        </w:rPr>
        <w:t>Journal of experimental criminology</w:t>
      </w:r>
      <w:r w:rsidRPr="00B51E8B">
        <w:rPr>
          <w:rFonts w:ascii="Arial" w:hAnsi="Arial" w:cs="Arial"/>
          <w:color w:val="222222"/>
          <w:shd w:val="clear" w:color="auto" w:fill="FFFFFF"/>
        </w:rPr>
        <w:t>, </w:t>
      </w:r>
      <w:r w:rsidRPr="00B51E8B">
        <w:rPr>
          <w:rFonts w:ascii="Arial" w:hAnsi="Arial" w:cs="Arial"/>
          <w:i/>
          <w:iCs/>
          <w:color w:val="222222"/>
          <w:shd w:val="clear" w:color="auto" w:fill="FFFFFF"/>
        </w:rPr>
        <w:t>10</w:t>
      </w:r>
      <w:r w:rsidRPr="00B51E8B">
        <w:rPr>
          <w:rFonts w:ascii="Arial" w:hAnsi="Arial" w:cs="Arial"/>
          <w:color w:val="222222"/>
          <w:shd w:val="clear" w:color="auto" w:fill="FFFFFF"/>
        </w:rPr>
        <w:t>, pp.487-513..</w:t>
      </w:r>
    </w:p>
    <w:p w14:paraId="603DBA1F" w14:textId="77777777" w:rsidR="00FD7A76" w:rsidRPr="00B51E8B" w:rsidRDefault="00FD7A76" w:rsidP="00DE3B56">
      <w:pPr>
        <w:rPr>
          <w:rFonts w:ascii="Arial" w:hAnsi="Arial" w:cs="Arial"/>
          <w:b/>
          <w:bCs/>
          <w:color w:val="222222"/>
          <w:u w:val="single"/>
          <w:shd w:val="clear" w:color="auto" w:fill="FFFFFF"/>
        </w:rPr>
      </w:pPr>
      <w:proofErr w:type="spellStart"/>
      <w:r w:rsidRPr="00B51E8B">
        <w:rPr>
          <w:rFonts w:ascii="Arial" w:hAnsi="Arial" w:cs="Arial"/>
          <w:color w:val="222222"/>
          <w:shd w:val="clear" w:color="auto" w:fill="FFFFFF"/>
        </w:rPr>
        <w:lastRenderedPageBreak/>
        <w:t>Pogrebin</w:t>
      </w:r>
      <w:proofErr w:type="spellEnd"/>
      <w:r w:rsidRPr="00B51E8B">
        <w:rPr>
          <w:rFonts w:ascii="Arial" w:hAnsi="Arial" w:cs="Arial"/>
          <w:color w:val="222222"/>
          <w:shd w:val="clear" w:color="auto" w:fill="FFFFFF"/>
        </w:rPr>
        <w:t>, M.R. and Poole, E.D., 1991. Police and tragic events: The management of emotions. </w:t>
      </w:r>
      <w:r w:rsidRPr="00B51E8B">
        <w:rPr>
          <w:rFonts w:ascii="Arial" w:hAnsi="Arial" w:cs="Arial"/>
          <w:i/>
          <w:iCs/>
          <w:color w:val="222222"/>
          <w:shd w:val="clear" w:color="auto" w:fill="FFFFFF"/>
        </w:rPr>
        <w:t>Journal of criminal justice</w:t>
      </w:r>
      <w:r w:rsidRPr="00B51E8B">
        <w:rPr>
          <w:rFonts w:ascii="Arial" w:hAnsi="Arial" w:cs="Arial"/>
          <w:color w:val="222222"/>
          <w:shd w:val="clear" w:color="auto" w:fill="FFFFFF"/>
        </w:rPr>
        <w:t>, </w:t>
      </w:r>
    </w:p>
    <w:p w14:paraId="3B1A12F9" w14:textId="77777777" w:rsidR="00FD7A76" w:rsidRPr="00B51E8B" w:rsidRDefault="00FD7A76" w:rsidP="00DE3B56">
      <w:pPr>
        <w:rPr>
          <w:rFonts w:ascii="Arial" w:hAnsi="Arial" w:cs="Arial"/>
          <w:b/>
          <w:bCs/>
          <w:color w:val="222222"/>
          <w:u w:val="single"/>
          <w:shd w:val="clear" w:color="auto" w:fill="FFFFFF"/>
        </w:rPr>
      </w:pPr>
      <w:r w:rsidRPr="00B51E8B">
        <w:rPr>
          <w:rFonts w:ascii="Arial" w:hAnsi="Arial" w:cs="Arial"/>
          <w:color w:val="222222"/>
          <w:shd w:val="clear" w:color="auto" w:fill="FFFFFF"/>
        </w:rPr>
        <w:t>Porges, S.W., 2011. </w:t>
      </w:r>
      <w:r w:rsidRPr="00B51E8B">
        <w:rPr>
          <w:rFonts w:ascii="Arial" w:hAnsi="Arial" w:cs="Arial"/>
          <w:i/>
          <w:iCs/>
          <w:color w:val="222222"/>
          <w:shd w:val="clear" w:color="auto" w:fill="FFFFFF"/>
        </w:rPr>
        <w:t>The polyvagal theory: Neurophysiological foundations of emotions, attachment, communication, and self-regulation (Norton series on interpersonal neurobiology)</w:t>
      </w:r>
      <w:r w:rsidRPr="00B51E8B">
        <w:rPr>
          <w:rFonts w:ascii="Arial" w:hAnsi="Arial" w:cs="Arial"/>
          <w:color w:val="222222"/>
          <w:shd w:val="clear" w:color="auto" w:fill="FFFFFF"/>
        </w:rPr>
        <w:t>. WW Norton &amp; Company.</w:t>
      </w:r>
    </w:p>
    <w:p w14:paraId="7256C0E2" w14:textId="77777777" w:rsidR="00FD7A76" w:rsidRPr="00B51E8B" w:rsidRDefault="00FD7A76" w:rsidP="00DE3B56">
      <w:pPr>
        <w:rPr>
          <w:rFonts w:ascii="Arial" w:hAnsi="Arial" w:cs="Arial"/>
          <w:b/>
          <w:bCs/>
          <w:color w:val="222222"/>
          <w:u w:val="single"/>
          <w:shd w:val="clear" w:color="auto" w:fill="FFFFFF"/>
        </w:rPr>
      </w:pPr>
      <w:proofErr w:type="spellStart"/>
      <w:r w:rsidRPr="00B51E8B">
        <w:rPr>
          <w:rFonts w:ascii="Arial" w:hAnsi="Arial" w:cs="Arial"/>
          <w:color w:val="222222"/>
          <w:shd w:val="clear" w:color="auto" w:fill="FFFFFF"/>
        </w:rPr>
        <w:t>Queirós</w:t>
      </w:r>
      <w:proofErr w:type="spellEnd"/>
      <w:r w:rsidRPr="00B51E8B">
        <w:rPr>
          <w:rFonts w:ascii="Arial" w:hAnsi="Arial" w:cs="Arial"/>
          <w:color w:val="222222"/>
          <w:shd w:val="clear" w:color="auto" w:fill="FFFFFF"/>
        </w:rPr>
        <w:t xml:space="preserve">, C., Passos, F., </w:t>
      </w:r>
      <w:proofErr w:type="spellStart"/>
      <w:r w:rsidRPr="00B51E8B">
        <w:rPr>
          <w:rFonts w:ascii="Arial" w:hAnsi="Arial" w:cs="Arial"/>
          <w:color w:val="222222"/>
          <w:shd w:val="clear" w:color="auto" w:fill="FFFFFF"/>
        </w:rPr>
        <w:t>Bártolo</w:t>
      </w:r>
      <w:proofErr w:type="spellEnd"/>
      <w:r w:rsidRPr="00B51E8B">
        <w:rPr>
          <w:rFonts w:ascii="Arial" w:hAnsi="Arial" w:cs="Arial"/>
          <w:color w:val="222222"/>
          <w:shd w:val="clear" w:color="auto" w:fill="FFFFFF"/>
        </w:rPr>
        <w:t>, A., Faria, S., Fonseca, S.M., Marques, A.J., Silva, C.F. and Pereira, A., 2020. Job stress, burnout and coping in police officers: relationships and psychometric properties of the organizational police stress questionnaire. </w:t>
      </w:r>
      <w:r w:rsidRPr="00B51E8B">
        <w:rPr>
          <w:rFonts w:ascii="Arial" w:hAnsi="Arial" w:cs="Arial"/>
          <w:i/>
          <w:iCs/>
          <w:color w:val="222222"/>
          <w:shd w:val="clear" w:color="auto" w:fill="FFFFFF"/>
        </w:rPr>
        <w:t>International journal of environmental research and public health</w:t>
      </w:r>
      <w:r w:rsidRPr="00B51E8B">
        <w:rPr>
          <w:rFonts w:ascii="Arial" w:hAnsi="Arial" w:cs="Arial"/>
          <w:color w:val="222222"/>
          <w:shd w:val="clear" w:color="auto" w:fill="FFFFFF"/>
        </w:rPr>
        <w:t>, </w:t>
      </w:r>
      <w:r w:rsidRPr="00B51E8B">
        <w:rPr>
          <w:rFonts w:ascii="Arial" w:hAnsi="Arial" w:cs="Arial"/>
          <w:i/>
          <w:iCs/>
          <w:color w:val="222222"/>
          <w:shd w:val="clear" w:color="auto" w:fill="FFFFFF"/>
        </w:rPr>
        <w:t>17</w:t>
      </w:r>
      <w:r w:rsidRPr="00B51E8B">
        <w:rPr>
          <w:rFonts w:ascii="Arial" w:hAnsi="Arial" w:cs="Arial"/>
          <w:color w:val="222222"/>
          <w:shd w:val="clear" w:color="auto" w:fill="FFFFFF"/>
        </w:rPr>
        <w:t>(18), p.6718.</w:t>
      </w:r>
    </w:p>
    <w:p w14:paraId="0532838F" w14:textId="77777777" w:rsidR="00FD7A76" w:rsidRPr="00624A79" w:rsidRDefault="00FD7A76" w:rsidP="00DE3B56">
      <w:pPr>
        <w:rPr>
          <w:rFonts w:ascii="Arial" w:hAnsi="Arial" w:cs="Arial"/>
          <w:b/>
          <w:bCs/>
          <w:color w:val="222222"/>
          <w:sz w:val="24"/>
          <w:szCs w:val="24"/>
          <w:u w:val="single"/>
          <w:shd w:val="clear" w:color="auto" w:fill="FFFFFF"/>
        </w:rPr>
      </w:pPr>
      <w:r w:rsidRPr="00624A79">
        <w:rPr>
          <w:rFonts w:ascii="Arial" w:hAnsi="Arial" w:cs="Arial"/>
          <w:color w:val="222222"/>
          <w:shd w:val="clear" w:color="auto" w:fill="FFFFFF"/>
        </w:rPr>
        <w:t>Ratcliffe, J.H., 2016. </w:t>
      </w:r>
      <w:r w:rsidRPr="00624A79">
        <w:rPr>
          <w:rFonts w:ascii="Arial" w:hAnsi="Arial" w:cs="Arial"/>
          <w:i/>
          <w:iCs/>
          <w:color w:val="222222"/>
          <w:shd w:val="clear" w:color="auto" w:fill="FFFFFF"/>
        </w:rPr>
        <w:t>Intelligence-led policing</w:t>
      </w:r>
      <w:r w:rsidRPr="00624A79">
        <w:rPr>
          <w:rFonts w:ascii="Arial" w:hAnsi="Arial" w:cs="Arial"/>
          <w:color w:val="222222"/>
          <w:shd w:val="clear" w:color="auto" w:fill="FFFFFF"/>
        </w:rPr>
        <w:t>. Routledge.</w:t>
      </w:r>
    </w:p>
    <w:p w14:paraId="7DEDB653" w14:textId="77777777" w:rsidR="00FD7A76" w:rsidRPr="00B51E8B" w:rsidRDefault="00FD7A76" w:rsidP="00577CCF">
      <w:pPr>
        <w:rPr>
          <w:rFonts w:ascii="Arial" w:hAnsi="Arial" w:cs="Arial"/>
          <w:b/>
          <w:bCs/>
          <w:color w:val="222222"/>
          <w:u w:val="single"/>
          <w:shd w:val="clear" w:color="auto" w:fill="FFFFFF"/>
        </w:rPr>
      </w:pPr>
      <w:proofErr w:type="spellStart"/>
      <w:r w:rsidRPr="00B51E8B">
        <w:rPr>
          <w:rFonts w:ascii="Arial" w:hAnsi="Arial" w:cs="Arial"/>
          <w:color w:val="222222"/>
          <w:shd w:val="clear" w:color="auto" w:fill="FFFFFF"/>
        </w:rPr>
        <w:t>Regehr</w:t>
      </w:r>
      <w:proofErr w:type="spellEnd"/>
      <w:r w:rsidRPr="00B51E8B">
        <w:rPr>
          <w:rFonts w:ascii="Arial" w:hAnsi="Arial" w:cs="Arial"/>
          <w:color w:val="222222"/>
          <w:shd w:val="clear" w:color="auto" w:fill="FFFFFF"/>
        </w:rPr>
        <w:t xml:space="preserve">, C., LeBlanc, V., </w:t>
      </w:r>
      <w:proofErr w:type="spellStart"/>
      <w:r w:rsidRPr="00B51E8B">
        <w:rPr>
          <w:rFonts w:ascii="Arial" w:hAnsi="Arial" w:cs="Arial"/>
          <w:color w:val="222222"/>
          <w:shd w:val="clear" w:color="auto" w:fill="FFFFFF"/>
        </w:rPr>
        <w:t>Jelley</w:t>
      </w:r>
      <w:proofErr w:type="spellEnd"/>
      <w:r w:rsidRPr="00B51E8B">
        <w:rPr>
          <w:rFonts w:ascii="Arial" w:hAnsi="Arial" w:cs="Arial"/>
          <w:color w:val="222222"/>
          <w:shd w:val="clear" w:color="auto" w:fill="FFFFFF"/>
        </w:rPr>
        <w:t xml:space="preserve">, R.B., </w:t>
      </w:r>
      <w:proofErr w:type="spellStart"/>
      <w:r w:rsidRPr="00B51E8B">
        <w:rPr>
          <w:rFonts w:ascii="Arial" w:hAnsi="Arial" w:cs="Arial"/>
          <w:color w:val="222222"/>
          <w:shd w:val="clear" w:color="auto" w:fill="FFFFFF"/>
        </w:rPr>
        <w:t>Barath</w:t>
      </w:r>
      <w:proofErr w:type="spellEnd"/>
      <w:r w:rsidRPr="00B51E8B">
        <w:rPr>
          <w:rFonts w:ascii="Arial" w:hAnsi="Arial" w:cs="Arial"/>
          <w:color w:val="222222"/>
          <w:shd w:val="clear" w:color="auto" w:fill="FFFFFF"/>
        </w:rPr>
        <w:t xml:space="preserve">, I. and </w:t>
      </w:r>
      <w:proofErr w:type="spellStart"/>
      <w:r w:rsidRPr="00B51E8B">
        <w:rPr>
          <w:rFonts w:ascii="Arial" w:hAnsi="Arial" w:cs="Arial"/>
          <w:color w:val="222222"/>
          <w:shd w:val="clear" w:color="auto" w:fill="FFFFFF"/>
        </w:rPr>
        <w:t>Daciuk</w:t>
      </w:r>
      <w:proofErr w:type="spellEnd"/>
      <w:r w:rsidRPr="00B51E8B">
        <w:rPr>
          <w:rFonts w:ascii="Arial" w:hAnsi="Arial" w:cs="Arial"/>
          <w:color w:val="222222"/>
          <w:shd w:val="clear" w:color="auto" w:fill="FFFFFF"/>
        </w:rPr>
        <w:t>, J., 2007. Previous trauma exposure and PTSD symptoms as predictors of subjective and biological response to stress. </w:t>
      </w:r>
      <w:r w:rsidRPr="00B51E8B">
        <w:rPr>
          <w:rFonts w:ascii="Arial" w:hAnsi="Arial" w:cs="Arial"/>
          <w:i/>
          <w:iCs/>
          <w:color w:val="222222"/>
          <w:shd w:val="clear" w:color="auto" w:fill="FFFFFF"/>
        </w:rPr>
        <w:t>The Canadian Journal of Psychiatry</w:t>
      </w:r>
      <w:r w:rsidRPr="00B51E8B">
        <w:rPr>
          <w:rFonts w:ascii="Arial" w:hAnsi="Arial" w:cs="Arial"/>
          <w:color w:val="222222"/>
          <w:shd w:val="clear" w:color="auto" w:fill="FFFFFF"/>
        </w:rPr>
        <w:t>, </w:t>
      </w:r>
      <w:r w:rsidRPr="00B51E8B">
        <w:rPr>
          <w:rFonts w:ascii="Arial" w:hAnsi="Arial" w:cs="Arial"/>
          <w:i/>
          <w:iCs/>
          <w:color w:val="222222"/>
          <w:shd w:val="clear" w:color="auto" w:fill="FFFFFF"/>
        </w:rPr>
        <w:t>52</w:t>
      </w:r>
      <w:r w:rsidRPr="00B51E8B">
        <w:rPr>
          <w:rFonts w:ascii="Arial" w:hAnsi="Arial" w:cs="Arial"/>
          <w:color w:val="222222"/>
          <w:shd w:val="clear" w:color="auto" w:fill="FFFFFF"/>
        </w:rPr>
        <w:t>(10), pp.675-683.</w:t>
      </w:r>
    </w:p>
    <w:p w14:paraId="237882E5" w14:textId="77777777" w:rsidR="00FD7A76" w:rsidRPr="00B51E8B" w:rsidRDefault="00FD7A76" w:rsidP="00577CCF">
      <w:pPr>
        <w:rPr>
          <w:rFonts w:ascii="Arial" w:hAnsi="Arial" w:cs="Arial"/>
          <w:color w:val="222222"/>
          <w:shd w:val="clear" w:color="auto" w:fill="FFFFFF"/>
        </w:rPr>
      </w:pPr>
      <w:r w:rsidRPr="00B51E8B">
        <w:rPr>
          <w:rFonts w:ascii="Arial" w:hAnsi="Arial" w:cs="Arial"/>
          <w:color w:val="222222"/>
          <w:shd w:val="clear" w:color="auto" w:fill="FFFFFF"/>
        </w:rPr>
        <w:t>Schmid, A. ed., 2011. </w:t>
      </w:r>
      <w:r w:rsidRPr="00B51E8B">
        <w:rPr>
          <w:rFonts w:ascii="Arial" w:hAnsi="Arial" w:cs="Arial"/>
          <w:i/>
          <w:iCs/>
          <w:color w:val="222222"/>
          <w:shd w:val="clear" w:color="auto" w:fill="FFFFFF"/>
        </w:rPr>
        <w:t>The Routledge handbook of terrorism research</w:t>
      </w:r>
      <w:r w:rsidRPr="00B51E8B">
        <w:rPr>
          <w:rFonts w:ascii="Arial" w:hAnsi="Arial" w:cs="Arial"/>
          <w:color w:val="222222"/>
          <w:shd w:val="clear" w:color="auto" w:fill="FFFFFF"/>
        </w:rPr>
        <w:t>. Taylor &amp; Francis.</w:t>
      </w:r>
    </w:p>
    <w:p w14:paraId="61423EAA" w14:textId="77777777" w:rsidR="00FD7A76" w:rsidRPr="00B51E8B" w:rsidRDefault="00FD7A76" w:rsidP="00577CCF">
      <w:pPr>
        <w:rPr>
          <w:rFonts w:ascii="Arial" w:hAnsi="Arial" w:cs="Arial"/>
          <w:b/>
          <w:bCs/>
          <w:color w:val="222222"/>
          <w:u w:val="single"/>
          <w:shd w:val="clear" w:color="auto" w:fill="FFFFFF"/>
        </w:rPr>
      </w:pPr>
      <w:r w:rsidRPr="00B51E8B">
        <w:rPr>
          <w:rFonts w:ascii="Arial" w:hAnsi="Arial" w:cs="Arial"/>
          <w:color w:val="222222"/>
          <w:shd w:val="clear" w:color="auto" w:fill="FFFFFF"/>
        </w:rPr>
        <w:t>Shane, J.M., 2010. Organizational stressors and police performance. </w:t>
      </w:r>
      <w:r w:rsidRPr="00B51E8B">
        <w:rPr>
          <w:rFonts w:ascii="Arial" w:hAnsi="Arial" w:cs="Arial"/>
          <w:i/>
          <w:iCs/>
          <w:color w:val="222222"/>
          <w:shd w:val="clear" w:color="auto" w:fill="FFFFFF"/>
        </w:rPr>
        <w:t>Journal of criminal justice</w:t>
      </w:r>
      <w:r w:rsidRPr="00B51E8B">
        <w:rPr>
          <w:rFonts w:ascii="Arial" w:hAnsi="Arial" w:cs="Arial"/>
          <w:color w:val="222222"/>
          <w:shd w:val="clear" w:color="auto" w:fill="FFFFFF"/>
        </w:rPr>
        <w:t>, </w:t>
      </w:r>
      <w:r w:rsidRPr="00B51E8B">
        <w:rPr>
          <w:rFonts w:ascii="Arial" w:hAnsi="Arial" w:cs="Arial"/>
          <w:i/>
          <w:iCs/>
          <w:color w:val="222222"/>
          <w:shd w:val="clear" w:color="auto" w:fill="FFFFFF"/>
        </w:rPr>
        <w:t>38</w:t>
      </w:r>
      <w:r w:rsidRPr="00B51E8B">
        <w:rPr>
          <w:rFonts w:ascii="Arial" w:hAnsi="Arial" w:cs="Arial"/>
          <w:color w:val="222222"/>
          <w:shd w:val="clear" w:color="auto" w:fill="FFFFFF"/>
        </w:rPr>
        <w:t>(4), pp.807-818.</w:t>
      </w:r>
    </w:p>
    <w:p w14:paraId="456AF7CB" w14:textId="77777777" w:rsidR="00FD7A76" w:rsidRPr="00B51E8B" w:rsidRDefault="00FD7A76" w:rsidP="00577CCF">
      <w:pPr>
        <w:rPr>
          <w:rFonts w:ascii="Arial" w:hAnsi="Arial" w:cs="Arial"/>
          <w:color w:val="222222"/>
          <w:shd w:val="clear" w:color="auto" w:fill="FFFFFF"/>
        </w:rPr>
      </w:pPr>
      <w:r w:rsidRPr="00B51E8B">
        <w:rPr>
          <w:rFonts w:ascii="Arial" w:hAnsi="Arial" w:cs="Arial"/>
          <w:color w:val="222222"/>
          <w:shd w:val="clear" w:color="auto" w:fill="FFFFFF"/>
        </w:rPr>
        <w:t>Shelley, L.I., 2014. </w:t>
      </w:r>
      <w:r w:rsidRPr="00B51E8B">
        <w:rPr>
          <w:rFonts w:ascii="Arial" w:hAnsi="Arial" w:cs="Arial"/>
          <w:i/>
          <w:iCs/>
          <w:color w:val="222222"/>
          <w:shd w:val="clear" w:color="auto" w:fill="FFFFFF"/>
        </w:rPr>
        <w:t>Dirty entanglements: Corruption, crime, and terrorism</w:t>
      </w:r>
      <w:r w:rsidRPr="00B51E8B">
        <w:rPr>
          <w:rFonts w:ascii="Arial" w:hAnsi="Arial" w:cs="Arial"/>
          <w:color w:val="222222"/>
          <w:shd w:val="clear" w:color="auto" w:fill="FFFFFF"/>
        </w:rPr>
        <w:t>. Cambridge University Press.</w:t>
      </w:r>
    </w:p>
    <w:p w14:paraId="33B10023" w14:textId="77777777" w:rsidR="00FD7A76" w:rsidRPr="00B51E8B" w:rsidRDefault="00FD7A76" w:rsidP="00577CCF">
      <w:pPr>
        <w:rPr>
          <w:rFonts w:ascii="Arial" w:hAnsi="Arial" w:cs="Arial"/>
          <w:color w:val="222222"/>
          <w:shd w:val="clear" w:color="auto" w:fill="FFFFFF"/>
        </w:rPr>
      </w:pPr>
      <w:r w:rsidRPr="00B51E8B">
        <w:rPr>
          <w:rFonts w:ascii="Arial" w:hAnsi="Arial" w:cs="Arial"/>
          <w:color w:val="222222"/>
          <w:shd w:val="clear" w:color="auto" w:fill="FFFFFF"/>
        </w:rPr>
        <w:t xml:space="preserve">Thomas, P., 2010. Failed and friendless: the UK's ‘Preventing Violent </w:t>
      </w:r>
      <w:proofErr w:type="spellStart"/>
      <w:r w:rsidRPr="00B51E8B">
        <w:rPr>
          <w:rFonts w:ascii="Arial" w:hAnsi="Arial" w:cs="Arial"/>
          <w:color w:val="222222"/>
          <w:shd w:val="clear" w:color="auto" w:fill="FFFFFF"/>
        </w:rPr>
        <w:t>Extremism’programme</w:t>
      </w:r>
      <w:proofErr w:type="spellEnd"/>
      <w:r w:rsidRPr="00B51E8B">
        <w:rPr>
          <w:rFonts w:ascii="Arial" w:hAnsi="Arial" w:cs="Arial"/>
          <w:color w:val="222222"/>
          <w:shd w:val="clear" w:color="auto" w:fill="FFFFFF"/>
        </w:rPr>
        <w:t>. </w:t>
      </w:r>
      <w:r w:rsidRPr="00B51E8B">
        <w:rPr>
          <w:rFonts w:ascii="Arial" w:hAnsi="Arial" w:cs="Arial"/>
          <w:i/>
          <w:iCs/>
          <w:color w:val="222222"/>
          <w:shd w:val="clear" w:color="auto" w:fill="FFFFFF"/>
        </w:rPr>
        <w:t>The British Journal of Politics and International Relations</w:t>
      </w:r>
      <w:r w:rsidRPr="00B51E8B">
        <w:rPr>
          <w:rFonts w:ascii="Arial" w:hAnsi="Arial" w:cs="Arial"/>
          <w:color w:val="222222"/>
          <w:shd w:val="clear" w:color="auto" w:fill="FFFFFF"/>
        </w:rPr>
        <w:t>, </w:t>
      </w:r>
      <w:r w:rsidRPr="00B51E8B">
        <w:rPr>
          <w:rFonts w:ascii="Arial" w:hAnsi="Arial" w:cs="Arial"/>
          <w:i/>
          <w:iCs/>
          <w:color w:val="222222"/>
          <w:shd w:val="clear" w:color="auto" w:fill="FFFFFF"/>
        </w:rPr>
        <w:t>12</w:t>
      </w:r>
      <w:r w:rsidRPr="00B51E8B">
        <w:rPr>
          <w:rFonts w:ascii="Arial" w:hAnsi="Arial" w:cs="Arial"/>
          <w:color w:val="222222"/>
          <w:shd w:val="clear" w:color="auto" w:fill="FFFFFF"/>
        </w:rPr>
        <w:t>(3), pp.442-458.</w:t>
      </w:r>
    </w:p>
    <w:p w14:paraId="285F0CF1" w14:textId="77777777" w:rsidR="00FD7A76" w:rsidRPr="00B51E8B" w:rsidRDefault="00FD7A76" w:rsidP="00577CCF">
      <w:pPr>
        <w:rPr>
          <w:rFonts w:ascii="Arial" w:hAnsi="Arial" w:cs="Arial"/>
          <w:color w:val="222222"/>
          <w:shd w:val="clear" w:color="auto" w:fill="FFFFFF"/>
        </w:rPr>
      </w:pPr>
      <w:r w:rsidRPr="00B51E8B">
        <w:rPr>
          <w:rFonts w:ascii="Arial" w:hAnsi="Arial" w:cs="Arial"/>
          <w:color w:val="222222"/>
          <w:shd w:val="clear" w:color="auto" w:fill="FFFFFF"/>
        </w:rPr>
        <w:t>Tyler, T.R., 2006. Restorative justice and procedural justice: Dealing with rule breaking. </w:t>
      </w:r>
      <w:r w:rsidRPr="00B51E8B">
        <w:rPr>
          <w:rFonts w:ascii="Arial" w:hAnsi="Arial" w:cs="Arial"/>
          <w:i/>
          <w:iCs/>
          <w:color w:val="222222"/>
          <w:shd w:val="clear" w:color="auto" w:fill="FFFFFF"/>
        </w:rPr>
        <w:t>Journal of social issues</w:t>
      </w:r>
      <w:r w:rsidRPr="00B51E8B">
        <w:rPr>
          <w:rFonts w:ascii="Arial" w:hAnsi="Arial" w:cs="Arial"/>
          <w:color w:val="222222"/>
          <w:shd w:val="clear" w:color="auto" w:fill="FFFFFF"/>
        </w:rPr>
        <w:t>, </w:t>
      </w:r>
      <w:r w:rsidRPr="00B51E8B">
        <w:rPr>
          <w:rFonts w:ascii="Arial" w:hAnsi="Arial" w:cs="Arial"/>
          <w:i/>
          <w:iCs/>
          <w:color w:val="222222"/>
          <w:shd w:val="clear" w:color="auto" w:fill="FFFFFF"/>
        </w:rPr>
        <w:t>62</w:t>
      </w:r>
      <w:r w:rsidRPr="00B51E8B">
        <w:rPr>
          <w:rFonts w:ascii="Arial" w:hAnsi="Arial" w:cs="Arial"/>
          <w:color w:val="222222"/>
          <w:shd w:val="clear" w:color="auto" w:fill="FFFFFF"/>
        </w:rPr>
        <w:t>(2), pp.307-326.</w:t>
      </w:r>
    </w:p>
    <w:p w14:paraId="6180454D" w14:textId="77777777" w:rsidR="00FD7A76" w:rsidRPr="00B51E8B" w:rsidRDefault="00FD7A76" w:rsidP="00577CCF">
      <w:pPr>
        <w:rPr>
          <w:rFonts w:ascii="Arial" w:hAnsi="Arial" w:cs="Arial"/>
          <w:color w:val="222222"/>
          <w:shd w:val="clear" w:color="auto" w:fill="FFFFFF"/>
        </w:rPr>
      </w:pPr>
      <w:proofErr w:type="spellStart"/>
      <w:r w:rsidRPr="00B51E8B">
        <w:rPr>
          <w:rFonts w:ascii="Arial" w:hAnsi="Arial" w:cs="Arial"/>
          <w:color w:val="222222"/>
          <w:shd w:val="clear" w:color="auto" w:fill="FFFFFF"/>
        </w:rPr>
        <w:t>Violanti</w:t>
      </w:r>
      <w:proofErr w:type="spellEnd"/>
      <w:r w:rsidRPr="00B51E8B">
        <w:rPr>
          <w:rFonts w:ascii="Arial" w:hAnsi="Arial" w:cs="Arial"/>
          <w:color w:val="222222"/>
          <w:shd w:val="clear" w:color="auto" w:fill="FFFFFF"/>
        </w:rPr>
        <w:t xml:space="preserve">, J.M., </w:t>
      </w:r>
      <w:proofErr w:type="spellStart"/>
      <w:r w:rsidRPr="00B51E8B">
        <w:rPr>
          <w:rFonts w:ascii="Arial" w:hAnsi="Arial" w:cs="Arial"/>
          <w:color w:val="222222"/>
          <w:shd w:val="clear" w:color="auto" w:fill="FFFFFF"/>
        </w:rPr>
        <w:t>Fekedulegn</w:t>
      </w:r>
      <w:proofErr w:type="spellEnd"/>
      <w:r w:rsidRPr="00B51E8B">
        <w:rPr>
          <w:rFonts w:ascii="Arial" w:hAnsi="Arial" w:cs="Arial"/>
          <w:color w:val="222222"/>
          <w:shd w:val="clear" w:color="auto" w:fill="FFFFFF"/>
        </w:rPr>
        <w:t xml:space="preserve">, D., Andrew, M.E., Charles, L.E., Hartley, T.A., Vila, B. and </w:t>
      </w:r>
      <w:proofErr w:type="spellStart"/>
      <w:r w:rsidRPr="00B51E8B">
        <w:rPr>
          <w:rFonts w:ascii="Arial" w:hAnsi="Arial" w:cs="Arial"/>
          <w:color w:val="222222"/>
          <w:shd w:val="clear" w:color="auto" w:fill="FFFFFF"/>
        </w:rPr>
        <w:t>Burchfiel</w:t>
      </w:r>
      <w:proofErr w:type="spellEnd"/>
      <w:r w:rsidRPr="00B51E8B">
        <w:rPr>
          <w:rFonts w:ascii="Arial" w:hAnsi="Arial" w:cs="Arial"/>
          <w:color w:val="222222"/>
          <w:shd w:val="clear" w:color="auto" w:fill="FFFFFF"/>
        </w:rPr>
        <w:t>, C.M., 2013. Shift work and long-term injury among police officers. </w:t>
      </w:r>
      <w:r w:rsidRPr="00B51E8B">
        <w:rPr>
          <w:rFonts w:ascii="Arial" w:hAnsi="Arial" w:cs="Arial"/>
          <w:i/>
          <w:iCs/>
          <w:color w:val="222222"/>
          <w:shd w:val="clear" w:color="auto" w:fill="FFFFFF"/>
        </w:rPr>
        <w:t>Scandinavian journal of work, environment &amp; health</w:t>
      </w:r>
      <w:r w:rsidRPr="00B51E8B">
        <w:rPr>
          <w:rFonts w:ascii="Arial" w:hAnsi="Arial" w:cs="Arial"/>
          <w:color w:val="222222"/>
          <w:shd w:val="clear" w:color="auto" w:fill="FFFFFF"/>
        </w:rPr>
        <w:t>, </w:t>
      </w:r>
      <w:r w:rsidRPr="00B51E8B">
        <w:rPr>
          <w:rFonts w:ascii="Arial" w:hAnsi="Arial" w:cs="Arial"/>
          <w:i/>
          <w:iCs/>
          <w:color w:val="222222"/>
          <w:shd w:val="clear" w:color="auto" w:fill="FFFFFF"/>
        </w:rPr>
        <w:t>39</w:t>
      </w:r>
      <w:r w:rsidRPr="00B51E8B">
        <w:rPr>
          <w:rFonts w:ascii="Arial" w:hAnsi="Arial" w:cs="Arial"/>
          <w:color w:val="222222"/>
          <w:shd w:val="clear" w:color="auto" w:fill="FFFFFF"/>
        </w:rPr>
        <w:t>(4), p.361.</w:t>
      </w:r>
    </w:p>
    <w:p w14:paraId="10EF8D51" w14:textId="77777777" w:rsidR="00FD7A76" w:rsidRPr="00B51E8B" w:rsidRDefault="00FD7A76" w:rsidP="00DE3B56">
      <w:pPr>
        <w:rPr>
          <w:rFonts w:ascii="Arial" w:hAnsi="Arial" w:cs="Arial"/>
          <w:b/>
          <w:bCs/>
          <w:color w:val="222222"/>
          <w:u w:val="single"/>
          <w:shd w:val="clear" w:color="auto" w:fill="FFFFFF"/>
        </w:rPr>
      </w:pPr>
      <w:r w:rsidRPr="00B51E8B">
        <w:rPr>
          <w:rFonts w:ascii="Arial" w:hAnsi="Arial" w:cs="Arial"/>
          <w:color w:val="222222"/>
          <w:shd w:val="clear" w:color="auto" w:fill="FFFFFF"/>
        </w:rPr>
        <w:lastRenderedPageBreak/>
        <w:t>Waters, J.A. and Ussery, W., 2007. Police stress: History, contributing factors, symptoms, and interventions. </w:t>
      </w:r>
      <w:r w:rsidRPr="00B51E8B">
        <w:rPr>
          <w:rFonts w:ascii="Arial" w:hAnsi="Arial" w:cs="Arial"/>
          <w:i/>
          <w:iCs/>
          <w:color w:val="222222"/>
          <w:shd w:val="clear" w:color="auto" w:fill="FFFFFF"/>
        </w:rPr>
        <w:t>Policing: an international journal of police strategies &amp; management</w:t>
      </w:r>
      <w:r w:rsidRPr="00B51E8B">
        <w:rPr>
          <w:rFonts w:ascii="Arial" w:hAnsi="Arial" w:cs="Arial"/>
          <w:color w:val="222222"/>
          <w:shd w:val="clear" w:color="auto" w:fill="FFFFFF"/>
        </w:rPr>
        <w:t xml:space="preserve">. </w:t>
      </w:r>
    </w:p>
    <w:p w14:paraId="53235093" w14:textId="77777777" w:rsidR="00A6011A" w:rsidRPr="00E51F76" w:rsidRDefault="00A6011A" w:rsidP="00577CCF">
      <w:pPr>
        <w:rPr>
          <w:rFonts w:ascii="Arial" w:hAnsi="Arial" w:cs="Arial"/>
          <w:color w:val="222222"/>
          <w:shd w:val="clear" w:color="auto" w:fill="FFFFFF"/>
        </w:rPr>
      </w:pPr>
    </w:p>
    <w:p w14:paraId="36998D9A" w14:textId="77777777" w:rsidR="00E223C7" w:rsidRPr="00E223C7" w:rsidRDefault="00E223C7" w:rsidP="00577CCF">
      <w:pPr>
        <w:rPr>
          <w:rFonts w:ascii="Arial" w:hAnsi="Arial" w:cs="Arial"/>
        </w:rPr>
      </w:pPr>
    </w:p>
    <w:sectPr w:rsidR="00E223C7" w:rsidRPr="00E223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45B93B" w14:textId="77777777" w:rsidR="001311C9" w:rsidRDefault="001311C9" w:rsidP="00731B3C">
      <w:pPr>
        <w:spacing w:after="0" w:line="240" w:lineRule="auto"/>
      </w:pPr>
      <w:r>
        <w:separator/>
      </w:r>
    </w:p>
  </w:endnote>
  <w:endnote w:type="continuationSeparator" w:id="0">
    <w:p w14:paraId="5394BCF9" w14:textId="77777777" w:rsidR="001311C9" w:rsidRDefault="001311C9" w:rsidP="00731B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B6AF97" w14:textId="77777777" w:rsidR="001311C9" w:rsidRDefault="001311C9" w:rsidP="00731B3C">
      <w:pPr>
        <w:spacing w:after="0" w:line="240" w:lineRule="auto"/>
      </w:pPr>
      <w:r>
        <w:separator/>
      </w:r>
    </w:p>
  </w:footnote>
  <w:footnote w:type="continuationSeparator" w:id="0">
    <w:p w14:paraId="514A0F0F" w14:textId="77777777" w:rsidR="001311C9" w:rsidRDefault="001311C9" w:rsidP="00731B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10799103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CCF"/>
    <w:rsid w:val="00000384"/>
    <w:rsid w:val="00001656"/>
    <w:rsid w:val="000023BB"/>
    <w:rsid w:val="00005570"/>
    <w:rsid w:val="000059D5"/>
    <w:rsid w:val="00007D17"/>
    <w:rsid w:val="00013364"/>
    <w:rsid w:val="00013FB1"/>
    <w:rsid w:val="000215F3"/>
    <w:rsid w:val="000249FC"/>
    <w:rsid w:val="00025436"/>
    <w:rsid w:val="00030FE3"/>
    <w:rsid w:val="00032826"/>
    <w:rsid w:val="000328B5"/>
    <w:rsid w:val="000357A0"/>
    <w:rsid w:val="00037CA5"/>
    <w:rsid w:val="00040094"/>
    <w:rsid w:val="000408DA"/>
    <w:rsid w:val="00043202"/>
    <w:rsid w:val="0004407F"/>
    <w:rsid w:val="000466EB"/>
    <w:rsid w:val="000470CE"/>
    <w:rsid w:val="00047CFB"/>
    <w:rsid w:val="00050623"/>
    <w:rsid w:val="000506ED"/>
    <w:rsid w:val="00054876"/>
    <w:rsid w:val="000644D6"/>
    <w:rsid w:val="000654EF"/>
    <w:rsid w:val="00070DF7"/>
    <w:rsid w:val="0007478D"/>
    <w:rsid w:val="0007759B"/>
    <w:rsid w:val="00081A8C"/>
    <w:rsid w:val="00086C6D"/>
    <w:rsid w:val="00090C38"/>
    <w:rsid w:val="000912F3"/>
    <w:rsid w:val="0009641B"/>
    <w:rsid w:val="000A0066"/>
    <w:rsid w:val="000A1226"/>
    <w:rsid w:val="000A1E5F"/>
    <w:rsid w:val="000A3BC6"/>
    <w:rsid w:val="000A7B67"/>
    <w:rsid w:val="000B1D84"/>
    <w:rsid w:val="000B3F7C"/>
    <w:rsid w:val="000B57AF"/>
    <w:rsid w:val="000B6B4B"/>
    <w:rsid w:val="000C1087"/>
    <w:rsid w:val="000C1E4C"/>
    <w:rsid w:val="000C213A"/>
    <w:rsid w:val="000C4CE5"/>
    <w:rsid w:val="000C6188"/>
    <w:rsid w:val="000D0948"/>
    <w:rsid w:val="000D0C5F"/>
    <w:rsid w:val="000D143E"/>
    <w:rsid w:val="000D2F8B"/>
    <w:rsid w:val="000D3FDD"/>
    <w:rsid w:val="000D5C20"/>
    <w:rsid w:val="000E2A90"/>
    <w:rsid w:val="000E2D6A"/>
    <w:rsid w:val="000E39B7"/>
    <w:rsid w:val="000E3DB2"/>
    <w:rsid w:val="000E4B2B"/>
    <w:rsid w:val="000E7EC8"/>
    <w:rsid w:val="000F1C50"/>
    <w:rsid w:val="000F4068"/>
    <w:rsid w:val="000F46B3"/>
    <w:rsid w:val="000F51AD"/>
    <w:rsid w:val="000F5835"/>
    <w:rsid w:val="001015FC"/>
    <w:rsid w:val="00104F9C"/>
    <w:rsid w:val="001064C9"/>
    <w:rsid w:val="0011525F"/>
    <w:rsid w:val="00120186"/>
    <w:rsid w:val="00120570"/>
    <w:rsid w:val="001215D1"/>
    <w:rsid w:val="001222A8"/>
    <w:rsid w:val="00123A50"/>
    <w:rsid w:val="00124534"/>
    <w:rsid w:val="00126957"/>
    <w:rsid w:val="00130932"/>
    <w:rsid w:val="00130A25"/>
    <w:rsid w:val="001311C9"/>
    <w:rsid w:val="00132997"/>
    <w:rsid w:val="00132EE8"/>
    <w:rsid w:val="00142B40"/>
    <w:rsid w:val="0014318C"/>
    <w:rsid w:val="00150565"/>
    <w:rsid w:val="00154A0F"/>
    <w:rsid w:val="00161B4C"/>
    <w:rsid w:val="0016399A"/>
    <w:rsid w:val="00163CBD"/>
    <w:rsid w:val="00165049"/>
    <w:rsid w:val="001660F9"/>
    <w:rsid w:val="00166F7F"/>
    <w:rsid w:val="001679D0"/>
    <w:rsid w:val="001705C5"/>
    <w:rsid w:val="00170BEE"/>
    <w:rsid w:val="00171CFC"/>
    <w:rsid w:val="00174BCD"/>
    <w:rsid w:val="00180C50"/>
    <w:rsid w:val="00194804"/>
    <w:rsid w:val="00195F87"/>
    <w:rsid w:val="001A265D"/>
    <w:rsid w:val="001A3637"/>
    <w:rsid w:val="001A4FB1"/>
    <w:rsid w:val="001A796B"/>
    <w:rsid w:val="001B2C54"/>
    <w:rsid w:val="001B324D"/>
    <w:rsid w:val="001B4641"/>
    <w:rsid w:val="001C0861"/>
    <w:rsid w:val="001C254C"/>
    <w:rsid w:val="001C265D"/>
    <w:rsid w:val="001C3250"/>
    <w:rsid w:val="001C3B53"/>
    <w:rsid w:val="001C5227"/>
    <w:rsid w:val="001C6144"/>
    <w:rsid w:val="001C6229"/>
    <w:rsid w:val="001D08E9"/>
    <w:rsid w:val="001D27E9"/>
    <w:rsid w:val="001D3829"/>
    <w:rsid w:val="001D4E69"/>
    <w:rsid w:val="001D586B"/>
    <w:rsid w:val="001D62F7"/>
    <w:rsid w:val="001E0190"/>
    <w:rsid w:val="001E0A05"/>
    <w:rsid w:val="001E1066"/>
    <w:rsid w:val="001E2FAD"/>
    <w:rsid w:val="001E58E1"/>
    <w:rsid w:val="001F0329"/>
    <w:rsid w:val="001F3D54"/>
    <w:rsid w:val="001F3F45"/>
    <w:rsid w:val="001F41D1"/>
    <w:rsid w:val="001F56C9"/>
    <w:rsid w:val="001F6A4F"/>
    <w:rsid w:val="00200947"/>
    <w:rsid w:val="00200AFE"/>
    <w:rsid w:val="0020413A"/>
    <w:rsid w:val="0020445A"/>
    <w:rsid w:val="00207122"/>
    <w:rsid w:val="002126B7"/>
    <w:rsid w:val="00212D70"/>
    <w:rsid w:val="00212E91"/>
    <w:rsid w:val="00215354"/>
    <w:rsid w:val="00221397"/>
    <w:rsid w:val="00221A3E"/>
    <w:rsid w:val="00222AD2"/>
    <w:rsid w:val="00224D27"/>
    <w:rsid w:val="00224DB0"/>
    <w:rsid w:val="0023344C"/>
    <w:rsid w:val="002345D7"/>
    <w:rsid w:val="002355DE"/>
    <w:rsid w:val="002358EC"/>
    <w:rsid w:val="00237DDD"/>
    <w:rsid w:val="002401B3"/>
    <w:rsid w:val="00243582"/>
    <w:rsid w:val="002452B0"/>
    <w:rsid w:val="00247950"/>
    <w:rsid w:val="00250F46"/>
    <w:rsid w:val="00253656"/>
    <w:rsid w:val="002539C5"/>
    <w:rsid w:val="00253E6C"/>
    <w:rsid w:val="00256BEB"/>
    <w:rsid w:val="00256EE3"/>
    <w:rsid w:val="00261507"/>
    <w:rsid w:val="0026542F"/>
    <w:rsid w:val="00270C74"/>
    <w:rsid w:val="00271F51"/>
    <w:rsid w:val="0027402F"/>
    <w:rsid w:val="00274848"/>
    <w:rsid w:val="002748BB"/>
    <w:rsid w:val="00276BA7"/>
    <w:rsid w:val="00277A01"/>
    <w:rsid w:val="00277BB6"/>
    <w:rsid w:val="00282D4E"/>
    <w:rsid w:val="00285884"/>
    <w:rsid w:val="00285CB6"/>
    <w:rsid w:val="002877DA"/>
    <w:rsid w:val="00292349"/>
    <w:rsid w:val="00292E4B"/>
    <w:rsid w:val="00295260"/>
    <w:rsid w:val="0029683F"/>
    <w:rsid w:val="002A1552"/>
    <w:rsid w:val="002A2B70"/>
    <w:rsid w:val="002A48EB"/>
    <w:rsid w:val="002B0660"/>
    <w:rsid w:val="002B7491"/>
    <w:rsid w:val="002C0E10"/>
    <w:rsid w:val="002C11DB"/>
    <w:rsid w:val="002C5085"/>
    <w:rsid w:val="002C702B"/>
    <w:rsid w:val="002D073B"/>
    <w:rsid w:val="002D080D"/>
    <w:rsid w:val="002D3151"/>
    <w:rsid w:val="002E0682"/>
    <w:rsid w:val="002E1929"/>
    <w:rsid w:val="002E65C2"/>
    <w:rsid w:val="002E7716"/>
    <w:rsid w:val="002F0EC8"/>
    <w:rsid w:val="002F1573"/>
    <w:rsid w:val="002F214F"/>
    <w:rsid w:val="002F3106"/>
    <w:rsid w:val="002F5DBC"/>
    <w:rsid w:val="002F5F3B"/>
    <w:rsid w:val="002F773E"/>
    <w:rsid w:val="0030061C"/>
    <w:rsid w:val="00301C53"/>
    <w:rsid w:val="00304B59"/>
    <w:rsid w:val="0030563E"/>
    <w:rsid w:val="00313187"/>
    <w:rsid w:val="00313366"/>
    <w:rsid w:val="00314080"/>
    <w:rsid w:val="00316382"/>
    <w:rsid w:val="003201E3"/>
    <w:rsid w:val="00325722"/>
    <w:rsid w:val="00327C5D"/>
    <w:rsid w:val="003334D6"/>
    <w:rsid w:val="00333738"/>
    <w:rsid w:val="0034171E"/>
    <w:rsid w:val="00341E5C"/>
    <w:rsid w:val="00343848"/>
    <w:rsid w:val="00345469"/>
    <w:rsid w:val="0034588C"/>
    <w:rsid w:val="0035374E"/>
    <w:rsid w:val="00355AA1"/>
    <w:rsid w:val="00355B3D"/>
    <w:rsid w:val="0036373A"/>
    <w:rsid w:val="003657CA"/>
    <w:rsid w:val="00371C07"/>
    <w:rsid w:val="00372038"/>
    <w:rsid w:val="00373A45"/>
    <w:rsid w:val="00381160"/>
    <w:rsid w:val="00383BD3"/>
    <w:rsid w:val="00383E64"/>
    <w:rsid w:val="0038645F"/>
    <w:rsid w:val="00386586"/>
    <w:rsid w:val="00387B47"/>
    <w:rsid w:val="00390632"/>
    <w:rsid w:val="00391974"/>
    <w:rsid w:val="0039245B"/>
    <w:rsid w:val="00394D90"/>
    <w:rsid w:val="00396F33"/>
    <w:rsid w:val="003A14EC"/>
    <w:rsid w:val="003A29B7"/>
    <w:rsid w:val="003A3802"/>
    <w:rsid w:val="003A5B82"/>
    <w:rsid w:val="003A693B"/>
    <w:rsid w:val="003B0307"/>
    <w:rsid w:val="003B2E81"/>
    <w:rsid w:val="003B76BD"/>
    <w:rsid w:val="003C28AF"/>
    <w:rsid w:val="003D0FF4"/>
    <w:rsid w:val="003D2962"/>
    <w:rsid w:val="003D37E5"/>
    <w:rsid w:val="003D6214"/>
    <w:rsid w:val="003D7467"/>
    <w:rsid w:val="003E0D6B"/>
    <w:rsid w:val="003F057C"/>
    <w:rsid w:val="003F18A3"/>
    <w:rsid w:val="003F22C3"/>
    <w:rsid w:val="003F55C0"/>
    <w:rsid w:val="003F79F0"/>
    <w:rsid w:val="004005E8"/>
    <w:rsid w:val="004026BC"/>
    <w:rsid w:val="004032A8"/>
    <w:rsid w:val="00405667"/>
    <w:rsid w:val="00407816"/>
    <w:rsid w:val="00410802"/>
    <w:rsid w:val="00410BFC"/>
    <w:rsid w:val="0041615B"/>
    <w:rsid w:val="00416E8A"/>
    <w:rsid w:val="00423F56"/>
    <w:rsid w:val="00424111"/>
    <w:rsid w:val="004258CA"/>
    <w:rsid w:val="004258D9"/>
    <w:rsid w:val="00427384"/>
    <w:rsid w:val="0042778F"/>
    <w:rsid w:val="00430436"/>
    <w:rsid w:val="00433C6B"/>
    <w:rsid w:val="00434A33"/>
    <w:rsid w:val="004359DE"/>
    <w:rsid w:val="00440621"/>
    <w:rsid w:val="00440A7C"/>
    <w:rsid w:val="00444897"/>
    <w:rsid w:val="0044741A"/>
    <w:rsid w:val="0044799D"/>
    <w:rsid w:val="00452773"/>
    <w:rsid w:val="00452DFF"/>
    <w:rsid w:val="0045443C"/>
    <w:rsid w:val="00457DAF"/>
    <w:rsid w:val="004605AE"/>
    <w:rsid w:val="00461FF8"/>
    <w:rsid w:val="004626E4"/>
    <w:rsid w:val="004648C4"/>
    <w:rsid w:val="004677C3"/>
    <w:rsid w:val="004740F3"/>
    <w:rsid w:val="00474502"/>
    <w:rsid w:val="00475E0F"/>
    <w:rsid w:val="00476528"/>
    <w:rsid w:val="00477CC0"/>
    <w:rsid w:val="0048167B"/>
    <w:rsid w:val="00481FB9"/>
    <w:rsid w:val="004822C8"/>
    <w:rsid w:val="004851CA"/>
    <w:rsid w:val="00490412"/>
    <w:rsid w:val="00494DEF"/>
    <w:rsid w:val="004979F7"/>
    <w:rsid w:val="004A1413"/>
    <w:rsid w:val="004A2DB8"/>
    <w:rsid w:val="004A3783"/>
    <w:rsid w:val="004A39E7"/>
    <w:rsid w:val="004A45BC"/>
    <w:rsid w:val="004A489D"/>
    <w:rsid w:val="004B06EE"/>
    <w:rsid w:val="004B1A57"/>
    <w:rsid w:val="004B2F55"/>
    <w:rsid w:val="004B4294"/>
    <w:rsid w:val="004C0900"/>
    <w:rsid w:val="004C0E5C"/>
    <w:rsid w:val="004C2988"/>
    <w:rsid w:val="004D0C41"/>
    <w:rsid w:val="004D20BB"/>
    <w:rsid w:val="004D2619"/>
    <w:rsid w:val="004E089A"/>
    <w:rsid w:val="004E24B1"/>
    <w:rsid w:val="004E353C"/>
    <w:rsid w:val="004E6198"/>
    <w:rsid w:val="004E7390"/>
    <w:rsid w:val="004F746F"/>
    <w:rsid w:val="00500B4B"/>
    <w:rsid w:val="0050491C"/>
    <w:rsid w:val="00505680"/>
    <w:rsid w:val="00506483"/>
    <w:rsid w:val="00506B4B"/>
    <w:rsid w:val="005112CD"/>
    <w:rsid w:val="0051326A"/>
    <w:rsid w:val="00515D70"/>
    <w:rsid w:val="00517944"/>
    <w:rsid w:val="00522687"/>
    <w:rsid w:val="005230FB"/>
    <w:rsid w:val="0052311C"/>
    <w:rsid w:val="00523D2B"/>
    <w:rsid w:val="00525850"/>
    <w:rsid w:val="0053703E"/>
    <w:rsid w:val="00537676"/>
    <w:rsid w:val="005408CB"/>
    <w:rsid w:val="00541540"/>
    <w:rsid w:val="00543033"/>
    <w:rsid w:val="005523CA"/>
    <w:rsid w:val="00552462"/>
    <w:rsid w:val="00553977"/>
    <w:rsid w:val="00555266"/>
    <w:rsid w:val="005554F9"/>
    <w:rsid w:val="00562318"/>
    <w:rsid w:val="00570D45"/>
    <w:rsid w:val="00570DEF"/>
    <w:rsid w:val="0057168C"/>
    <w:rsid w:val="00573DFC"/>
    <w:rsid w:val="0057527F"/>
    <w:rsid w:val="005772FC"/>
    <w:rsid w:val="00577CCF"/>
    <w:rsid w:val="00580B42"/>
    <w:rsid w:val="00584FEE"/>
    <w:rsid w:val="00586464"/>
    <w:rsid w:val="0058756C"/>
    <w:rsid w:val="0058798F"/>
    <w:rsid w:val="00591D43"/>
    <w:rsid w:val="00593FBD"/>
    <w:rsid w:val="00596740"/>
    <w:rsid w:val="00596A85"/>
    <w:rsid w:val="005A07CA"/>
    <w:rsid w:val="005A20C5"/>
    <w:rsid w:val="005A698B"/>
    <w:rsid w:val="005B046D"/>
    <w:rsid w:val="005B1DE5"/>
    <w:rsid w:val="005B2846"/>
    <w:rsid w:val="005C0207"/>
    <w:rsid w:val="005C2E44"/>
    <w:rsid w:val="005C47C8"/>
    <w:rsid w:val="005C5A9D"/>
    <w:rsid w:val="005C65AB"/>
    <w:rsid w:val="005C71CB"/>
    <w:rsid w:val="005C71F6"/>
    <w:rsid w:val="005D25A4"/>
    <w:rsid w:val="005D2BE9"/>
    <w:rsid w:val="005D2D25"/>
    <w:rsid w:val="005D3770"/>
    <w:rsid w:val="005D407F"/>
    <w:rsid w:val="005D487C"/>
    <w:rsid w:val="005D5955"/>
    <w:rsid w:val="005D64E1"/>
    <w:rsid w:val="005E1261"/>
    <w:rsid w:val="005E3187"/>
    <w:rsid w:val="005E435B"/>
    <w:rsid w:val="005E5177"/>
    <w:rsid w:val="005E6743"/>
    <w:rsid w:val="005E7BEC"/>
    <w:rsid w:val="005F4F34"/>
    <w:rsid w:val="005F5C15"/>
    <w:rsid w:val="006048E4"/>
    <w:rsid w:val="00605E0D"/>
    <w:rsid w:val="00606115"/>
    <w:rsid w:val="0060649E"/>
    <w:rsid w:val="00607B18"/>
    <w:rsid w:val="006100A2"/>
    <w:rsid w:val="00621933"/>
    <w:rsid w:val="0062304C"/>
    <w:rsid w:val="0062457E"/>
    <w:rsid w:val="00624A79"/>
    <w:rsid w:val="00625692"/>
    <w:rsid w:val="00625720"/>
    <w:rsid w:val="00626EDA"/>
    <w:rsid w:val="00627843"/>
    <w:rsid w:val="00633E78"/>
    <w:rsid w:val="00634B22"/>
    <w:rsid w:val="00634FE1"/>
    <w:rsid w:val="00642978"/>
    <w:rsid w:val="00644648"/>
    <w:rsid w:val="006468EE"/>
    <w:rsid w:val="0065181B"/>
    <w:rsid w:val="00652FE2"/>
    <w:rsid w:val="00653AAF"/>
    <w:rsid w:val="006546C3"/>
    <w:rsid w:val="00657F98"/>
    <w:rsid w:val="0066160D"/>
    <w:rsid w:val="006623F4"/>
    <w:rsid w:val="00670F7B"/>
    <w:rsid w:val="006730F8"/>
    <w:rsid w:val="006738FD"/>
    <w:rsid w:val="006762D0"/>
    <w:rsid w:val="006836B3"/>
    <w:rsid w:val="00683836"/>
    <w:rsid w:val="0068426F"/>
    <w:rsid w:val="0068750E"/>
    <w:rsid w:val="006875B2"/>
    <w:rsid w:val="006907AD"/>
    <w:rsid w:val="00691C3F"/>
    <w:rsid w:val="00691E06"/>
    <w:rsid w:val="006927EC"/>
    <w:rsid w:val="00693F15"/>
    <w:rsid w:val="00694232"/>
    <w:rsid w:val="006943AC"/>
    <w:rsid w:val="00696126"/>
    <w:rsid w:val="006A3A3E"/>
    <w:rsid w:val="006A52ED"/>
    <w:rsid w:val="006A6924"/>
    <w:rsid w:val="006B0504"/>
    <w:rsid w:val="006B0D47"/>
    <w:rsid w:val="006B11F8"/>
    <w:rsid w:val="006B2717"/>
    <w:rsid w:val="006B35C8"/>
    <w:rsid w:val="006B3914"/>
    <w:rsid w:val="006B6360"/>
    <w:rsid w:val="006B716B"/>
    <w:rsid w:val="006C07AD"/>
    <w:rsid w:val="006C33C8"/>
    <w:rsid w:val="006C3753"/>
    <w:rsid w:val="006C3BCD"/>
    <w:rsid w:val="006C415B"/>
    <w:rsid w:val="006C5D26"/>
    <w:rsid w:val="006D6B7A"/>
    <w:rsid w:val="006D6DD3"/>
    <w:rsid w:val="006E0093"/>
    <w:rsid w:val="006E2B2C"/>
    <w:rsid w:val="006E3869"/>
    <w:rsid w:val="006E4591"/>
    <w:rsid w:val="006F3FA1"/>
    <w:rsid w:val="006F66CF"/>
    <w:rsid w:val="006F67DD"/>
    <w:rsid w:val="00700210"/>
    <w:rsid w:val="00702366"/>
    <w:rsid w:val="00706E65"/>
    <w:rsid w:val="00712689"/>
    <w:rsid w:val="00712B26"/>
    <w:rsid w:val="00717DAC"/>
    <w:rsid w:val="00721F64"/>
    <w:rsid w:val="00722DD5"/>
    <w:rsid w:val="00724F96"/>
    <w:rsid w:val="00731984"/>
    <w:rsid w:val="00731B3C"/>
    <w:rsid w:val="007332AA"/>
    <w:rsid w:val="007348C4"/>
    <w:rsid w:val="007348DE"/>
    <w:rsid w:val="00737BEE"/>
    <w:rsid w:val="0074090F"/>
    <w:rsid w:val="00752468"/>
    <w:rsid w:val="00753AAA"/>
    <w:rsid w:val="00753DF9"/>
    <w:rsid w:val="00756DF6"/>
    <w:rsid w:val="00757DC0"/>
    <w:rsid w:val="00762407"/>
    <w:rsid w:val="00762692"/>
    <w:rsid w:val="00763490"/>
    <w:rsid w:val="00771EF4"/>
    <w:rsid w:val="00772181"/>
    <w:rsid w:val="00772F76"/>
    <w:rsid w:val="0078117C"/>
    <w:rsid w:val="00783862"/>
    <w:rsid w:val="00785069"/>
    <w:rsid w:val="00792FDB"/>
    <w:rsid w:val="00793798"/>
    <w:rsid w:val="00793F75"/>
    <w:rsid w:val="0079474A"/>
    <w:rsid w:val="007A197B"/>
    <w:rsid w:val="007B3614"/>
    <w:rsid w:val="007B5A2B"/>
    <w:rsid w:val="007C047B"/>
    <w:rsid w:val="007C0FF6"/>
    <w:rsid w:val="007C1505"/>
    <w:rsid w:val="007C286B"/>
    <w:rsid w:val="007C288B"/>
    <w:rsid w:val="007C3CAA"/>
    <w:rsid w:val="007C4D51"/>
    <w:rsid w:val="007C57D9"/>
    <w:rsid w:val="007D16AF"/>
    <w:rsid w:val="007D542A"/>
    <w:rsid w:val="007D5B3A"/>
    <w:rsid w:val="007E0A42"/>
    <w:rsid w:val="007E1453"/>
    <w:rsid w:val="007E214B"/>
    <w:rsid w:val="007E2A01"/>
    <w:rsid w:val="007E4F77"/>
    <w:rsid w:val="007E65BA"/>
    <w:rsid w:val="007F1CD3"/>
    <w:rsid w:val="007F52AD"/>
    <w:rsid w:val="007F61F6"/>
    <w:rsid w:val="007F6410"/>
    <w:rsid w:val="00800A8F"/>
    <w:rsid w:val="00801685"/>
    <w:rsid w:val="00813250"/>
    <w:rsid w:val="0082096D"/>
    <w:rsid w:val="0082624B"/>
    <w:rsid w:val="00826318"/>
    <w:rsid w:val="00826736"/>
    <w:rsid w:val="00833FB2"/>
    <w:rsid w:val="0083472B"/>
    <w:rsid w:val="00836E7A"/>
    <w:rsid w:val="008407E0"/>
    <w:rsid w:val="00841D62"/>
    <w:rsid w:val="008425D4"/>
    <w:rsid w:val="0084648D"/>
    <w:rsid w:val="00846A9C"/>
    <w:rsid w:val="0085147E"/>
    <w:rsid w:val="00852FB2"/>
    <w:rsid w:val="00853998"/>
    <w:rsid w:val="00855DD2"/>
    <w:rsid w:val="00857B32"/>
    <w:rsid w:val="008607F5"/>
    <w:rsid w:val="008738F4"/>
    <w:rsid w:val="00874F75"/>
    <w:rsid w:val="0087551D"/>
    <w:rsid w:val="00876AD0"/>
    <w:rsid w:val="00880179"/>
    <w:rsid w:val="00893125"/>
    <w:rsid w:val="008A0334"/>
    <w:rsid w:val="008B0CE8"/>
    <w:rsid w:val="008B7454"/>
    <w:rsid w:val="008C0CCA"/>
    <w:rsid w:val="008C3690"/>
    <w:rsid w:val="008C6A45"/>
    <w:rsid w:val="008C6A9C"/>
    <w:rsid w:val="008D1794"/>
    <w:rsid w:val="008D2E61"/>
    <w:rsid w:val="008D2E95"/>
    <w:rsid w:val="008E13D4"/>
    <w:rsid w:val="008E1777"/>
    <w:rsid w:val="008E201F"/>
    <w:rsid w:val="008E29FA"/>
    <w:rsid w:val="008E3C53"/>
    <w:rsid w:val="008E47D6"/>
    <w:rsid w:val="008F063E"/>
    <w:rsid w:val="008F3557"/>
    <w:rsid w:val="008F6617"/>
    <w:rsid w:val="009010E9"/>
    <w:rsid w:val="009015A4"/>
    <w:rsid w:val="00901835"/>
    <w:rsid w:val="009037D6"/>
    <w:rsid w:val="00905CF1"/>
    <w:rsid w:val="00907826"/>
    <w:rsid w:val="00910018"/>
    <w:rsid w:val="009102EE"/>
    <w:rsid w:val="00913E80"/>
    <w:rsid w:val="00923CD8"/>
    <w:rsid w:val="0092647D"/>
    <w:rsid w:val="00926CCC"/>
    <w:rsid w:val="00926FE1"/>
    <w:rsid w:val="00930C22"/>
    <w:rsid w:val="0093174D"/>
    <w:rsid w:val="00931A67"/>
    <w:rsid w:val="00932B9F"/>
    <w:rsid w:val="00932BA0"/>
    <w:rsid w:val="0093646B"/>
    <w:rsid w:val="009376F5"/>
    <w:rsid w:val="00940DB8"/>
    <w:rsid w:val="009410BC"/>
    <w:rsid w:val="00941469"/>
    <w:rsid w:val="00943277"/>
    <w:rsid w:val="00944371"/>
    <w:rsid w:val="0094449E"/>
    <w:rsid w:val="009456C9"/>
    <w:rsid w:val="009531DC"/>
    <w:rsid w:val="00953A49"/>
    <w:rsid w:val="009557AE"/>
    <w:rsid w:val="0096311D"/>
    <w:rsid w:val="009639D5"/>
    <w:rsid w:val="009660DC"/>
    <w:rsid w:val="00966A58"/>
    <w:rsid w:val="00966EA5"/>
    <w:rsid w:val="0096773D"/>
    <w:rsid w:val="00970524"/>
    <w:rsid w:val="009751FC"/>
    <w:rsid w:val="00976312"/>
    <w:rsid w:val="00981E2F"/>
    <w:rsid w:val="009825C0"/>
    <w:rsid w:val="00985CA8"/>
    <w:rsid w:val="00990519"/>
    <w:rsid w:val="009955DA"/>
    <w:rsid w:val="009B08E9"/>
    <w:rsid w:val="009B2B3E"/>
    <w:rsid w:val="009B3A42"/>
    <w:rsid w:val="009B43DB"/>
    <w:rsid w:val="009B5BF7"/>
    <w:rsid w:val="009B6D0E"/>
    <w:rsid w:val="009B7932"/>
    <w:rsid w:val="009C2361"/>
    <w:rsid w:val="009D01FE"/>
    <w:rsid w:val="009D33E2"/>
    <w:rsid w:val="009D376D"/>
    <w:rsid w:val="009D3850"/>
    <w:rsid w:val="009E010F"/>
    <w:rsid w:val="009E6224"/>
    <w:rsid w:val="009E7D17"/>
    <w:rsid w:val="009F2607"/>
    <w:rsid w:val="009F77F7"/>
    <w:rsid w:val="009F7C1B"/>
    <w:rsid w:val="00A01B9F"/>
    <w:rsid w:val="00A0321C"/>
    <w:rsid w:val="00A0644D"/>
    <w:rsid w:val="00A07837"/>
    <w:rsid w:val="00A1288A"/>
    <w:rsid w:val="00A15EA2"/>
    <w:rsid w:val="00A21642"/>
    <w:rsid w:val="00A21AA5"/>
    <w:rsid w:val="00A22A4C"/>
    <w:rsid w:val="00A2369F"/>
    <w:rsid w:val="00A2513F"/>
    <w:rsid w:val="00A30126"/>
    <w:rsid w:val="00A30581"/>
    <w:rsid w:val="00A3302B"/>
    <w:rsid w:val="00A372AE"/>
    <w:rsid w:val="00A40E43"/>
    <w:rsid w:val="00A446F7"/>
    <w:rsid w:val="00A46A73"/>
    <w:rsid w:val="00A4707C"/>
    <w:rsid w:val="00A50503"/>
    <w:rsid w:val="00A53811"/>
    <w:rsid w:val="00A56F7B"/>
    <w:rsid w:val="00A6011A"/>
    <w:rsid w:val="00A63CCF"/>
    <w:rsid w:val="00A678BE"/>
    <w:rsid w:val="00A70C3F"/>
    <w:rsid w:val="00A71294"/>
    <w:rsid w:val="00A727AA"/>
    <w:rsid w:val="00A73A1F"/>
    <w:rsid w:val="00A73E40"/>
    <w:rsid w:val="00A75607"/>
    <w:rsid w:val="00A77749"/>
    <w:rsid w:val="00A779B4"/>
    <w:rsid w:val="00A822BD"/>
    <w:rsid w:val="00A829F5"/>
    <w:rsid w:val="00A8368F"/>
    <w:rsid w:val="00A84501"/>
    <w:rsid w:val="00A865F0"/>
    <w:rsid w:val="00A86FE8"/>
    <w:rsid w:val="00A918E9"/>
    <w:rsid w:val="00A95A5E"/>
    <w:rsid w:val="00A96057"/>
    <w:rsid w:val="00A9648A"/>
    <w:rsid w:val="00AA3B40"/>
    <w:rsid w:val="00AA6E69"/>
    <w:rsid w:val="00AA780F"/>
    <w:rsid w:val="00AB0B55"/>
    <w:rsid w:val="00AB0EE8"/>
    <w:rsid w:val="00AB16F4"/>
    <w:rsid w:val="00AB261E"/>
    <w:rsid w:val="00AB313A"/>
    <w:rsid w:val="00AB3498"/>
    <w:rsid w:val="00AB3F3B"/>
    <w:rsid w:val="00AB5B22"/>
    <w:rsid w:val="00AB6B15"/>
    <w:rsid w:val="00AB72AF"/>
    <w:rsid w:val="00AB7410"/>
    <w:rsid w:val="00AC1A21"/>
    <w:rsid w:val="00AC217A"/>
    <w:rsid w:val="00AC291F"/>
    <w:rsid w:val="00AC2C00"/>
    <w:rsid w:val="00AC58E1"/>
    <w:rsid w:val="00AC6117"/>
    <w:rsid w:val="00AC74AA"/>
    <w:rsid w:val="00AD2B53"/>
    <w:rsid w:val="00AD5680"/>
    <w:rsid w:val="00AD79B7"/>
    <w:rsid w:val="00AE257C"/>
    <w:rsid w:val="00AE280C"/>
    <w:rsid w:val="00AE2D7B"/>
    <w:rsid w:val="00AE2E2B"/>
    <w:rsid w:val="00AE3319"/>
    <w:rsid w:val="00AE5DBB"/>
    <w:rsid w:val="00AE75B3"/>
    <w:rsid w:val="00AE7F85"/>
    <w:rsid w:val="00AF0B38"/>
    <w:rsid w:val="00AF0DB4"/>
    <w:rsid w:val="00AF1E91"/>
    <w:rsid w:val="00AF3014"/>
    <w:rsid w:val="00AF5130"/>
    <w:rsid w:val="00AF5576"/>
    <w:rsid w:val="00AF5820"/>
    <w:rsid w:val="00B037F3"/>
    <w:rsid w:val="00B03ED0"/>
    <w:rsid w:val="00B120EE"/>
    <w:rsid w:val="00B1287A"/>
    <w:rsid w:val="00B1495D"/>
    <w:rsid w:val="00B174CA"/>
    <w:rsid w:val="00B1754E"/>
    <w:rsid w:val="00B17FA5"/>
    <w:rsid w:val="00B230BC"/>
    <w:rsid w:val="00B23CED"/>
    <w:rsid w:val="00B27877"/>
    <w:rsid w:val="00B326E1"/>
    <w:rsid w:val="00B35379"/>
    <w:rsid w:val="00B3628B"/>
    <w:rsid w:val="00B367C5"/>
    <w:rsid w:val="00B40139"/>
    <w:rsid w:val="00B411CA"/>
    <w:rsid w:val="00B42026"/>
    <w:rsid w:val="00B44453"/>
    <w:rsid w:val="00B460B7"/>
    <w:rsid w:val="00B513D8"/>
    <w:rsid w:val="00B51E8B"/>
    <w:rsid w:val="00B524B2"/>
    <w:rsid w:val="00B553D2"/>
    <w:rsid w:val="00B55932"/>
    <w:rsid w:val="00B57D23"/>
    <w:rsid w:val="00B6001B"/>
    <w:rsid w:val="00B61D12"/>
    <w:rsid w:val="00B62DA6"/>
    <w:rsid w:val="00B64452"/>
    <w:rsid w:val="00B64B17"/>
    <w:rsid w:val="00B65A1C"/>
    <w:rsid w:val="00B668FB"/>
    <w:rsid w:val="00B66C9F"/>
    <w:rsid w:val="00B6707A"/>
    <w:rsid w:val="00B7217E"/>
    <w:rsid w:val="00B72420"/>
    <w:rsid w:val="00B75873"/>
    <w:rsid w:val="00B82C08"/>
    <w:rsid w:val="00B83977"/>
    <w:rsid w:val="00B853EB"/>
    <w:rsid w:val="00B85E7D"/>
    <w:rsid w:val="00B86A3B"/>
    <w:rsid w:val="00B8711D"/>
    <w:rsid w:val="00B9085F"/>
    <w:rsid w:val="00B9158B"/>
    <w:rsid w:val="00B9335D"/>
    <w:rsid w:val="00B94848"/>
    <w:rsid w:val="00BA0597"/>
    <w:rsid w:val="00BA1D85"/>
    <w:rsid w:val="00BA24B8"/>
    <w:rsid w:val="00BA28A6"/>
    <w:rsid w:val="00BA3961"/>
    <w:rsid w:val="00BA4508"/>
    <w:rsid w:val="00BA588B"/>
    <w:rsid w:val="00BA6030"/>
    <w:rsid w:val="00BA764A"/>
    <w:rsid w:val="00BA7672"/>
    <w:rsid w:val="00BB0061"/>
    <w:rsid w:val="00BB3E16"/>
    <w:rsid w:val="00BB5900"/>
    <w:rsid w:val="00BB73D7"/>
    <w:rsid w:val="00BC0C80"/>
    <w:rsid w:val="00BC1AF6"/>
    <w:rsid w:val="00BC5771"/>
    <w:rsid w:val="00BC6A38"/>
    <w:rsid w:val="00BC7A43"/>
    <w:rsid w:val="00BE1DDD"/>
    <w:rsid w:val="00BE2642"/>
    <w:rsid w:val="00BE3889"/>
    <w:rsid w:val="00BE4791"/>
    <w:rsid w:val="00BF1F17"/>
    <w:rsid w:val="00BF23F4"/>
    <w:rsid w:val="00BF4738"/>
    <w:rsid w:val="00BF4FE1"/>
    <w:rsid w:val="00BF7E1E"/>
    <w:rsid w:val="00C00264"/>
    <w:rsid w:val="00C05F61"/>
    <w:rsid w:val="00C123AA"/>
    <w:rsid w:val="00C13B89"/>
    <w:rsid w:val="00C13F6B"/>
    <w:rsid w:val="00C160C9"/>
    <w:rsid w:val="00C17B39"/>
    <w:rsid w:val="00C17CC3"/>
    <w:rsid w:val="00C22540"/>
    <w:rsid w:val="00C23809"/>
    <w:rsid w:val="00C310B9"/>
    <w:rsid w:val="00C319F8"/>
    <w:rsid w:val="00C32597"/>
    <w:rsid w:val="00C34662"/>
    <w:rsid w:val="00C35BE2"/>
    <w:rsid w:val="00C42E19"/>
    <w:rsid w:val="00C46AFF"/>
    <w:rsid w:val="00C47498"/>
    <w:rsid w:val="00C47A81"/>
    <w:rsid w:val="00C50B44"/>
    <w:rsid w:val="00C53AAD"/>
    <w:rsid w:val="00C55A24"/>
    <w:rsid w:val="00C56AE1"/>
    <w:rsid w:val="00C56B32"/>
    <w:rsid w:val="00C56D19"/>
    <w:rsid w:val="00C62F49"/>
    <w:rsid w:val="00C63EF4"/>
    <w:rsid w:val="00C65EDC"/>
    <w:rsid w:val="00C7011F"/>
    <w:rsid w:val="00C702A1"/>
    <w:rsid w:val="00C72E5B"/>
    <w:rsid w:val="00C73611"/>
    <w:rsid w:val="00C739E5"/>
    <w:rsid w:val="00C74065"/>
    <w:rsid w:val="00C7650E"/>
    <w:rsid w:val="00C76FEB"/>
    <w:rsid w:val="00C777C6"/>
    <w:rsid w:val="00C80B74"/>
    <w:rsid w:val="00C81132"/>
    <w:rsid w:val="00C82A1D"/>
    <w:rsid w:val="00C83784"/>
    <w:rsid w:val="00C84FC8"/>
    <w:rsid w:val="00C86AB1"/>
    <w:rsid w:val="00C86C63"/>
    <w:rsid w:val="00C95879"/>
    <w:rsid w:val="00C96506"/>
    <w:rsid w:val="00C966C5"/>
    <w:rsid w:val="00C96950"/>
    <w:rsid w:val="00CA023C"/>
    <w:rsid w:val="00CA1501"/>
    <w:rsid w:val="00CA18C0"/>
    <w:rsid w:val="00CA205A"/>
    <w:rsid w:val="00CA3D9A"/>
    <w:rsid w:val="00CA41B7"/>
    <w:rsid w:val="00CA453E"/>
    <w:rsid w:val="00CA6ABC"/>
    <w:rsid w:val="00CB3B3F"/>
    <w:rsid w:val="00CB5A24"/>
    <w:rsid w:val="00CB6622"/>
    <w:rsid w:val="00CC25A7"/>
    <w:rsid w:val="00CC25F9"/>
    <w:rsid w:val="00CC27AE"/>
    <w:rsid w:val="00CC3588"/>
    <w:rsid w:val="00CD5DEE"/>
    <w:rsid w:val="00CE1232"/>
    <w:rsid w:val="00CE1A1B"/>
    <w:rsid w:val="00CE1CC0"/>
    <w:rsid w:val="00CE2D0E"/>
    <w:rsid w:val="00CE2FE0"/>
    <w:rsid w:val="00CE51F0"/>
    <w:rsid w:val="00CF0808"/>
    <w:rsid w:val="00CF2EE4"/>
    <w:rsid w:val="00CF3CB6"/>
    <w:rsid w:val="00D00762"/>
    <w:rsid w:val="00D01922"/>
    <w:rsid w:val="00D02E44"/>
    <w:rsid w:val="00D04156"/>
    <w:rsid w:val="00D05614"/>
    <w:rsid w:val="00D06DE4"/>
    <w:rsid w:val="00D111E9"/>
    <w:rsid w:val="00D1563A"/>
    <w:rsid w:val="00D170CC"/>
    <w:rsid w:val="00D2085E"/>
    <w:rsid w:val="00D22533"/>
    <w:rsid w:val="00D23C43"/>
    <w:rsid w:val="00D251FD"/>
    <w:rsid w:val="00D267EA"/>
    <w:rsid w:val="00D26DD2"/>
    <w:rsid w:val="00D31FC8"/>
    <w:rsid w:val="00D323E3"/>
    <w:rsid w:val="00D32E42"/>
    <w:rsid w:val="00D33306"/>
    <w:rsid w:val="00D343B5"/>
    <w:rsid w:val="00D351B3"/>
    <w:rsid w:val="00D35204"/>
    <w:rsid w:val="00D35519"/>
    <w:rsid w:val="00D37452"/>
    <w:rsid w:val="00D3769C"/>
    <w:rsid w:val="00D4347E"/>
    <w:rsid w:val="00D44884"/>
    <w:rsid w:val="00D45FC5"/>
    <w:rsid w:val="00D46206"/>
    <w:rsid w:val="00D52B6B"/>
    <w:rsid w:val="00D53482"/>
    <w:rsid w:val="00D53766"/>
    <w:rsid w:val="00D538A0"/>
    <w:rsid w:val="00D5429F"/>
    <w:rsid w:val="00D558A9"/>
    <w:rsid w:val="00D612C5"/>
    <w:rsid w:val="00D62C06"/>
    <w:rsid w:val="00D6413A"/>
    <w:rsid w:val="00D64FCC"/>
    <w:rsid w:val="00D653B7"/>
    <w:rsid w:val="00D66464"/>
    <w:rsid w:val="00D73A79"/>
    <w:rsid w:val="00D76000"/>
    <w:rsid w:val="00D77438"/>
    <w:rsid w:val="00D82D90"/>
    <w:rsid w:val="00D83456"/>
    <w:rsid w:val="00D83818"/>
    <w:rsid w:val="00D85707"/>
    <w:rsid w:val="00D879FE"/>
    <w:rsid w:val="00D87ADA"/>
    <w:rsid w:val="00D87DF6"/>
    <w:rsid w:val="00D92A2F"/>
    <w:rsid w:val="00D930DC"/>
    <w:rsid w:val="00D97344"/>
    <w:rsid w:val="00DA5B50"/>
    <w:rsid w:val="00DA620F"/>
    <w:rsid w:val="00DA7058"/>
    <w:rsid w:val="00DB213C"/>
    <w:rsid w:val="00DB417C"/>
    <w:rsid w:val="00DB575A"/>
    <w:rsid w:val="00DC0EDB"/>
    <w:rsid w:val="00DC1390"/>
    <w:rsid w:val="00DC2AF2"/>
    <w:rsid w:val="00DC4B17"/>
    <w:rsid w:val="00DC4C6F"/>
    <w:rsid w:val="00DC5D25"/>
    <w:rsid w:val="00DC67BB"/>
    <w:rsid w:val="00DC7CBC"/>
    <w:rsid w:val="00DD1341"/>
    <w:rsid w:val="00DD199F"/>
    <w:rsid w:val="00DD3757"/>
    <w:rsid w:val="00DD7D38"/>
    <w:rsid w:val="00DE264A"/>
    <w:rsid w:val="00DE265B"/>
    <w:rsid w:val="00DE2BA8"/>
    <w:rsid w:val="00DE303A"/>
    <w:rsid w:val="00DE3B56"/>
    <w:rsid w:val="00DE6F82"/>
    <w:rsid w:val="00DE77C9"/>
    <w:rsid w:val="00DE7B5A"/>
    <w:rsid w:val="00DF1AC6"/>
    <w:rsid w:val="00DF2962"/>
    <w:rsid w:val="00DF2A5F"/>
    <w:rsid w:val="00DF3C91"/>
    <w:rsid w:val="00DF4298"/>
    <w:rsid w:val="00DF4B4F"/>
    <w:rsid w:val="00E0105E"/>
    <w:rsid w:val="00E024A2"/>
    <w:rsid w:val="00E032D5"/>
    <w:rsid w:val="00E03FB8"/>
    <w:rsid w:val="00E04E71"/>
    <w:rsid w:val="00E146D4"/>
    <w:rsid w:val="00E172F9"/>
    <w:rsid w:val="00E21B74"/>
    <w:rsid w:val="00E223C7"/>
    <w:rsid w:val="00E230CA"/>
    <w:rsid w:val="00E24135"/>
    <w:rsid w:val="00E26517"/>
    <w:rsid w:val="00E26B4B"/>
    <w:rsid w:val="00E27471"/>
    <w:rsid w:val="00E36460"/>
    <w:rsid w:val="00E36F45"/>
    <w:rsid w:val="00E37496"/>
    <w:rsid w:val="00E40536"/>
    <w:rsid w:val="00E409A0"/>
    <w:rsid w:val="00E426EB"/>
    <w:rsid w:val="00E42913"/>
    <w:rsid w:val="00E44382"/>
    <w:rsid w:val="00E51F76"/>
    <w:rsid w:val="00E5532A"/>
    <w:rsid w:val="00E57D49"/>
    <w:rsid w:val="00E62A64"/>
    <w:rsid w:val="00E6396B"/>
    <w:rsid w:val="00E6482F"/>
    <w:rsid w:val="00E67B55"/>
    <w:rsid w:val="00E7072D"/>
    <w:rsid w:val="00E71942"/>
    <w:rsid w:val="00E720B1"/>
    <w:rsid w:val="00E73AF5"/>
    <w:rsid w:val="00E74EED"/>
    <w:rsid w:val="00E75377"/>
    <w:rsid w:val="00E76D82"/>
    <w:rsid w:val="00E826B3"/>
    <w:rsid w:val="00E844D2"/>
    <w:rsid w:val="00E85E89"/>
    <w:rsid w:val="00E90ECA"/>
    <w:rsid w:val="00E9502E"/>
    <w:rsid w:val="00E9717D"/>
    <w:rsid w:val="00EA03A0"/>
    <w:rsid w:val="00EA2D53"/>
    <w:rsid w:val="00EA78D7"/>
    <w:rsid w:val="00EB3FCB"/>
    <w:rsid w:val="00EB45D1"/>
    <w:rsid w:val="00EB5187"/>
    <w:rsid w:val="00EB5574"/>
    <w:rsid w:val="00EB5A74"/>
    <w:rsid w:val="00EB773D"/>
    <w:rsid w:val="00EC08DC"/>
    <w:rsid w:val="00EC1F3A"/>
    <w:rsid w:val="00EC2A32"/>
    <w:rsid w:val="00EC5CFC"/>
    <w:rsid w:val="00EC662C"/>
    <w:rsid w:val="00EC6DAE"/>
    <w:rsid w:val="00EC6F67"/>
    <w:rsid w:val="00EC7C59"/>
    <w:rsid w:val="00ED0FE0"/>
    <w:rsid w:val="00ED12D4"/>
    <w:rsid w:val="00ED180F"/>
    <w:rsid w:val="00EE1F95"/>
    <w:rsid w:val="00EE2F48"/>
    <w:rsid w:val="00EE7B6F"/>
    <w:rsid w:val="00EF1A2A"/>
    <w:rsid w:val="00EF283F"/>
    <w:rsid w:val="00EF2FA1"/>
    <w:rsid w:val="00EF3B0C"/>
    <w:rsid w:val="00EF5873"/>
    <w:rsid w:val="00F01A96"/>
    <w:rsid w:val="00F05893"/>
    <w:rsid w:val="00F06144"/>
    <w:rsid w:val="00F10DE3"/>
    <w:rsid w:val="00F110DC"/>
    <w:rsid w:val="00F11484"/>
    <w:rsid w:val="00F11D0C"/>
    <w:rsid w:val="00F120AB"/>
    <w:rsid w:val="00F15305"/>
    <w:rsid w:val="00F230E9"/>
    <w:rsid w:val="00F30810"/>
    <w:rsid w:val="00F34A4B"/>
    <w:rsid w:val="00F35D3B"/>
    <w:rsid w:val="00F35D9A"/>
    <w:rsid w:val="00F42A40"/>
    <w:rsid w:val="00F42F8D"/>
    <w:rsid w:val="00F44F1E"/>
    <w:rsid w:val="00F453E5"/>
    <w:rsid w:val="00F457D4"/>
    <w:rsid w:val="00F46D13"/>
    <w:rsid w:val="00F501D0"/>
    <w:rsid w:val="00F51AC0"/>
    <w:rsid w:val="00F525AB"/>
    <w:rsid w:val="00F52F02"/>
    <w:rsid w:val="00F53A84"/>
    <w:rsid w:val="00F54C99"/>
    <w:rsid w:val="00F555EA"/>
    <w:rsid w:val="00F56D66"/>
    <w:rsid w:val="00F6229B"/>
    <w:rsid w:val="00F63319"/>
    <w:rsid w:val="00F641A8"/>
    <w:rsid w:val="00F641B9"/>
    <w:rsid w:val="00F64352"/>
    <w:rsid w:val="00F66343"/>
    <w:rsid w:val="00F67A5A"/>
    <w:rsid w:val="00F71705"/>
    <w:rsid w:val="00F71B05"/>
    <w:rsid w:val="00F721BE"/>
    <w:rsid w:val="00F741F6"/>
    <w:rsid w:val="00F80C24"/>
    <w:rsid w:val="00F85461"/>
    <w:rsid w:val="00F8659D"/>
    <w:rsid w:val="00F93073"/>
    <w:rsid w:val="00F939A3"/>
    <w:rsid w:val="00F96C95"/>
    <w:rsid w:val="00FA04CF"/>
    <w:rsid w:val="00FA154B"/>
    <w:rsid w:val="00FA2524"/>
    <w:rsid w:val="00FA2F83"/>
    <w:rsid w:val="00FA47D2"/>
    <w:rsid w:val="00FA4FD6"/>
    <w:rsid w:val="00FA6EC7"/>
    <w:rsid w:val="00FA7059"/>
    <w:rsid w:val="00FB1CFA"/>
    <w:rsid w:val="00FB6273"/>
    <w:rsid w:val="00FB7D55"/>
    <w:rsid w:val="00FB7D86"/>
    <w:rsid w:val="00FC13B9"/>
    <w:rsid w:val="00FC4B4C"/>
    <w:rsid w:val="00FC4EE1"/>
    <w:rsid w:val="00FC5E87"/>
    <w:rsid w:val="00FD47E1"/>
    <w:rsid w:val="00FD4882"/>
    <w:rsid w:val="00FD6BFA"/>
    <w:rsid w:val="00FD743E"/>
    <w:rsid w:val="00FD7925"/>
    <w:rsid w:val="00FD7A76"/>
    <w:rsid w:val="00FE02C9"/>
    <w:rsid w:val="00FE3E08"/>
    <w:rsid w:val="00FE4177"/>
    <w:rsid w:val="00FE56E8"/>
    <w:rsid w:val="00FE582F"/>
    <w:rsid w:val="00FE6203"/>
    <w:rsid w:val="00FE77A0"/>
    <w:rsid w:val="00FF1DB3"/>
    <w:rsid w:val="00FF2198"/>
    <w:rsid w:val="00FF30F9"/>
    <w:rsid w:val="00FF35C5"/>
    <w:rsid w:val="00FF4462"/>
    <w:rsid w:val="00FF47E7"/>
    <w:rsid w:val="00FF71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E4025"/>
  <w15:chartTrackingRefBased/>
  <w15:docId w15:val="{A54533BF-435B-4190-855B-CA0649C75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7CCF"/>
    <w:pPr>
      <w:ind w:left="720"/>
      <w:contextualSpacing/>
    </w:pPr>
    <w:rPr>
      <w:kern w:val="0"/>
      <w14:ligatures w14:val="none"/>
    </w:rPr>
  </w:style>
  <w:style w:type="paragraph" w:styleId="Header">
    <w:name w:val="header"/>
    <w:basedOn w:val="Normal"/>
    <w:link w:val="HeaderChar"/>
    <w:uiPriority w:val="99"/>
    <w:unhideWhenUsed/>
    <w:rsid w:val="00731B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1B3C"/>
  </w:style>
  <w:style w:type="paragraph" w:styleId="Footer">
    <w:name w:val="footer"/>
    <w:basedOn w:val="Normal"/>
    <w:link w:val="FooterChar"/>
    <w:uiPriority w:val="99"/>
    <w:unhideWhenUsed/>
    <w:rsid w:val="00731B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1B3C"/>
  </w:style>
  <w:style w:type="character" w:styleId="Hyperlink">
    <w:name w:val="Hyperlink"/>
    <w:basedOn w:val="DefaultParagraphFont"/>
    <w:uiPriority w:val="99"/>
    <w:semiHidden/>
    <w:unhideWhenUsed/>
    <w:rsid w:val="00731984"/>
    <w:rPr>
      <w:color w:val="0000FF"/>
      <w:u w:val="single"/>
    </w:rPr>
  </w:style>
  <w:style w:type="paragraph" w:customStyle="1" w:styleId="w7sjnrxzl6krnffuzhqe">
    <w:name w:val="w7sjnrxzl6krnffuzhqe"/>
    <w:basedOn w:val="Normal"/>
    <w:rsid w:val="00FB627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xozsieuym7w8wcrzznsz">
    <w:name w:val="xozsieuym7w8wcrzznsz"/>
    <w:basedOn w:val="DefaultParagraphFont"/>
    <w:rsid w:val="00FB6273"/>
  </w:style>
  <w:style w:type="character" w:customStyle="1" w:styleId="gi12ee3oydn5ipmmxoiy">
    <w:name w:val="gi12ee3oydn5ipmmxoiy"/>
    <w:basedOn w:val="DefaultParagraphFont"/>
    <w:rsid w:val="00FB62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507577">
      <w:bodyDiv w:val="1"/>
      <w:marLeft w:val="0"/>
      <w:marRight w:val="0"/>
      <w:marTop w:val="0"/>
      <w:marBottom w:val="0"/>
      <w:divBdr>
        <w:top w:val="none" w:sz="0" w:space="0" w:color="auto"/>
        <w:left w:val="none" w:sz="0" w:space="0" w:color="auto"/>
        <w:bottom w:val="none" w:sz="0" w:space="0" w:color="auto"/>
        <w:right w:val="none" w:sz="0" w:space="0" w:color="auto"/>
      </w:divBdr>
      <w:divsChild>
        <w:div w:id="1032808388">
          <w:marLeft w:val="0"/>
          <w:marRight w:val="0"/>
          <w:marTop w:val="0"/>
          <w:marBottom w:val="0"/>
          <w:divBdr>
            <w:top w:val="none" w:sz="0" w:space="0" w:color="auto"/>
            <w:left w:val="none" w:sz="0" w:space="0" w:color="auto"/>
            <w:bottom w:val="none" w:sz="0" w:space="0" w:color="auto"/>
            <w:right w:val="none" w:sz="0" w:space="0" w:color="auto"/>
          </w:divBdr>
          <w:divsChild>
            <w:div w:id="381027503">
              <w:marLeft w:val="0"/>
              <w:marRight w:val="0"/>
              <w:marTop w:val="0"/>
              <w:marBottom w:val="0"/>
              <w:divBdr>
                <w:top w:val="none" w:sz="0" w:space="0" w:color="auto"/>
                <w:left w:val="none" w:sz="0" w:space="0" w:color="auto"/>
                <w:bottom w:val="none" w:sz="0" w:space="0" w:color="auto"/>
                <w:right w:val="none" w:sz="0" w:space="0" w:color="auto"/>
              </w:divBdr>
              <w:divsChild>
                <w:div w:id="650870196">
                  <w:marLeft w:val="0"/>
                  <w:marRight w:val="0"/>
                  <w:marTop w:val="0"/>
                  <w:marBottom w:val="0"/>
                  <w:divBdr>
                    <w:top w:val="none" w:sz="0" w:space="0" w:color="auto"/>
                    <w:left w:val="none" w:sz="0" w:space="0" w:color="auto"/>
                    <w:bottom w:val="none" w:sz="0" w:space="0" w:color="auto"/>
                    <w:right w:val="none" w:sz="0" w:space="0" w:color="auto"/>
                  </w:divBdr>
                  <w:divsChild>
                    <w:div w:id="35470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316243">
      <w:bodyDiv w:val="1"/>
      <w:marLeft w:val="0"/>
      <w:marRight w:val="0"/>
      <w:marTop w:val="0"/>
      <w:marBottom w:val="0"/>
      <w:divBdr>
        <w:top w:val="none" w:sz="0" w:space="0" w:color="auto"/>
        <w:left w:val="none" w:sz="0" w:space="0" w:color="auto"/>
        <w:bottom w:val="none" w:sz="0" w:space="0" w:color="auto"/>
        <w:right w:val="none" w:sz="0" w:space="0" w:color="auto"/>
      </w:divBdr>
    </w:div>
    <w:div w:id="89351284">
      <w:bodyDiv w:val="1"/>
      <w:marLeft w:val="0"/>
      <w:marRight w:val="0"/>
      <w:marTop w:val="0"/>
      <w:marBottom w:val="0"/>
      <w:divBdr>
        <w:top w:val="none" w:sz="0" w:space="0" w:color="auto"/>
        <w:left w:val="none" w:sz="0" w:space="0" w:color="auto"/>
        <w:bottom w:val="none" w:sz="0" w:space="0" w:color="auto"/>
        <w:right w:val="none" w:sz="0" w:space="0" w:color="auto"/>
      </w:divBdr>
    </w:div>
    <w:div w:id="123279665">
      <w:bodyDiv w:val="1"/>
      <w:marLeft w:val="0"/>
      <w:marRight w:val="0"/>
      <w:marTop w:val="0"/>
      <w:marBottom w:val="0"/>
      <w:divBdr>
        <w:top w:val="none" w:sz="0" w:space="0" w:color="auto"/>
        <w:left w:val="none" w:sz="0" w:space="0" w:color="auto"/>
        <w:bottom w:val="none" w:sz="0" w:space="0" w:color="auto"/>
        <w:right w:val="none" w:sz="0" w:space="0" w:color="auto"/>
      </w:divBdr>
    </w:div>
    <w:div w:id="163473428">
      <w:bodyDiv w:val="1"/>
      <w:marLeft w:val="0"/>
      <w:marRight w:val="0"/>
      <w:marTop w:val="0"/>
      <w:marBottom w:val="0"/>
      <w:divBdr>
        <w:top w:val="none" w:sz="0" w:space="0" w:color="auto"/>
        <w:left w:val="none" w:sz="0" w:space="0" w:color="auto"/>
        <w:bottom w:val="none" w:sz="0" w:space="0" w:color="auto"/>
        <w:right w:val="none" w:sz="0" w:space="0" w:color="auto"/>
      </w:divBdr>
    </w:div>
    <w:div w:id="183062713">
      <w:bodyDiv w:val="1"/>
      <w:marLeft w:val="0"/>
      <w:marRight w:val="0"/>
      <w:marTop w:val="0"/>
      <w:marBottom w:val="0"/>
      <w:divBdr>
        <w:top w:val="none" w:sz="0" w:space="0" w:color="auto"/>
        <w:left w:val="none" w:sz="0" w:space="0" w:color="auto"/>
        <w:bottom w:val="none" w:sz="0" w:space="0" w:color="auto"/>
        <w:right w:val="none" w:sz="0" w:space="0" w:color="auto"/>
      </w:divBdr>
    </w:div>
    <w:div w:id="278069277">
      <w:bodyDiv w:val="1"/>
      <w:marLeft w:val="0"/>
      <w:marRight w:val="0"/>
      <w:marTop w:val="0"/>
      <w:marBottom w:val="0"/>
      <w:divBdr>
        <w:top w:val="none" w:sz="0" w:space="0" w:color="auto"/>
        <w:left w:val="none" w:sz="0" w:space="0" w:color="auto"/>
        <w:bottom w:val="none" w:sz="0" w:space="0" w:color="auto"/>
        <w:right w:val="none" w:sz="0" w:space="0" w:color="auto"/>
      </w:divBdr>
    </w:div>
    <w:div w:id="395125500">
      <w:bodyDiv w:val="1"/>
      <w:marLeft w:val="0"/>
      <w:marRight w:val="0"/>
      <w:marTop w:val="0"/>
      <w:marBottom w:val="0"/>
      <w:divBdr>
        <w:top w:val="none" w:sz="0" w:space="0" w:color="auto"/>
        <w:left w:val="none" w:sz="0" w:space="0" w:color="auto"/>
        <w:bottom w:val="none" w:sz="0" w:space="0" w:color="auto"/>
        <w:right w:val="none" w:sz="0" w:space="0" w:color="auto"/>
      </w:divBdr>
    </w:div>
    <w:div w:id="504245158">
      <w:bodyDiv w:val="1"/>
      <w:marLeft w:val="0"/>
      <w:marRight w:val="0"/>
      <w:marTop w:val="0"/>
      <w:marBottom w:val="0"/>
      <w:divBdr>
        <w:top w:val="none" w:sz="0" w:space="0" w:color="auto"/>
        <w:left w:val="none" w:sz="0" w:space="0" w:color="auto"/>
        <w:bottom w:val="none" w:sz="0" w:space="0" w:color="auto"/>
        <w:right w:val="none" w:sz="0" w:space="0" w:color="auto"/>
      </w:divBdr>
    </w:div>
    <w:div w:id="524293183">
      <w:bodyDiv w:val="1"/>
      <w:marLeft w:val="0"/>
      <w:marRight w:val="0"/>
      <w:marTop w:val="0"/>
      <w:marBottom w:val="0"/>
      <w:divBdr>
        <w:top w:val="none" w:sz="0" w:space="0" w:color="auto"/>
        <w:left w:val="none" w:sz="0" w:space="0" w:color="auto"/>
        <w:bottom w:val="none" w:sz="0" w:space="0" w:color="auto"/>
        <w:right w:val="none" w:sz="0" w:space="0" w:color="auto"/>
      </w:divBdr>
    </w:div>
    <w:div w:id="546527374">
      <w:bodyDiv w:val="1"/>
      <w:marLeft w:val="0"/>
      <w:marRight w:val="0"/>
      <w:marTop w:val="0"/>
      <w:marBottom w:val="0"/>
      <w:divBdr>
        <w:top w:val="none" w:sz="0" w:space="0" w:color="auto"/>
        <w:left w:val="none" w:sz="0" w:space="0" w:color="auto"/>
        <w:bottom w:val="none" w:sz="0" w:space="0" w:color="auto"/>
        <w:right w:val="none" w:sz="0" w:space="0" w:color="auto"/>
      </w:divBdr>
    </w:div>
    <w:div w:id="580868323">
      <w:bodyDiv w:val="1"/>
      <w:marLeft w:val="0"/>
      <w:marRight w:val="0"/>
      <w:marTop w:val="0"/>
      <w:marBottom w:val="0"/>
      <w:divBdr>
        <w:top w:val="none" w:sz="0" w:space="0" w:color="auto"/>
        <w:left w:val="none" w:sz="0" w:space="0" w:color="auto"/>
        <w:bottom w:val="none" w:sz="0" w:space="0" w:color="auto"/>
        <w:right w:val="none" w:sz="0" w:space="0" w:color="auto"/>
      </w:divBdr>
    </w:div>
    <w:div w:id="662440575">
      <w:bodyDiv w:val="1"/>
      <w:marLeft w:val="0"/>
      <w:marRight w:val="0"/>
      <w:marTop w:val="0"/>
      <w:marBottom w:val="0"/>
      <w:divBdr>
        <w:top w:val="none" w:sz="0" w:space="0" w:color="auto"/>
        <w:left w:val="none" w:sz="0" w:space="0" w:color="auto"/>
        <w:bottom w:val="none" w:sz="0" w:space="0" w:color="auto"/>
        <w:right w:val="none" w:sz="0" w:space="0" w:color="auto"/>
      </w:divBdr>
    </w:div>
    <w:div w:id="693772353">
      <w:bodyDiv w:val="1"/>
      <w:marLeft w:val="0"/>
      <w:marRight w:val="0"/>
      <w:marTop w:val="0"/>
      <w:marBottom w:val="0"/>
      <w:divBdr>
        <w:top w:val="none" w:sz="0" w:space="0" w:color="auto"/>
        <w:left w:val="none" w:sz="0" w:space="0" w:color="auto"/>
        <w:bottom w:val="none" w:sz="0" w:space="0" w:color="auto"/>
        <w:right w:val="none" w:sz="0" w:space="0" w:color="auto"/>
      </w:divBdr>
    </w:div>
    <w:div w:id="712584942">
      <w:bodyDiv w:val="1"/>
      <w:marLeft w:val="0"/>
      <w:marRight w:val="0"/>
      <w:marTop w:val="0"/>
      <w:marBottom w:val="0"/>
      <w:divBdr>
        <w:top w:val="none" w:sz="0" w:space="0" w:color="auto"/>
        <w:left w:val="none" w:sz="0" w:space="0" w:color="auto"/>
        <w:bottom w:val="none" w:sz="0" w:space="0" w:color="auto"/>
        <w:right w:val="none" w:sz="0" w:space="0" w:color="auto"/>
      </w:divBdr>
    </w:div>
    <w:div w:id="717782614">
      <w:bodyDiv w:val="1"/>
      <w:marLeft w:val="0"/>
      <w:marRight w:val="0"/>
      <w:marTop w:val="0"/>
      <w:marBottom w:val="0"/>
      <w:divBdr>
        <w:top w:val="none" w:sz="0" w:space="0" w:color="auto"/>
        <w:left w:val="none" w:sz="0" w:space="0" w:color="auto"/>
        <w:bottom w:val="none" w:sz="0" w:space="0" w:color="auto"/>
        <w:right w:val="none" w:sz="0" w:space="0" w:color="auto"/>
      </w:divBdr>
    </w:div>
    <w:div w:id="819615116">
      <w:bodyDiv w:val="1"/>
      <w:marLeft w:val="0"/>
      <w:marRight w:val="0"/>
      <w:marTop w:val="0"/>
      <w:marBottom w:val="0"/>
      <w:divBdr>
        <w:top w:val="none" w:sz="0" w:space="0" w:color="auto"/>
        <w:left w:val="none" w:sz="0" w:space="0" w:color="auto"/>
        <w:bottom w:val="none" w:sz="0" w:space="0" w:color="auto"/>
        <w:right w:val="none" w:sz="0" w:space="0" w:color="auto"/>
      </w:divBdr>
    </w:div>
    <w:div w:id="839732015">
      <w:bodyDiv w:val="1"/>
      <w:marLeft w:val="0"/>
      <w:marRight w:val="0"/>
      <w:marTop w:val="0"/>
      <w:marBottom w:val="0"/>
      <w:divBdr>
        <w:top w:val="none" w:sz="0" w:space="0" w:color="auto"/>
        <w:left w:val="none" w:sz="0" w:space="0" w:color="auto"/>
        <w:bottom w:val="none" w:sz="0" w:space="0" w:color="auto"/>
        <w:right w:val="none" w:sz="0" w:space="0" w:color="auto"/>
      </w:divBdr>
    </w:div>
    <w:div w:id="849833490">
      <w:bodyDiv w:val="1"/>
      <w:marLeft w:val="0"/>
      <w:marRight w:val="0"/>
      <w:marTop w:val="0"/>
      <w:marBottom w:val="0"/>
      <w:divBdr>
        <w:top w:val="none" w:sz="0" w:space="0" w:color="auto"/>
        <w:left w:val="none" w:sz="0" w:space="0" w:color="auto"/>
        <w:bottom w:val="none" w:sz="0" w:space="0" w:color="auto"/>
        <w:right w:val="none" w:sz="0" w:space="0" w:color="auto"/>
      </w:divBdr>
    </w:div>
    <w:div w:id="854735339">
      <w:bodyDiv w:val="1"/>
      <w:marLeft w:val="0"/>
      <w:marRight w:val="0"/>
      <w:marTop w:val="0"/>
      <w:marBottom w:val="0"/>
      <w:divBdr>
        <w:top w:val="none" w:sz="0" w:space="0" w:color="auto"/>
        <w:left w:val="none" w:sz="0" w:space="0" w:color="auto"/>
        <w:bottom w:val="none" w:sz="0" w:space="0" w:color="auto"/>
        <w:right w:val="none" w:sz="0" w:space="0" w:color="auto"/>
      </w:divBdr>
    </w:div>
    <w:div w:id="891767959">
      <w:bodyDiv w:val="1"/>
      <w:marLeft w:val="0"/>
      <w:marRight w:val="0"/>
      <w:marTop w:val="0"/>
      <w:marBottom w:val="0"/>
      <w:divBdr>
        <w:top w:val="none" w:sz="0" w:space="0" w:color="auto"/>
        <w:left w:val="none" w:sz="0" w:space="0" w:color="auto"/>
        <w:bottom w:val="none" w:sz="0" w:space="0" w:color="auto"/>
        <w:right w:val="none" w:sz="0" w:space="0" w:color="auto"/>
      </w:divBdr>
    </w:div>
    <w:div w:id="897008218">
      <w:bodyDiv w:val="1"/>
      <w:marLeft w:val="0"/>
      <w:marRight w:val="0"/>
      <w:marTop w:val="0"/>
      <w:marBottom w:val="0"/>
      <w:divBdr>
        <w:top w:val="none" w:sz="0" w:space="0" w:color="auto"/>
        <w:left w:val="none" w:sz="0" w:space="0" w:color="auto"/>
        <w:bottom w:val="none" w:sz="0" w:space="0" w:color="auto"/>
        <w:right w:val="none" w:sz="0" w:space="0" w:color="auto"/>
      </w:divBdr>
    </w:div>
    <w:div w:id="957103851">
      <w:bodyDiv w:val="1"/>
      <w:marLeft w:val="0"/>
      <w:marRight w:val="0"/>
      <w:marTop w:val="0"/>
      <w:marBottom w:val="0"/>
      <w:divBdr>
        <w:top w:val="none" w:sz="0" w:space="0" w:color="auto"/>
        <w:left w:val="none" w:sz="0" w:space="0" w:color="auto"/>
        <w:bottom w:val="none" w:sz="0" w:space="0" w:color="auto"/>
        <w:right w:val="none" w:sz="0" w:space="0" w:color="auto"/>
      </w:divBdr>
    </w:div>
    <w:div w:id="1020279692">
      <w:bodyDiv w:val="1"/>
      <w:marLeft w:val="0"/>
      <w:marRight w:val="0"/>
      <w:marTop w:val="0"/>
      <w:marBottom w:val="0"/>
      <w:divBdr>
        <w:top w:val="none" w:sz="0" w:space="0" w:color="auto"/>
        <w:left w:val="none" w:sz="0" w:space="0" w:color="auto"/>
        <w:bottom w:val="none" w:sz="0" w:space="0" w:color="auto"/>
        <w:right w:val="none" w:sz="0" w:space="0" w:color="auto"/>
      </w:divBdr>
    </w:div>
    <w:div w:id="1037051232">
      <w:bodyDiv w:val="1"/>
      <w:marLeft w:val="0"/>
      <w:marRight w:val="0"/>
      <w:marTop w:val="0"/>
      <w:marBottom w:val="0"/>
      <w:divBdr>
        <w:top w:val="none" w:sz="0" w:space="0" w:color="auto"/>
        <w:left w:val="none" w:sz="0" w:space="0" w:color="auto"/>
        <w:bottom w:val="none" w:sz="0" w:space="0" w:color="auto"/>
        <w:right w:val="none" w:sz="0" w:space="0" w:color="auto"/>
      </w:divBdr>
    </w:div>
    <w:div w:id="1041443626">
      <w:bodyDiv w:val="1"/>
      <w:marLeft w:val="0"/>
      <w:marRight w:val="0"/>
      <w:marTop w:val="0"/>
      <w:marBottom w:val="0"/>
      <w:divBdr>
        <w:top w:val="none" w:sz="0" w:space="0" w:color="auto"/>
        <w:left w:val="none" w:sz="0" w:space="0" w:color="auto"/>
        <w:bottom w:val="none" w:sz="0" w:space="0" w:color="auto"/>
        <w:right w:val="none" w:sz="0" w:space="0" w:color="auto"/>
      </w:divBdr>
    </w:div>
    <w:div w:id="1050032200">
      <w:bodyDiv w:val="1"/>
      <w:marLeft w:val="0"/>
      <w:marRight w:val="0"/>
      <w:marTop w:val="0"/>
      <w:marBottom w:val="0"/>
      <w:divBdr>
        <w:top w:val="none" w:sz="0" w:space="0" w:color="auto"/>
        <w:left w:val="none" w:sz="0" w:space="0" w:color="auto"/>
        <w:bottom w:val="none" w:sz="0" w:space="0" w:color="auto"/>
        <w:right w:val="none" w:sz="0" w:space="0" w:color="auto"/>
      </w:divBdr>
    </w:div>
    <w:div w:id="1075974707">
      <w:bodyDiv w:val="1"/>
      <w:marLeft w:val="0"/>
      <w:marRight w:val="0"/>
      <w:marTop w:val="0"/>
      <w:marBottom w:val="0"/>
      <w:divBdr>
        <w:top w:val="none" w:sz="0" w:space="0" w:color="auto"/>
        <w:left w:val="none" w:sz="0" w:space="0" w:color="auto"/>
        <w:bottom w:val="none" w:sz="0" w:space="0" w:color="auto"/>
        <w:right w:val="none" w:sz="0" w:space="0" w:color="auto"/>
      </w:divBdr>
    </w:div>
    <w:div w:id="1081830059">
      <w:bodyDiv w:val="1"/>
      <w:marLeft w:val="0"/>
      <w:marRight w:val="0"/>
      <w:marTop w:val="0"/>
      <w:marBottom w:val="0"/>
      <w:divBdr>
        <w:top w:val="none" w:sz="0" w:space="0" w:color="auto"/>
        <w:left w:val="none" w:sz="0" w:space="0" w:color="auto"/>
        <w:bottom w:val="none" w:sz="0" w:space="0" w:color="auto"/>
        <w:right w:val="none" w:sz="0" w:space="0" w:color="auto"/>
      </w:divBdr>
    </w:div>
    <w:div w:id="1203439443">
      <w:bodyDiv w:val="1"/>
      <w:marLeft w:val="0"/>
      <w:marRight w:val="0"/>
      <w:marTop w:val="0"/>
      <w:marBottom w:val="0"/>
      <w:divBdr>
        <w:top w:val="none" w:sz="0" w:space="0" w:color="auto"/>
        <w:left w:val="none" w:sz="0" w:space="0" w:color="auto"/>
        <w:bottom w:val="none" w:sz="0" w:space="0" w:color="auto"/>
        <w:right w:val="none" w:sz="0" w:space="0" w:color="auto"/>
      </w:divBdr>
    </w:div>
    <w:div w:id="1226717716">
      <w:bodyDiv w:val="1"/>
      <w:marLeft w:val="0"/>
      <w:marRight w:val="0"/>
      <w:marTop w:val="0"/>
      <w:marBottom w:val="0"/>
      <w:divBdr>
        <w:top w:val="none" w:sz="0" w:space="0" w:color="auto"/>
        <w:left w:val="none" w:sz="0" w:space="0" w:color="auto"/>
        <w:bottom w:val="none" w:sz="0" w:space="0" w:color="auto"/>
        <w:right w:val="none" w:sz="0" w:space="0" w:color="auto"/>
      </w:divBdr>
    </w:div>
    <w:div w:id="1289244037">
      <w:bodyDiv w:val="1"/>
      <w:marLeft w:val="0"/>
      <w:marRight w:val="0"/>
      <w:marTop w:val="0"/>
      <w:marBottom w:val="0"/>
      <w:divBdr>
        <w:top w:val="none" w:sz="0" w:space="0" w:color="auto"/>
        <w:left w:val="none" w:sz="0" w:space="0" w:color="auto"/>
        <w:bottom w:val="none" w:sz="0" w:space="0" w:color="auto"/>
        <w:right w:val="none" w:sz="0" w:space="0" w:color="auto"/>
      </w:divBdr>
    </w:div>
    <w:div w:id="1367171353">
      <w:bodyDiv w:val="1"/>
      <w:marLeft w:val="0"/>
      <w:marRight w:val="0"/>
      <w:marTop w:val="0"/>
      <w:marBottom w:val="0"/>
      <w:divBdr>
        <w:top w:val="none" w:sz="0" w:space="0" w:color="auto"/>
        <w:left w:val="none" w:sz="0" w:space="0" w:color="auto"/>
        <w:bottom w:val="none" w:sz="0" w:space="0" w:color="auto"/>
        <w:right w:val="none" w:sz="0" w:space="0" w:color="auto"/>
      </w:divBdr>
    </w:div>
    <w:div w:id="1452506769">
      <w:bodyDiv w:val="1"/>
      <w:marLeft w:val="0"/>
      <w:marRight w:val="0"/>
      <w:marTop w:val="0"/>
      <w:marBottom w:val="0"/>
      <w:divBdr>
        <w:top w:val="none" w:sz="0" w:space="0" w:color="auto"/>
        <w:left w:val="none" w:sz="0" w:space="0" w:color="auto"/>
        <w:bottom w:val="none" w:sz="0" w:space="0" w:color="auto"/>
        <w:right w:val="none" w:sz="0" w:space="0" w:color="auto"/>
      </w:divBdr>
    </w:div>
    <w:div w:id="1453667893">
      <w:bodyDiv w:val="1"/>
      <w:marLeft w:val="0"/>
      <w:marRight w:val="0"/>
      <w:marTop w:val="0"/>
      <w:marBottom w:val="0"/>
      <w:divBdr>
        <w:top w:val="none" w:sz="0" w:space="0" w:color="auto"/>
        <w:left w:val="none" w:sz="0" w:space="0" w:color="auto"/>
        <w:bottom w:val="none" w:sz="0" w:space="0" w:color="auto"/>
        <w:right w:val="none" w:sz="0" w:space="0" w:color="auto"/>
      </w:divBdr>
    </w:div>
    <w:div w:id="1496995859">
      <w:bodyDiv w:val="1"/>
      <w:marLeft w:val="0"/>
      <w:marRight w:val="0"/>
      <w:marTop w:val="0"/>
      <w:marBottom w:val="0"/>
      <w:divBdr>
        <w:top w:val="none" w:sz="0" w:space="0" w:color="auto"/>
        <w:left w:val="none" w:sz="0" w:space="0" w:color="auto"/>
        <w:bottom w:val="none" w:sz="0" w:space="0" w:color="auto"/>
        <w:right w:val="none" w:sz="0" w:space="0" w:color="auto"/>
      </w:divBdr>
    </w:div>
    <w:div w:id="1498032322">
      <w:bodyDiv w:val="1"/>
      <w:marLeft w:val="0"/>
      <w:marRight w:val="0"/>
      <w:marTop w:val="0"/>
      <w:marBottom w:val="0"/>
      <w:divBdr>
        <w:top w:val="none" w:sz="0" w:space="0" w:color="auto"/>
        <w:left w:val="none" w:sz="0" w:space="0" w:color="auto"/>
        <w:bottom w:val="none" w:sz="0" w:space="0" w:color="auto"/>
        <w:right w:val="none" w:sz="0" w:space="0" w:color="auto"/>
      </w:divBdr>
    </w:div>
    <w:div w:id="1499075695">
      <w:bodyDiv w:val="1"/>
      <w:marLeft w:val="0"/>
      <w:marRight w:val="0"/>
      <w:marTop w:val="0"/>
      <w:marBottom w:val="0"/>
      <w:divBdr>
        <w:top w:val="none" w:sz="0" w:space="0" w:color="auto"/>
        <w:left w:val="none" w:sz="0" w:space="0" w:color="auto"/>
        <w:bottom w:val="none" w:sz="0" w:space="0" w:color="auto"/>
        <w:right w:val="none" w:sz="0" w:space="0" w:color="auto"/>
      </w:divBdr>
    </w:div>
    <w:div w:id="1504323435">
      <w:bodyDiv w:val="1"/>
      <w:marLeft w:val="0"/>
      <w:marRight w:val="0"/>
      <w:marTop w:val="0"/>
      <w:marBottom w:val="0"/>
      <w:divBdr>
        <w:top w:val="none" w:sz="0" w:space="0" w:color="auto"/>
        <w:left w:val="none" w:sz="0" w:space="0" w:color="auto"/>
        <w:bottom w:val="none" w:sz="0" w:space="0" w:color="auto"/>
        <w:right w:val="none" w:sz="0" w:space="0" w:color="auto"/>
      </w:divBdr>
    </w:div>
    <w:div w:id="1565290370">
      <w:bodyDiv w:val="1"/>
      <w:marLeft w:val="0"/>
      <w:marRight w:val="0"/>
      <w:marTop w:val="0"/>
      <w:marBottom w:val="0"/>
      <w:divBdr>
        <w:top w:val="none" w:sz="0" w:space="0" w:color="auto"/>
        <w:left w:val="none" w:sz="0" w:space="0" w:color="auto"/>
        <w:bottom w:val="none" w:sz="0" w:space="0" w:color="auto"/>
        <w:right w:val="none" w:sz="0" w:space="0" w:color="auto"/>
      </w:divBdr>
    </w:div>
    <w:div w:id="1587568601">
      <w:bodyDiv w:val="1"/>
      <w:marLeft w:val="0"/>
      <w:marRight w:val="0"/>
      <w:marTop w:val="0"/>
      <w:marBottom w:val="0"/>
      <w:divBdr>
        <w:top w:val="none" w:sz="0" w:space="0" w:color="auto"/>
        <w:left w:val="none" w:sz="0" w:space="0" w:color="auto"/>
        <w:bottom w:val="none" w:sz="0" w:space="0" w:color="auto"/>
        <w:right w:val="none" w:sz="0" w:space="0" w:color="auto"/>
      </w:divBdr>
    </w:div>
    <w:div w:id="1592086528">
      <w:bodyDiv w:val="1"/>
      <w:marLeft w:val="0"/>
      <w:marRight w:val="0"/>
      <w:marTop w:val="0"/>
      <w:marBottom w:val="0"/>
      <w:divBdr>
        <w:top w:val="none" w:sz="0" w:space="0" w:color="auto"/>
        <w:left w:val="none" w:sz="0" w:space="0" w:color="auto"/>
        <w:bottom w:val="none" w:sz="0" w:space="0" w:color="auto"/>
        <w:right w:val="none" w:sz="0" w:space="0" w:color="auto"/>
      </w:divBdr>
    </w:div>
    <w:div w:id="1601183245">
      <w:bodyDiv w:val="1"/>
      <w:marLeft w:val="0"/>
      <w:marRight w:val="0"/>
      <w:marTop w:val="0"/>
      <w:marBottom w:val="0"/>
      <w:divBdr>
        <w:top w:val="none" w:sz="0" w:space="0" w:color="auto"/>
        <w:left w:val="none" w:sz="0" w:space="0" w:color="auto"/>
        <w:bottom w:val="none" w:sz="0" w:space="0" w:color="auto"/>
        <w:right w:val="none" w:sz="0" w:space="0" w:color="auto"/>
      </w:divBdr>
    </w:div>
    <w:div w:id="1602256684">
      <w:bodyDiv w:val="1"/>
      <w:marLeft w:val="0"/>
      <w:marRight w:val="0"/>
      <w:marTop w:val="0"/>
      <w:marBottom w:val="0"/>
      <w:divBdr>
        <w:top w:val="none" w:sz="0" w:space="0" w:color="auto"/>
        <w:left w:val="none" w:sz="0" w:space="0" w:color="auto"/>
        <w:bottom w:val="none" w:sz="0" w:space="0" w:color="auto"/>
        <w:right w:val="none" w:sz="0" w:space="0" w:color="auto"/>
      </w:divBdr>
    </w:div>
    <w:div w:id="1658683321">
      <w:bodyDiv w:val="1"/>
      <w:marLeft w:val="0"/>
      <w:marRight w:val="0"/>
      <w:marTop w:val="0"/>
      <w:marBottom w:val="0"/>
      <w:divBdr>
        <w:top w:val="none" w:sz="0" w:space="0" w:color="auto"/>
        <w:left w:val="none" w:sz="0" w:space="0" w:color="auto"/>
        <w:bottom w:val="none" w:sz="0" w:space="0" w:color="auto"/>
        <w:right w:val="none" w:sz="0" w:space="0" w:color="auto"/>
      </w:divBdr>
    </w:div>
    <w:div w:id="1710492860">
      <w:bodyDiv w:val="1"/>
      <w:marLeft w:val="0"/>
      <w:marRight w:val="0"/>
      <w:marTop w:val="0"/>
      <w:marBottom w:val="0"/>
      <w:divBdr>
        <w:top w:val="none" w:sz="0" w:space="0" w:color="auto"/>
        <w:left w:val="none" w:sz="0" w:space="0" w:color="auto"/>
        <w:bottom w:val="none" w:sz="0" w:space="0" w:color="auto"/>
        <w:right w:val="none" w:sz="0" w:space="0" w:color="auto"/>
      </w:divBdr>
    </w:div>
    <w:div w:id="1735274534">
      <w:bodyDiv w:val="1"/>
      <w:marLeft w:val="0"/>
      <w:marRight w:val="0"/>
      <w:marTop w:val="0"/>
      <w:marBottom w:val="0"/>
      <w:divBdr>
        <w:top w:val="none" w:sz="0" w:space="0" w:color="auto"/>
        <w:left w:val="none" w:sz="0" w:space="0" w:color="auto"/>
        <w:bottom w:val="none" w:sz="0" w:space="0" w:color="auto"/>
        <w:right w:val="none" w:sz="0" w:space="0" w:color="auto"/>
      </w:divBdr>
    </w:div>
    <w:div w:id="1764374141">
      <w:bodyDiv w:val="1"/>
      <w:marLeft w:val="0"/>
      <w:marRight w:val="0"/>
      <w:marTop w:val="0"/>
      <w:marBottom w:val="0"/>
      <w:divBdr>
        <w:top w:val="none" w:sz="0" w:space="0" w:color="auto"/>
        <w:left w:val="none" w:sz="0" w:space="0" w:color="auto"/>
        <w:bottom w:val="none" w:sz="0" w:space="0" w:color="auto"/>
        <w:right w:val="none" w:sz="0" w:space="0" w:color="auto"/>
      </w:divBdr>
    </w:div>
    <w:div w:id="1791318733">
      <w:bodyDiv w:val="1"/>
      <w:marLeft w:val="0"/>
      <w:marRight w:val="0"/>
      <w:marTop w:val="0"/>
      <w:marBottom w:val="0"/>
      <w:divBdr>
        <w:top w:val="none" w:sz="0" w:space="0" w:color="auto"/>
        <w:left w:val="none" w:sz="0" w:space="0" w:color="auto"/>
        <w:bottom w:val="none" w:sz="0" w:space="0" w:color="auto"/>
        <w:right w:val="none" w:sz="0" w:space="0" w:color="auto"/>
      </w:divBdr>
    </w:div>
    <w:div w:id="1854028600">
      <w:bodyDiv w:val="1"/>
      <w:marLeft w:val="0"/>
      <w:marRight w:val="0"/>
      <w:marTop w:val="0"/>
      <w:marBottom w:val="0"/>
      <w:divBdr>
        <w:top w:val="none" w:sz="0" w:space="0" w:color="auto"/>
        <w:left w:val="none" w:sz="0" w:space="0" w:color="auto"/>
        <w:bottom w:val="none" w:sz="0" w:space="0" w:color="auto"/>
        <w:right w:val="none" w:sz="0" w:space="0" w:color="auto"/>
      </w:divBdr>
    </w:div>
    <w:div w:id="1858150498">
      <w:bodyDiv w:val="1"/>
      <w:marLeft w:val="0"/>
      <w:marRight w:val="0"/>
      <w:marTop w:val="0"/>
      <w:marBottom w:val="0"/>
      <w:divBdr>
        <w:top w:val="none" w:sz="0" w:space="0" w:color="auto"/>
        <w:left w:val="none" w:sz="0" w:space="0" w:color="auto"/>
        <w:bottom w:val="none" w:sz="0" w:space="0" w:color="auto"/>
        <w:right w:val="none" w:sz="0" w:space="0" w:color="auto"/>
      </w:divBdr>
    </w:div>
    <w:div w:id="1859732726">
      <w:bodyDiv w:val="1"/>
      <w:marLeft w:val="0"/>
      <w:marRight w:val="0"/>
      <w:marTop w:val="0"/>
      <w:marBottom w:val="0"/>
      <w:divBdr>
        <w:top w:val="none" w:sz="0" w:space="0" w:color="auto"/>
        <w:left w:val="none" w:sz="0" w:space="0" w:color="auto"/>
        <w:bottom w:val="none" w:sz="0" w:space="0" w:color="auto"/>
        <w:right w:val="none" w:sz="0" w:space="0" w:color="auto"/>
      </w:divBdr>
    </w:div>
    <w:div w:id="1907107332">
      <w:bodyDiv w:val="1"/>
      <w:marLeft w:val="0"/>
      <w:marRight w:val="0"/>
      <w:marTop w:val="0"/>
      <w:marBottom w:val="0"/>
      <w:divBdr>
        <w:top w:val="none" w:sz="0" w:space="0" w:color="auto"/>
        <w:left w:val="none" w:sz="0" w:space="0" w:color="auto"/>
        <w:bottom w:val="none" w:sz="0" w:space="0" w:color="auto"/>
        <w:right w:val="none" w:sz="0" w:space="0" w:color="auto"/>
      </w:divBdr>
    </w:div>
    <w:div w:id="1909488765">
      <w:bodyDiv w:val="1"/>
      <w:marLeft w:val="0"/>
      <w:marRight w:val="0"/>
      <w:marTop w:val="0"/>
      <w:marBottom w:val="0"/>
      <w:divBdr>
        <w:top w:val="none" w:sz="0" w:space="0" w:color="auto"/>
        <w:left w:val="none" w:sz="0" w:space="0" w:color="auto"/>
        <w:bottom w:val="none" w:sz="0" w:space="0" w:color="auto"/>
        <w:right w:val="none" w:sz="0" w:space="0" w:color="auto"/>
      </w:divBdr>
    </w:div>
    <w:div w:id="1937010770">
      <w:bodyDiv w:val="1"/>
      <w:marLeft w:val="0"/>
      <w:marRight w:val="0"/>
      <w:marTop w:val="0"/>
      <w:marBottom w:val="0"/>
      <w:divBdr>
        <w:top w:val="none" w:sz="0" w:space="0" w:color="auto"/>
        <w:left w:val="none" w:sz="0" w:space="0" w:color="auto"/>
        <w:bottom w:val="none" w:sz="0" w:space="0" w:color="auto"/>
        <w:right w:val="none" w:sz="0" w:space="0" w:color="auto"/>
      </w:divBdr>
    </w:div>
    <w:div w:id="1963537229">
      <w:bodyDiv w:val="1"/>
      <w:marLeft w:val="0"/>
      <w:marRight w:val="0"/>
      <w:marTop w:val="0"/>
      <w:marBottom w:val="0"/>
      <w:divBdr>
        <w:top w:val="none" w:sz="0" w:space="0" w:color="auto"/>
        <w:left w:val="none" w:sz="0" w:space="0" w:color="auto"/>
        <w:bottom w:val="none" w:sz="0" w:space="0" w:color="auto"/>
        <w:right w:val="none" w:sz="0" w:space="0" w:color="auto"/>
      </w:divBdr>
    </w:div>
    <w:div w:id="2025671848">
      <w:bodyDiv w:val="1"/>
      <w:marLeft w:val="0"/>
      <w:marRight w:val="0"/>
      <w:marTop w:val="0"/>
      <w:marBottom w:val="0"/>
      <w:divBdr>
        <w:top w:val="none" w:sz="0" w:space="0" w:color="auto"/>
        <w:left w:val="none" w:sz="0" w:space="0" w:color="auto"/>
        <w:bottom w:val="none" w:sz="0" w:space="0" w:color="auto"/>
        <w:right w:val="none" w:sz="0" w:space="0" w:color="auto"/>
      </w:divBdr>
    </w:div>
    <w:div w:id="2094621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5594</Words>
  <Characters>31888</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37408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Miller, Corey</dc:creator>
  <cp:keywords/>
  <dc:description/>
  <cp:lastModifiedBy>Miller, Corey</cp:lastModifiedBy>
  <cp:revision>4</cp:revision>
  <dcterms:created xsi:type="dcterms:W3CDTF">2024-11-25T04:31:00Z</dcterms:created>
  <dcterms:modified xsi:type="dcterms:W3CDTF">2024-11-25T04:33:00Z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2024-11-18T15:15:10Z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5cbad104-8dd4-467c-9a40-3e0f98f1abe1</vt:lpwstr>
  </property>
  <property fmtid="{D5CDD505-2E9C-101B-9397-08002B2CF9AE}" pid="8" name="MSIP_Label_f2acd28b-79a3-4a0f-b0ff-4b75658b1549_ContentBits">
    <vt:lpwstr>0</vt:lpwstr>
  </property>
</Properties>
</file>