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B3608" w14:textId="77777777" w:rsidR="000849E4" w:rsidRDefault="000849E4"/>
    <w:p w14:paraId="2523D321" w14:textId="77777777" w:rsidR="00AE7613" w:rsidRDefault="00AE7613"/>
    <w:p w14:paraId="1B685AD0" w14:textId="77777777" w:rsidR="00AE7613" w:rsidRDefault="00AE7613"/>
    <w:p w14:paraId="366CD0C8" w14:textId="77777777" w:rsidR="00AE7613" w:rsidRDefault="00AE7613"/>
    <w:p w14:paraId="16DC282C" w14:textId="77777777" w:rsidR="00AE7613" w:rsidRDefault="00AE7613"/>
    <w:p w14:paraId="11AB1D21" w14:textId="77777777" w:rsidR="00AE7613" w:rsidRDefault="00AE7613" w:rsidP="00AE7613">
      <w:pPr>
        <w:jc w:val="center"/>
        <w:rPr>
          <w:b/>
          <w:bCs/>
          <w:sz w:val="36"/>
          <w:szCs w:val="36"/>
        </w:rPr>
      </w:pPr>
      <w:r>
        <w:tab/>
      </w:r>
    </w:p>
    <w:p w14:paraId="6C89261A" w14:textId="77777777" w:rsidR="00AE7613" w:rsidRDefault="00AE7613" w:rsidP="00AE7613">
      <w:pPr>
        <w:jc w:val="center"/>
        <w:rPr>
          <w:b/>
          <w:bCs/>
          <w:sz w:val="36"/>
          <w:szCs w:val="36"/>
        </w:rPr>
      </w:pPr>
    </w:p>
    <w:p w14:paraId="6487AD55" w14:textId="77777777" w:rsidR="00AE7613" w:rsidRDefault="00AE7613" w:rsidP="00AE7613">
      <w:pPr>
        <w:jc w:val="center"/>
        <w:rPr>
          <w:b/>
          <w:bCs/>
          <w:sz w:val="36"/>
          <w:szCs w:val="36"/>
        </w:rPr>
      </w:pPr>
      <w:r>
        <w:rPr>
          <w:b/>
          <w:bCs/>
          <w:sz w:val="36"/>
          <w:szCs w:val="36"/>
        </w:rPr>
        <w:t>Management &amp; Organisational Behaviour</w:t>
      </w:r>
    </w:p>
    <w:p w14:paraId="44118BE4" w14:textId="56BD09BD" w:rsidR="00AE7613" w:rsidRPr="00C2730A" w:rsidRDefault="00AE7613" w:rsidP="00AE7613">
      <w:pPr>
        <w:jc w:val="center"/>
        <w:rPr>
          <w:i/>
          <w:iCs/>
          <w:sz w:val="36"/>
          <w:szCs w:val="36"/>
          <w:u w:val="single"/>
        </w:rPr>
      </w:pPr>
      <w:r w:rsidRPr="00C2730A">
        <w:rPr>
          <w:i/>
          <w:iCs/>
          <w:sz w:val="36"/>
          <w:szCs w:val="36"/>
          <w:u w:val="single"/>
        </w:rPr>
        <w:t xml:space="preserve">Assignment </w:t>
      </w:r>
      <w:r>
        <w:rPr>
          <w:i/>
          <w:iCs/>
          <w:sz w:val="36"/>
          <w:szCs w:val="36"/>
          <w:u w:val="single"/>
        </w:rPr>
        <w:t>2</w:t>
      </w:r>
    </w:p>
    <w:p w14:paraId="703086E3" w14:textId="77777777" w:rsidR="00AE7613" w:rsidRDefault="00AE7613" w:rsidP="00AE7613">
      <w:pPr>
        <w:jc w:val="center"/>
      </w:pPr>
    </w:p>
    <w:p w14:paraId="10B3A33C" w14:textId="77777777" w:rsidR="00AE7613" w:rsidRDefault="00AE7613" w:rsidP="00AE7613">
      <w:pPr>
        <w:jc w:val="center"/>
      </w:pPr>
    </w:p>
    <w:p w14:paraId="5689F682" w14:textId="77777777" w:rsidR="00AE7613" w:rsidRDefault="00AE7613" w:rsidP="00AE7613">
      <w:pPr>
        <w:jc w:val="center"/>
      </w:pPr>
    </w:p>
    <w:p w14:paraId="05C2BE89" w14:textId="77777777" w:rsidR="00AE7613" w:rsidRDefault="00AE7613" w:rsidP="00AE7613">
      <w:pPr>
        <w:jc w:val="center"/>
      </w:pPr>
    </w:p>
    <w:p w14:paraId="0955C651" w14:textId="77777777" w:rsidR="00AE7613" w:rsidRDefault="00AE7613" w:rsidP="00AE7613"/>
    <w:p w14:paraId="3AA5C880" w14:textId="77777777" w:rsidR="00AE7613" w:rsidRDefault="00AE7613" w:rsidP="00AE7613">
      <w:pPr>
        <w:jc w:val="center"/>
      </w:pPr>
    </w:p>
    <w:p w14:paraId="05099D63" w14:textId="77777777" w:rsidR="00AE7613" w:rsidRDefault="00AE7613" w:rsidP="00AE7613">
      <w:pPr>
        <w:jc w:val="center"/>
      </w:pPr>
    </w:p>
    <w:p w14:paraId="5CE78BFF" w14:textId="77777777" w:rsidR="00AE7613" w:rsidRPr="00C2730A" w:rsidRDefault="00AE7613" w:rsidP="00AE7613">
      <w:pPr>
        <w:jc w:val="left"/>
        <w:rPr>
          <w:b/>
          <w:bCs/>
          <w:sz w:val="28"/>
          <w:szCs w:val="28"/>
        </w:rPr>
      </w:pPr>
      <w:r w:rsidRPr="00C2730A">
        <w:rPr>
          <w:b/>
          <w:bCs/>
          <w:sz w:val="28"/>
          <w:szCs w:val="28"/>
        </w:rPr>
        <w:t xml:space="preserve">Student Name: Nicolae Eduard </w:t>
      </w:r>
      <w:proofErr w:type="spellStart"/>
      <w:r w:rsidRPr="00C2730A">
        <w:rPr>
          <w:b/>
          <w:bCs/>
          <w:sz w:val="28"/>
          <w:szCs w:val="28"/>
        </w:rPr>
        <w:t>Gura</w:t>
      </w:r>
      <w:proofErr w:type="spellEnd"/>
    </w:p>
    <w:p w14:paraId="39F295D8" w14:textId="77777777" w:rsidR="00AE7613" w:rsidRPr="00C2730A" w:rsidRDefault="00AE7613" w:rsidP="00AE7613">
      <w:pPr>
        <w:jc w:val="left"/>
        <w:rPr>
          <w:b/>
          <w:bCs/>
          <w:sz w:val="28"/>
          <w:szCs w:val="28"/>
        </w:rPr>
      </w:pPr>
      <w:r w:rsidRPr="00C2730A">
        <w:rPr>
          <w:b/>
          <w:bCs/>
          <w:sz w:val="28"/>
          <w:szCs w:val="28"/>
        </w:rPr>
        <w:t>Student ID:211089</w:t>
      </w:r>
    </w:p>
    <w:p w14:paraId="50B5CC67" w14:textId="1EE3BA4E" w:rsidR="00AE7613" w:rsidRPr="00AE7613" w:rsidRDefault="00AE7613" w:rsidP="00AE7613">
      <w:pPr>
        <w:jc w:val="left"/>
        <w:rPr>
          <w:b/>
          <w:bCs/>
          <w:sz w:val="28"/>
          <w:szCs w:val="28"/>
        </w:rPr>
      </w:pPr>
      <w:r w:rsidRPr="00C2730A">
        <w:rPr>
          <w:b/>
          <w:bCs/>
          <w:sz w:val="28"/>
          <w:szCs w:val="28"/>
        </w:rPr>
        <w:t>Module code: BMIH50</w:t>
      </w:r>
      <w:r>
        <w:rPr>
          <w:b/>
          <w:bCs/>
          <w:sz w:val="28"/>
          <w:szCs w:val="28"/>
        </w:rPr>
        <w:t>04</w:t>
      </w:r>
    </w:p>
    <w:p w14:paraId="726C9C8F" w14:textId="77777777" w:rsidR="00AE7613" w:rsidRDefault="00AE7613"/>
    <w:p w14:paraId="7B1C35C7" w14:textId="77777777" w:rsidR="00AE7613" w:rsidRDefault="00AE7613"/>
    <w:p w14:paraId="5A23F7D9" w14:textId="77777777" w:rsidR="00AE7613" w:rsidRDefault="00AE7613"/>
    <w:p w14:paraId="554734F9" w14:textId="77777777" w:rsidR="00AE7613" w:rsidRDefault="00AE7613"/>
    <w:p w14:paraId="4046B1E1" w14:textId="77777777" w:rsidR="00AE7613" w:rsidRDefault="00AE7613"/>
    <w:sdt>
      <w:sdtPr>
        <w:rPr>
          <w:rFonts w:ascii="Arial" w:eastAsiaTheme="minorHAnsi" w:hAnsi="Arial" w:cs="Arial"/>
          <w:color w:val="auto"/>
          <w:sz w:val="24"/>
          <w:szCs w:val="22"/>
          <w:lang w:val="en-GB"/>
        </w:rPr>
        <w:id w:val="-45605101"/>
        <w:docPartObj>
          <w:docPartGallery w:val="Table of Contents"/>
          <w:docPartUnique/>
        </w:docPartObj>
      </w:sdtPr>
      <w:sdtContent>
        <w:p w14:paraId="613F9C3B" w14:textId="77777777" w:rsidR="00AE7613" w:rsidRDefault="00AE7613" w:rsidP="00AE7613">
          <w:pPr>
            <w:pStyle w:val="TOCHeading"/>
            <w:spacing w:line="360" w:lineRule="auto"/>
            <w:jc w:val="center"/>
            <w:rPr>
              <w:rFonts w:ascii="Arial" w:hAnsi="Arial" w:cs="Arial"/>
              <w:color w:val="auto"/>
            </w:rPr>
          </w:pPr>
          <w:r>
            <w:rPr>
              <w:rFonts w:ascii="Arial" w:hAnsi="Arial" w:cs="Arial"/>
              <w:color w:val="auto"/>
            </w:rPr>
            <w:t>Table of Contents</w:t>
          </w:r>
        </w:p>
        <w:p w14:paraId="605978FF" w14:textId="77777777" w:rsidR="00AE7613" w:rsidRDefault="00AE7613" w:rsidP="00AE7613">
          <w:pPr>
            <w:pStyle w:val="TOC1"/>
            <w:tabs>
              <w:tab w:val="right" w:leader="dot" w:pos="9016"/>
            </w:tabs>
            <w:rPr>
              <w:rFonts w:ascii="Arial" w:hAnsi="Arial" w:cs="Arial"/>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5" w:anchor="_Toc137213751" w:history="1">
            <w:r>
              <w:rPr>
                <w:rStyle w:val="Hyperlink"/>
                <w:rFonts w:ascii="Arial" w:hAnsi="Arial" w:cs="Arial"/>
                <w:noProof/>
              </w:rPr>
              <w:t>Introduction</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_Toc137213751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3</w:t>
            </w:r>
            <w:r>
              <w:rPr>
                <w:rStyle w:val="Hyperlink"/>
                <w:rFonts w:ascii="Arial" w:hAnsi="Arial" w:cs="Arial"/>
                <w:noProof/>
                <w:webHidden/>
              </w:rPr>
              <w:fldChar w:fldCharType="end"/>
            </w:r>
          </w:hyperlink>
        </w:p>
        <w:p w14:paraId="6383A840" w14:textId="77777777" w:rsidR="00AE7613" w:rsidRDefault="00AE7613" w:rsidP="00AE7613">
          <w:pPr>
            <w:pStyle w:val="TOC1"/>
            <w:tabs>
              <w:tab w:val="right" w:leader="dot" w:pos="9016"/>
            </w:tabs>
            <w:rPr>
              <w:rFonts w:ascii="Arial" w:hAnsi="Arial" w:cs="Arial"/>
              <w:noProof/>
            </w:rPr>
          </w:pPr>
          <w:hyperlink r:id="rId6" w:anchor="_Toc137213752" w:history="1">
            <w:r>
              <w:rPr>
                <w:rStyle w:val="Hyperlink"/>
                <w:rFonts w:ascii="Arial" w:hAnsi="Arial" w:cs="Arial"/>
                <w:noProof/>
              </w:rPr>
              <w:t>Audit Results</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_Toc137213752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4</w:t>
            </w:r>
            <w:r>
              <w:rPr>
                <w:rStyle w:val="Hyperlink"/>
                <w:rFonts w:ascii="Arial" w:hAnsi="Arial" w:cs="Arial"/>
                <w:noProof/>
                <w:webHidden/>
              </w:rPr>
              <w:fldChar w:fldCharType="end"/>
            </w:r>
          </w:hyperlink>
        </w:p>
        <w:p w14:paraId="4CDA8261" w14:textId="77777777" w:rsidR="00AE7613" w:rsidRDefault="00AE7613" w:rsidP="00AE7613">
          <w:pPr>
            <w:pStyle w:val="TOC2"/>
            <w:tabs>
              <w:tab w:val="right" w:leader="dot" w:pos="9016"/>
            </w:tabs>
            <w:rPr>
              <w:rFonts w:ascii="Arial" w:hAnsi="Arial" w:cs="Arial"/>
              <w:noProof/>
            </w:rPr>
          </w:pPr>
          <w:hyperlink r:id="rId7" w:anchor="_Toc137213753" w:history="1">
            <w:r>
              <w:rPr>
                <w:rStyle w:val="Hyperlink"/>
                <w:rFonts w:ascii="Arial" w:hAnsi="Arial" w:cs="Arial"/>
                <w:noProof/>
              </w:rPr>
              <w:t>Organisational Structure</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_Toc137213753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4</w:t>
            </w:r>
            <w:r>
              <w:rPr>
                <w:rStyle w:val="Hyperlink"/>
                <w:rFonts w:ascii="Arial" w:hAnsi="Arial" w:cs="Arial"/>
                <w:noProof/>
                <w:webHidden/>
              </w:rPr>
              <w:fldChar w:fldCharType="end"/>
            </w:r>
          </w:hyperlink>
        </w:p>
        <w:p w14:paraId="75C8A8FD" w14:textId="77777777" w:rsidR="00AE7613" w:rsidRDefault="00AE7613" w:rsidP="00AE7613">
          <w:pPr>
            <w:pStyle w:val="TOC2"/>
            <w:tabs>
              <w:tab w:val="right" w:leader="dot" w:pos="9016"/>
            </w:tabs>
            <w:rPr>
              <w:rFonts w:ascii="Arial" w:hAnsi="Arial" w:cs="Arial"/>
              <w:noProof/>
            </w:rPr>
          </w:pPr>
          <w:hyperlink r:id="rId8" w:anchor="_Toc137213754" w:history="1">
            <w:r>
              <w:rPr>
                <w:rStyle w:val="Hyperlink"/>
                <w:rFonts w:ascii="Arial" w:hAnsi="Arial" w:cs="Arial"/>
                <w:noProof/>
              </w:rPr>
              <w:t>Organisational Culture and Goals</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_Toc137213754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5</w:t>
            </w:r>
            <w:r>
              <w:rPr>
                <w:rStyle w:val="Hyperlink"/>
                <w:rFonts w:ascii="Arial" w:hAnsi="Arial" w:cs="Arial"/>
                <w:noProof/>
                <w:webHidden/>
              </w:rPr>
              <w:fldChar w:fldCharType="end"/>
            </w:r>
          </w:hyperlink>
        </w:p>
        <w:p w14:paraId="2E07E560" w14:textId="77777777" w:rsidR="00AE7613" w:rsidRDefault="00AE7613" w:rsidP="00AE7613">
          <w:pPr>
            <w:pStyle w:val="TOC2"/>
            <w:tabs>
              <w:tab w:val="right" w:leader="dot" w:pos="9016"/>
            </w:tabs>
            <w:rPr>
              <w:rFonts w:ascii="Arial" w:hAnsi="Arial" w:cs="Arial"/>
              <w:noProof/>
            </w:rPr>
          </w:pPr>
          <w:hyperlink r:id="rId9" w:anchor="_Toc137213755" w:history="1">
            <w:r>
              <w:rPr>
                <w:rStyle w:val="Hyperlink"/>
                <w:rFonts w:ascii="Arial" w:hAnsi="Arial" w:cs="Arial"/>
                <w:noProof/>
              </w:rPr>
              <w:t>Recent Change Initiatives at the Hilton Hotel Group along with their Impact and Management</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_Toc137213755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7</w:t>
            </w:r>
            <w:r>
              <w:rPr>
                <w:rStyle w:val="Hyperlink"/>
                <w:rFonts w:ascii="Arial" w:hAnsi="Arial" w:cs="Arial"/>
                <w:noProof/>
                <w:webHidden/>
              </w:rPr>
              <w:fldChar w:fldCharType="end"/>
            </w:r>
          </w:hyperlink>
        </w:p>
        <w:p w14:paraId="7FF76A44" w14:textId="77777777" w:rsidR="00AE7613" w:rsidRDefault="00AE7613" w:rsidP="00AE7613">
          <w:pPr>
            <w:pStyle w:val="TOC2"/>
            <w:tabs>
              <w:tab w:val="right" w:leader="dot" w:pos="9016"/>
            </w:tabs>
            <w:rPr>
              <w:rFonts w:ascii="Arial" w:hAnsi="Arial" w:cs="Arial"/>
              <w:noProof/>
            </w:rPr>
          </w:pPr>
          <w:hyperlink r:id="rId10" w:anchor="_Toc137213756" w:history="1">
            <w:r>
              <w:rPr>
                <w:rStyle w:val="Hyperlink"/>
                <w:rFonts w:ascii="Arial" w:hAnsi="Arial" w:cs="Arial"/>
                <w:noProof/>
              </w:rPr>
              <w:t>Strategic Direction of Hilton Hotel Group</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_Toc137213756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9</w:t>
            </w:r>
            <w:r>
              <w:rPr>
                <w:rStyle w:val="Hyperlink"/>
                <w:rFonts w:ascii="Arial" w:hAnsi="Arial" w:cs="Arial"/>
                <w:noProof/>
                <w:webHidden/>
              </w:rPr>
              <w:fldChar w:fldCharType="end"/>
            </w:r>
          </w:hyperlink>
        </w:p>
        <w:p w14:paraId="51B49D1A" w14:textId="77777777" w:rsidR="00AE7613" w:rsidRDefault="00AE7613" w:rsidP="00AE7613">
          <w:pPr>
            <w:pStyle w:val="TOC2"/>
            <w:tabs>
              <w:tab w:val="right" w:leader="dot" w:pos="9016"/>
            </w:tabs>
            <w:rPr>
              <w:rFonts w:ascii="Arial" w:hAnsi="Arial" w:cs="Arial"/>
              <w:noProof/>
            </w:rPr>
          </w:pPr>
          <w:hyperlink r:id="rId11" w:anchor="_Toc137213757" w:history="1">
            <w:r>
              <w:rPr>
                <w:rStyle w:val="Hyperlink"/>
                <w:rFonts w:ascii="Arial" w:hAnsi="Arial" w:cs="Arial"/>
                <w:noProof/>
              </w:rPr>
              <w:t>Current Business Performance of Hilton Hotel Group</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_Toc137213757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10</w:t>
            </w:r>
            <w:r>
              <w:rPr>
                <w:rStyle w:val="Hyperlink"/>
                <w:rFonts w:ascii="Arial" w:hAnsi="Arial" w:cs="Arial"/>
                <w:noProof/>
                <w:webHidden/>
              </w:rPr>
              <w:fldChar w:fldCharType="end"/>
            </w:r>
          </w:hyperlink>
        </w:p>
        <w:p w14:paraId="18FBC597" w14:textId="77777777" w:rsidR="00AE7613" w:rsidRDefault="00AE7613" w:rsidP="00AE7613">
          <w:pPr>
            <w:pStyle w:val="TOC1"/>
            <w:tabs>
              <w:tab w:val="right" w:leader="dot" w:pos="9016"/>
            </w:tabs>
            <w:rPr>
              <w:rFonts w:ascii="Arial" w:hAnsi="Arial" w:cs="Arial"/>
              <w:noProof/>
            </w:rPr>
          </w:pPr>
          <w:hyperlink r:id="rId12" w:anchor="_Toc137213758" w:history="1">
            <w:r>
              <w:rPr>
                <w:rStyle w:val="Hyperlink"/>
                <w:rFonts w:ascii="Arial" w:hAnsi="Arial" w:cs="Arial"/>
                <w:noProof/>
              </w:rPr>
              <w:t>Conclusion</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_Toc137213758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12</w:t>
            </w:r>
            <w:r>
              <w:rPr>
                <w:rStyle w:val="Hyperlink"/>
                <w:rFonts w:ascii="Arial" w:hAnsi="Arial" w:cs="Arial"/>
                <w:noProof/>
                <w:webHidden/>
              </w:rPr>
              <w:fldChar w:fldCharType="end"/>
            </w:r>
          </w:hyperlink>
        </w:p>
        <w:p w14:paraId="0DD7EEDA" w14:textId="77777777" w:rsidR="00AE7613" w:rsidRDefault="00AE7613" w:rsidP="00AE7613">
          <w:pPr>
            <w:pStyle w:val="TOC1"/>
            <w:tabs>
              <w:tab w:val="right" w:leader="dot" w:pos="9016"/>
            </w:tabs>
            <w:rPr>
              <w:rFonts w:ascii="Arial" w:hAnsi="Arial" w:cs="Arial"/>
              <w:noProof/>
            </w:rPr>
          </w:pPr>
          <w:hyperlink r:id="rId13" w:anchor="_Toc137213759" w:history="1">
            <w:r>
              <w:rPr>
                <w:rStyle w:val="Hyperlink"/>
                <w:rFonts w:ascii="Arial" w:hAnsi="Arial" w:cs="Arial"/>
                <w:noProof/>
              </w:rPr>
              <w:t>Reference</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_Toc137213759 \h </w:instrText>
            </w:r>
            <w:r>
              <w:rPr>
                <w:rStyle w:val="Hyperlink"/>
                <w:rFonts w:ascii="Arial" w:hAnsi="Arial" w:cs="Arial"/>
                <w:noProof/>
                <w:webHidden/>
              </w:rPr>
            </w:r>
            <w:r>
              <w:rPr>
                <w:rStyle w:val="Hyperlink"/>
                <w:rFonts w:ascii="Arial" w:hAnsi="Arial" w:cs="Arial"/>
                <w:noProof/>
                <w:webHidden/>
              </w:rPr>
              <w:fldChar w:fldCharType="separate"/>
            </w:r>
            <w:r>
              <w:rPr>
                <w:rStyle w:val="Hyperlink"/>
                <w:rFonts w:ascii="Arial" w:hAnsi="Arial" w:cs="Arial"/>
                <w:noProof/>
                <w:webHidden/>
              </w:rPr>
              <w:t>13</w:t>
            </w:r>
            <w:r>
              <w:rPr>
                <w:rStyle w:val="Hyperlink"/>
                <w:rFonts w:ascii="Arial" w:hAnsi="Arial" w:cs="Arial"/>
                <w:noProof/>
                <w:webHidden/>
              </w:rPr>
              <w:fldChar w:fldCharType="end"/>
            </w:r>
          </w:hyperlink>
        </w:p>
        <w:p w14:paraId="2FF2CF21" w14:textId="77777777" w:rsidR="00AE7613" w:rsidRDefault="00AE7613" w:rsidP="00AE7613">
          <w:pPr>
            <w:rPr>
              <w:rFonts w:ascii="Arial" w:hAnsi="Arial" w:cs="Arial"/>
            </w:rPr>
          </w:pPr>
          <w:r>
            <w:rPr>
              <w:rFonts w:ascii="Arial" w:hAnsi="Arial" w:cs="Arial"/>
              <w:b/>
              <w:bCs/>
              <w:noProof/>
            </w:rPr>
            <w:fldChar w:fldCharType="end"/>
          </w:r>
        </w:p>
      </w:sdtContent>
    </w:sdt>
    <w:p w14:paraId="1100E5BB" w14:textId="77777777" w:rsidR="00AE7613" w:rsidRDefault="00AE7613" w:rsidP="00AE7613">
      <w:pPr>
        <w:rPr>
          <w:rFonts w:ascii="Arial" w:hAnsi="Arial" w:cs="Arial"/>
        </w:rPr>
      </w:pPr>
    </w:p>
    <w:p w14:paraId="6A79E802" w14:textId="77777777" w:rsidR="00AE7613" w:rsidRDefault="00AE7613" w:rsidP="00AE7613">
      <w:pPr>
        <w:rPr>
          <w:rFonts w:ascii="Arial" w:hAnsi="Arial" w:cs="Arial"/>
        </w:rPr>
      </w:pPr>
    </w:p>
    <w:p w14:paraId="61C693F4" w14:textId="77777777" w:rsidR="00AE7613" w:rsidRDefault="00AE7613" w:rsidP="00AE7613">
      <w:pPr>
        <w:rPr>
          <w:rFonts w:ascii="Arial" w:hAnsi="Arial" w:cs="Arial"/>
        </w:rPr>
      </w:pPr>
    </w:p>
    <w:p w14:paraId="1A26E1D1" w14:textId="77777777" w:rsidR="00AE7613" w:rsidRDefault="00AE7613" w:rsidP="00AE7613">
      <w:pPr>
        <w:rPr>
          <w:rFonts w:ascii="Arial" w:hAnsi="Arial" w:cs="Arial"/>
        </w:rPr>
      </w:pPr>
    </w:p>
    <w:p w14:paraId="60B1D129" w14:textId="77777777" w:rsidR="00AE7613" w:rsidRDefault="00AE7613" w:rsidP="00AE7613">
      <w:pPr>
        <w:rPr>
          <w:rFonts w:ascii="Arial" w:hAnsi="Arial" w:cs="Arial"/>
        </w:rPr>
      </w:pPr>
    </w:p>
    <w:p w14:paraId="20B2019D" w14:textId="77777777" w:rsidR="00AE7613" w:rsidRDefault="00AE7613" w:rsidP="00AE7613">
      <w:pPr>
        <w:rPr>
          <w:rFonts w:ascii="Arial" w:hAnsi="Arial" w:cs="Arial"/>
        </w:rPr>
      </w:pPr>
    </w:p>
    <w:p w14:paraId="67F4B734" w14:textId="77777777" w:rsidR="00AE7613" w:rsidRDefault="00AE7613" w:rsidP="00AE7613">
      <w:pPr>
        <w:rPr>
          <w:rFonts w:ascii="Arial" w:hAnsi="Arial" w:cs="Arial"/>
        </w:rPr>
      </w:pPr>
    </w:p>
    <w:p w14:paraId="3225378F" w14:textId="77777777" w:rsidR="00AE7613" w:rsidRDefault="00AE7613" w:rsidP="00AE7613">
      <w:pPr>
        <w:rPr>
          <w:rFonts w:ascii="Arial" w:hAnsi="Arial" w:cs="Arial"/>
        </w:rPr>
      </w:pPr>
    </w:p>
    <w:p w14:paraId="58D1317B" w14:textId="77777777" w:rsidR="00AE7613" w:rsidRDefault="00AE7613" w:rsidP="00AE7613">
      <w:pPr>
        <w:rPr>
          <w:rFonts w:ascii="Arial" w:hAnsi="Arial" w:cs="Arial"/>
        </w:rPr>
      </w:pPr>
    </w:p>
    <w:p w14:paraId="082E851E" w14:textId="77777777" w:rsidR="00AE7613" w:rsidRDefault="00AE7613" w:rsidP="00AE7613">
      <w:pPr>
        <w:rPr>
          <w:rFonts w:ascii="Arial" w:hAnsi="Arial" w:cs="Arial"/>
        </w:rPr>
      </w:pPr>
    </w:p>
    <w:p w14:paraId="7BB59667" w14:textId="77777777" w:rsidR="00AE7613" w:rsidRDefault="00AE7613" w:rsidP="00AE7613">
      <w:pPr>
        <w:pStyle w:val="Heading1"/>
        <w:rPr>
          <w:rFonts w:ascii="Arial" w:hAnsi="Arial" w:cs="Arial"/>
        </w:rPr>
      </w:pPr>
      <w:bookmarkStart w:id="0" w:name="_Toc137213751"/>
      <w:r>
        <w:rPr>
          <w:rFonts w:ascii="Arial" w:hAnsi="Arial" w:cs="Arial"/>
        </w:rPr>
        <w:lastRenderedPageBreak/>
        <w:t>Introduction</w:t>
      </w:r>
      <w:bookmarkEnd w:id="0"/>
    </w:p>
    <w:p w14:paraId="0057EAB4" w14:textId="77777777" w:rsidR="00AE7613" w:rsidRDefault="00AE7613" w:rsidP="00AE7613">
      <w:pPr>
        <w:rPr>
          <w:rFonts w:ascii="Arial" w:hAnsi="Arial" w:cs="Arial"/>
        </w:rPr>
      </w:pPr>
      <w:r>
        <w:rPr>
          <w:rFonts w:ascii="Arial" w:hAnsi="Arial" w:cs="Arial"/>
        </w:rPr>
        <w:t>An extensive analysis of every aspect of a hotel's organisational structure, procedures, and performance is called a hotel organisational audit. It includes a careful look at the hotel's processes, policies, procedures, and staff to see how well they work and where they can be improved (</w:t>
      </w:r>
      <w:proofErr w:type="spellStart"/>
      <w:r>
        <w:rPr>
          <w:rFonts w:ascii="Arial" w:hAnsi="Arial" w:cs="Arial"/>
        </w:rPr>
        <w:t>Chakravarti</w:t>
      </w:r>
      <w:proofErr w:type="spellEnd"/>
      <w:r>
        <w:rPr>
          <w:rFonts w:ascii="Arial" w:hAnsi="Arial" w:cs="Arial"/>
        </w:rPr>
        <w:t>, 2018). This report will formulate an extensive organisational audit of Hilton Hotel Group by evaluating its goals, culture, and structure as well as recent change projects, their effect and management, and strategic direction.</w:t>
      </w:r>
    </w:p>
    <w:p w14:paraId="47D3A37A" w14:textId="77777777" w:rsidR="00AE7613" w:rsidRDefault="00AE7613" w:rsidP="00AE7613">
      <w:pPr>
        <w:rPr>
          <w:rFonts w:ascii="Arial" w:hAnsi="Arial" w:cs="Arial"/>
        </w:rPr>
      </w:pPr>
      <w:r>
        <w:rPr>
          <w:rFonts w:ascii="Arial" w:hAnsi="Arial" w:cs="Arial"/>
          <w:b/>
        </w:rPr>
        <w:t>Overview of Hilton Hotel Group:</w:t>
      </w:r>
      <w:r>
        <w:rPr>
          <w:rFonts w:ascii="Arial" w:hAnsi="Arial" w:cs="Arial"/>
        </w:rPr>
        <w:t xml:space="preserve"> Conrad Hilton established Hilton in 1919 when the Mobley Hotel in Texas, United States, opened its doors. The company increased its footprint and became recognised as a top hotel brand over time.  Hilton owns hotels and resorts in more than 100 nations and territories, giving them a considerable worldwide presence. </w:t>
      </w:r>
    </w:p>
    <w:p w14:paraId="1D335FFB" w14:textId="77777777" w:rsidR="00AE7613" w:rsidRDefault="00AE7613" w:rsidP="00AE7613">
      <w:pPr>
        <w:rPr>
          <w:rFonts w:ascii="Arial" w:hAnsi="Arial" w:cs="Arial"/>
        </w:rPr>
      </w:pPr>
    </w:p>
    <w:p w14:paraId="56F5EE2F" w14:textId="77777777" w:rsidR="00AE7613" w:rsidRDefault="00AE7613" w:rsidP="00AE7613">
      <w:pPr>
        <w:rPr>
          <w:rFonts w:ascii="Arial" w:hAnsi="Arial" w:cs="Arial"/>
        </w:rPr>
      </w:pPr>
    </w:p>
    <w:p w14:paraId="33BF5E49" w14:textId="77777777" w:rsidR="00AE7613" w:rsidRDefault="00AE7613" w:rsidP="00AE7613">
      <w:pPr>
        <w:rPr>
          <w:rFonts w:ascii="Arial" w:hAnsi="Arial" w:cs="Arial"/>
        </w:rPr>
      </w:pPr>
    </w:p>
    <w:p w14:paraId="4F90EEDC" w14:textId="77777777" w:rsidR="00AE7613" w:rsidRDefault="00AE7613" w:rsidP="00AE7613">
      <w:pPr>
        <w:rPr>
          <w:rFonts w:ascii="Arial" w:hAnsi="Arial" w:cs="Arial"/>
        </w:rPr>
      </w:pPr>
    </w:p>
    <w:p w14:paraId="06284DAF" w14:textId="77777777" w:rsidR="00AE7613" w:rsidRDefault="00AE7613" w:rsidP="00AE7613">
      <w:pPr>
        <w:rPr>
          <w:rFonts w:ascii="Arial" w:hAnsi="Arial" w:cs="Arial"/>
        </w:rPr>
      </w:pPr>
    </w:p>
    <w:p w14:paraId="5338EB4B" w14:textId="77777777" w:rsidR="00AE7613" w:rsidRDefault="00AE7613" w:rsidP="00AE7613">
      <w:pPr>
        <w:rPr>
          <w:rFonts w:ascii="Arial" w:hAnsi="Arial" w:cs="Arial"/>
        </w:rPr>
      </w:pPr>
    </w:p>
    <w:p w14:paraId="49A78957" w14:textId="77777777" w:rsidR="00AE7613" w:rsidRDefault="00AE7613" w:rsidP="00AE7613">
      <w:pPr>
        <w:rPr>
          <w:rFonts w:ascii="Arial" w:hAnsi="Arial" w:cs="Arial"/>
        </w:rPr>
      </w:pPr>
    </w:p>
    <w:p w14:paraId="3B4CBA6E" w14:textId="77777777" w:rsidR="00AE7613" w:rsidRDefault="00AE7613" w:rsidP="00AE7613">
      <w:pPr>
        <w:rPr>
          <w:rFonts w:ascii="Arial" w:hAnsi="Arial" w:cs="Arial"/>
        </w:rPr>
      </w:pPr>
    </w:p>
    <w:p w14:paraId="0998D00D" w14:textId="77777777" w:rsidR="00AE7613" w:rsidRDefault="00AE7613" w:rsidP="00AE7613">
      <w:pPr>
        <w:rPr>
          <w:rFonts w:ascii="Arial" w:hAnsi="Arial" w:cs="Arial"/>
        </w:rPr>
      </w:pPr>
    </w:p>
    <w:p w14:paraId="46723E24" w14:textId="77777777" w:rsidR="00AE7613" w:rsidRDefault="00AE7613" w:rsidP="00AE7613">
      <w:pPr>
        <w:rPr>
          <w:rFonts w:ascii="Arial" w:hAnsi="Arial" w:cs="Arial"/>
        </w:rPr>
      </w:pPr>
    </w:p>
    <w:p w14:paraId="27C6C67E" w14:textId="77777777" w:rsidR="00AE7613" w:rsidRDefault="00AE7613" w:rsidP="00AE7613">
      <w:pPr>
        <w:rPr>
          <w:rFonts w:ascii="Arial" w:hAnsi="Arial" w:cs="Arial"/>
        </w:rPr>
      </w:pPr>
    </w:p>
    <w:p w14:paraId="0FB99A55" w14:textId="77777777" w:rsidR="00AE7613" w:rsidRDefault="00AE7613" w:rsidP="00AE7613">
      <w:pPr>
        <w:rPr>
          <w:rFonts w:ascii="Arial" w:hAnsi="Arial" w:cs="Arial"/>
        </w:rPr>
      </w:pPr>
    </w:p>
    <w:p w14:paraId="5E625817" w14:textId="77777777" w:rsidR="00AE7613" w:rsidRDefault="00AE7613" w:rsidP="00AE7613">
      <w:pPr>
        <w:rPr>
          <w:rFonts w:ascii="Arial" w:hAnsi="Arial" w:cs="Arial"/>
        </w:rPr>
      </w:pPr>
    </w:p>
    <w:p w14:paraId="7DDA4072" w14:textId="77777777" w:rsidR="00AE7613" w:rsidRDefault="00AE7613" w:rsidP="00AE7613">
      <w:pPr>
        <w:pStyle w:val="Heading1"/>
        <w:rPr>
          <w:rFonts w:ascii="Arial" w:hAnsi="Arial" w:cs="Arial"/>
        </w:rPr>
      </w:pPr>
      <w:bookmarkStart w:id="1" w:name="_Toc137213752"/>
      <w:r>
        <w:rPr>
          <w:rFonts w:ascii="Arial" w:hAnsi="Arial" w:cs="Arial"/>
        </w:rPr>
        <w:lastRenderedPageBreak/>
        <w:t>Audit Results</w:t>
      </w:r>
      <w:bookmarkEnd w:id="1"/>
    </w:p>
    <w:p w14:paraId="38E74A4E" w14:textId="77777777" w:rsidR="00AE7613" w:rsidRDefault="00AE7613" w:rsidP="00AE7613">
      <w:pPr>
        <w:pStyle w:val="Heading2"/>
        <w:rPr>
          <w:rFonts w:ascii="Arial" w:hAnsi="Arial" w:cs="Arial"/>
        </w:rPr>
      </w:pPr>
      <w:bookmarkStart w:id="2" w:name="_Toc137213753"/>
      <w:r>
        <w:rPr>
          <w:rFonts w:ascii="Arial" w:hAnsi="Arial" w:cs="Arial"/>
        </w:rPr>
        <w:t>Organisational Structure</w:t>
      </w:r>
      <w:bookmarkEnd w:id="2"/>
    </w:p>
    <w:p w14:paraId="1C1A539A" w14:textId="77777777" w:rsidR="00AE7613" w:rsidRDefault="00AE7613" w:rsidP="00AE7613">
      <w:pPr>
        <w:rPr>
          <w:rFonts w:ascii="Arial" w:hAnsi="Arial" w:cs="Arial"/>
        </w:rPr>
      </w:pPr>
      <w:r>
        <w:rPr>
          <w:rFonts w:ascii="Arial" w:hAnsi="Arial" w:cs="Arial"/>
        </w:rPr>
        <w:t xml:space="preserve">The concept of a hierarchical structure, more especially the functional organisational structure, can be used to define the Hilton Hotel Group's organisational structure. This kind of structure is often used in big organisations where jobs are divided by roles or departments (Spengler and Klein, 2020). Because of its wide range of brands and extensive international activities, the Hilton Hotel Group has a hierarchical organisational structure. </w:t>
      </w:r>
    </w:p>
    <w:p w14:paraId="3905F670" w14:textId="77777777" w:rsidR="00AE7613" w:rsidRDefault="00AE7613" w:rsidP="00AE7613">
      <w:pPr>
        <w:rPr>
          <w:rFonts w:ascii="Arial" w:hAnsi="Arial" w:cs="Arial"/>
        </w:rPr>
      </w:pPr>
      <w:r>
        <w:rPr>
          <w:rFonts w:ascii="Arial" w:hAnsi="Arial" w:cs="Arial"/>
          <w:b/>
        </w:rPr>
        <w:t>Corporate Level:</w:t>
      </w:r>
      <w:r>
        <w:rPr>
          <w:rFonts w:ascii="Arial" w:hAnsi="Arial" w:cs="Arial"/>
        </w:rPr>
        <w:t xml:space="preserve"> The corporate level, which comprises the senior leadership team and support services like finance, human resources, marketing, and operations, is at the top of the organisational structure (</w:t>
      </w:r>
      <w:proofErr w:type="spellStart"/>
      <w:r>
        <w:rPr>
          <w:rFonts w:ascii="Arial" w:hAnsi="Arial" w:cs="Arial"/>
        </w:rPr>
        <w:t>Groschl</w:t>
      </w:r>
      <w:proofErr w:type="spellEnd"/>
      <w:r>
        <w:rPr>
          <w:rFonts w:ascii="Arial" w:hAnsi="Arial" w:cs="Arial"/>
        </w:rPr>
        <w:t xml:space="preserve"> and Doherty, 2021). The corporate level determines the organisation's overarching strategic direction and offers direction and assistance to the various brands and assets.</w:t>
      </w:r>
    </w:p>
    <w:p w14:paraId="34CC0912" w14:textId="77777777" w:rsidR="00AE7613" w:rsidRDefault="00AE7613" w:rsidP="00AE7613">
      <w:pPr>
        <w:rPr>
          <w:rFonts w:ascii="Arial" w:hAnsi="Arial" w:cs="Arial"/>
        </w:rPr>
      </w:pPr>
      <w:r>
        <w:rPr>
          <w:rFonts w:ascii="Arial" w:hAnsi="Arial" w:cs="Arial"/>
          <w:b/>
        </w:rPr>
        <w:t>Brand Level:</w:t>
      </w:r>
      <w:r>
        <w:rPr>
          <w:rFonts w:ascii="Arial" w:hAnsi="Arial" w:cs="Arial"/>
        </w:rPr>
        <w:t xml:space="preserve"> The Hilton Hotel Group maintains several brands below the corporate level, each having its management group and organisational structure. Each of these brands, including Hilton Hotels &amp; Resorts, Waldorf Astoria, and Hampton by Hilton, has unique objectives and plans (</w:t>
      </w:r>
      <w:proofErr w:type="spellStart"/>
      <w:r>
        <w:rPr>
          <w:rFonts w:ascii="Arial" w:hAnsi="Arial" w:cs="Arial"/>
        </w:rPr>
        <w:t>Duric</w:t>
      </w:r>
      <w:proofErr w:type="spellEnd"/>
      <w:r>
        <w:rPr>
          <w:rFonts w:ascii="Arial" w:hAnsi="Arial" w:cs="Arial"/>
        </w:rPr>
        <w:t>, 2022). Operations, marketing, and brand development are managed by brand-level teams.</w:t>
      </w:r>
    </w:p>
    <w:p w14:paraId="1284BDFA" w14:textId="77777777" w:rsidR="00AE7613" w:rsidRDefault="00AE7613" w:rsidP="00AE7613">
      <w:pPr>
        <w:rPr>
          <w:rFonts w:ascii="Arial" w:hAnsi="Arial" w:cs="Arial"/>
        </w:rPr>
      </w:pPr>
      <w:r>
        <w:rPr>
          <w:rFonts w:ascii="Arial" w:hAnsi="Arial" w:cs="Arial"/>
          <w:b/>
        </w:rPr>
        <w:t>Property Level:</w:t>
      </w:r>
      <w:r>
        <w:rPr>
          <w:rFonts w:ascii="Arial" w:hAnsi="Arial" w:cs="Arial"/>
        </w:rPr>
        <w:t xml:space="preserve"> Each brand's hotels and resorts are included at the property level. For daily operations, guest services, and staff management, each resort employs a general manager and an on-site team.</w:t>
      </w:r>
    </w:p>
    <w:p w14:paraId="0978C969" w14:textId="77777777" w:rsidR="00AE7613" w:rsidRDefault="00AE7613" w:rsidP="00AE7613">
      <w:pPr>
        <w:rPr>
          <w:rFonts w:ascii="Arial" w:hAnsi="Arial" w:cs="Arial"/>
        </w:rPr>
      </w:pPr>
      <w:r>
        <w:rPr>
          <w:rFonts w:ascii="Arial" w:hAnsi="Arial" w:cs="Arial"/>
        </w:rPr>
        <w:t>Similar hierarchical organisational structures with corporate, brand, and property levels are used by both Hilton and IHG. Both organisations have their management team and organisational structure for each of their different brands.</w:t>
      </w:r>
    </w:p>
    <w:p w14:paraId="79D36D59" w14:textId="77777777" w:rsidR="00AE7613" w:rsidRDefault="00AE7613" w:rsidP="00AE7613">
      <w:pPr>
        <w:rPr>
          <w:rFonts w:ascii="Arial" w:hAnsi="Arial" w:cs="Arial"/>
        </w:rPr>
      </w:pPr>
    </w:p>
    <w:p w14:paraId="3F16F5FB" w14:textId="77777777" w:rsidR="00AE7613" w:rsidRDefault="00AE7613" w:rsidP="00AE7613">
      <w:pPr>
        <w:rPr>
          <w:rFonts w:ascii="Arial" w:hAnsi="Arial" w:cs="Arial"/>
        </w:rPr>
      </w:pPr>
    </w:p>
    <w:p w14:paraId="6EE76164" w14:textId="77777777" w:rsidR="00AE7613" w:rsidRDefault="00AE7613" w:rsidP="00AE7613">
      <w:pPr>
        <w:rPr>
          <w:rFonts w:ascii="Arial" w:hAnsi="Arial" w:cs="Arial"/>
        </w:rPr>
      </w:pPr>
    </w:p>
    <w:p w14:paraId="3D9036E9" w14:textId="77777777" w:rsidR="00AE7613" w:rsidRDefault="00AE7613" w:rsidP="00AE7613">
      <w:pPr>
        <w:rPr>
          <w:rFonts w:ascii="Arial" w:hAnsi="Arial" w:cs="Arial"/>
        </w:rPr>
      </w:pPr>
    </w:p>
    <w:p w14:paraId="60974C9A" w14:textId="77777777" w:rsidR="00AE7613" w:rsidRDefault="00AE7613" w:rsidP="00AE7613">
      <w:pPr>
        <w:pStyle w:val="Heading2"/>
        <w:rPr>
          <w:rFonts w:ascii="Arial" w:hAnsi="Arial" w:cs="Arial"/>
        </w:rPr>
      </w:pPr>
      <w:bookmarkStart w:id="3" w:name="_Toc137213754"/>
      <w:r>
        <w:rPr>
          <w:rFonts w:ascii="Arial" w:hAnsi="Arial" w:cs="Arial"/>
        </w:rPr>
        <w:lastRenderedPageBreak/>
        <w:t>Organisational Culture and Goals</w:t>
      </w:r>
      <w:bookmarkEnd w:id="3"/>
    </w:p>
    <w:p w14:paraId="2762A67C" w14:textId="77777777" w:rsidR="00AE7613" w:rsidRDefault="00AE7613" w:rsidP="00AE7613">
      <w:pPr>
        <w:rPr>
          <w:rFonts w:ascii="Arial" w:hAnsi="Arial" w:cs="Arial"/>
        </w:rPr>
      </w:pPr>
      <w:r>
        <w:rPr>
          <w:rFonts w:ascii="Arial" w:hAnsi="Arial" w:cs="Arial"/>
        </w:rPr>
        <w:t>Through the perspective of Edgar Schein's Theory of Organisational Culture, it is possible to comprehend the organisational culture of the Hilton Hotel Group. According to Schein, organisational culture is made up of common assumptions, beliefs, values, and behaviours that influence how people behave in an organisation (</w:t>
      </w:r>
      <w:proofErr w:type="spellStart"/>
      <w:r>
        <w:rPr>
          <w:rFonts w:ascii="Arial" w:hAnsi="Arial" w:cs="Arial"/>
        </w:rPr>
        <w:t>Alveson</w:t>
      </w:r>
      <w:proofErr w:type="spellEnd"/>
      <w:r>
        <w:rPr>
          <w:rFonts w:ascii="Arial" w:hAnsi="Arial" w:cs="Arial"/>
        </w:rPr>
        <w:t>, 2016).</w:t>
      </w:r>
    </w:p>
    <w:p w14:paraId="0E99A42A" w14:textId="77777777" w:rsidR="00AE7613" w:rsidRDefault="00AE7613" w:rsidP="00AE7613">
      <w:pPr>
        <w:rPr>
          <w:rFonts w:ascii="Arial" w:hAnsi="Arial" w:cs="Arial"/>
        </w:rPr>
      </w:pPr>
      <w:r>
        <w:rPr>
          <w:rFonts w:ascii="Arial" w:hAnsi="Arial" w:cs="Arial"/>
          <w:b/>
        </w:rPr>
        <w:t xml:space="preserve">Artefacts: </w:t>
      </w:r>
      <w:r>
        <w:rPr>
          <w:rFonts w:ascii="Arial" w:hAnsi="Arial" w:cs="Arial"/>
        </w:rPr>
        <w:t>The visible and tangible components of culture, such as symbols, rituals, and architectural elements, are referred to as artefacts (Spengler and Klein, 2020). There are several objects that Hilton uses to illustrate its organisational culture. This includes the recognizable Hilton logo, the employees’ attire and uniform, the architecture and layout of hotel facilities, and the distinctive service customs that define the Hilton experience similar to IHG. These elements contribute to the organisation's development of a distinctive character and support its cultural norms.</w:t>
      </w:r>
    </w:p>
    <w:p w14:paraId="373B8CD1" w14:textId="77777777" w:rsidR="00AE7613" w:rsidRDefault="00AE7613" w:rsidP="00AE7613">
      <w:pPr>
        <w:rPr>
          <w:rFonts w:ascii="Arial" w:hAnsi="Arial" w:cs="Arial"/>
        </w:rPr>
      </w:pPr>
      <w:r>
        <w:rPr>
          <w:rFonts w:ascii="Arial" w:hAnsi="Arial" w:cs="Arial"/>
          <w:b/>
        </w:rPr>
        <w:t>Values:</w:t>
      </w:r>
      <w:r>
        <w:rPr>
          <w:rFonts w:ascii="Arial" w:hAnsi="Arial" w:cs="Arial"/>
        </w:rPr>
        <w:t xml:space="preserve"> The Hilton Hotel Group makes its values clear to all parties involved, including employees, guests, and shareholders. These include values like commitment to the guest, honesty, cooperation, and constant progress. The company highlights how crucial these values are in influencing employees’ behaviour and decision-making (Williams, 2020). For example, Hilton's "Hospitality with Heart" program demonstrates its dedication to offering customers individualized and emotional service.</w:t>
      </w:r>
    </w:p>
    <w:p w14:paraId="0295F231" w14:textId="77777777" w:rsidR="00AE7613" w:rsidRDefault="00AE7613" w:rsidP="00AE7613">
      <w:pPr>
        <w:rPr>
          <w:rFonts w:ascii="Arial" w:hAnsi="Arial" w:cs="Arial"/>
        </w:rPr>
      </w:pPr>
      <w:r>
        <w:rPr>
          <w:rFonts w:ascii="Arial" w:hAnsi="Arial" w:cs="Arial"/>
          <w:b/>
        </w:rPr>
        <w:t>Basic Assumptions:</w:t>
      </w:r>
      <w:r>
        <w:rPr>
          <w:rFonts w:ascii="Arial" w:hAnsi="Arial" w:cs="Arial"/>
        </w:rPr>
        <w:t xml:space="preserve"> This component of culture is the underlying, frequently unstated presumptions and attitudes that direct behaviour inside an organisation. At Hilton, there are prevailing beliefs on the significance of customer satisfaction, the requirement of providing excellent service, and the realization that cooperation and teamwork are necessary for success. The way that employees interact and approach their job is shaped by this implicit knowledge and common presumptions (Schein, 2021). Employees are encouraged to welcome customers warmly, anticipate and meet their requirements, and handle concerns quickly similar to IHG. Hilton wants its workers to feel respected, supported and inspired and it fosters high performance and work satisfaction via open communication, cooperation, and a sense of belonging.</w:t>
      </w:r>
    </w:p>
    <w:p w14:paraId="4D78E11F" w14:textId="77777777" w:rsidR="00AE7613" w:rsidRDefault="00AE7613" w:rsidP="00AE7613">
      <w:pPr>
        <w:rPr>
          <w:rFonts w:ascii="Arial" w:hAnsi="Arial" w:cs="Arial"/>
          <w:b/>
        </w:rPr>
      </w:pPr>
      <w:r>
        <w:rPr>
          <w:rFonts w:ascii="Arial" w:hAnsi="Arial" w:cs="Arial"/>
          <w:b/>
        </w:rPr>
        <w:t>Comparison with Intercontinental Hotels Group</w:t>
      </w:r>
    </w:p>
    <w:p w14:paraId="31613942" w14:textId="77777777" w:rsidR="00AE7613" w:rsidRDefault="00AE7613" w:rsidP="00AE7613">
      <w:pPr>
        <w:rPr>
          <w:rFonts w:ascii="Arial" w:hAnsi="Arial" w:cs="Arial"/>
        </w:rPr>
      </w:pPr>
      <w:r>
        <w:rPr>
          <w:rFonts w:ascii="Arial" w:hAnsi="Arial" w:cs="Arial"/>
        </w:rPr>
        <w:t xml:space="preserve">Hilton values customer attention, honesty, teamwork, and continual progress, while IHG values guest satisfaction, integrity, and respect.  Within their workplaces, Hilton </w:t>
      </w:r>
      <w:r>
        <w:rPr>
          <w:rFonts w:ascii="Arial" w:hAnsi="Arial" w:cs="Arial"/>
        </w:rPr>
        <w:lastRenderedPageBreak/>
        <w:t>and IHG each have certain behavioural norms. These norms include personnel interactions with visitors, service expectations, and problem-solving and decision-making (Rutherford, 2019). Hilton and IHG differ in management style, communication, and employee empowerment.</w:t>
      </w:r>
    </w:p>
    <w:p w14:paraId="79DE5F08" w14:textId="77777777" w:rsidR="00AE7613" w:rsidRDefault="00AE7613" w:rsidP="00AE7613">
      <w:pPr>
        <w:rPr>
          <w:rFonts w:ascii="Arial" w:hAnsi="Arial" w:cs="Arial"/>
          <w:b/>
        </w:rPr>
      </w:pPr>
      <w:r>
        <w:rPr>
          <w:rFonts w:ascii="Arial" w:hAnsi="Arial" w:cs="Arial"/>
          <w:b/>
        </w:rPr>
        <w:t>Goals</w:t>
      </w:r>
    </w:p>
    <w:p w14:paraId="62F0AFBD" w14:textId="77777777" w:rsidR="00AE7613" w:rsidRDefault="00AE7613" w:rsidP="00AE7613">
      <w:pPr>
        <w:rPr>
          <w:rFonts w:ascii="Arial" w:hAnsi="Arial" w:cs="Arial"/>
        </w:rPr>
      </w:pPr>
      <w:r>
        <w:rPr>
          <w:rFonts w:ascii="Arial" w:hAnsi="Arial" w:cs="Arial"/>
        </w:rPr>
        <w:t>Hilton Hotel Group's strategic goals correspond with its aim to be the most welcoming organisation. Hilton strives to exceed guest expectations, ensuring brand loyalty and pleasure. The organisation concentrates on growing its presence worldwide in both developed and developing areas, looking for chances for expansion and growth (Fox, 2023). Hilton aims to decrease its environmental effect, save resources, and encourage ethical business practices similar to Intercontinental Hotels Group.</w:t>
      </w:r>
    </w:p>
    <w:p w14:paraId="4692CCFC" w14:textId="77777777" w:rsidR="00AE7613" w:rsidRDefault="00AE7613" w:rsidP="00AE7613">
      <w:pPr>
        <w:rPr>
          <w:rFonts w:ascii="Arial" w:hAnsi="Arial" w:cs="Arial"/>
          <w:b/>
        </w:rPr>
      </w:pPr>
    </w:p>
    <w:p w14:paraId="08CECBE6" w14:textId="77777777" w:rsidR="00AE7613" w:rsidRDefault="00AE7613" w:rsidP="00AE7613">
      <w:pPr>
        <w:rPr>
          <w:rFonts w:ascii="Arial" w:hAnsi="Arial" w:cs="Arial"/>
          <w:b/>
        </w:rPr>
      </w:pPr>
    </w:p>
    <w:p w14:paraId="0070DCB3" w14:textId="77777777" w:rsidR="00AE7613" w:rsidRDefault="00AE7613" w:rsidP="00AE7613">
      <w:pPr>
        <w:rPr>
          <w:rFonts w:ascii="Arial" w:hAnsi="Arial" w:cs="Arial"/>
          <w:b/>
        </w:rPr>
      </w:pPr>
    </w:p>
    <w:p w14:paraId="04CF5D9A" w14:textId="77777777" w:rsidR="00AE7613" w:rsidRDefault="00AE7613" w:rsidP="00AE7613">
      <w:pPr>
        <w:rPr>
          <w:rFonts w:ascii="Arial" w:hAnsi="Arial" w:cs="Arial"/>
          <w:b/>
        </w:rPr>
      </w:pPr>
    </w:p>
    <w:p w14:paraId="2246949F" w14:textId="77777777" w:rsidR="00AE7613" w:rsidRDefault="00AE7613" w:rsidP="00AE7613">
      <w:pPr>
        <w:rPr>
          <w:rFonts w:ascii="Arial" w:hAnsi="Arial" w:cs="Arial"/>
          <w:b/>
        </w:rPr>
      </w:pPr>
    </w:p>
    <w:p w14:paraId="08C0552A" w14:textId="77777777" w:rsidR="00AE7613" w:rsidRDefault="00AE7613" w:rsidP="00AE7613">
      <w:pPr>
        <w:rPr>
          <w:rFonts w:ascii="Arial" w:hAnsi="Arial" w:cs="Arial"/>
          <w:b/>
        </w:rPr>
      </w:pPr>
    </w:p>
    <w:p w14:paraId="558FE5B0" w14:textId="77777777" w:rsidR="00AE7613" w:rsidRDefault="00AE7613" w:rsidP="00AE7613">
      <w:pPr>
        <w:rPr>
          <w:rFonts w:ascii="Arial" w:hAnsi="Arial" w:cs="Arial"/>
          <w:b/>
        </w:rPr>
      </w:pPr>
    </w:p>
    <w:p w14:paraId="0C6B86B1" w14:textId="77777777" w:rsidR="00AE7613" w:rsidRDefault="00AE7613" w:rsidP="00AE7613">
      <w:pPr>
        <w:rPr>
          <w:rFonts w:ascii="Arial" w:hAnsi="Arial" w:cs="Arial"/>
          <w:b/>
        </w:rPr>
      </w:pPr>
    </w:p>
    <w:p w14:paraId="141AE5C2" w14:textId="77777777" w:rsidR="00AE7613" w:rsidRDefault="00AE7613" w:rsidP="00AE7613">
      <w:pPr>
        <w:rPr>
          <w:rFonts w:ascii="Arial" w:hAnsi="Arial" w:cs="Arial"/>
          <w:b/>
        </w:rPr>
      </w:pPr>
    </w:p>
    <w:p w14:paraId="66ECF274" w14:textId="77777777" w:rsidR="00AE7613" w:rsidRDefault="00AE7613" w:rsidP="00AE7613">
      <w:pPr>
        <w:rPr>
          <w:rFonts w:ascii="Arial" w:hAnsi="Arial" w:cs="Arial"/>
          <w:b/>
        </w:rPr>
      </w:pPr>
    </w:p>
    <w:p w14:paraId="3D458B48" w14:textId="77777777" w:rsidR="00AE7613" w:rsidRDefault="00AE7613" w:rsidP="00AE7613">
      <w:pPr>
        <w:rPr>
          <w:rFonts w:ascii="Arial" w:hAnsi="Arial" w:cs="Arial"/>
          <w:b/>
        </w:rPr>
      </w:pPr>
    </w:p>
    <w:p w14:paraId="1B45F88E" w14:textId="77777777" w:rsidR="00AE7613" w:rsidRDefault="00AE7613" w:rsidP="00AE7613">
      <w:pPr>
        <w:rPr>
          <w:rFonts w:ascii="Arial" w:hAnsi="Arial" w:cs="Arial"/>
          <w:b/>
        </w:rPr>
      </w:pPr>
    </w:p>
    <w:p w14:paraId="2B1E4813" w14:textId="77777777" w:rsidR="00AE7613" w:rsidRDefault="00AE7613" w:rsidP="00AE7613">
      <w:pPr>
        <w:rPr>
          <w:rFonts w:ascii="Arial" w:hAnsi="Arial" w:cs="Arial"/>
          <w:b/>
        </w:rPr>
      </w:pPr>
    </w:p>
    <w:p w14:paraId="43BFC503" w14:textId="77777777" w:rsidR="00AE7613" w:rsidRDefault="00AE7613" w:rsidP="00AE7613">
      <w:pPr>
        <w:pStyle w:val="Heading2"/>
        <w:rPr>
          <w:rFonts w:ascii="Arial" w:hAnsi="Arial" w:cs="Arial"/>
        </w:rPr>
      </w:pPr>
      <w:bookmarkStart w:id="4" w:name="_Toc137213755"/>
      <w:r>
        <w:rPr>
          <w:rFonts w:ascii="Arial" w:hAnsi="Arial" w:cs="Arial"/>
        </w:rPr>
        <w:lastRenderedPageBreak/>
        <w:t>Recent Change Initiatives at the Hilton Hotel Group along with their Impact and Management</w:t>
      </w:r>
      <w:bookmarkEnd w:id="4"/>
    </w:p>
    <w:p w14:paraId="2EF5E233" w14:textId="77777777" w:rsidR="00AE7613" w:rsidRPr="00AE7613" w:rsidRDefault="00AE7613" w:rsidP="00AE7613">
      <w:pPr>
        <w:pStyle w:val="ListParagraph"/>
        <w:numPr>
          <w:ilvl w:val="0"/>
          <w:numId w:val="1"/>
        </w:numPr>
        <w:rPr>
          <w:rFonts w:ascii="Arial" w:hAnsi="Arial" w:cs="Arial"/>
          <w:b/>
        </w:rPr>
      </w:pPr>
      <w:r w:rsidRPr="00AE7613">
        <w:rPr>
          <w:rFonts w:ascii="Arial" w:hAnsi="Arial" w:cs="Arial"/>
          <w:b/>
        </w:rPr>
        <w:t>Digital Transformation</w:t>
      </w:r>
    </w:p>
    <w:p w14:paraId="29F39DC3" w14:textId="77777777" w:rsidR="00AE7613" w:rsidRDefault="00AE7613" w:rsidP="00AE7613">
      <w:pPr>
        <w:rPr>
          <w:rFonts w:ascii="Arial" w:hAnsi="Arial" w:cs="Arial"/>
        </w:rPr>
      </w:pPr>
      <w:r>
        <w:rPr>
          <w:rFonts w:ascii="Arial" w:hAnsi="Arial" w:cs="Arial"/>
        </w:rPr>
        <w:t xml:space="preserve">Hilton has made investments in digital technologies to increase operational effectiveness and the visitor experience. With the help of new technologies like mobile keys and digital check-in, guests can now skip the front desk and get right to their rooms. Digital transformation demands system and data integration to offer a seamless experience and Hilton has successfully integrated property management, CRM, and mobile applications (Barry et al., 2020).  By streamlining procedures, these digital efforts strive to provide guests with a more seamless experience. </w:t>
      </w:r>
    </w:p>
    <w:p w14:paraId="4D3BEF19" w14:textId="77777777" w:rsidR="00AE7613" w:rsidRPr="00AE7613" w:rsidRDefault="00AE7613" w:rsidP="00AE7613">
      <w:pPr>
        <w:pStyle w:val="ListParagraph"/>
        <w:numPr>
          <w:ilvl w:val="0"/>
          <w:numId w:val="1"/>
        </w:numPr>
        <w:rPr>
          <w:rFonts w:ascii="Arial" w:hAnsi="Arial" w:cs="Arial"/>
        </w:rPr>
      </w:pPr>
      <w:r w:rsidRPr="00AE7613">
        <w:rPr>
          <w:rFonts w:ascii="Arial" w:hAnsi="Arial" w:cs="Arial"/>
          <w:b/>
        </w:rPr>
        <w:t>Impact</w:t>
      </w:r>
    </w:p>
    <w:p w14:paraId="01F81683" w14:textId="3B8A8C7A" w:rsidR="00AE7613" w:rsidRPr="00AE7613" w:rsidRDefault="00AE7613" w:rsidP="00AE7613">
      <w:pPr>
        <w:rPr>
          <w:rFonts w:ascii="Arial" w:hAnsi="Arial" w:cs="Arial"/>
        </w:rPr>
      </w:pPr>
      <w:r w:rsidRPr="00AE7613">
        <w:rPr>
          <w:rFonts w:ascii="Arial" w:hAnsi="Arial" w:cs="Arial"/>
        </w:rPr>
        <w:t xml:space="preserve"> The digital transformation initiatives taken by Hilton have typically been highly welcomed since they have boosted customer satisfaction and optimised processes. The use of mobile keys and digital check-in has given visitors convenience and flexibility, decreasing wait times and raising overall satisfaction (</w:t>
      </w:r>
      <w:proofErr w:type="spellStart"/>
      <w:r w:rsidRPr="00AE7613">
        <w:rPr>
          <w:rFonts w:ascii="Arial" w:hAnsi="Arial" w:cs="Arial"/>
        </w:rPr>
        <w:t>Alrawadih</w:t>
      </w:r>
      <w:proofErr w:type="spellEnd"/>
      <w:r w:rsidRPr="00AE7613">
        <w:rPr>
          <w:rFonts w:ascii="Arial" w:hAnsi="Arial" w:cs="Arial"/>
        </w:rPr>
        <w:t xml:space="preserve"> and Cetin, 2022). These advancements have shortened wait times, streamlined check-in procedures, and improved guest convenience. They have invented the idea of digital check-in and the mobile key, which let visitors enter their rooms without going through the front desk using their smartphones.</w:t>
      </w:r>
    </w:p>
    <w:p w14:paraId="697BE839" w14:textId="61A37B51" w:rsidR="00AE7613" w:rsidRPr="00AE7613" w:rsidRDefault="00AE7613" w:rsidP="00AE7613">
      <w:pPr>
        <w:pStyle w:val="ListParagraph"/>
        <w:numPr>
          <w:ilvl w:val="0"/>
          <w:numId w:val="1"/>
        </w:numPr>
        <w:rPr>
          <w:rFonts w:ascii="Arial" w:hAnsi="Arial" w:cs="Arial"/>
        </w:rPr>
      </w:pPr>
      <w:r w:rsidRPr="00AE7613">
        <w:rPr>
          <w:rFonts w:ascii="Arial" w:hAnsi="Arial" w:cs="Arial"/>
          <w:b/>
        </w:rPr>
        <w:t>Management</w:t>
      </w:r>
    </w:p>
    <w:p w14:paraId="4A7E2F03" w14:textId="1659EB50" w:rsidR="00AE7613" w:rsidRPr="00AE7613" w:rsidRDefault="00AE7613" w:rsidP="00AE7613">
      <w:pPr>
        <w:rPr>
          <w:rFonts w:ascii="Arial" w:hAnsi="Arial" w:cs="Arial"/>
        </w:rPr>
      </w:pPr>
      <w:r>
        <w:rPr>
          <w:rFonts w:ascii="Arial" w:hAnsi="Arial" w:cs="Arial"/>
        </w:rPr>
        <w:t>The majority of Hilton's initiatives for digital transformation have been well-managed, producing advantageous results for both the organisation and its guests. Hilton has focused on utilizing technology to offer convenience, personalisation, and seamless interactions for guests by taking a guest-centric strategy (</w:t>
      </w:r>
      <w:proofErr w:type="spellStart"/>
      <w:r>
        <w:rPr>
          <w:rFonts w:ascii="Arial" w:hAnsi="Arial" w:cs="Arial"/>
        </w:rPr>
        <w:t>Duric</w:t>
      </w:r>
      <w:proofErr w:type="spellEnd"/>
      <w:r>
        <w:rPr>
          <w:rFonts w:ascii="Arial" w:hAnsi="Arial" w:cs="Arial"/>
        </w:rPr>
        <w:t>, 2022). They always assess performance indicators, solicit guest feedback, and develop digital solutions to improve functionality and solve problem areas for ensuring successful management (Marques, 2023). With a customer-centric approach, Hilton has been able to better match its digital transformation initiatives with the changing wants and demands of its guests. They've trained their personnel to use digital tools and technology successfully. Hilton has successfully managed digital initiatives by training employees and promoting adoption.</w:t>
      </w:r>
    </w:p>
    <w:p w14:paraId="65DE5596" w14:textId="77777777" w:rsidR="00AE7613" w:rsidRPr="00AE7613" w:rsidRDefault="00AE7613" w:rsidP="00AE7613">
      <w:pPr>
        <w:pStyle w:val="ListParagraph"/>
        <w:numPr>
          <w:ilvl w:val="0"/>
          <w:numId w:val="1"/>
        </w:numPr>
        <w:rPr>
          <w:rFonts w:ascii="Arial" w:hAnsi="Arial" w:cs="Arial"/>
          <w:b/>
        </w:rPr>
      </w:pPr>
      <w:r w:rsidRPr="00AE7613">
        <w:rPr>
          <w:rFonts w:ascii="Arial" w:hAnsi="Arial" w:cs="Arial"/>
          <w:b/>
        </w:rPr>
        <w:lastRenderedPageBreak/>
        <w:t>Sustainability Efforts</w:t>
      </w:r>
    </w:p>
    <w:p w14:paraId="1D8650FB" w14:textId="77777777" w:rsidR="00AE7613" w:rsidRDefault="00AE7613" w:rsidP="00AE7613">
      <w:pPr>
        <w:rPr>
          <w:rFonts w:ascii="Arial" w:hAnsi="Arial" w:cs="Arial"/>
        </w:rPr>
      </w:pPr>
      <w:r>
        <w:rPr>
          <w:rFonts w:ascii="Arial" w:hAnsi="Arial" w:cs="Arial"/>
        </w:rPr>
        <w:t>Hilton has taken the initiative to decrease its negative effects on the environment by adopting sustainable practices. "Travel with Purpose 2030" is one of its biggest goals, aiming to minimize its environmental impact in half and increase its social effect by 2030. This effort aims to reduce carbon emissions, water use, waste, and utilisation of renewable energy. To power its properties, Hilton has made active investments in renewable energy sources. Forbes has recognized Hilton as one of the “World's Most Sustainable Companies” due to the company's dedication to sustainability (Forbes, 2022).</w:t>
      </w:r>
    </w:p>
    <w:p w14:paraId="606EDD05" w14:textId="6DB15EBC" w:rsidR="00AE7613" w:rsidRPr="00AE7613" w:rsidRDefault="00AE7613" w:rsidP="00AE7613">
      <w:pPr>
        <w:pStyle w:val="ListParagraph"/>
        <w:numPr>
          <w:ilvl w:val="0"/>
          <w:numId w:val="1"/>
        </w:numPr>
        <w:rPr>
          <w:rFonts w:ascii="Arial" w:hAnsi="Arial" w:cs="Arial"/>
        </w:rPr>
      </w:pPr>
      <w:r w:rsidRPr="00AE7613">
        <w:rPr>
          <w:rFonts w:ascii="Arial" w:hAnsi="Arial" w:cs="Arial"/>
          <w:b/>
        </w:rPr>
        <w:t>Impact</w:t>
      </w:r>
    </w:p>
    <w:p w14:paraId="44DD7FD4" w14:textId="12A5099F" w:rsidR="00AE7613" w:rsidRDefault="00AE7613" w:rsidP="00AE7613">
      <w:pPr>
        <w:rPr>
          <w:rFonts w:ascii="Arial" w:hAnsi="Arial" w:cs="Arial"/>
        </w:rPr>
      </w:pPr>
      <w:r>
        <w:rPr>
          <w:rFonts w:ascii="Arial" w:hAnsi="Arial" w:cs="Arial"/>
        </w:rPr>
        <w:t>The environmental effect of Hilton's operations has also decreased because of the company's sustainability efforts. Hilton has significantly decreased its energy use, water usage, and waste production through programs including energy-efficient lighting, water-saving techniques, and waste reduction initiatives (Wei et al., 2022). Hilton has reduced its carbon emissions by switching to renewable energy and energy-efficient technology. These measures have reduced greenhouse gas emissions and conserved precious natural resources. Their dedication to sustainable methods has not only benefitted the planet but has also connected with guests who are concerned about environmental issues, increasing the likelihood that they will attract more customers. Hilton's programmes, such as "Global Week of Service," encourage workers to volunteer for local organisations and causes.</w:t>
      </w:r>
    </w:p>
    <w:p w14:paraId="52E38C64" w14:textId="77777777" w:rsidR="00AE7613" w:rsidRPr="00AE7613" w:rsidRDefault="00AE7613" w:rsidP="00AE7613">
      <w:pPr>
        <w:pStyle w:val="ListParagraph"/>
        <w:numPr>
          <w:ilvl w:val="0"/>
          <w:numId w:val="1"/>
        </w:numPr>
        <w:rPr>
          <w:rFonts w:ascii="Arial" w:hAnsi="Arial" w:cs="Arial"/>
          <w:b/>
        </w:rPr>
      </w:pPr>
      <w:r w:rsidRPr="00AE7613">
        <w:rPr>
          <w:rFonts w:ascii="Arial" w:hAnsi="Arial" w:cs="Arial"/>
          <w:b/>
        </w:rPr>
        <w:t>Management</w:t>
      </w:r>
    </w:p>
    <w:p w14:paraId="007DCF45" w14:textId="4A5FA902" w:rsidR="00AE7613" w:rsidRDefault="00AE7613" w:rsidP="00AE7613">
      <w:pPr>
        <w:rPr>
          <w:rFonts w:ascii="Arial" w:hAnsi="Arial" w:cs="Arial"/>
        </w:rPr>
      </w:pPr>
      <w:r>
        <w:rPr>
          <w:rFonts w:ascii="Arial" w:hAnsi="Arial" w:cs="Arial"/>
        </w:rPr>
        <w:t xml:space="preserve"> Hilton's sustainability initiatives are led by defined and obtainable goals to minimize carbon emissions, water use, trash, and energy consumption. Hilton has aligned its worldwide operations with a strategic sustainability plan. They have collaborated with suppliers to favour sustainable seafood, cleaning goods, and building materials (</w:t>
      </w:r>
      <w:proofErr w:type="spellStart"/>
      <w:r>
        <w:rPr>
          <w:rFonts w:ascii="Arial" w:hAnsi="Arial" w:cs="Arial"/>
        </w:rPr>
        <w:t>Melaver</w:t>
      </w:r>
      <w:proofErr w:type="spellEnd"/>
      <w:r>
        <w:rPr>
          <w:rFonts w:ascii="Arial" w:hAnsi="Arial" w:cs="Arial"/>
        </w:rPr>
        <w:t xml:space="preserve"> and Muller, 2022). Hilton has promoted sustainable supply chain strategies to promote industry-wide sustainability. Hilton has made sustainability a core component of its business strategy by incorporating sustainability practices into daily operations. To inform and empower staff at all levels about sustainable practices, they have provided training programmes and tools and fostered a culture of sustainability </w:t>
      </w:r>
      <w:r>
        <w:rPr>
          <w:rFonts w:ascii="Arial" w:hAnsi="Arial" w:cs="Arial"/>
        </w:rPr>
        <w:lastRenderedPageBreak/>
        <w:t>and prepares workers with the skills and expertise to adopt and promote sustainable practices.</w:t>
      </w:r>
    </w:p>
    <w:p w14:paraId="75854914" w14:textId="77777777" w:rsidR="00AE7613" w:rsidRDefault="00AE7613" w:rsidP="00AE7613">
      <w:pPr>
        <w:rPr>
          <w:rFonts w:ascii="Arial" w:hAnsi="Arial" w:cs="Arial"/>
          <w:b/>
        </w:rPr>
      </w:pPr>
    </w:p>
    <w:p w14:paraId="15517B41" w14:textId="77777777" w:rsidR="00AE7613" w:rsidRPr="00AE7613" w:rsidRDefault="00AE7613" w:rsidP="00AE7613">
      <w:pPr>
        <w:pStyle w:val="ListParagraph"/>
        <w:numPr>
          <w:ilvl w:val="0"/>
          <w:numId w:val="1"/>
        </w:numPr>
        <w:rPr>
          <w:rFonts w:ascii="Arial" w:hAnsi="Arial" w:cs="Arial"/>
          <w:b/>
        </w:rPr>
      </w:pPr>
      <w:r w:rsidRPr="00AE7613">
        <w:rPr>
          <w:rFonts w:ascii="Arial" w:hAnsi="Arial" w:cs="Arial"/>
          <w:b/>
        </w:rPr>
        <w:t>Comparison with IHG</w:t>
      </w:r>
    </w:p>
    <w:p w14:paraId="71F23CB5" w14:textId="77777777" w:rsidR="00AE7613" w:rsidRDefault="00AE7613" w:rsidP="00AE7613">
      <w:pPr>
        <w:rPr>
          <w:rFonts w:ascii="Arial" w:hAnsi="Arial" w:cs="Arial"/>
        </w:rPr>
      </w:pPr>
      <w:r>
        <w:rPr>
          <w:rFonts w:ascii="Arial" w:hAnsi="Arial" w:cs="Arial"/>
        </w:rPr>
        <w:t>The "Travel with Purpose 2030" programme from Hilton stands out for its all-encompassing strategy that incorporates social responsibility and the reduction of environmental effects. Reducing resource usage is the main goal of IHG's "IHG Green Engage" programme. While both Hilton and IHG have a strong emphasis on lowering energy, water, and garbage creation, they have many distinctive initiatives. For the convenience of its guests, Hilton has made investments in digital advancements and sustainable energy sources. IHG has placed a focus on eco-friendly design and building techniques for new buildings.</w:t>
      </w:r>
    </w:p>
    <w:p w14:paraId="750FF29F" w14:textId="77777777" w:rsidR="00AE7613" w:rsidRDefault="00AE7613" w:rsidP="00AE7613">
      <w:pPr>
        <w:rPr>
          <w:rFonts w:ascii="Arial" w:hAnsi="Arial" w:cs="Arial"/>
        </w:rPr>
      </w:pPr>
    </w:p>
    <w:p w14:paraId="7FDBBC2A" w14:textId="77777777" w:rsidR="00AE7613" w:rsidRDefault="00AE7613" w:rsidP="00AE7613">
      <w:pPr>
        <w:rPr>
          <w:rFonts w:ascii="Arial" w:hAnsi="Arial" w:cs="Arial"/>
        </w:rPr>
      </w:pPr>
    </w:p>
    <w:p w14:paraId="2BCE8195" w14:textId="77777777" w:rsidR="00AE7613" w:rsidRDefault="00AE7613" w:rsidP="00AE7613">
      <w:pPr>
        <w:rPr>
          <w:rFonts w:ascii="Arial" w:hAnsi="Arial" w:cs="Arial"/>
        </w:rPr>
      </w:pPr>
    </w:p>
    <w:p w14:paraId="2C4E0161" w14:textId="77777777" w:rsidR="00AE7613" w:rsidRDefault="00AE7613" w:rsidP="00AE7613">
      <w:pPr>
        <w:rPr>
          <w:rFonts w:ascii="Arial" w:hAnsi="Arial" w:cs="Arial"/>
        </w:rPr>
      </w:pPr>
    </w:p>
    <w:p w14:paraId="4797AE52" w14:textId="77777777" w:rsidR="00AE7613" w:rsidRDefault="00AE7613" w:rsidP="00AE7613">
      <w:pPr>
        <w:rPr>
          <w:rFonts w:ascii="Arial" w:hAnsi="Arial" w:cs="Arial"/>
        </w:rPr>
      </w:pPr>
    </w:p>
    <w:p w14:paraId="21074F97" w14:textId="77777777" w:rsidR="00AE7613" w:rsidRDefault="00AE7613" w:rsidP="00AE7613">
      <w:pPr>
        <w:rPr>
          <w:rFonts w:ascii="Arial" w:hAnsi="Arial" w:cs="Arial"/>
        </w:rPr>
      </w:pPr>
    </w:p>
    <w:p w14:paraId="3085187E" w14:textId="77777777" w:rsidR="00AE7613" w:rsidRDefault="00AE7613" w:rsidP="00AE7613">
      <w:pPr>
        <w:rPr>
          <w:rFonts w:ascii="Arial" w:hAnsi="Arial" w:cs="Arial"/>
        </w:rPr>
      </w:pPr>
    </w:p>
    <w:p w14:paraId="7D095BEF" w14:textId="77777777" w:rsidR="00AE7613" w:rsidRDefault="00AE7613" w:rsidP="00AE7613">
      <w:pPr>
        <w:rPr>
          <w:rFonts w:ascii="Arial" w:hAnsi="Arial" w:cs="Arial"/>
        </w:rPr>
      </w:pPr>
    </w:p>
    <w:p w14:paraId="6B18C892" w14:textId="77777777" w:rsidR="00AE7613" w:rsidRDefault="00AE7613" w:rsidP="00AE7613">
      <w:pPr>
        <w:rPr>
          <w:rFonts w:ascii="Arial" w:hAnsi="Arial" w:cs="Arial"/>
        </w:rPr>
      </w:pPr>
    </w:p>
    <w:p w14:paraId="30D386D8" w14:textId="77777777" w:rsidR="00AE7613" w:rsidRDefault="00AE7613" w:rsidP="00AE7613">
      <w:pPr>
        <w:rPr>
          <w:rFonts w:ascii="Arial" w:hAnsi="Arial" w:cs="Arial"/>
        </w:rPr>
      </w:pPr>
    </w:p>
    <w:p w14:paraId="3DE8E569" w14:textId="77777777" w:rsidR="00AE7613" w:rsidRDefault="00AE7613" w:rsidP="00AE7613">
      <w:pPr>
        <w:rPr>
          <w:rFonts w:ascii="Arial" w:hAnsi="Arial" w:cs="Arial"/>
        </w:rPr>
      </w:pPr>
    </w:p>
    <w:p w14:paraId="2AB5B7ED" w14:textId="77777777" w:rsidR="00AE7613" w:rsidRDefault="00AE7613" w:rsidP="00AE7613">
      <w:pPr>
        <w:rPr>
          <w:rFonts w:ascii="Arial" w:hAnsi="Arial" w:cs="Arial"/>
        </w:rPr>
      </w:pPr>
    </w:p>
    <w:p w14:paraId="6B020D43" w14:textId="77777777" w:rsidR="00AE7613" w:rsidRDefault="00AE7613" w:rsidP="00AE7613">
      <w:pPr>
        <w:rPr>
          <w:rFonts w:ascii="Arial" w:hAnsi="Arial" w:cs="Arial"/>
          <w:b/>
        </w:rPr>
      </w:pPr>
    </w:p>
    <w:p w14:paraId="48C3B41B" w14:textId="77777777" w:rsidR="00AE7613" w:rsidRDefault="00AE7613" w:rsidP="00AE7613">
      <w:pPr>
        <w:pStyle w:val="Heading2"/>
        <w:rPr>
          <w:rFonts w:ascii="Arial" w:hAnsi="Arial" w:cs="Arial"/>
        </w:rPr>
      </w:pPr>
      <w:bookmarkStart w:id="5" w:name="_Toc137213756"/>
      <w:r>
        <w:rPr>
          <w:rFonts w:ascii="Arial" w:hAnsi="Arial" w:cs="Arial"/>
        </w:rPr>
        <w:lastRenderedPageBreak/>
        <w:t>Strategic Direction of Hilton Hotel Group</w:t>
      </w:r>
      <w:bookmarkEnd w:id="5"/>
    </w:p>
    <w:p w14:paraId="16E157E3" w14:textId="77777777" w:rsidR="00AE7613" w:rsidRDefault="00AE7613" w:rsidP="00AE7613">
      <w:pPr>
        <w:rPr>
          <w:rFonts w:ascii="Arial" w:hAnsi="Arial" w:cs="Arial"/>
        </w:rPr>
      </w:pPr>
      <w:r>
        <w:rPr>
          <w:rFonts w:ascii="Arial" w:hAnsi="Arial" w:cs="Arial"/>
        </w:rPr>
        <w:t>The strategic directions of Hilton Hotel Group include upholding its position as a leader in global hospitality and expanding its product line-up to better serve customers' changing demands.</w:t>
      </w:r>
    </w:p>
    <w:p w14:paraId="5DF55E67" w14:textId="77777777" w:rsidR="00AE7613" w:rsidRDefault="00AE7613" w:rsidP="00AE7613">
      <w:pPr>
        <w:rPr>
          <w:rFonts w:ascii="Arial" w:hAnsi="Arial" w:cs="Arial"/>
        </w:rPr>
      </w:pPr>
      <w:r>
        <w:rPr>
          <w:rFonts w:ascii="Arial" w:hAnsi="Arial" w:cs="Arial"/>
          <w:b/>
        </w:rPr>
        <w:t>Guest-Centric Approach:</w:t>
      </w:r>
      <w:r>
        <w:rPr>
          <w:rFonts w:ascii="Arial" w:hAnsi="Arial" w:cs="Arial"/>
        </w:rPr>
        <w:t xml:space="preserve"> Understanding and addressing the changing requirements and preferences of its guests is a top priority for Hilton. They concentrate on providing unique experiences, first-rate service, and a welcoming atmosphere across all of their different brands (</w:t>
      </w:r>
      <w:proofErr w:type="spellStart"/>
      <w:r>
        <w:rPr>
          <w:rFonts w:ascii="Arial" w:hAnsi="Arial" w:cs="Arial"/>
        </w:rPr>
        <w:t>Okumus</w:t>
      </w:r>
      <w:proofErr w:type="spellEnd"/>
      <w:r>
        <w:rPr>
          <w:rFonts w:ascii="Arial" w:hAnsi="Arial" w:cs="Arial"/>
        </w:rPr>
        <w:t xml:space="preserve"> and </w:t>
      </w:r>
      <w:proofErr w:type="spellStart"/>
      <w:r>
        <w:rPr>
          <w:rFonts w:ascii="Arial" w:hAnsi="Arial" w:cs="Arial"/>
        </w:rPr>
        <w:t>Altinay</w:t>
      </w:r>
      <w:proofErr w:type="spellEnd"/>
      <w:r>
        <w:rPr>
          <w:rFonts w:ascii="Arial" w:hAnsi="Arial" w:cs="Arial"/>
        </w:rPr>
        <w:t>, 2022). Through constant innovation and outstanding service, Hilton strives to go above and beyond its guests' expectations.</w:t>
      </w:r>
    </w:p>
    <w:p w14:paraId="29338570" w14:textId="77777777" w:rsidR="00AE7613" w:rsidRDefault="00AE7613" w:rsidP="00AE7613">
      <w:pPr>
        <w:rPr>
          <w:rFonts w:ascii="Arial" w:hAnsi="Arial" w:cs="Arial"/>
        </w:rPr>
      </w:pPr>
      <w:r>
        <w:rPr>
          <w:rFonts w:ascii="Arial" w:hAnsi="Arial" w:cs="Arial"/>
          <w:b/>
        </w:rPr>
        <w:t>Innovation and Technology:</w:t>
      </w:r>
      <w:r>
        <w:rPr>
          <w:rFonts w:ascii="Arial" w:hAnsi="Arial" w:cs="Arial"/>
        </w:rPr>
        <w:t xml:space="preserve"> To improve the guest experience, increase operational effectiveness, and foster customer loyalty, Hilton places a strong emphasis on innovation and technology. This covers projects like keyless entry, digital check-in, and personalised experiences utilising data analytics and mobile technology (Rutherford, 2019).</w:t>
      </w:r>
    </w:p>
    <w:p w14:paraId="3892E25E" w14:textId="77777777" w:rsidR="00AE7613" w:rsidRDefault="00AE7613" w:rsidP="00AE7613">
      <w:pPr>
        <w:rPr>
          <w:rFonts w:ascii="Arial" w:hAnsi="Arial" w:cs="Arial"/>
        </w:rPr>
      </w:pPr>
      <w:r>
        <w:rPr>
          <w:rFonts w:ascii="Arial" w:hAnsi="Arial" w:cs="Arial"/>
          <w:b/>
        </w:rPr>
        <w:t>Sustainability:</w:t>
      </w:r>
      <w:r>
        <w:rPr>
          <w:rFonts w:ascii="Arial" w:hAnsi="Arial" w:cs="Arial"/>
        </w:rPr>
        <w:t xml:space="preserve"> Through several programmes, Hilton hopes to lessen its environmental impact and is dedicated to sustainability. These include practices for ethical sourcing, waste reduction, water conservation, and energy efficiency measures.</w:t>
      </w:r>
    </w:p>
    <w:p w14:paraId="76031154" w14:textId="77777777" w:rsidR="00AE7613" w:rsidRDefault="00AE7613" w:rsidP="00AE7613">
      <w:pPr>
        <w:rPr>
          <w:rFonts w:ascii="Arial" w:hAnsi="Arial" w:cs="Arial"/>
        </w:rPr>
      </w:pPr>
      <w:r>
        <w:rPr>
          <w:rFonts w:ascii="Arial" w:hAnsi="Arial" w:cs="Arial"/>
          <w:b/>
        </w:rPr>
        <w:t>Portfolio Growth:</w:t>
      </w:r>
      <w:r>
        <w:rPr>
          <w:rFonts w:ascii="Arial" w:hAnsi="Arial" w:cs="Arial"/>
        </w:rPr>
        <w:t xml:space="preserve"> In both developed and developing areas, Hilton aspires to keep growing its portfolio of brands and properties. This expansion strategy comprises collaborating with franchisees and developers, building new hotels, and buying existing properties (Gee, 2021).</w:t>
      </w:r>
    </w:p>
    <w:p w14:paraId="6EBCB3E8" w14:textId="77777777" w:rsidR="00AE7613" w:rsidRDefault="00AE7613" w:rsidP="00AE7613">
      <w:pPr>
        <w:rPr>
          <w:rFonts w:ascii="Arial" w:hAnsi="Arial" w:cs="Arial"/>
        </w:rPr>
      </w:pPr>
      <w:r>
        <w:rPr>
          <w:rFonts w:ascii="Arial" w:hAnsi="Arial" w:cs="Arial"/>
        </w:rPr>
        <w:t>The core elements of IHG's strategy include asset-light growth, worldwide reach, brand uniqueness, and a robust loyalty programme. Although both organisations are focused on the development and providing outstanding customer experiences, their exact strategies and areas of focus differ.</w:t>
      </w:r>
    </w:p>
    <w:p w14:paraId="584EB6CD" w14:textId="77777777" w:rsidR="00AE7613" w:rsidRDefault="00AE7613" w:rsidP="00AE7613">
      <w:pPr>
        <w:rPr>
          <w:rFonts w:ascii="Arial" w:hAnsi="Arial" w:cs="Arial"/>
          <w:b/>
        </w:rPr>
      </w:pPr>
    </w:p>
    <w:p w14:paraId="5EC7C97C" w14:textId="77777777" w:rsidR="00AE7613" w:rsidRDefault="00AE7613" w:rsidP="00AE7613">
      <w:pPr>
        <w:rPr>
          <w:rFonts w:ascii="Arial" w:hAnsi="Arial" w:cs="Arial"/>
          <w:b/>
        </w:rPr>
      </w:pPr>
    </w:p>
    <w:p w14:paraId="31899348" w14:textId="77777777" w:rsidR="00AE7613" w:rsidRDefault="00AE7613" w:rsidP="00AE7613">
      <w:pPr>
        <w:rPr>
          <w:rFonts w:ascii="Arial" w:hAnsi="Arial" w:cs="Arial"/>
          <w:b/>
        </w:rPr>
      </w:pPr>
    </w:p>
    <w:p w14:paraId="05E406F4" w14:textId="77777777" w:rsidR="00AE7613" w:rsidRDefault="00AE7613" w:rsidP="00AE7613">
      <w:pPr>
        <w:pStyle w:val="Heading2"/>
        <w:rPr>
          <w:rFonts w:ascii="Arial" w:hAnsi="Arial" w:cs="Arial"/>
        </w:rPr>
      </w:pPr>
      <w:bookmarkStart w:id="6" w:name="_Toc137213757"/>
      <w:r>
        <w:rPr>
          <w:rFonts w:ascii="Arial" w:hAnsi="Arial" w:cs="Arial"/>
        </w:rPr>
        <w:lastRenderedPageBreak/>
        <w:t>Current Business Performance of Hilton Hotel Group</w:t>
      </w:r>
      <w:bookmarkEnd w:id="6"/>
    </w:p>
    <w:p w14:paraId="17EB714C" w14:textId="6A0ECD64" w:rsidR="00AE7613" w:rsidRDefault="00AE7613" w:rsidP="00AE7613">
      <w:pPr>
        <w:rPr>
          <w:rFonts w:ascii="Arial" w:hAnsi="Arial" w:cs="Arial"/>
        </w:rPr>
      </w:pPr>
      <w:r>
        <w:rPr>
          <w:rFonts w:ascii="Arial" w:hAnsi="Arial" w:cs="Arial"/>
          <w:noProof/>
          <w:lang w:eastAsia="en-GB"/>
        </w:rPr>
        <w:drawing>
          <wp:inline distT="0" distB="0" distL="0" distR="0" wp14:anchorId="4FC5B406" wp14:editId="188CBBD6">
            <wp:extent cx="5731510" cy="4122420"/>
            <wp:effectExtent l="0" t="0" r="2540" b="0"/>
            <wp:docPr id="858497016" name="Picture 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497016" name="Picture 2" descr="A picture containing text, screenshot, font, numb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122420"/>
                    </a:xfrm>
                    <a:prstGeom prst="rect">
                      <a:avLst/>
                    </a:prstGeom>
                    <a:noFill/>
                    <a:ln>
                      <a:noFill/>
                    </a:ln>
                  </pic:spPr>
                </pic:pic>
              </a:graphicData>
            </a:graphic>
          </wp:inline>
        </w:drawing>
      </w:r>
    </w:p>
    <w:p w14:paraId="3E661BFE" w14:textId="77777777" w:rsidR="00AE7613" w:rsidRDefault="00AE7613" w:rsidP="00AE7613">
      <w:pPr>
        <w:jc w:val="center"/>
        <w:rPr>
          <w:rFonts w:ascii="Arial" w:hAnsi="Arial" w:cs="Arial"/>
          <w:b/>
        </w:rPr>
      </w:pPr>
      <w:r>
        <w:rPr>
          <w:rFonts w:ascii="Arial" w:hAnsi="Arial" w:cs="Arial"/>
          <w:b/>
        </w:rPr>
        <w:t>Figure 01: Revenue of Hilton, Source: (Statista, 2023)</w:t>
      </w:r>
    </w:p>
    <w:p w14:paraId="6E4CBFA1" w14:textId="77777777" w:rsidR="00AE7613" w:rsidRDefault="00AE7613" w:rsidP="00AE7613">
      <w:pPr>
        <w:rPr>
          <w:rFonts w:ascii="Arial" w:hAnsi="Arial" w:cs="Arial"/>
        </w:rPr>
      </w:pPr>
      <w:r>
        <w:rPr>
          <w:rFonts w:ascii="Arial" w:hAnsi="Arial" w:cs="Arial"/>
        </w:rPr>
        <w:t>Hilton Hotel Group an international hotel chain, made around £6.97 billion in revenue in 2022, up significantly from the £4.60 billion it made in 2021. In contrast, compared to £2.31 billion in 2021, revenue was £3.09 billion in 2022 (Investing, 2023) which was significantly less than Hilton. The primary cause of the overall decline in revenue compared to 2019 is the worldwide coronavirus pandemic, which forced certain Hilton Worldwide facilities to lock their doors to limit the virus's spread. Hilton Worldwide is worth £30.47 billion as of June 2023 which makes Hilton Worldwide the 448th most valuable firm in the world.</w:t>
      </w:r>
    </w:p>
    <w:p w14:paraId="116073F5" w14:textId="2FE5C233" w:rsidR="00AE7613" w:rsidRDefault="00AE7613" w:rsidP="00AE7613">
      <w:pPr>
        <w:jc w:val="center"/>
        <w:rPr>
          <w:rFonts w:ascii="Arial" w:hAnsi="Arial" w:cs="Arial"/>
        </w:rPr>
      </w:pPr>
      <w:r>
        <w:rPr>
          <w:rFonts w:ascii="Arial" w:hAnsi="Arial" w:cs="Arial"/>
          <w:noProof/>
          <w:lang w:eastAsia="en-GB"/>
        </w:rPr>
        <w:lastRenderedPageBreak/>
        <w:drawing>
          <wp:inline distT="0" distB="0" distL="0" distR="0" wp14:anchorId="6E983BEB" wp14:editId="4816DB3E">
            <wp:extent cx="5731510" cy="2599055"/>
            <wp:effectExtent l="0" t="0" r="2540" b="0"/>
            <wp:docPr id="2111443655" name="Picture 1" descr="A picture containing text, screenshot, font,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443655" name="Picture 1" descr="A picture containing text, screenshot, font, bran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3C4D4A35" w14:textId="77777777" w:rsidR="00AE7613" w:rsidRDefault="00AE7613" w:rsidP="00AE7613">
      <w:pPr>
        <w:jc w:val="center"/>
        <w:rPr>
          <w:rFonts w:ascii="Arial" w:hAnsi="Arial" w:cs="Arial"/>
          <w:b/>
        </w:rPr>
      </w:pPr>
      <w:r>
        <w:rPr>
          <w:rFonts w:ascii="Arial" w:hAnsi="Arial" w:cs="Arial"/>
          <w:b/>
        </w:rPr>
        <w:t>Figure: 2022 Performance, Source: (Fox, 2023)</w:t>
      </w:r>
    </w:p>
    <w:p w14:paraId="7C24A2AD" w14:textId="77777777" w:rsidR="00AE7613" w:rsidRDefault="00AE7613" w:rsidP="00AE7613">
      <w:pPr>
        <w:rPr>
          <w:rFonts w:ascii="Arial" w:hAnsi="Arial" w:cs="Arial"/>
        </w:rPr>
      </w:pPr>
      <w:r>
        <w:rPr>
          <w:rFonts w:ascii="Arial" w:hAnsi="Arial" w:cs="Arial"/>
        </w:rPr>
        <w:t>Hilton's comparable revenue per available room climbed by 24.8 per cent and 42.5 per cent in the fourth quarter and full year of 2022, respectively, compared to the same periods in 2021. This growth was driven by higher occupancy and average daily rate. Fourth-quarter net income was £264.58 million, and adjusted profits before interest, taxes, depreciation, and amortisation were £588 million, compared to net income of £117.59 million and adjusted EBITDA of £406.80 million in Q4 2021 (Fox, 2023). Net income and adjusted EBITDA for 2022 were £1 billion and £2.07 billion, respectively, up from £323.38 million and £1.30 billion for 2021. In contrast, compared to 2021, net income increased to £298 million from £211 million in 2022 (Business Wire, 2023) which is much less than Hilton</w:t>
      </w:r>
    </w:p>
    <w:p w14:paraId="2481B55E" w14:textId="77777777" w:rsidR="00AE7613" w:rsidRDefault="00AE7613" w:rsidP="00AE7613">
      <w:pPr>
        <w:rPr>
          <w:rFonts w:ascii="Arial" w:hAnsi="Arial" w:cs="Arial"/>
          <w:b/>
        </w:rPr>
      </w:pPr>
      <w:r>
        <w:rPr>
          <w:rFonts w:ascii="Arial" w:hAnsi="Arial" w:cs="Arial"/>
          <w:b/>
        </w:rPr>
        <w:t>Comparison Table of Business Performance of Hilton and IHG</w:t>
      </w:r>
    </w:p>
    <w:tbl>
      <w:tblPr>
        <w:tblStyle w:val="TableGrid"/>
        <w:tblW w:w="0" w:type="auto"/>
        <w:tblInd w:w="0" w:type="dxa"/>
        <w:tblLook w:val="04A0" w:firstRow="1" w:lastRow="0" w:firstColumn="1" w:lastColumn="0" w:noHBand="0" w:noVBand="1"/>
      </w:tblPr>
      <w:tblGrid>
        <w:gridCol w:w="2244"/>
        <w:gridCol w:w="2248"/>
        <w:gridCol w:w="2265"/>
        <w:gridCol w:w="2259"/>
      </w:tblGrid>
      <w:tr w:rsidR="00AE7613" w14:paraId="57DFF17D" w14:textId="77777777" w:rsidTr="00AE7613">
        <w:tc>
          <w:tcPr>
            <w:tcW w:w="2310" w:type="dxa"/>
            <w:tcBorders>
              <w:top w:val="single" w:sz="4" w:space="0" w:color="auto"/>
              <w:left w:val="single" w:sz="4" w:space="0" w:color="auto"/>
              <w:bottom w:val="single" w:sz="4" w:space="0" w:color="auto"/>
              <w:right w:val="single" w:sz="4" w:space="0" w:color="auto"/>
            </w:tcBorders>
            <w:hideMark/>
          </w:tcPr>
          <w:p w14:paraId="1F17ADFE" w14:textId="77777777" w:rsidR="00AE7613" w:rsidRDefault="00AE7613">
            <w:pPr>
              <w:spacing w:after="0"/>
              <w:rPr>
                <w:rFonts w:ascii="Arial" w:hAnsi="Arial" w:cs="Arial"/>
                <w:b/>
                <w:szCs w:val="24"/>
                <w:lang w:val="en-US"/>
              </w:rPr>
            </w:pPr>
            <w:r>
              <w:rPr>
                <w:rFonts w:ascii="Arial" w:hAnsi="Arial" w:cs="Arial"/>
                <w:b/>
                <w:szCs w:val="24"/>
                <w:lang w:val="en-US"/>
              </w:rPr>
              <w:t>Year</w:t>
            </w:r>
          </w:p>
        </w:tc>
        <w:tc>
          <w:tcPr>
            <w:tcW w:w="2310" w:type="dxa"/>
            <w:tcBorders>
              <w:top w:val="single" w:sz="4" w:space="0" w:color="auto"/>
              <w:left w:val="single" w:sz="4" w:space="0" w:color="auto"/>
              <w:bottom w:val="single" w:sz="4" w:space="0" w:color="auto"/>
              <w:right w:val="single" w:sz="4" w:space="0" w:color="auto"/>
            </w:tcBorders>
            <w:hideMark/>
          </w:tcPr>
          <w:p w14:paraId="6A7AB0C1" w14:textId="77777777" w:rsidR="00AE7613" w:rsidRDefault="00AE7613">
            <w:pPr>
              <w:spacing w:after="0"/>
              <w:rPr>
                <w:rFonts w:ascii="Arial" w:hAnsi="Arial" w:cs="Arial"/>
                <w:b/>
                <w:szCs w:val="24"/>
              </w:rPr>
            </w:pPr>
            <w:r>
              <w:rPr>
                <w:rFonts w:ascii="Arial" w:hAnsi="Arial" w:cs="Arial"/>
                <w:b/>
                <w:szCs w:val="24"/>
              </w:rPr>
              <w:t>Hotel</w:t>
            </w:r>
          </w:p>
        </w:tc>
        <w:tc>
          <w:tcPr>
            <w:tcW w:w="2311" w:type="dxa"/>
            <w:tcBorders>
              <w:top w:val="single" w:sz="4" w:space="0" w:color="auto"/>
              <w:left w:val="single" w:sz="4" w:space="0" w:color="auto"/>
              <w:bottom w:val="single" w:sz="4" w:space="0" w:color="auto"/>
              <w:right w:val="single" w:sz="4" w:space="0" w:color="auto"/>
            </w:tcBorders>
            <w:hideMark/>
          </w:tcPr>
          <w:p w14:paraId="7FDBC0E3" w14:textId="77777777" w:rsidR="00AE7613" w:rsidRDefault="00AE7613">
            <w:pPr>
              <w:spacing w:after="0"/>
              <w:rPr>
                <w:rFonts w:ascii="Arial" w:hAnsi="Arial" w:cs="Arial"/>
                <w:b/>
                <w:szCs w:val="24"/>
              </w:rPr>
            </w:pPr>
            <w:r>
              <w:rPr>
                <w:rFonts w:ascii="Arial" w:hAnsi="Arial" w:cs="Arial"/>
                <w:b/>
                <w:szCs w:val="24"/>
              </w:rPr>
              <w:t>Revenue</w:t>
            </w:r>
          </w:p>
        </w:tc>
        <w:tc>
          <w:tcPr>
            <w:tcW w:w="2311" w:type="dxa"/>
            <w:tcBorders>
              <w:top w:val="single" w:sz="4" w:space="0" w:color="auto"/>
              <w:left w:val="single" w:sz="4" w:space="0" w:color="auto"/>
              <w:bottom w:val="single" w:sz="4" w:space="0" w:color="auto"/>
              <w:right w:val="single" w:sz="4" w:space="0" w:color="auto"/>
            </w:tcBorders>
            <w:hideMark/>
          </w:tcPr>
          <w:p w14:paraId="2C83D06F" w14:textId="77777777" w:rsidR="00AE7613" w:rsidRDefault="00AE7613">
            <w:pPr>
              <w:spacing w:after="0"/>
              <w:rPr>
                <w:rFonts w:ascii="Arial" w:hAnsi="Arial" w:cs="Arial"/>
                <w:b/>
                <w:szCs w:val="24"/>
              </w:rPr>
            </w:pPr>
            <w:r>
              <w:rPr>
                <w:rFonts w:ascii="Arial" w:hAnsi="Arial" w:cs="Arial"/>
                <w:b/>
                <w:szCs w:val="24"/>
              </w:rPr>
              <w:t>Net Income</w:t>
            </w:r>
          </w:p>
        </w:tc>
      </w:tr>
      <w:tr w:rsidR="00AE7613" w14:paraId="6BB45BA0" w14:textId="77777777" w:rsidTr="00AE7613">
        <w:tc>
          <w:tcPr>
            <w:tcW w:w="2310" w:type="dxa"/>
            <w:tcBorders>
              <w:top w:val="single" w:sz="4" w:space="0" w:color="auto"/>
              <w:left w:val="single" w:sz="4" w:space="0" w:color="auto"/>
              <w:bottom w:val="single" w:sz="4" w:space="0" w:color="auto"/>
              <w:right w:val="single" w:sz="4" w:space="0" w:color="auto"/>
            </w:tcBorders>
          </w:tcPr>
          <w:p w14:paraId="454026F8" w14:textId="77777777" w:rsidR="00AE7613" w:rsidRDefault="00AE7613">
            <w:pPr>
              <w:spacing w:after="0"/>
              <w:rPr>
                <w:rFonts w:ascii="Arial" w:hAnsi="Arial" w:cs="Arial"/>
                <w:szCs w:val="24"/>
              </w:rPr>
            </w:pPr>
          </w:p>
          <w:p w14:paraId="4923DAC6" w14:textId="77777777" w:rsidR="00AE7613" w:rsidRDefault="00AE7613">
            <w:pPr>
              <w:spacing w:after="0"/>
              <w:jc w:val="center"/>
              <w:rPr>
                <w:rFonts w:ascii="Arial" w:hAnsi="Arial" w:cs="Arial"/>
                <w:szCs w:val="24"/>
              </w:rPr>
            </w:pPr>
            <w:r>
              <w:rPr>
                <w:rFonts w:ascii="Arial" w:hAnsi="Arial" w:cs="Arial"/>
                <w:szCs w:val="24"/>
              </w:rPr>
              <w:t>2021</w:t>
            </w:r>
          </w:p>
          <w:p w14:paraId="7F8CC03B" w14:textId="77777777" w:rsidR="00AE7613" w:rsidRDefault="00AE7613">
            <w:pPr>
              <w:spacing w:after="0"/>
              <w:jc w:val="center"/>
              <w:rPr>
                <w:rFonts w:ascii="Arial" w:hAnsi="Arial" w:cs="Arial"/>
                <w:szCs w:val="24"/>
              </w:rPr>
            </w:pPr>
          </w:p>
        </w:tc>
        <w:tc>
          <w:tcPr>
            <w:tcW w:w="2310" w:type="dxa"/>
            <w:tcBorders>
              <w:top w:val="single" w:sz="4" w:space="0" w:color="auto"/>
              <w:left w:val="single" w:sz="4" w:space="0" w:color="auto"/>
              <w:bottom w:val="single" w:sz="4" w:space="0" w:color="auto"/>
              <w:right w:val="single" w:sz="4" w:space="0" w:color="auto"/>
            </w:tcBorders>
          </w:tcPr>
          <w:p w14:paraId="55B7A3A0" w14:textId="77777777" w:rsidR="00AE7613" w:rsidRDefault="00AE7613">
            <w:pPr>
              <w:spacing w:after="0"/>
              <w:rPr>
                <w:rFonts w:ascii="Arial" w:hAnsi="Arial" w:cs="Arial"/>
                <w:szCs w:val="24"/>
              </w:rPr>
            </w:pPr>
            <w:r>
              <w:rPr>
                <w:rFonts w:ascii="Arial" w:hAnsi="Arial" w:cs="Arial"/>
                <w:szCs w:val="24"/>
              </w:rPr>
              <w:t>Hilton</w:t>
            </w:r>
          </w:p>
          <w:p w14:paraId="010D0546" w14:textId="77777777" w:rsidR="00AE7613" w:rsidRDefault="00AE7613">
            <w:pPr>
              <w:spacing w:after="0"/>
              <w:rPr>
                <w:rFonts w:ascii="Arial" w:hAnsi="Arial" w:cs="Arial"/>
                <w:szCs w:val="24"/>
              </w:rPr>
            </w:pPr>
          </w:p>
          <w:p w14:paraId="6B90013B" w14:textId="77777777" w:rsidR="00AE7613" w:rsidRDefault="00AE7613">
            <w:pPr>
              <w:spacing w:after="0"/>
              <w:rPr>
                <w:rFonts w:ascii="Arial" w:hAnsi="Arial" w:cs="Arial"/>
                <w:szCs w:val="24"/>
              </w:rPr>
            </w:pPr>
            <w:r>
              <w:rPr>
                <w:rFonts w:ascii="Arial" w:hAnsi="Arial" w:cs="Arial"/>
                <w:szCs w:val="24"/>
              </w:rPr>
              <w:t>IHG</w:t>
            </w:r>
          </w:p>
        </w:tc>
        <w:tc>
          <w:tcPr>
            <w:tcW w:w="2311" w:type="dxa"/>
            <w:tcBorders>
              <w:top w:val="single" w:sz="4" w:space="0" w:color="auto"/>
              <w:left w:val="single" w:sz="4" w:space="0" w:color="auto"/>
              <w:bottom w:val="single" w:sz="4" w:space="0" w:color="auto"/>
              <w:right w:val="single" w:sz="4" w:space="0" w:color="auto"/>
            </w:tcBorders>
          </w:tcPr>
          <w:p w14:paraId="0E8C141F" w14:textId="77777777" w:rsidR="00AE7613" w:rsidRDefault="00AE7613">
            <w:pPr>
              <w:spacing w:after="0"/>
              <w:rPr>
                <w:rFonts w:ascii="Arial" w:hAnsi="Arial" w:cs="Arial"/>
                <w:szCs w:val="24"/>
              </w:rPr>
            </w:pPr>
            <w:r>
              <w:rPr>
                <w:rFonts w:ascii="Arial" w:hAnsi="Arial" w:cs="Arial"/>
                <w:szCs w:val="24"/>
              </w:rPr>
              <w:t>£4.60 billion</w:t>
            </w:r>
          </w:p>
          <w:p w14:paraId="2EECA6A1" w14:textId="77777777" w:rsidR="00AE7613" w:rsidRDefault="00AE7613">
            <w:pPr>
              <w:spacing w:after="0"/>
              <w:rPr>
                <w:rFonts w:ascii="Arial" w:hAnsi="Arial" w:cs="Arial"/>
                <w:szCs w:val="24"/>
              </w:rPr>
            </w:pPr>
          </w:p>
          <w:p w14:paraId="47C13F43" w14:textId="77777777" w:rsidR="00AE7613" w:rsidRDefault="00AE7613">
            <w:pPr>
              <w:spacing w:after="0"/>
              <w:rPr>
                <w:rFonts w:ascii="Arial" w:hAnsi="Arial" w:cs="Arial"/>
                <w:szCs w:val="24"/>
              </w:rPr>
            </w:pPr>
            <w:r>
              <w:rPr>
                <w:rFonts w:ascii="Arial" w:hAnsi="Arial" w:cs="Arial"/>
                <w:szCs w:val="24"/>
              </w:rPr>
              <w:t>£2.31 billion</w:t>
            </w:r>
          </w:p>
        </w:tc>
        <w:tc>
          <w:tcPr>
            <w:tcW w:w="2311" w:type="dxa"/>
            <w:tcBorders>
              <w:top w:val="single" w:sz="4" w:space="0" w:color="auto"/>
              <w:left w:val="single" w:sz="4" w:space="0" w:color="auto"/>
              <w:bottom w:val="single" w:sz="4" w:space="0" w:color="auto"/>
              <w:right w:val="single" w:sz="4" w:space="0" w:color="auto"/>
            </w:tcBorders>
          </w:tcPr>
          <w:p w14:paraId="5BA4BFD6" w14:textId="77777777" w:rsidR="00AE7613" w:rsidRDefault="00AE7613">
            <w:pPr>
              <w:spacing w:after="0"/>
              <w:rPr>
                <w:rFonts w:ascii="Arial" w:hAnsi="Arial" w:cs="Arial"/>
                <w:szCs w:val="24"/>
              </w:rPr>
            </w:pPr>
            <w:r>
              <w:rPr>
                <w:rFonts w:ascii="Arial" w:hAnsi="Arial" w:cs="Arial"/>
                <w:szCs w:val="24"/>
              </w:rPr>
              <w:t>£323.38</w:t>
            </w:r>
          </w:p>
          <w:p w14:paraId="5A604E0E" w14:textId="77777777" w:rsidR="00AE7613" w:rsidRDefault="00AE7613">
            <w:pPr>
              <w:spacing w:after="0"/>
              <w:rPr>
                <w:rFonts w:ascii="Arial" w:hAnsi="Arial" w:cs="Arial"/>
                <w:szCs w:val="24"/>
              </w:rPr>
            </w:pPr>
          </w:p>
          <w:p w14:paraId="3B9F5CB5" w14:textId="77777777" w:rsidR="00AE7613" w:rsidRDefault="00AE7613">
            <w:pPr>
              <w:spacing w:after="0"/>
              <w:rPr>
                <w:rFonts w:ascii="Arial" w:hAnsi="Arial" w:cs="Arial"/>
                <w:szCs w:val="24"/>
              </w:rPr>
            </w:pPr>
            <w:r>
              <w:rPr>
                <w:rFonts w:ascii="Arial" w:hAnsi="Arial" w:cs="Arial"/>
                <w:szCs w:val="24"/>
              </w:rPr>
              <w:t>£211 million</w:t>
            </w:r>
          </w:p>
        </w:tc>
      </w:tr>
      <w:tr w:rsidR="00AE7613" w14:paraId="01EC4566" w14:textId="77777777" w:rsidTr="00AE7613">
        <w:tc>
          <w:tcPr>
            <w:tcW w:w="2310" w:type="dxa"/>
            <w:tcBorders>
              <w:top w:val="single" w:sz="4" w:space="0" w:color="auto"/>
              <w:left w:val="single" w:sz="4" w:space="0" w:color="auto"/>
              <w:bottom w:val="single" w:sz="4" w:space="0" w:color="auto"/>
              <w:right w:val="single" w:sz="4" w:space="0" w:color="auto"/>
            </w:tcBorders>
          </w:tcPr>
          <w:p w14:paraId="012BFB18" w14:textId="77777777" w:rsidR="00AE7613" w:rsidRDefault="00AE7613">
            <w:pPr>
              <w:spacing w:after="0"/>
              <w:jc w:val="center"/>
              <w:rPr>
                <w:rFonts w:ascii="Arial" w:hAnsi="Arial" w:cs="Arial"/>
                <w:szCs w:val="24"/>
              </w:rPr>
            </w:pPr>
          </w:p>
          <w:p w14:paraId="0F4C85D6" w14:textId="77777777" w:rsidR="00AE7613" w:rsidRDefault="00AE7613">
            <w:pPr>
              <w:spacing w:after="0"/>
              <w:jc w:val="center"/>
              <w:rPr>
                <w:rFonts w:ascii="Arial" w:hAnsi="Arial" w:cs="Arial"/>
                <w:szCs w:val="24"/>
              </w:rPr>
            </w:pPr>
            <w:r>
              <w:rPr>
                <w:rFonts w:ascii="Arial" w:hAnsi="Arial" w:cs="Arial"/>
                <w:szCs w:val="24"/>
              </w:rPr>
              <w:t>2022</w:t>
            </w:r>
          </w:p>
          <w:p w14:paraId="05B72C7A" w14:textId="77777777" w:rsidR="00AE7613" w:rsidRDefault="00AE7613">
            <w:pPr>
              <w:spacing w:after="0"/>
              <w:rPr>
                <w:rFonts w:ascii="Arial" w:hAnsi="Arial" w:cs="Arial"/>
                <w:szCs w:val="24"/>
              </w:rPr>
            </w:pPr>
          </w:p>
        </w:tc>
        <w:tc>
          <w:tcPr>
            <w:tcW w:w="2310" w:type="dxa"/>
            <w:tcBorders>
              <w:top w:val="single" w:sz="4" w:space="0" w:color="auto"/>
              <w:left w:val="single" w:sz="4" w:space="0" w:color="auto"/>
              <w:bottom w:val="single" w:sz="4" w:space="0" w:color="auto"/>
              <w:right w:val="single" w:sz="4" w:space="0" w:color="auto"/>
            </w:tcBorders>
          </w:tcPr>
          <w:p w14:paraId="5F31F91B" w14:textId="77777777" w:rsidR="00AE7613" w:rsidRDefault="00AE7613">
            <w:pPr>
              <w:spacing w:after="0"/>
              <w:rPr>
                <w:rFonts w:ascii="Arial" w:hAnsi="Arial" w:cs="Arial"/>
                <w:szCs w:val="24"/>
              </w:rPr>
            </w:pPr>
            <w:r>
              <w:rPr>
                <w:rFonts w:ascii="Arial" w:hAnsi="Arial" w:cs="Arial"/>
                <w:szCs w:val="24"/>
              </w:rPr>
              <w:t>Hilton</w:t>
            </w:r>
          </w:p>
          <w:p w14:paraId="1B2E6C85" w14:textId="77777777" w:rsidR="00AE7613" w:rsidRDefault="00AE7613">
            <w:pPr>
              <w:spacing w:after="0"/>
              <w:rPr>
                <w:rFonts w:ascii="Arial" w:hAnsi="Arial" w:cs="Arial"/>
                <w:szCs w:val="24"/>
              </w:rPr>
            </w:pPr>
          </w:p>
          <w:p w14:paraId="5F05F518" w14:textId="77777777" w:rsidR="00AE7613" w:rsidRDefault="00AE7613">
            <w:pPr>
              <w:spacing w:after="0"/>
              <w:rPr>
                <w:rFonts w:ascii="Arial" w:hAnsi="Arial" w:cs="Arial"/>
                <w:szCs w:val="24"/>
              </w:rPr>
            </w:pPr>
            <w:r>
              <w:rPr>
                <w:rFonts w:ascii="Arial" w:hAnsi="Arial" w:cs="Arial"/>
                <w:szCs w:val="24"/>
              </w:rPr>
              <w:t>IHG</w:t>
            </w:r>
          </w:p>
        </w:tc>
        <w:tc>
          <w:tcPr>
            <w:tcW w:w="2311" w:type="dxa"/>
            <w:tcBorders>
              <w:top w:val="single" w:sz="4" w:space="0" w:color="auto"/>
              <w:left w:val="single" w:sz="4" w:space="0" w:color="auto"/>
              <w:bottom w:val="single" w:sz="4" w:space="0" w:color="auto"/>
              <w:right w:val="single" w:sz="4" w:space="0" w:color="auto"/>
            </w:tcBorders>
          </w:tcPr>
          <w:p w14:paraId="02987E34" w14:textId="77777777" w:rsidR="00AE7613" w:rsidRDefault="00AE7613">
            <w:pPr>
              <w:spacing w:after="0"/>
              <w:rPr>
                <w:rFonts w:ascii="Arial" w:hAnsi="Arial" w:cs="Arial"/>
                <w:szCs w:val="24"/>
              </w:rPr>
            </w:pPr>
            <w:r>
              <w:rPr>
                <w:rFonts w:ascii="Arial" w:hAnsi="Arial" w:cs="Arial"/>
                <w:szCs w:val="24"/>
              </w:rPr>
              <w:t>£6.97 billion</w:t>
            </w:r>
          </w:p>
          <w:p w14:paraId="2F2E3442" w14:textId="77777777" w:rsidR="00AE7613" w:rsidRDefault="00AE7613">
            <w:pPr>
              <w:spacing w:after="0"/>
              <w:rPr>
                <w:rFonts w:ascii="Arial" w:hAnsi="Arial" w:cs="Arial"/>
                <w:szCs w:val="24"/>
              </w:rPr>
            </w:pPr>
          </w:p>
          <w:p w14:paraId="1A9797A1" w14:textId="77777777" w:rsidR="00AE7613" w:rsidRDefault="00AE7613">
            <w:pPr>
              <w:spacing w:after="0"/>
              <w:rPr>
                <w:rFonts w:ascii="Arial" w:hAnsi="Arial" w:cs="Arial"/>
                <w:szCs w:val="24"/>
              </w:rPr>
            </w:pPr>
            <w:r>
              <w:rPr>
                <w:rFonts w:ascii="Arial" w:hAnsi="Arial" w:cs="Arial"/>
                <w:szCs w:val="24"/>
              </w:rPr>
              <w:t>£3.09 billion</w:t>
            </w:r>
          </w:p>
        </w:tc>
        <w:tc>
          <w:tcPr>
            <w:tcW w:w="2311" w:type="dxa"/>
            <w:tcBorders>
              <w:top w:val="single" w:sz="4" w:space="0" w:color="auto"/>
              <w:left w:val="single" w:sz="4" w:space="0" w:color="auto"/>
              <w:bottom w:val="single" w:sz="4" w:space="0" w:color="auto"/>
              <w:right w:val="single" w:sz="4" w:space="0" w:color="auto"/>
            </w:tcBorders>
          </w:tcPr>
          <w:p w14:paraId="44A0C930" w14:textId="77777777" w:rsidR="00AE7613" w:rsidRDefault="00AE7613">
            <w:pPr>
              <w:spacing w:after="0"/>
              <w:rPr>
                <w:rFonts w:ascii="Arial" w:hAnsi="Arial" w:cs="Arial"/>
                <w:szCs w:val="24"/>
              </w:rPr>
            </w:pPr>
            <w:r>
              <w:rPr>
                <w:rFonts w:ascii="Arial" w:hAnsi="Arial" w:cs="Arial"/>
                <w:szCs w:val="24"/>
              </w:rPr>
              <w:t>£1 billion</w:t>
            </w:r>
          </w:p>
          <w:p w14:paraId="67531E23" w14:textId="77777777" w:rsidR="00AE7613" w:rsidRDefault="00AE7613">
            <w:pPr>
              <w:spacing w:after="0"/>
              <w:rPr>
                <w:rFonts w:ascii="Arial" w:hAnsi="Arial" w:cs="Arial"/>
                <w:szCs w:val="24"/>
              </w:rPr>
            </w:pPr>
          </w:p>
          <w:p w14:paraId="7AB80D89" w14:textId="77777777" w:rsidR="00AE7613" w:rsidRDefault="00AE7613">
            <w:pPr>
              <w:spacing w:after="0"/>
              <w:rPr>
                <w:rFonts w:ascii="Arial" w:hAnsi="Arial" w:cs="Arial"/>
                <w:szCs w:val="24"/>
              </w:rPr>
            </w:pPr>
            <w:r>
              <w:rPr>
                <w:rFonts w:ascii="Arial" w:hAnsi="Arial" w:cs="Arial"/>
                <w:szCs w:val="24"/>
              </w:rPr>
              <w:t>£298</w:t>
            </w:r>
          </w:p>
        </w:tc>
      </w:tr>
    </w:tbl>
    <w:p w14:paraId="602EFAA6" w14:textId="77777777" w:rsidR="00AE7613" w:rsidRDefault="00AE7613" w:rsidP="00AE7613">
      <w:pPr>
        <w:jc w:val="center"/>
        <w:rPr>
          <w:rFonts w:ascii="Arial" w:hAnsi="Arial" w:cs="Arial"/>
          <w:b/>
        </w:rPr>
      </w:pPr>
      <w:r>
        <w:rPr>
          <w:rFonts w:ascii="Arial" w:hAnsi="Arial" w:cs="Arial"/>
          <w:b/>
        </w:rPr>
        <w:t>Table 01: Comparison, Source: (Own)</w:t>
      </w:r>
    </w:p>
    <w:p w14:paraId="05528CAD" w14:textId="77777777" w:rsidR="00AE7613" w:rsidRDefault="00AE7613" w:rsidP="00AE7613">
      <w:pPr>
        <w:rPr>
          <w:rFonts w:ascii="Arial" w:hAnsi="Arial" w:cs="Arial"/>
        </w:rPr>
      </w:pPr>
    </w:p>
    <w:p w14:paraId="4AEB6F36" w14:textId="77777777" w:rsidR="00AE7613" w:rsidRDefault="00AE7613" w:rsidP="00AE7613">
      <w:pPr>
        <w:pStyle w:val="Heading1"/>
        <w:rPr>
          <w:rFonts w:ascii="Arial" w:hAnsi="Arial" w:cs="Arial"/>
        </w:rPr>
      </w:pPr>
      <w:bookmarkStart w:id="7" w:name="_Toc137213758"/>
      <w:r>
        <w:rPr>
          <w:rFonts w:ascii="Arial" w:hAnsi="Arial" w:cs="Arial"/>
        </w:rPr>
        <w:lastRenderedPageBreak/>
        <w:t>Conclusion</w:t>
      </w:r>
      <w:bookmarkEnd w:id="7"/>
    </w:p>
    <w:p w14:paraId="45164475" w14:textId="77777777" w:rsidR="00AE7613" w:rsidRDefault="00AE7613" w:rsidP="00AE7613">
      <w:pPr>
        <w:rPr>
          <w:rFonts w:ascii="Arial" w:hAnsi="Arial" w:cs="Arial"/>
        </w:rPr>
      </w:pPr>
      <w:r>
        <w:rPr>
          <w:rFonts w:ascii="Arial" w:hAnsi="Arial" w:cs="Arial"/>
        </w:rPr>
        <w:t>The Hilton Hotel Group is a well-known international hospitality firm with a wide range of brands. Hilton has established a strategic direction with an emphasis on hospitality innovation, quality, and sustainability to preserve its leadership position in the travel sector. The success of Hilton has been greatly influenced by its dedication to customer satisfaction, portfolio expansion, technical innovation, sustainability, and customer loyalty.</w:t>
      </w:r>
    </w:p>
    <w:p w14:paraId="024D0E2E" w14:textId="77777777" w:rsidR="00AE7613" w:rsidRDefault="00AE7613" w:rsidP="00AE7613">
      <w:pPr>
        <w:rPr>
          <w:rFonts w:ascii="Arial" w:hAnsi="Arial" w:cs="Arial"/>
        </w:rPr>
      </w:pPr>
    </w:p>
    <w:p w14:paraId="6125ADBC" w14:textId="77777777" w:rsidR="00AE7613" w:rsidRDefault="00AE7613" w:rsidP="00AE7613">
      <w:pPr>
        <w:rPr>
          <w:rFonts w:ascii="Arial" w:hAnsi="Arial" w:cs="Arial"/>
        </w:rPr>
      </w:pPr>
    </w:p>
    <w:p w14:paraId="7D86F9E2" w14:textId="77777777" w:rsidR="00AE7613" w:rsidRDefault="00AE7613" w:rsidP="00AE7613">
      <w:pPr>
        <w:rPr>
          <w:rFonts w:ascii="Arial" w:hAnsi="Arial" w:cs="Arial"/>
        </w:rPr>
      </w:pPr>
    </w:p>
    <w:p w14:paraId="3E2D5C39" w14:textId="77777777" w:rsidR="00AE7613" w:rsidRDefault="00AE7613" w:rsidP="00AE7613">
      <w:pPr>
        <w:rPr>
          <w:rFonts w:ascii="Arial" w:hAnsi="Arial" w:cs="Arial"/>
        </w:rPr>
      </w:pPr>
    </w:p>
    <w:p w14:paraId="6D37B9C4" w14:textId="77777777" w:rsidR="00AE7613" w:rsidRDefault="00AE7613" w:rsidP="00AE7613">
      <w:pPr>
        <w:rPr>
          <w:rFonts w:ascii="Arial" w:hAnsi="Arial" w:cs="Arial"/>
        </w:rPr>
      </w:pPr>
    </w:p>
    <w:p w14:paraId="0DDE83DA" w14:textId="77777777" w:rsidR="00AE7613" w:rsidRDefault="00AE7613" w:rsidP="00AE7613">
      <w:pPr>
        <w:rPr>
          <w:rFonts w:ascii="Arial" w:hAnsi="Arial" w:cs="Arial"/>
        </w:rPr>
      </w:pPr>
    </w:p>
    <w:p w14:paraId="2C74E82F" w14:textId="77777777" w:rsidR="00AE7613" w:rsidRDefault="00AE7613" w:rsidP="00AE7613">
      <w:pPr>
        <w:rPr>
          <w:rFonts w:ascii="Arial" w:hAnsi="Arial" w:cs="Arial"/>
        </w:rPr>
      </w:pPr>
    </w:p>
    <w:p w14:paraId="1BFC3070" w14:textId="77777777" w:rsidR="00AE7613" w:rsidRDefault="00AE7613" w:rsidP="00AE7613">
      <w:pPr>
        <w:rPr>
          <w:rFonts w:ascii="Arial" w:hAnsi="Arial" w:cs="Arial"/>
        </w:rPr>
      </w:pPr>
    </w:p>
    <w:p w14:paraId="34DAF89A" w14:textId="77777777" w:rsidR="00AE7613" w:rsidRDefault="00AE7613" w:rsidP="00AE7613">
      <w:pPr>
        <w:rPr>
          <w:rFonts w:ascii="Arial" w:hAnsi="Arial" w:cs="Arial"/>
        </w:rPr>
      </w:pPr>
    </w:p>
    <w:p w14:paraId="4F800376" w14:textId="77777777" w:rsidR="00AE7613" w:rsidRDefault="00AE7613" w:rsidP="00AE7613">
      <w:pPr>
        <w:rPr>
          <w:rFonts w:ascii="Arial" w:hAnsi="Arial" w:cs="Arial"/>
        </w:rPr>
      </w:pPr>
    </w:p>
    <w:p w14:paraId="7D11A5B2" w14:textId="77777777" w:rsidR="00AE7613" w:rsidRDefault="00AE7613" w:rsidP="00AE7613">
      <w:pPr>
        <w:rPr>
          <w:rFonts w:ascii="Arial" w:hAnsi="Arial" w:cs="Arial"/>
        </w:rPr>
      </w:pPr>
    </w:p>
    <w:p w14:paraId="290EAA15" w14:textId="77777777" w:rsidR="00AE7613" w:rsidRDefault="00AE7613" w:rsidP="00AE7613">
      <w:pPr>
        <w:rPr>
          <w:rFonts w:ascii="Arial" w:hAnsi="Arial" w:cs="Arial"/>
        </w:rPr>
      </w:pPr>
    </w:p>
    <w:p w14:paraId="329FAA64" w14:textId="77777777" w:rsidR="00AE7613" w:rsidRDefault="00AE7613" w:rsidP="00AE7613">
      <w:pPr>
        <w:rPr>
          <w:rFonts w:ascii="Arial" w:hAnsi="Arial" w:cs="Arial"/>
        </w:rPr>
      </w:pPr>
    </w:p>
    <w:p w14:paraId="32589219" w14:textId="77777777" w:rsidR="00AE7613" w:rsidRDefault="00AE7613" w:rsidP="00AE7613">
      <w:pPr>
        <w:rPr>
          <w:rFonts w:ascii="Arial" w:hAnsi="Arial" w:cs="Arial"/>
        </w:rPr>
      </w:pPr>
    </w:p>
    <w:p w14:paraId="0AE9A5C6" w14:textId="77777777" w:rsidR="00AE7613" w:rsidRDefault="00AE7613" w:rsidP="00AE7613">
      <w:pPr>
        <w:rPr>
          <w:rFonts w:ascii="Arial" w:hAnsi="Arial" w:cs="Arial"/>
        </w:rPr>
      </w:pPr>
    </w:p>
    <w:p w14:paraId="4089447E" w14:textId="77777777" w:rsidR="00AE7613" w:rsidRDefault="00AE7613" w:rsidP="00AE7613">
      <w:pPr>
        <w:rPr>
          <w:rFonts w:ascii="Arial" w:hAnsi="Arial" w:cs="Arial"/>
        </w:rPr>
      </w:pPr>
    </w:p>
    <w:p w14:paraId="6D156C03" w14:textId="77777777" w:rsidR="00AE7613" w:rsidRDefault="00AE7613" w:rsidP="00AE7613">
      <w:pPr>
        <w:rPr>
          <w:rFonts w:ascii="Arial" w:hAnsi="Arial" w:cs="Arial"/>
        </w:rPr>
      </w:pPr>
    </w:p>
    <w:p w14:paraId="69DDB1EA" w14:textId="77777777" w:rsidR="00AE7613" w:rsidRDefault="00AE7613" w:rsidP="00AE7613">
      <w:pPr>
        <w:rPr>
          <w:rFonts w:ascii="Arial" w:hAnsi="Arial" w:cs="Arial"/>
        </w:rPr>
      </w:pPr>
    </w:p>
    <w:p w14:paraId="78FF3D8A" w14:textId="77777777" w:rsidR="00AE7613" w:rsidRDefault="00AE7613" w:rsidP="00AE7613">
      <w:pPr>
        <w:pStyle w:val="Heading1"/>
        <w:rPr>
          <w:rFonts w:ascii="Arial" w:hAnsi="Arial" w:cs="Arial"/>
        </w:rPr>
      </w:pPr>
      <w:bookmarkStart w:id="8" w:name="_Toc137213759"/>
      <w:r>
        <w:rPr>
          <w:rFonts w:ascii="Arial" w:hAnsi="Arial" w:cs="Arial"/>
        </w:rPr>
        <w:lastRenderedPageBreak/>
        <w:t>Reference</w:t>
      </w:r>
      <w:bookmarkEnd w:id="8"/>
    </w:p>
    <w:p w14:paraId="72E8C7AC"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Alrawadih</w:t>
      </w:r>
      <w:proofErr w:type="spellEnd"/>
      <w:r>
        <w:rPr>
          <w:rFonts w:ascii="Arial" w:hAnsi="Arial" w:cs="Arial"/>
        </w:rPr>
        <w:t xml:space="preserve">, Z. and Cetin, G. (2022). Digital Transformation and Revenue Management: Evidence from the hotel industry. </w:t>
      </w:r>
      <w:r>
        <w:rPr>
          <w:rFonts w:ascii="Arial" w:hAnsi="Arial" w:cs="Arial"/>
          <w:iCs/>
        </w:rPr>
        <w:t>Tourism Economics</w:t>
      </w:r>
      <w:r>
        <w:rPr>
          <w:rFonts w:ascii="Arial" w:hAnsi="Arial" w:cs="Arial"/>
        </w:rPr>
        <w:t>, 27(2).</w:t>
      </w:r>
    </w:p>
    <w:p w14:paraId="67410B17"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Alveson</w:t>
      </w:r>
      <w:proofErr w:type="spellEnd"/>
      <w:r>
        <w:rPr>
          <w:rFonts w:ascii="Arial" w:hAnsi="Arial" w:cs="Arial"/>
        </w:rPr>
        <w:t xml:space="preserve">, M. (2016). </w:t>
      </w:r>
      <w:r>
        <w:rPr>
          <w:rFonts w:ascii="Arial" w:hAnsi="Arial" w:cs="Arial"/>
          <w:iCs/>
        </w:rPr>
        <w:t>Organisational Culture</w:t>
      </w:r>
      <w:r>
        <w:rPr>
          <w:rFonts w:ascii="Arial" w:hAnsi="Arial" w:cs="Arial"/>
        </w:rPr>
        <w:t>. 12th ed. London: Sage Publications.</w:t>
      </w:r>
    </w:p>
    <w:p w14:paraId="45536A11"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Business Wire (2023). </w:t>
      </w:r>
      <w:r>
        <w:rPr>
          <w:rFonts w:ascii="Arial" w:hAnsi="Arial" w:cs="Arial"/>
          <w:iCs/>
        </w:rPr>
        <w:t>Hilton Reports Fourth Quarter and Full Year Results</w:t>
      </w:r>
      <w:r>
        <w:rPr>
          <w:rFonts w:ascii="Arial" w:hAnsi="Arial" w:cs="Arial"/>
        </w:rPr>
        <w:t xml:space="preserve">. [online] www.businesswire.com. </w:t>
      </w:r>
    </w:p>
    <w:p w14:paraId="2C18D98E"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Chakravarti</w:t>
      </w:r>
      <w:proofErr w:type="spellEnd"/>
      <w:r>
        <w:rPr>
          <w:rFonts w:ascii="Arial" w:hAnsi="Arial" w:cs="Arial"/>
        </w:rPr>
        <w:t xml:space="preserve">, B.K. (2018). </w:t>
      </w:r>
      <w:r>
        <w:rPr>
          <w:rFonts w:ascii="Arial" w:hAnsi="Arial" w:cs="Arial"/>
          <w:iCs/>
        </w:rPr>
        <w:t>Hotel management</w:t>
      </w:r>
      <w:r>
        <w:rPr>
          <w:rFonts w:ascii="Arial" w:hAnsi="Arial" w:cs="Arial"/>
        </w:rPr>
        <w:t>. 5th ed. New Delhi: A.P.H. Pub. Corp.</w:t>
      </w:r>
    </w:p>
    <w:p w14:paraId="505EEC16"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Davidson, M., McPhail, R. and Barry, S. (2020). Hospitality HRM: past, present and the future. </w:t>
      </w:r>
      <w:r>
        <w:rPr>
          <w:rFonts w:ascii="Arial" w:hAnsi="Arial" w:cs="Arial"/>
          <w:iCs/>
        </w:rPr>
        <w:t>International Journal of Contemporary Hospitality Management</w:t>
      </w:r>
      <w:r>
        <w:rPr>
          <w:rFonts w:ascii="Arial" w:hAnsi="Arial" w:cs="Arial"/>
        </w:rPr>
        <w:t>, 23(4), pp.498–516.</w:t>
      </w:r>
    </w:p>
    <w:p w14:paraId="6493D71D"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Duric</w:t>
      </w:r>
      <w:proofErr w:type="spellEnd"/>
      <w:r>
        <w:rPr>
          <w:rFonts w:ascii="Arial" w:hAnsi="Arial" w:cs="Arial"/>
        </w:rPr>
        <w:t xml:space="preserve">, M. (2022). ‘Hilton’ hotel: Innovative Spatial and Technological Intervention. </w:t>
      </w:r>
      <w:proofErr w:type="spellStart"/>
      <w:r>
        <w:rPr>
          <w:rFonts w:ascii="Arial" w:hAnsi="Arial" w:cs="Arial"/>
          <w:iCs/>
        </w:rPr>
        <w:t>Arhitektura</w:t>
      </w:r>
      <w:proofErr w:type="spellEnd"/>
      <w:r>
        <w:rPr>
          <w:rFonts w:ascii="Arial" w:hAnsi="Arial" w:cs="Arial"/>
          <w:iCs/>
        </w:rPr>
        <w:t xml:space="preserve"> </w:t>
      </w:r>
      <w:proofErr w:type="spellStart"/>
      <w:r>
        <w:rPr>
          <w:rFonts w:ascii="Arial" w:hAnsi="Arial" w:cs="Arial"/>
          <w:iCs/>
        </w:rPr>
        <w:t>i</w:t>
      </w:r>
      <w:proofErr w:type="spellEnd"/>
      <w:r>
        <w:rPr>
          <w:rFonts w:ascii="Arial" w:hAnsi="Arial" w:cs="Arial"/>
          <w:iCs/>
        </w:rPr>
        <w:t xml:space="preserve"> </w:t>
      </w:r>
      <w:proofErr w:type="spellStart"/>
      <w:r>
        <w:rPr>
          <w:rFonts w:ascii="Arial" w:hAnsi="Arial" w:cs="Arial"/>
          <w:iCs/>
        </w:rPr>
        <w:t>urbanizam</w:t>
      </w:r>
      <w:proofErr w:type="spellEnd"/>
      <w:r>
        <w:rPr>
          <w:rFonts w:ascii="Arial" w:hAnsi="Arial" w:cs="Arial"/>
        </w:rPr>
        <w:t>, 20(48), pp.60–65.</w:t>
      </w:r>
    </w:p>
    <w:p w14:paraId="16B06C8C"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Fox, J.T. (2023). Hilton Focuses on New Economy Brand in Q4, FY 2022 Results. </w:t>
      </w:r>
      <w:r>
        <w:rPr>
          <w:rFonts w:ascii="Arial" w:hAnsi="Arial" w:cs="Arial"/>
          <w:iCs/>
        </w:rPr>
        <w:t>Hotel Management</w:t>
      </w:r>
      <w:r>
        <w:rPr>
          <w:rFonts w:ascii="Arial" w:hAnsi="Arial" w:cs="Arial"/>
        </w:rPr>
        <w:t>.</w:t>
      </w:r>
    </w:p>
    <w:p w14:paraId="0940F7C0"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Gee, C. (2021). </w:t>
      </w:r>
      <w:r>
        <w:rPr>
          <w:rFonts w:ascii="Arial" w:hAnsi="Arial" w:cs="Arial"/>
          <w:iCs/>
        </w:rPr>
        <w:t>International Hotel Management</w:t>
      </w:r>
      <w:r>
        <w:rPr>
          <w:rFonts w:ascii="Arial" w:hAnsi="Arial" w:cs="Arial"/>
        </w:rPr>
        <w:t>. 16th ed. East Lansing, Michigan: Educational Institute of the American Hotel &amp; Motel Association.</w:t>
      </w:r>
    </w:p>
    <w:p w14:paraId="1C6D3FC4"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Groschl</w:t>
      </w:r>
      <w:proofErr w:type="spellEnd"/>
      <w:r>
        <w:rPr>
          <w:rFonts w:ascii="Arial" w:hAnsi="Arial" w:cs="Arial"/>
        </w:rPr>
        <w:t xml:space="preserve">, S. and Doherty, L. (2021). Cultural Complications: Comparing French and British managers in a UK-based worldwide hotel chain using the appraisal procedure. </w:t>
      </w:r>
      <w:r>
        <w:rPr>
          <w:rFonts w:ascii="Arial" w:hAnsi="Arial" w:cs="Arial"/>
          <w:iCs/>
        </w:rPr>
        <w:t>International Journal of Hospitality Management</w:t>
      </w:r>
      <w:r>
        <w:rPr>
          <w:rFonts w:ascii="Arial" w:hAnsi="Arial" w:cs="Arial"/>
        </w:rPr>
        <w:t>, 25(2), pp.313–334.</w:t>
      </w:r>
    </w:p>
    <w:p w14:paraId="263412D4"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Investing (2023). </w:t>
      </w:r>
      <w:r>
        <w:rPr>
          <w:rFonts w:ascii="Arial" w:hAnsi="Arial" w:cs="Arial"/>
          <w:iCs/>
        </w:rPr>
        <w:t>Intercontinental Hotels Place (IHG) Financial Summary</w:t>
      </w:r>
      <w:r>
        <w:rPr>
          <w:rFonts w:ascii="Arial" w:hAnsi="Arial" w:cs="Arial"/>
        </w:rPr>
        <w:t xml:space="preserve">. [online] Investing.com India. </w:t>
      </w:r>
    </w:p>
    <w:p w14:paraId="36C31393"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Marques, J. (2023). </w:t>
      </w:r>
      <w:r>
        <w:rPr>
          <w:rFonts w:ascii="Arial" w:hAnsi="Arial" w:cs="Arial"/>
          <w:iCs/>
        </w:rPr>
        <w:t>Digital Transformation of the Hotel Industry</w:t>
      </w:r>
      <w:r>
        <w:rPr>
          <w:rFonts w:ascii="Arial" w:hAnsi="Arial" w:cs="Arial"/>
        </w:rPr>
        <w:t>. 10th ed. Springer.</w:t>
      </w:r>
    </w:p>
    <w:p w14:paraId="74D2CFF5"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Melaver</w:t>
      </w:r>
      <w:proofErr w:type="spellEnd"/>
      <w:r>
        <w:rPr>
          <w:rFonts w:ascii="Arial" w:hAnsi="Arial" w:cs="Arial"/>
        </w:rPr>
        <w:t xml:space="preserve">, M. and Muller, P. (2022). The Actual Cost of Sustainable Development is the Green Building Bottom Line. 13th ed. New York: </w:t>
      </w:r>
      <w:proofErr w:type="spellStart"/>
      <w:r>
        <w:rPr>
          <w:rFonts w:ascii="Arial" w:hAnsi="Arial" w:cs="Arial"/>
        </w:rPr>
        <w:t>Mcgraw-Hill</w:t>
      </w:r>
      <w:proofErr w:type="spellEnd"/>
      <w:r>
        <w:rPr>
          <w:rFonts w:ascii="Arial" w:hAnsi="Arial" w:cs="Arial"/>
        </w:rPr>
        <w:t>.</w:t>
      </w:r>
    </w:p>
    <w:p w14:paraId="5680D6E0" w14:textId="77777777" w:rsidR="00AE7613" w:rsidRDefault="00AE7613" w:rsidP="00AE7613">
      <w:pPr>
        <w:pStyle w:val="NormalWeb"/>
        <w:spacing w:before="0" w:beforeAutospacing="0" w:after="240" w:afterAutospacing="0" w:line="360" w:lineRule="auto"/>
        <w:jc w:val="both"/>
        <w:rPr>
          <w:rFonts w:ascii="Arial" w:hAnsi="Arial" w:cs="Arial"/>
        </w:rPr>
      </w:pPr>
      <w:proofErr w:type="spellStart"/>
      <w:r>
        <w:rPr>
          <w:rFonts w:ascii="Arial" w:hAnsi="Arial" w:cs="Arial"/>
        </w:rPr>
        <w:t>Okumus</w:t>
      </w:r>
      <w:proofErr w:type="spellEnd"/>
      <w:r>
        <w:rPr>
          <w:rFonts w:ascii="Arial" w:hAnsi="Arial" w:cs="Arial"/>
        </w:rPr>
        <w:t xml:space="preserve">, F. and </w:t>
      </w:r>
      <w:proofErr w:type="spellStart"/>
      <w:r>
        <w:rPr>
          <w:rFonts w:ascii="Arial" w:hAnsi="Arial" w:cs="Arial"/>
        </w:rPr>
        <w:t>Altinay</w:t>
      </w:r>
      <w:proofErr w:type="spellEnd"/>
      <w:r>
        <w:rPr>
          <w:rFonts w:ascii="Arial" w:hAnsi="Arial" w:cs="Arial"/>
        </w:rPr>
        <w:t xml:space="preserve">, L. (2022). </w:t>
      </w:r>
      <w:r>
        <w:rPr>
          <w:rFonts w:ascii="Arial" w:hAnsi="Arial" w:cs="Arial"/>
          <w:iCs/>
        </w:rPr>
        <w:t>Strategic Management in the International Hospitality and Tourism Industry</w:t>
      </w:r>
      <w:r>
        <w:rPr>
          <w:rFonts w:ascii="Arial" w:hAnsi="Arial" w:cs="Arial"/>
        </w:rPr>
        <w:t>. 15th ed. London: Routledge.</w:t>
      </w:r>
    </w:p>
    <w:p w14:paraId="27C0265E"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Rutherford, D. (2019). </w:t>
      </w:r>
      <w:r>
        <w:rPr>
          <w:rFonts w:ascii="Arial" w:hAnsi="Arial" w:cs="Arial"/>
          <w:iCs/>
        </w:rPr>
        <w:t>Hotel management and operations</w:t>
      </w:r>
      <w:r>
        <w:rPr>
          <w:rFonts w:ascii="Arial" w:hAnsi="Arial" w:cs="Arial"/>
        </w:rPr>
        <w:t>. 14th ed. New York: Van Nostrand Reinhold.</w:t>
      </w:r>
    </w:p>
    <w:p w14:paraId="118CB992"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Schein, E. (2021). </w:t>
      </w:r>
      <w:r>
        <w:rPr>
          <w:rFonts w:ascii="Arial" w:hAnsi="Arial" w:cs="Arial"/>
          <w:iCs/>
        </w:rPr>
        <w:t>Organisational Culture and Leadership</w:t>
      </w:r>
      <w:r>
        <w:rPr>
          <w:rFonts w:ascii="Arial" w:hAnsi="Arial" w:cs="Arial"/>
        </w:rPr>
        <w:t>. 5th ed. New Jersey: Wiley.</w:t>
      </w:r>
    </w:p>
    <w:p w14:paraId="5EB7CC36"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Spengler, E.H. and Klein, J. (2020). </w:t>
      </w:r>
      <w:r>
        <w:rPr>
          <w:rFonts w:ascii="Arial" w:hAnsi="Arial" w:cs="Arial"/>
          <w:iCs/>
        </w:rPr>
        <w:t>Introduction to business</w:t>
      </w:r>
      <w:r>
        <w:rPr>
          <w:rFonts w:ascii="Arial" w:hAnsi="Arial" w:cs="Arial"/>
        </w:rPr>
        <w:t xml:space="preserve">. 8th ed. New York, </w:t>
      </w:r>
      <w:proofErr w:type="spellStart"/>
      <w:r>
        <w:rPr>
          <w:rFonts w:ascii="Arial" w:hAnsi="Arial" w:cs="Arial"/>
        </w:rPr>
        <w:t>Mcgraw-Hill</w:t>
      </w:r>
      <w:proofErr w:type="spellEnd"/>
      <w:r>
        <w:rPr>
          <w:rFonts w:ascii="Arial" w:hAnsi="Arial" w:cs="Arial"/>
        </w:rPr>
        <w:t>.</w:t>
      </w:r>
    </w:p>
    <w:p w14:paraId="4C2219F8"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Wei, C., </w:t>
      </w:r>
      <w:proofErr w:type="spellStart"/>
      <w:r>
        <w:rPr>
          <w:rFonts w:ascii="Arial" w:hAnsi="Arial" w:cs="Arial"/>
        </w:rPr>
        <w:t>Kuo</w:t>
      </w:r>
      <w:proofErr w:type="spellEnd"/>
      <w:r>
        <w:rPr>
          <w:rFonts w:ascii="Arial" w:hAnsi="Arial" w:cs="Arial"/>
        </w:rPr>
        <w:t xml:space="preserve">, T., Shin, G. and Chen, P. (2022). Low Carbon Supplier Selection in the Hotel Industry. </w:t>
      </w:r>
      <w:r>
        <w:rPr>
          <w:rFonts w:ascii="Arial" w:hAnsi="Arial" w:cs="Arial"/>
          <w:iCs/>
        </w:rPr>
        <w:t>Sustainability</w:t>
      </w:r>
      <w:r>
        <w:rPr>
          <w:rFonts w:ascii="Arial" w:hAnsi="Arial" w:cs="Arial"/>
        </w:rPr>
        <w:t>, 6(5), pp.2658–2684.</w:t>
      </w:r>
    </w:p>
    <w:p w14:paraId="534B1D94" w14:textId="77777777" w:rsidR="00AE7613" w:rsidRDefault="00AE7613" w:rsidP="00AE7613">
      <w:pPr>
        <w:pStyle w:val="NormalWeb"/>
        <w:spacing w:before="0" w:beforeAutospacing="0" w:after="240" w:afterAutospacing="0" w:line="360" w:lineRule="auto"/>
        <w:jc w:val="both"/>
        <w:rPr>
          <w:rFonts w:ascii="Arial" w:hAnsi="Arial" w:cs="Arial"/>
        </w:rPr>
      </w:pPr>
      <w:r>
        <w:rPr>
          <w:rFonts w:ascii="Arial" w:hAnsi="Arial" w:cs="Arial"/>
        </w:rPr>
        <w:t xml:space="preserve">Williams, C. (2020). </w:t>
      </w:r>
      <w:r>
        <w:rPr>
          <w:rFonts w:ascii="Arial" w:hAnsi="Arial" w:cs="Arial"/>
          <w:iCs/>
        </w:rPr>
        <w:t>Principles of management</w:t>
      </w:r>
      <w:r>
        <w:rPr>
          <w:rFonts w:ascii="Arial" w:hAnsi="Arial" w:cs="Arial"/>
        </w:rPr>
        <w:t>. 9th ed. Boston: South-Western Cengage Learning.</w:t>
      </w:r>
    </w:p>
    <w:p w14:paraId="03BA927B" w14:textId="77777777" w:rsidR="00AE7613" w:rsidRDefault="00AE7613" w:rsidP="00AE7613">
      <w:pPr>
        <w:rPr>
          <w:rFonts w:ascii="Arial" w:hAnsi="Arial" w:cs="Arial"/>
        </w:rPr>
      </w:pPr>
    </w:p>
    <w:p w14:paraId="279238C0" w14:textId="77777777" w:rsidR="00AE7613" w:rsidRDefault="00AE7613" w:rsidP="00AE7613">
      <w:pPr>
        <w:rPr>
          <w:rFonts w:ascii="Arial" w:hAnsi="Arial" w:cs="Arial"/>
        </w:rPr>
      </w:pPr>
    </w:p>
    <w:p w14:paraId="2F97DCD7" w14:textId="77777777" w:rsidR="00AE7613" w:rsidRDefault="00AE7613" w:rsidP="00AE7613">
      <w:pPr>
        <w:rPr>
          <w:rFonts w:ascii="Arial" w:hAnsi="Arial" w:cs="Arial"/>
        </w:rPr>
      </w:pPr>
    </w:p>
    <w:p w14:paraId="18B0E8BF" w14:textId="77777777" w:rsidR="00AE7613" w:rsidRDefault="00AE7613"/>
    <w:sectPr w:rsidR="00AE7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56345"/>
    <w:multiLevelType w:val="hybridMultilevel"/>
    <w:tmpl w:val="14E045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4530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64"/>
    <w:rsid w:val="000849E4"/>
    <w:rsid w:val="00747864"/>
    <w:rsid w:val="00AE76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CFD65"/>
  <w15:chartTrackingRefBased/>
  <w15:docId w15:val="{AD2AD9C8-9A10-4707-87B0-4C0669442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613"/>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E761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E761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613"/>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semiHidden/>
    <w:rsid w:val="00AE7613"/>
    <w:rPr>
      <w:rFonts w:ascii="Times New Roman" w:eastAsiaTheme="majorEastAsia" w:hAnsi="Times New Roman" w:cstheme="majorBidi"/>
      <w:b/>
      <w:kern w:val="0"/>
      <w:sz w:val="28"/>
      <w:szCs w:val="26"/>
      <w14:ligatures w14:val="none"/>
    </w:rPr>
  </w:style>
  <w:style w:type="character" w:styleId="Hyperlink">
    <w:name w:val="Hyperlink"/>
    <w:basedOn w:val="DefaultParagraphFont"/>
    <w:uiPriority w:val="99"/>
    <w:semiHidden/>
    <w:unhideWhenUsed/>
    <w:rsid w:val="00AE7613"/>
    <w:rPr>
      <w:color w:val="0563C1" w:themeColor="hyperlink"/>
      <w:u w:val="single"/>
    </w:rPr>
  </w:style>
  <w:style w:type="paragraph" w:styleId="NormalWeb">
    <w:name w:val="Normal (Web)"/>
    <w:basedOn w:val="Normal"/>
    <w:uiPriority w:val="99"/>
    <w:semiHidden/>
    <w:unhideWhenUsed/>
    <w:rsid w:val="00AE7613"/>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semiHidden/>
    <w:unhideWhenUsed/>
    <w:rsid w:val="00AE7613"/>
    <w:pPr>
      <w:spacing w:after="100"/>
    </w:pPr>
  </w:style>
  <w:style w:type="paragraph" w:styleId="TOC2">
    <w:name w:val="toc 2"/>
    <w:basedOn w:val="Normal"/>
    <w:next w:val="Normal"/>
    <w:autoRedefine/>
    <w:uiPriority w:val="39"/>
    <w:semiHidden/>
    <w:unhideWhenUsed/>
    <w:rsid w:val="00AE7613"/>
    <w:pPr>
      <w:spacing w:after="100"/>
      <w:ind w:left="240"/>
    </w:pPr>
  </w:style>
  <w:style w:type="paragraph" w:styleId="TOCHeading">
    <w:name w:val="TOC Heading"/>
    <w:basedOn w:val="Heading1"/>
    <w:next w:val="Normal"/>
    <w:uiPriority w:val="39"/>
    <w:semiHidden/>
    <w:unhideWhenUsed/>
    <w:qFormat/>
    <w:rsid w:val="00AE7613"/>
    <w:pPr>
      <w:spacing w:line="256" w:lineRule="auto"/>
      <w:jc w:val="left"/>
      <w:outlineLvl w:val="9"/>
    </w:pPr>
    <w:rPr>
      <w:rFonts w:asciiTheme="majorHAnsi" w:hAnsiTheme="majorHAnsi"/>
      <w:b w:val="0"/>
      <w:color w:val="2F5496" w:themeColor="accent1" w:themeShade="BF"/>
      <w:lang w:val="en-US"/>
    </w:rPr>
  </w:style>
  <w:style w:type="table" w:styleId="TableGrid">
    <w:name w:val="Table Grid"/>
    <w:basedOn w:val="TableNormal"/>
    <w:uiPriority w:val="59"/>
    <w:rsid w:val="00AE7613"/>
    <w:pPr>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76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73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org\Downloads\Nicolae%20Eduard%20-%20BMIH5004-MOB-A2.docx" TargetMode="External"/><Relationship Id="rId13" Type="http://schemas.openxmlformats.org/officeDocument/2006/relationships/hyperlink" Target="file:///C:\Users\georg\Downloads\Nicolae%20Eduard%20-%20BMIH5004-MOB-A2.docx" TargetMode="External"/><Relationship Id="rId3" Type="http://schemas.openxmlformats.org/officeDocument/2006/relationships/settings" Target="settings.xml"/><Relationship Id="rId7" Type="http://schemas.openxmlformats.org/officeDocument/2006/relationships/hyperlink" Target="file:///C:\Users\georg\Downloads\Nicolae%20Eduard%20-%20BMIH5004-MOB-A2.docx" TargetMode="External"/><Relationship Id="rId12" Type="http://schemas.openxmlformats.org/officeDocument/2006/relationships/hyperlink" Target="file:///C:\Users\georg\Downloads\Nicolae%20Eduard%20-%20BMIH5004-MOB-A2.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georg\Downloads\Nicolae%20Eduard%20-%20BMIH5004-MOB-A2.docx" TargetMode="External"/><Relationship Id="rId11" Type="http://schemas.openxmlformats.org/officeDocument/2006/relationships/hyperlink" Target="file:///C:\Users\georg\Downloads\Nicolae%20Eduard%20-%20BMIH5004-MOB-A2.docx" TargetMode="External"/><Relationship Id="rId5" Type="http://schemas.openxmlformats.org/officeDocument/2006/relationships/hyperlink" Target="file:///C:\Users\georg\Downloads\Nicolae%20Eduard%20-%20BMIH5004-MOB-A2.docx" TargetMode="External"/><Relationship Id="rId15" Type="http://schemas.openxmlformats.org/officeDocument/2006/relationships/image" Target="media/image2.png"/><Relationship Id="rId10" Type="http://schemas.openxmlformats.org/officeDocument/2006/relationships/hyperlink" Target="file:///C:\Users\georg\Downloads\Nicolae%20Eduard%20-%20BMIH5004-MOB-A2.docx" TargetMode="External"/><Relationship Id="rId4" Type="http://schemas.openxmlformats.org/officeDocument/2006/relationships/webSettings" Target="webSettings.xml"/><Relationship Id="rId9" Type="http://schemas.openxmlformats.org/officeDocument/2006/relationships/hyperlink" Target="file:///C:\Users\georg\Downloads\Nicolae%20Eduard%20-%20BMIH5004-MOB-A2.docx"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2688</Words>
  <Characters>16511</Characters>
  <Application>Microsoft Office Word</Application>
  <DocSecurity>0</DocSecurity>
  <Lines>294</Lines>
  <Paragraphs>53</Paragraphs>
  <ScaleCrop>false</ScaleCrop>
  <Company/>
  <LinksUpToDate>false</LinksUpToDate>
  <CharactersWithSpaces>19146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cp:revision>
  <dcterms:created xsi:type="dcterms:W3CDTF">2023-06-15T07:47:00Z</dcterms:created>
  <dcterms:modified xsi:type="dcterms:W3CDTF">2023-06-15T07:52:00Z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2c670d3a913eecc58df81402feda2512a74cb098799d0b99e13402e5e442e74c</vt:lpwstr>
  </property>
</Properties>
</file>