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body>
    <w:p w:rsidR="00BD5990" w:rsidRDefault="00734037">
      <w:pPr>
        <w:jc w:val="left"/>
        <w:ind w:left="2114"/>
        <w:ind w:right="0"/>
        <w:ind w:firstLine="0"/>
        <w:spacing w:after="353"/>
      </w:pPr>
      <w:r>
        <w:rPr>
          <w:b/>
          <w:rFonts w:ascii="Calibri" w:hAnsi="Calibri"/>
          <w:sz w:val="48"/>
        </w:rPr>
        <w:t>Management Accounting</w:t>
      </w:r>
    </w:p>
    <w:p w:rsidR="000A6882" w:rsidRDefault="00734037" w:rsidP="000A6882">
      <w:pPr>
        <w:jc w:val="center"/>
        <w:ind w:left="0"/>
        <w:ind w:right="2"/>
        <w:ind w:firstLine="0"/>
        <w:spacing w:after="0"/>
      </w:pPr>
      <w:r>
        <w:rPr>
          <w:b/>
          <w:rFonts w:ascii="Calibri" w:hAnsi="Calibri"/>
          <w:sz w:val="48"/>
        </w:rPr>
        <w:t>Assignment 2</w:t>
      </w:r>
    </w:p>
    <w:p>
      <w:pPr>
        <w:jc w:val="center"/>
        <w:ind w:left="0"/>
        <w:ind w:right="2"/>
        <w:ind w:firstLine="0"/>
        <w:spacing w:after="0"/>
      </w:pPr>
      <w:r>
        <w:rPr>
          <w:b/>
          <w:rFonts w:ascii="Calibri"/>
          <w:sz w:val="48"/>
        </w:rPr>
        <w:t>Martina Karadzhova</w:t>
      </w:r>
    </w:p>
    <w:p>
      <w:pPr>
        <w:jc w:val="center"/>
        <w:ind w:left="0"/>
        <w:ind w:right="2"/>
        <w:ind w:firstLine="0"/>
        <w:spacing w:after="0"/>
        <w:rPr>
          <w:b/>
          <w:sz w:val="36"/>
        </w:rPr>
      </w:pPr>
      <w:r>
        <w:rPr>
          <w:b/>
          <w:sz w:val="36"/>
        </w:rPr>
        <w:t>Student ID: 2021296</w:t>
      </w:r>
    </w:p>
    <w:p>
      <w:pPr>
        <w:jc w:val="center"/>
        <w:ind w:left="0"/>
        <w:ind w:right="2"/>
        <w:ind w:firstLine="0"/>
        <w:spacing w:after="0"/>
      </w:pPr>
      <w:r/>
    </w:p>
    <w:p>
      <w:pPr>
        <w:jc w:val="center"/>
        <w:ind w:left="0"/>
        <w:ind w:right="2"/>
        <w:ind w:firstLine="0"/>
        <w:spacing w:after="0"/>
      </w:pPr>
      <w:r/>
    </w:p>
    <w:p>
      <w:pPr>
        <w:jc w:val="center"/>
        <w:ind w:left="0"/>
        <w:ind w:right="2"/>
        <w:ind w:firstLine="0"/>
        <w:spacing w:after="0"/>
      </w:pPr>
      <w:r/>
    </w:p>
    <w:p>
      <w:pPr>
        <w:ind w:left="0"/>
        <w:ind w:right="2"/>
        <w:ind w:firstLine="0"/>
        <w:spacing w:after="0"/>
      </w:pPr>
      <w:r/>
    </w:p>
    <w:p>
      <w:pPr>
        <w:ind w:left="0"/>
        <w:ind w:right="2"/>
        <w:ind w:firstLine="0"/>
        <w:spacing w:after="0"/>
      </w:pPr>
      <w:r/>
    </w:p>
    <w:p>
      <w:pPr>
        <w:ind w:left="0"/>
        <w:ind w:right="2"/>
        <w:ind w:firstLine="0"/>
        <w:spacing w:after="0"/>
      </w:pPr>
      <w:r/>
    </w:p>
    <w:p>
      <w:pPr>
        <w:ind w:left="0"/>
        <w:ind w:right="2"/>
        <w:ind w:firstLine="0"/>
        <w:spacing w:after="0"/>
      </w:pPr>
      <w:r/>
    </w:p>
    <w:p>
      <w:pPr>
        <w:ind w:left="0"/>
        <w:ind w:right="2"/>
        <w:ind w:firstLine="0"/>
        <w:spacing w:after="0"/>
      </w:pPr>
      <w:r/>
    </w:p>
    <w:p>
      <w:pPr>
        <w:ind w:left="0"/>
        <w:ind w:right="2"/>
        <w:ind w:firstLine="0"/>
        <w:spacing w:after="0"/>
      </w:pPr>
      <w:r/>
    </w:p>
    <w:p>
      <w:pPr>
        <w:ind w:left="0"/>
        <w:ind w:right="2"/>
        <w:ind w:firstLine="0"/>
        <w:spacing w:after="0"/>
      </w:pPr>
      <w:r/>
    </w:p>
    <w:p>
      <w:pPr>
        <w:ind w:left="0"/>
        <w:ind w:right="2"/>
        <w:ind w:firstLine="0"/>
        <w:spacing w:after="0"/>
      </w:pPr>
      <w:r/>
    </w:p>
    <w:p>
      <w:pPr>
        <w:ind w:left="0"/>
        <w:ind w:right="2"/>
        <w:ind w:firstLine="0"/>
        <w:spacing w:after="0"/>
      </w:pPr>
      <w:r/>
    </w:p>
    <w:p>
      <w:pPr>
        <w:ind w:left="0"/>
        <w:ind w:right="2"/>
        <w:ind w:firstLine="0"/>
        <w:spacing w:after="0"/>
      </w:pPr>
      <w:r/>
    </w:p>
    <w:p>
      <w:pPr>
        <w:ind w:left="0"/>
        <w:ind w:right="2"/>
        <w:ind w:firstLine="0"/>
        <w:spacing w:after="0"/>
      </w:pPr>
      <w:r/>
    </w:p>
    <w:p>
      <w:pPr>
        <w:ind w:left="0"/>
        <w:ind w:right="2"/>
        <w:ind w:firstLine="0"/>
        <w:spacing w:after="0"/>
      </w:pPr>
      <w:r/>
    </w:p>
    <w:sdt>
      <w:sdtPr>
        <w:id w:val="-1310010856"/>
        <w:docPartObj>
          <w:docPartGallery w:val="Table of Contents"/>
        </w:docPartObj>
      </w:sdtPr>
      <w:sdtEndPr/>
      <w:sdtContent>
        <w:sdt>
          <w:sdtPr>
            <w:id w:val="-1050687854"/>
            <w:docPartObj>
              <w:docPartGallery w:val="Table of Contents"/>
              <w:docPartUnique/>
            </w:docPartObj>
          </w:sdtPr>
          <w:sdtEndPr>
            <w:rPr>
              <w:rFonts w:ascii="Arial" w:eastAsia="Calibri" w:hAnsi="Arial" w:cs="Calibri"/>
              <w:b/>
              <w:bCs/>
              <w:noProof/>
              <w:color w:val="000000"/>
              <w:sz w:val="22"/>
              <w:szCs w:val="22"/>
            </w:rPr>
          </w:sdtEndPr>
          <w:sdtContent>
            <w:p w:rsidR="000A6882" w:rsidRDefault="000A6882">
              <w:pPr>
                <w:pStyle w:val="TOCHeading"/>
              </w:pPr>
              <w:r>
                <w:t>Table of Contents</w:t>
              </w:r>
            </w:p>
            <w:p w:rsidR="000A6882" w:rsidRDefault="000A6882">
              <w:pPr>
                <w:pStyle w:val="TOC1"/>
                <w:tabs>
                  <w:tab w:val="right" w:leader="dot" w:pos="9350"/>
                </w:tabs>
                <w:rPr>
                  <w:noProof/>
                  <w:color w:val="auto"/>
                  <w:rFonts w:ascii="Calibri" w:eastAsiaTheme="minorEastAsia" w:hAnsiTheme="minorHAnsi" w:cstheme="minorBidi"/>
                  <w:sz w:val="22"/>
                </w:rPr>
              </w:pPr>
              <w:r>
                <w:fldChar w:fldCharType="begin"/>
              </w:r>
              <w:r>
                <w:instrText xml:space="preserve"> TOC \o "1-3" \h \z \u </w:instrText>
              </w:r>
              <w:r>
                <w:fldChar w:fldCharType="separate"/>
              </w:r>
              <w:hyperlink w:anchor="_Toc101792868" w:history="1">
                <w:r w:rsidRPr="00677C4E">
                  <w:rPr>
                    <w:noProof/>
                    <w:rStyle w:val="Hyperlink"/>
                  </w:rPr>
                  <w:t>Introduction</w:t>
                </w:r>
                <w:r>
                  <w:rPr>
                    <w:noProof/>
                    <w:webHidden/>
                  </w:rPr>
                  <w:tab/>
                </w:r>
                <w:r>
                  <w:rPr>
                    <w:noProof/>
                    <w:webHidden/>
                  </w:rPr>
                  <w:fldChar w:fldCharType="begin"/>
                </w:r>
                <w:r>
                  <w:rPr>
                    <w:noProof/>
                    <w:webHidden/>
                  </w:rPr>
                  <w:instrText xml:space="preserve"> PAGEREF _Toc101792868 \h </w:instrText>
                </w:r>
                <w:r>
                  <w:rPr>
                    <w:noProof/>
                    <w:webHidden/>
                  </w:rPr>
                </w:r>
                <w:r>
                  <w:rPr>
                    <w:noProof/>
                    <w:webHidden/>
                  </w:rPr>
                  <w:fldChar w:fldCharType="separate"/>
                </w:r>
                <w:r>
                  <w:rPr>
                    <w:noProof/>
                    <w:webHidden/>
                  </w:rPr>
                  <w:t>3</w:t>
                </w:r>
                <w:r>
                  <w:rPr>
                    <w:noProof/>
                    <w:webHidden/>
                  </w:rPr>
                  <w:fldChar w:fldCharType="end"/>
                </w:r>
              </w:hyperlink>
            </w:p>
            <w:p w:rsidR="000A6882" w:rsidRDefault="000A6882">
              <w:pPr>
                <w:pStyle w:val="TOC1"/>
                <w:tabs>
                  <w:tab w:val="right" w:leader="dot" w:pos="9350"/>
                </w:tabs>
                <w:rPr>
                  <w:noProof/>
                  <w:color w:val="auto"/>
                  <w:rFonts w:ascii="Calibri" w:eastAsiaTheme="minorEastAsia" w:hAnsiTheme="minorHAnsi" w:cstheme="minorBidi"/>
                  <w:sz w:val="22"/>
                </w:rPr>
              </w:pPr>
              <w:hyperlink w:anchor="_Toc101792869" w:history="1">
                <w:r w:rsidRPr="00677C4E">
                  <w:rPr>
                    <w:noProof/>
                    <w:rStyle w:val="Hyperlink"/>
                  </w:rPr>
                  <w:t>Part A</w:t>
                </w:r>
                <w:r>
                  <w:rPr>
                    <w:noProof/>
                    <w:webHidden/>
                  </w:rPr>
                  <w:tab/>
                </w:r>
                <w:r>
                  <w:rPr>
                    <w:noProof/>
                    <w:webHidden/>
                  </w:rPr>
                  <w:fldChar w:fldCharType="begin"/>
                </w:r>
                <w:r>
                  <w:rPr>
                    <w:noProof/>
                    <w:webHidden/>
                  </w:rPr>
                  <w:instrText xml:space="preserve"> PAGEREF _Toc101792869 \h </w:instrText>
                </w:r>
                <w:r>
                  <w:rPr>
                    <w:noProof/>
                    <w:webHidden/>
                  </w:rPr>
                </w:r>
                <w:r>
                  <w:rPr>
                    <w:noProof/>
                    <w:webHidden/>
                  </w:rPr>
                  <w:fldChar w:fldCharType="separate"/>
                </w:r>
                <w:r>
                  <w:rPr>
                    <w:noProof/>
                    <w:webHidden/>
                  </w:rPr>
                  <w:t>4</w:t>
                </w:r>
                <w:r>
                  <w:rPr>
                    <w:noProof/>
                    <w:webHidden/>
                  </w:rPr>
                  <w:fldChar w:fldCharType="end"/>
                </w:r>
              </w:hyperlink>
            </w:p>
            <w:p w:rsidR="000A6882" w:rsidRDefault="000A6882">
              <w:pPr>
                <w:pStyle w:val="TOC1"/>
                <w:tabs>
                  <w:tab w:val="right" w:leader="dot" w:pos="9350"/>
                </w:tabs>
                <w:rPr>
                  <w:noProof/>
                  <w:color w:val="auto"/>
                  <w:rFonts w:ascii="Calibri" w:eastAsiaTheme="minorEastAsia" w:hAnsiTheme="minorHAnsi" w:cstheme="minorBidi"/>
                  <w:sz w:val="22"/>
                </w:rPr>
              </w:pPr>
              <w:hyperlink w:anchor="_Toc101792870" w:history="1">
                <w:r w:rsidRPr="00677C4E">
                  <w:rPr>
                    <w:noProof/>
                    <w:rStyle w:val="Hyperlink"/>
                  </w:rPr>
                  <w:t>Part B</w:t>
                </w:r>
                <w:r>
                  <w:rPr>
                    <w:noProof/>
                    <w:webHidden/>
                  </w:rPr>
                  <w:tab/>
                </w:r>
                <w:r>
                  <w:rPr>
                    <w:noProof/>
                    <w:webHidden/>
                  </w:rPr>
                  <w:fldChar w:fldCharType="begin"/>
                </w:r>
                <w:r>
                  <w:rPr>
                    <w:noProof/>
                    <w:webHidden/>
                  </w:rPr>
                  <w:instrText xml:space="preserve"> PAGEREF _Toc101792870 \h </w:instrText>
                </w:r>
                <w:r>
                  <w:rPr>
                    <w:noProof/>
                    <w:webHidden/>
                  </w:rPr>
                </w:r>
                <w:r>
                  <w:rPr>
                    <w:noProof/>
                    <w:webHidden/>
                  </w:rPr>
                  <w:fldChar w:fldCharType="separate"/>
                </w:r>
                <w:r>
                  <w:rPr>
                    <w:noProof/>
                    <w:webHidden/>
                  </w:rPr>
                  <w:t>8</w:t>
                </w:r>
                <w:r>
                  <w:rPr>
                    <w:noProof/>
                    <w:webHidden/>
                  </w:rPr>
                  <w:fldChar w:fldCharType="end"/>
                </w:r>
              </w:hyperlink>
            </w:p>
            <w:p w:rsidR="000A6882" w:rsidRDefault="000A6882">
              <w:pPr>
                <w:pStyle w:val="TOC1"/>
                <w:tabs>
                  <w:tab w:val="right" w:leader="dot" w:pos="9350"/>
                </w:tabs>
                <w:rPr>
                  <w:noProof/>
                  <w:color w:val="auto"/>
                  <w:rFonts w:ascii="Calibri" w:eastAsiaTheme="minorEastAsia" w:hAnsiTheme="minorHAnsi" w:cstheme="minorBidi"/>
                  <w:sz w:val="22"/>
                </w:rPr>
              </w:pPr>
              <w:hyperlink w:anchor="_Toc101792871" w:history="1">
                <w:r w:rsidRPr="00677C4E">
                  <w:rPr>
                    <w:noProof/>
                    <w:rStyle w:val="Hyperlink"/>
                  </w:rPr>
                  <w:t>Conclusion</w:t>
                </w:r>
                <w:r>
                  <w:rPr>
                    <w:noProof/>
                    <w:webHidden/>
                  </w:rPr>
                  <w:tab/>
                </w:r>
                <w:r>
                  <w:rPr>
                    <w:noProof/>
                    <w:webHidden/>
                  </w:rPr>
                  <w:fldChar w:fldCharType="begin"/>
                </w:r>
                <w:r>
                  <w:rPr>
                    <w:noProof/>
                    <w:webHidden/>
                  </w:rPr>
                  <w:instrText xml:space="preserve"> PAGEREF _Toc101792871 \h </w:instrText>
                </w:r>
                <w:r>
                  <w:rPr>
                    <w:noProof/>
                    <w:webHidden/>
                  </w:rPr>
                </w:r>
                <w:r>
                  <w:rPr>
                    <w:noProof/>
                    <w:webHidden/>
                  </w:rPr>
                  <w:fldChar w:fldCharType="separate"/>
                </w:r>
                <w:r>
                  <w:rPr>
                    <w:noProof/>
                    <w:webHidden/>
                  </w:rPr>
                  <w:t>13</w:t>
                </w:r>
                <w:r>
                  <w:rPr>
                    <w:noProof/>
                    <w:webHidden/>
                  </w:rPr>
                  <w:fldChar w:fldCharType="end"/>
                </w:r>
              </w:hyperlink>
            </w:p>
            <w:p w:rsidR="000A6882" w:rsidRDefault="000A6882">
              <w:pPr>
                <w:pStyle w:val="TOC1"/>
                <w:tabs>
                  <w:tab w:val="right" w:leader="dot" w:pos="9350"/>
                </w:tabs>
                <w:rPr>
                  <w:noProof/>
                  <w:color w:val="auto"/>
                  <w:rFonts w:ascii="Calibri" w:eastAsiaTheme="minorEastAsia" w:hAnsiTheme="minorHAnsi" w:cstheme="minorBidi"/>
                  <w:sz w:val="22"/>
                </w:rPr>
              </w:pPr>
              <w:hyperlink w:anchor="_Toc101792872" w:history="1">
                <w:r w:rsidRPr="00677C4E">
                  <w:rPr>
                    <w:noProof/>
                    <w:rStyle w:val="Hyperlink"/>
                  </w:rPr>
                  <w:t>Reference</w:t>
                </w:r>
                <w:r>
                  <w:rPr>
                    <w:noProof/>
                    <w:webHidden/>
                  </w:rPr>
                  <w:tab/>
                </w:r>
                <w:r>
                  <w:rPr>
                    <w:noProof/>
                    <w:webHidden/>
                  </w:rPr>
                  <w:fldChar w:fldCharType="begin"/>
                </w:r>
                <w:r>
                  <w:rPr>
                    <w:noProof/>
                    <w:webHidden/>
                  </w:rPr>
                  <w:instrText xml:space="preserve"> PAGEREF _Toc101792872 \h </w:instrText>
                </w:r>
                <w:r>
                  <w:rPr>
                    <w:noProof/>
                    <w:webHidden/>
                  </w:rPr>
                </w:r>
                <w:r>
                  <w:rPr>
                    <w:noProof/>
                    <w:webHidden/>
                  </w:rPr>
                  <w:fldChar w:fldCharType="separate"/>
                </w:r>
                <w:r>
                  <w:rPr>
                    <w:noProof/>
                    <w:webHidden/>
                  </w:rPr>
                  <w:t>14</w:t>
                </w:r>
                <w:r>
                  <w:rPr>
                    <w:noProof/>
                    <w:webHidden/>
                  </w:rPr>
                  <w:fldChar w:fldCharType="end"/>
                </w:r>
              </w:hyperlink>
            </w:p>
            <w:p w:rsidR="000A6882" w:rsidRDefault="000A6882">
              <w:r>
                <w:rPr>
                  <w:bCs/>
                  <w:noProof/>
                  <w:b/>
                </w:rPr>
                <w:fldChar w:fldCharType="end"/>
              </w:r>
            </w:p>
          </w:sdtContent>
        </w:sdt>
        <w:p w:rsidR="000A6882" w:rsidRDefault="000A6882" w:rsidP="000A6882">
          <w:pPr>
            <w:ind w:left="0"/>
            <w:ind w:right="2"/>
            <w:ind w:firstLine="0"/>
            <w:spacing w:after="0"/>
          </w:pPr>
        </w:p>
        <w:p w:rsidR="00BD5990" w:rsidRDefault="00734037"/>
      </w:sdtContent>
    </w:sdt>
    <w:p>
      <w:pPr>
        <w:pStyle w:val="TOCHeading"/>
      </w:pPr>
      <w:r/>
    </w:p>
    <w:p>
      <w:pPr>
        <w:pStyle w:val="TOCHeading"/>
      </w:pPr>
      <w:r/>
    </w:p>
    <w:p w:rsidR="00BD5990" w:rsidRDefault="00734037">
      <w:pPr>
        <w:ind w:left="-15"/>
        <w:ind w:right="0"/>
        <w:ind w:firstLine="240"/>
        <w:spacing w:after="0" w:line="421" w:lineRule="auto"/>
      </w:pPr>
      <w:r>
        <w:br w:type="page"/>
      </w:r>
    </w:p>
    <w:p w:rsidR="00BD5990" w:rsidRDefault="00734037">
      <w:pPr>
        <w:pStyle w:val="Heading1"/>
        <w:ind w:left="-5"/>
      </w:pPr>
      <w:bookmarkStart w:id="0" w:name="_Toc101792840"/>
      <w:bookmarkStart w:id="1" w:name="_Toc101792868"/>
      <w:r>
        <w:t>Introduction</w:t>
        <w:lastRenderedPageBreak/>
      </w:r>
      <w:bookmarkEnd w:id="0"/>
      <w:bookmarkEnd w:id="1"/>
    </w:p>
    <w:p w:rsidR="003678D6" w:rsidRDefault="007B2A30" w:rsidP="00CD71FA">
      <w:pPr>
        <w:rPr>
          <w:b/>
          <w:color w:val="222A35"/>
          <w:rFonts w:ascii="Calibri" w:hAnsi="Calibri"/>
          <w:sz w:val="32"/>
        </w:rPr>
      </w:pPr>
      <w:r w:rsidRPr="007B2A30">
        <w:t>An English tourist trader named Mr. Amana has been having difficulties running his business as a result of the COVID crisis. They have a physical location for their company, but they engage with potential clients and business partners via the usage of the internet through their website. It has been determined that costs have been split and divided again into appropriate percentages. According to the graph, this is a comparison of his company's initial budget with its flexible budget as well as its actual costs.</w:t>
      </w:r>
      <w:r>
        <w:br w:type="page"/>
      </w:r>
    </w:p>
    <w:p w:rsidR="00BD5990" w:rsidRDefault="00734037">
      <w:pPr>
        <w:pStyle w:val="Heading1"/>
        <w:ind w:left="-5"/>
        <w:spacing w:after="132"/>
      </w:pPr>
      <w:bookmarkStart w:id="2" w:name="_Toc101792841"/>
      <w:bookmarkStart w:id="3" w:name="_Toc101792869"/>
      <w:r>
        <w:t>Part A</w:t>
        <w:lastRenderedPageBreak/>
      </w:r>
      <w:bookmarkEnd w:id="2"/>
      <w:bookmarkEnd w:id="3"/>
    </w:p>
    <w:p w:rsidR="00CD71FA" w:rsidRDefault="00CD71FA" w:rsidP="00CD71FA" w:rsidRPr="00CD71FA">
      <w:pPr>
        <w:rPr>
          <w:b/>
          <w:sz w:val="24"/>
          <w:szCs w:val="24"/>
        </w:rPr>
      </w:pPr>
      <w:r w:rsidRPr="00CD71FA">
        <w:rPr>
          <w:b/>
          <w:sz w:val="24"/>
          <w:szCs w:val="24"/>
        </w:rPr>
        <w:t>Monthly control report</w:t>
      </w:r>
    </w:p>
    <w:p w:rsidR="00754F14" w:rsidRDefault="003678D6" w:rsidP="003678D6">
      <w:pPr>
        <w:jc w:val="center"/>
      </w:pPr>
      <w:r>
        <w:rPr>
          <w:noProof/>
        </w:rPr>
        <w:drawing>
          <wp:inline distB="0" distL="0" distR="0" distT="0">
            <wp:extent cx="5942965" cy="3933825"/>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3675" cy="3934285"/>
                    </a:xfrm>
                    <a:prstGeom prst="rect">
                      <a:avLst/>
                    </a:prstGeom>
                    <a:noFill/>
                    <a:ln>
                      <a:noFill/>
                    </a:ln>
                  </pic:spPr>
                </pic:pic>
              </a:graphicData>
            </a:graphic>
          </wp:inline>
        </w:drawing>
      </w:r>
    </w:p>
    <w:p w:rsidR="003678D6" w:rsidRDefault="003678D6">
      <w:pPr>
        <w:jc w:val="left"/>
        <w:ind w:left="0"/>
        <w:ind w:right="0"/>
        <w:ind w:firstLine="0"/>
        <w:spacing w:after="160" w:line="259" w:lineRule="auto"/>
        <w:rPr>
          <w:b/>
          <w:rFonts w:ascii="Calibri" w:hAnsi="Calibri"/>
          <w:sz w:val="24"/>
        </w:rPr>
      </w:pPr>
      <w:r>
        <w:rPr>
          <w:noProof/>
        </w:rPr>
        <w:drawing>
          <wp:inline distB="0" distL="0" distR="0" distT="0">
            <wp:extent cx="2733675" cy="29146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733675" cy="2914650"/>
                    </a:xfrm>
                    <a:prstGeom prst="rect">
                      <a:avLst/>
                    </a:prstGeom>
                    <a:noFill/>
                    <a:ln>
                      <a:noFill/>
                    </a:ln>
                  </pic:spPr>
                </pic:pic>
              </a:graphicData>
            </a:graphic>
          </wp:inline>
        </w:drawing>
      </w:r>
      <w:r>
        <w:br w:type="page"/>
      </w:r>
    </w:p>
    <w:p w:rsidR="00163CC1" w:rsidRDefault="00163CC1" w:rsidP="00163CC1">
      <w:r>
        <w:rPr>
          <w:noProof/>
        </w:rPr>
        <w:drawing>
          <wp:inline distB="0" distL="0" distR="0" distT="0">
            <wp:extent cx="2857500" cy="10096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857500" cy="1009650"/>
                    </a:xfrm>
                    <a:prstGeom prst="rect">
                      <a:avLst/>
                    </a:prstGeom>
                    <a:noFill/>
                    <a:ln>
                      <a:noFill/>
                    </a:ln>
                  </pic:spPr>
                </pic:pic>
              </a:graphicData>
            </a:graphic>
          </wp:inline>
        </w:drawing>
      </w:r>
    </w:p>
    <w:p w:rsidR="00564718" w:rsidRDefault="00734037" w:rsidP="00564718" w:rsidRPr="00564718">
      <w:pPr>
        <w:rPr>
          <w:b/>
          <w:sz w:val="24"/>
          <w:szCs w:val="24"/>
        </w:rPr>
      </w:pPr>
      <w:r w:rsidRPr="008D2ED5">
        <w:rPr>
          <w:b/>
          <w:sz w:val="24"/>
          <w:szCs w:val="24"/>
        </w:rPr>
        <w:t>Report on Variance analysis</w:t>
      </w:r>
    </w:p>
    <w:p w:rsidR="000276BF" w:rsidRDefault="008D2ED5" w:rsidP="00564718">
      <w:r w:rsidRPr="008D2ED5">
        <w:t>Examining a monthly control report, which includes both static and flexible budgets, as well as actual spending and deviations in both activity and cost control, among other things, may help identify the present condition of this firm. This report may be accessed at the following URL. Taking a look at both activity and spending control adjustments at the same time makes it difficult to make a sensible judgment on where to place our emphasis in our decision making. Adapting to changes in activity and spending management is advantageous to the bottom line of Mr. Amana's organization</w:t>
      </w:r>
      <w:r w:rsidR="00564718">
        <w:t xml:space="preserve"> (</w:t>
      </w:r>
      <w:r w:rsidR="00564718" w:rsidRPr="00FE4D6C">
        <w:t>Ceil, 2019)</w:t>
      </w:r>
      <w:r w:rsidRPr="008D2ED5">
        <w:t xml:space="preserve">. In this booklet, </w:t>
      </w:r>
      <w:r w:rsidR="004B78AE">
        <w:t>one</w:t>
      </w:r>
      <w:r w:rsidRPr="008D2ED5">
        <w:t xml:space="preserve"> will find a great lot of valuable information. The contrasts between static and flexible budget modifications have already been discussed in depth in this context. </w:t>
      </w:r>
    </w:p>
    <w:p w:rsidR="004B78AE" w:rsidRDefault="008D2ED5" w:rsidP="00564718">
      <w:r w:rsidRPr="008D2ED5">
        <w:t>As seen by the difference between static and flexed budgets, budgeting with flex is more flexible than budgeting with a static approach. All that differences between the two budgets is the cost of specific items (100,000 and 80,000). Simply changing the unit value will indicate the difference in activity, and it can be seen that the variable expenditures have been lowered in each of the examples</w:t>
      </w:r>
      <w:r w:rsidR="00564718">
        <w:t xml:space="preserve"> (</w:t>
      </w:r>
      <w:r w:rsidR="00564718" w:rsidRPr="00246282">
        <w:t xml:space="preserve">Jasim </w:t>
      </w:r>
      <w:r w:rsidR="00564718">
        <w:t>and</w:t>
      </w:r>
      <w:r w:rsidR="00564718" w:rsidRPr="00246282">
        <w:t xml:space="preserve"> </w:t>
      </w:r>
      <w:proofErr w:type="spellStart"/>
      <w:r w:rsidR="00564718" w:rsidRPr="00246282">
        <w:t>Raewf</w:t>
      </w:r>
      <w:proofErr w:type="spellEnd"/>
      <w:r w:rsidR="00564718" w:rsidRPr="00246282">
        <w:t>,</w:t>
      </w:r>
      <w:r w:rsidR="00564718">
        <w:t xml:space="preserve"> </w:t>
      </w:r>
      <w:r w:rsidR="00564718" w:rsidRPr="00246282">
        <w:t>2020)</w:t>
      </w:r>
      <w:r w:rsidRPr="008D2ED5">
        <w:t xml:space="preserve">. While overall fixed expenses have stayed unchanged, per unit fixed expenditures have grown as a consequence of the 20,000-unit decrease in sales volume. As a result, the fixed expenditures per unit of output have grown as a result of this. A cost-control variance analysis is also included in the monthly control report, in addition to other information. </w:t>
      </w:r>
    </w:p>
    <w:p w:rsidR="004B78AE" w:rsidRDefault="008D2ED5" w:rsidP="00564718">
      <w:r w:rsidRPr="008D2ED5">
        <w:t xml:space="preserve">Therefore, comparing real pricing and static budgets based on completely different numbers of units of measure is absurd since they are essentially incompatible with one another (100,000 in a static budget, but the actual number of units is 80,000 </w:t>
      </w:r>
      <w:r w:rsidR="007104B1" w:rsidRPr="008D2ED5">
        <w:t>dues</w:t>
      </w:r>
      <w:r w:rsidRPr="008D2ED5">
        <w:t xml:space="preserve"> to COVID). According to the control report, all of the positive variations between the actual costs and the static budget have been captured and are available for analysis</w:t>
      </w:r>
      <w:r w:rsidR="00564718">
        <w:t xml:space="preserve"> (</w:t>
      </w:r>
      <w:proofErr w:type="spellStart"/>
      <w:r w:rsidR="00564718" w:rsidRPr="001117E1">
        <w:t>Urkayev</w:t>
      </w:r>
      <w:proofErr w:type="spellEnd"/>
      <w:r w:rsidR="00564718">
        <w:t xml:space="preserve"> et al., </w:t>
      </w:r>
      <w:r w:rsidR="00564718" w:rsidRPr="001117E1">
        <w:t>2019).</w:t>
      </w:r>
      <w:r w:rsidRPr="008D2ED5">
        <w:t xml:space="preserve"> As a result, we conducted a variance analysis on the difference between the expected budget and the actual costs in order to </w:t>
      </w:r>
      <w:r w:rsidRPr="008D2ED5">
        <w:t xml:space="preserve">determine what was driving the cost divergence. As we can see, the real cost of materials has increased by a factor of eighty thousand during the last eighteen years. </w:t>
        <w:lastRenderedPageBreak/>
      </w:r>
    </w:p>
    <w:p w:rsidR="004B78AE" w:rsidRDefault="008D2ED5" w:rsidP="00564718">
      <w:r w:rsidRPr="008D2ED5">
        <w:t xml:space="preserve">Since the rise in sales has occurred, the cost of labor has grown by </w:t>
      </w:r>
      <w:r w:rsidR="00F5165A">
        <w:t>£</w:t>
      </w:r>
      <w:r w:rsidRPr="008D2ED5">
        <w:t xml:space="preserve">120,000, which is a result of the increase in sales. As a consequence of this, the overall cost of building has been cut by </w:t>
      </w:r>
      <w:r w:rsidR="00F5165A">
        <w:t>£</w:t>
      </w:r>
      <w:r w:rsidRPr="008D2ED5">
        <w:t>200,000, notwithstanding the difficulties. As an additional point of interest, we can see that the budget for recurrent expenditures has been well set</w:t>
      </w:r>
      <w:r w:rsidR="00564718">
        <w:t xml:space="preserve"> (</w:t>
      </w:r>
      <w:proofErr w:type="spellStart"/>
      <w:r w:rsidR="00564718" w:rsidRPr="00943C6A">
        <w:t>Skorev</w:t>
      </w:r>
      <w:proofErr w:type="spellEnd"/>
      <w:r w:rsidR="00564718">
        <w:t xml:space="preserve"> et al., </w:t>
      </w:r>
      <w:r w:rsidR="00564718" w:rsidRPr="00943C6A">
        <w:t>2020)</w:t>
      </w:r>
      <w:r w:rsidRPr="008D2ED5">
        <w:t xml:space="preserve">. No of how many units were added or removed from the mix, we know that fixed costs did not change regardless of whether the number of units was increased or decreased. As a consequence of the lockout, this firm has been able to lower its fixed expenditures by </w:t>
      </w:r>
      <w:r w:rsidR="00F5165A">
        <w:t>£</w:t>
      </w:r>
      <w:r w:rsidRPr="008D2ED5">
        <w:t xml:space="preserve">45,000 each year, resulting in significant savings over the long term. In addition, the rent was lowered by 30,000 </w:t>
      </w:r>
      <w:r w:rsidR="00F5165A">
        <w:t>pound</w:t>
      </w:r>
      <w:r w:rsidRPr="008D2ED5">
        <w:t xml:space="preserve">s and the supervisor's salary was reduced by 15,000 </w:t>
      </w:r>
      <w:r w:rsidR="00F5165A">
        <w:t>pound</w:t>
      </w:r>
      <w:r w:rsidRPr="008D2ED5">
        <w:t xml:space="preserve">s. </w:t>
      </w:r>
    </w:p>
    <w:p w:rsidR="008D2ED5" w:rsidRDefault="008D2ED5" w:rsidP="00564718" w:rsidRPr="008D2ED5">
      <w:r w:rsidRPr="008D2ED5">
        <w:t>The fact that the city was closed meant that there were no visitors to the warehouse in both situations, and as a result, there was no need to pay more rent for the warehouse in either situation. In response to the epidemic, material and labor costs have soared</w:t>
      </w:r>
      <w:r w:rsidR="00564718">
        <w:t xml:space="preserve"> (</w:t>
      </w:r>
      <w:r w:rsidR="00564718" w:rsidRPr="00591AC3">
        <w:t>Vale</w:t>
      </w:r>
      <w:r w:rsidR="00564718">
        <w:t xml:space="preserve"> et al., </w:t>
      </w:r>
      <w:r w:rsidR="00564718" w:rsidRPr="00591AC3">
        <w:t>2022)</w:t>
      </w:r>
      <w:r w:rsidRPr="008D2ED5">
        <w:t>. The fact that the majority of enterprises will be dissolved by 2020 is already well known. Because of the losses they sustained during the COVID period, they have increased the prices of goods and labor to make up for the losses they sustained when their firm was open or in operation. Therefore, even though they sold fewer units than the static budget allowed for, their variable expenses increased as a result of this.</w:t>
      </w:r>
    </w:p>
    <w:p w:rsidR="00BD5990" w:rsidRDefault="00734037" w:rsidP="007104B1" w:rsidRPr="007104B1">
      <w:pPr>
        <w:rPr>
          <w:b/>
          <w:sz w:val="24"/>
          <w:szCs w:val="24"/>
        </w:rPr>
      </w:pPr>
      <w:r w:rsidRPr="007104B1">
        <w:rPr>
          <w:b/>
          <w:sz w:val="24"/>
          <w:szCs w:val="24"/>
        </w:rPr>
        <w:t>Recommendation on areas of improvement</w:t>
      </w:r>
    </w:p>
    <w:p w:rsidR="00162DB4" w:rsidRDefault="007104B1" w:rsidP="00564718">
      <w:r w:rsidRPr="007104B1">
        <w:t>The government has set travel regulations, which puts Mr. Amana's tourism company at a competitive disadvantage in a competitive market. However, there is still room for improvement in terms of the structure of the company's costs, which is a positive development</w:t>
      </w:r>
      <w:r w:rsidR="00564718">
        <w:t xml:space="preserve"> (</w:t>
      </w:r>
      <w:r w:rsidR="00564718" w:rsidRPr="002E5932">
        <w:t>Williams,</w:t>
      </w:r>
      <w:r w:rsidR="00564718">
        <w:t xml:space="preserve"> </w:t>
      </w:r>
      <w:r w:rsidR="00564718" w:rsidRPr="002E5932">
        <w:t>2019)</w:t>
      </w:r>
      <w:r w:rsidRPr="007104B1">
        <w:t xml:space="preserve">. Several suggestions have been made in light of the findings presented in the preceding part of this report. According to this company, the cost of raw materials has grown, which is a negative trend. Given the fact that they are in the business of selling tourist souvenirs, they need a varied selection of items that may be offered, as well as the resources to manufacture them. </w:t>
      </w:r>
    </w:p>
    <w:p w:rsidR="00162DB4" w:rsidRDefault="007104B1" w:rsidP="000276BF">
      <w:r w:rsidRPr="007104B1">
        <w:t xml:space="preserve">For example, they should negotiate a fixed-price contract with their supplier in order to be able to cope with price fluctuations in the event of a lack of raw materials in their business. An organization may opt to do its own vendor vetting in order to determine if the vendor is supplying </w:t>
      </w:r>
      <w:r w:rsidRPr="007104B1">
        <w:t>high-quality commodities at a reasonable price. It is possible to identify and contact suppliers after completion of the verification method, and this will help the organization develop a long-term commercial partnership that will be beneficial to all parties involved. Given that commercial techniques have not yet become conventional, they may choose to contract with a select group of workers who will be capable of constructing the memorial in a professional manner, and negotiate a fee with them directly</w:t>
        <w:lastRenderedPageBreak/>
      </w:r>
      <w:r w:rsidR="00564718">
        <w:t xml:space="preserve"> </w:t>
      </w:r>
      <w:r w:rsidR="00564718">
        <w:t>(</w:t>
      </w:r>
      <w:r w:rsidR="00564718" w:rsidRPr="00FE4D6C">
        <w:t>Ceil, 2019)</w:t>
      </w:r>
      <w:r w:rsidRPr="007104B1">
        <w:t xml:space="preserve">. </w:t>
      </w:r>
    </w:p>
    <w:p w:rsidR="00162DB4" w:rsidRDefault="007104B1" w:rsidP="00C049AB">
      <w:r w:rsidRPr="007104B1">
        <w:t>Corporate overhead costs, such as administrative and sales expenses, are included in a company's total overhead costs. It is possible that they may be able to save money by cutting down on some of their administrative expenses as a result of the decrease in sales. According to the budget, overhead expenditures have been accrued, demonstrating that they were incurred even though the facility was closed for maintenance</w:t>
      </w:r>
      <w:r w:rsidR="00564718">
        <w:t xml:space="preserve"> </w:t>
      </w:r>
      <w:r w:rsidR="00564718">
        <w:t>(</w:t>
      </w:r>
      <w:proofErr w:type="spellStart"/>
      <w:r w:rsidR="00564718" w:rsidRPr="00943C6A">
        <w:t>Skorev</w:t>
      </w:r>
      <w:proofErr w:type="spellEnd"/>
      <w:r w:rsidR="00564718">
        <w:t xml:space="preserve"> et al., </w:t>
      </w:r>
      <w:r w:rsidR="00564718" w:rsidRPr="00943C6A">
        <w:t>2020)</w:t>
      </w:r>
      <w:r w:rsidRPr="007104B1">
        <w:t xml:space="preserve">. Consequently, they may be able to find methods of reducing their operating expenses, at the very least in the event of a pandemic. It is probable that the warehouse rent will be reduced as a result of the current circumstances. Because of a decrease in sales, it is no longer necessary to have surplus inventory on hand. </w:t>
      </w:r>
    </w:p>
    <w:p w:rsidR="003D580C" w:rsidRDefault="007104B1" w:rsidP="00C049AB">
      <w:pPr>
        <w:rPr>
          <w:b/>
          <w:color w:val="222A35"/>
          <w:sz w:val="32"/>
        </w:rPr>
      </w:pPr>
      <w:r w:rsidRPr="007104B1">
        <w:t xml:space="preserve">Depending on the existing scenario, there are a range of approaches that may be used to reduce this rental expenditure. They should take advantage of the existing market opportunity to sell their products online and </w:t>
      </w:r>
      <w:r w:rsidR="000276BF" w:rsidRPr="007104B1">
        <w:t>try</w:t>
      </w:r>
      <w:r w:rsidRPr="007104B1">
        <w:t xml:space="preserve"> to enhance their overall sales volume</w:t>
      </w:r>
      <w:r w:rsidR="00564718">
        <w:t xml:space="preserve"> </w:t>
      </w:r>
      <w:r w:rsidR="00564718">
        <w:t>(</w:t>
      </w:r>
      <w:r w:rsidR="00564718" w:rsidRPr="00591AC3">
        <w:t>Vale</w:t>
      </w:r>
      <w:r w:rsidR="00564718">
        <w:t xml:space="preserve"> et al., </w:t>
      </w:r>
      <w:r w:rsidR="00564718" w:rsidRPr="00591AC3">
        <w:t>2022)</w:t>
      </w:r>
      <w:r w:rsidRPr="007104B1">
        <w:t>. After a period of time when everyone is on lockdown and starts feel restless, they want to decorate their houses or purchase anything that will make their homes look more desirable to others while they are on lockdown. As a result, they will be forced to begin selling their items on the internet as soon as possible.</w:t>
      </w:r>
      <w:r>
        <w:br w:type="page"/>
      </w:r>
    </w:p>
    <w:p w:rsidR="00BD5990" w:rsidRDefault="00734037">
      <w:pPr>
        <w:pStyle w:val="Heading1"/>
        <w:ind w:left="-5"/>
      </w:pPr>
      <w:bookmarkStart w:id="4" w:name="_Toc101792842"/>
      <w:bookmarkStart w:id="5" w:name="_Toc101792870"/>
      <w:r>
        <w:t>Part B</w:t>
        <w:lastRenderedPageBreak/>
      </w:r>
      <w:bookmarkEnd w:id="4"/>
      <w:bookmarkEnd w:id="5"/>
    </w:p>
    <w:p w:rsidR="00D01A79" w:rsidRDefault="00D01A79" w:rsidP="00C049AB">
      <w:r>
        <w:t xml:space="preserve">The tourism sector, like other industries that have been affected by the virus, is seeking for other ways to do business. Consumption has become more aware of alternative means of conducting business as seen by the adoption of such tactics by rivals. Online selling and marketing, for example, have attracted the interest of consumers. This corporation has two alternatives when it comes to using the internet to market its products and services. The fact that this organization just has one website does not rule out the possibility that it is utilized for other purposes as well. Because of this growth, the firm is now able to sell and promote its products on the internet, either via its own internet business website or through Amazon.com, as a direct consequence of this development. Think about the advantages and disadvantages of each option before </w:t>
      </w:r>
      <w:r>
        <w:t>deciding</w:t>
      </w:r>
      <w:r>
        <w:t xml:space="preserve"> on which one to pursue further.</w:t>
      </w:r>
    </w:p>
    <w:p w:rsidR="00BD5990" w:rsidRDefault="00734037" w:rsidP="0014399B">
      <w:pPr>
        <w:rPr>
          <w:b/>
          <w:sz w:val="24"/>
          <w:szCs w:val="24"/>
        </w:rPr>
      </w:pPr>
      <w:r w:rsidRPr="0014399B">
        <w:rPr>
          <w:b/>
          <w:sz w:val="24"/>
          <w:szCs w:val="24"/>
        </w:rPr>
        <w:t>Option 1</w:t>
      </w:r>
    </w:p>
    <w:p w:rsidR="00D01A79" w:rsidRDefault="00D01A79" w:rsidP="00C049AB" w:rsidRPr="0014399B">
      <w:r>
        <w:t>Additionally, if the firm chooses to sell items via its own website, it will be accountable for the price of delivery, network maintenance, and the pay of an information technology programmer, among other things, as well as the costs of marketing the product.</w:t>
      </w:r>
    </w:p>
    <w:p w:rsidR="00BD5990" w:rsidRDefault="00734037">
      <w:pPr>
        <w:jc w:val="left"/>
        <w:ind w:left="-5"/>
        <w:ind w:right="0"/>
        <w:spacing w:after="258"/>
      </w:pPr>
      <w:r>
        <w:rPr>
          <w:u w:val="single" w:color="000000"/>
        </w:rPr>
        <w:t xml:space="preserve">Cost-benefit analysis </w:t>
      </w:r>
    </w:p>
    <w:p w:rsidR="00D01A79" w:rsidRDefault="00D01A79" w:rsidP="00D01A79">
      <w:r>
        <w:rPr>
          <w:noProof/>
        </w:rPr>
        <w:drawing>
          <wp:inline distB="0" distL="0" distR="0" distT="0" wp14:anchorId="1B2B9608" wp14:editId="395152A2">
            <wp:extent cx="2771775" cy="18954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771775" cy="1895475"/>
                    </a:xfrm>
                    <a:prstGeom prst="rect">
                      <a:avLst/>
                    </a:prstGeom>
                  </pic:spPr>
                </pic:pic>
              </a:graphicData>
            </a:graphic>
          </wp:inline>
        </w:drawing>
      </w:r>
      <w:r>
        <w:br w:type="page"/>
      </w:r>
    </w:p>
    <w:p w:rsidR="00D01A79" w:rsidRDefault="00D01A79" w:rsidP="00D01A79">
      <w:r>
        <w:rPr>
          <w:noProof/>
        </w:rPr>
        <w:drawing>
          <wp:inline distB="0" distL="0" distR="0" distT="0" wp14:anchorId="216BED4D" wp14:editId="6E3E3A92">
            <wp:extent cx="3209925" cy="38004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209925" cy="3800475"/>
                    </a:xfrm>
                    <a:prstGeom prst="rect">
                      <a:avLst/>
                    </a:prstGeom>
                  </pic:spPr>
                </pic:pic>
              </a:graphicData>
            </a:graphic>
          </wp:inline>
        </w:drawing>
      </w:r>
    </w:p>
    <w:p w:rsidR="005966DA" w:rsidRDefault="005966DA" w:rsidP="00C049AB">
      <w:pPr>
        <w:rPr>
          <w:u w:color="000000"/>
        </w:rPr>
      </w:pPr>
      <w:r w:rsidRPr="005966DA">
        <w:rPr>
          <w:u w:color="000000"/>
        </w:rPr>
        <w:t xml:space="preserve">When you include in the present fixed expenditures as well as the new internet service provider, the overall cost becomes quite high. Assume, for the purpose of argument, that the costs of renting a building and paying a management staff are associated with the closure of the branches in issue. This project will need a one-time investment of </w:t>
      </w:r>
      <w:r w:rsidR="00F5165A">
        <w:rPr>
          <w:u w:color="000000"/>
        </w:rPr>
        <w:t>£</w:t>
      </w:r>
      <w:r w:rsidRPr="005966DA">
        <w:rPr>
          <w:u w:color="000000"/>
        </w:rPr>
        <w:t xml:space="preserve">1.385 million, which will be made in cash. When all of the fixed expenses are </w:t>
      </w:r>
      <w:r w:rsidR="0050605B" w:rsidRPr="005966DA">
        <w:rPr>
          <w:u w:color="000000"/>
        </w:rPr>
        <w:t>considered</w:t>
      </w:r>
      <w:r w:rsidRPr="005966DA">
        <w:rPr>
          <w:u w:color="000000"/>
        </w:rPr>
        <w:t>, the overall profit from this choice is 410,000 (2000,000 – 1590,000), and when just the wage and warehouse rent of those branches are taken into consideration, the total profit from this option is 615,000 (2000,000 – 1590,000). (2000,000-1385,000).</w:t>
      </w:r>
    </w:p>
    <w:p w:rsidR="00BD5990" w:rsidRDefault="00734037">
      <w:pPr>
        <w:jc w:val="left"/>
        <w:ind w:left="-5"/>
        <w:ind w:right="0"/>
        <w:spacing w:after="258"/>
      </w:pPr>
      <w:r>
        <w:rPr>
          <w:u w:val="single" w:color="000000"/>
        </w:rPr>
        <w:t>Cost-Volume-Profit analysis</w:t>
      </w:r>
    </w:p>
    <w:p w:rsidR="00901E6E" w:rsidRDefault="00B0029E" w:rsidP="00B0029E">
      <w:r w:rsidRPr="00B0029E">
        <w:t>The relationship between rent and wages is particularly high in cities such as Birmingham, Brighton, and Manchester, among other places. As a result, these expenses will be excluded from our study of the CVP.</w:t>
      </w:r>
      <w:r>
        <w:br w:type="page"/>
      </w:r>
    </w:p>
    <w:p w:rsidR="00B0029E" w:rsidRDefault="00B0029E" w:rsidP="00B0029E">
      <w:r>
        <w:rPr>
          <w:noProof/>
        </w:rPr>
        <w:drawing>
          <wp:inline distB="0" distL="0" distR="0" distT="0" wp14:anchorId="53DA4CE9" wp14:editId="60DECF43">
            <wp:extent cx="2162175" cy="23241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162175" cy="2324100"/>
                    </a:xfrm>
                    <a:prstGeom prst="rect">
                      <a:avLst/>
                    </a:prstGeom>
                  </pic:spPr>
                </pic:pic>
              </a:graphicData>
            </a:graphic>
          </wp:inline>
        </w:drawing>
      </w:r>
    </w:p>
    <w:p w:rsidR="00C15A4F" w:rsidRDefault="00B32269" w:rsidP="00C049AB">
      <w:r w:rsidRPr="00B32269">
        <w:t xml:space="preserve">To cover all of Amana Souvenir's expenses, the company must sell 35,263 units. Based on market research, we know that the company can sell 100,000 pieces per year if it chooses to use online commerce to sell its souvenirs. In order to determine the contribution margin, multiplying the amount by the number of units in the unit of 100,000 units is used. As a consequence of this, we have a contribution margin of 64,737 </w:t>
      </w:r>
      <w:r w:rsidR="00F5165A">
        <w:t>pound</w:t>
      </w:r>
      <w:r w:rsidRPr="00B32269">
        <w:t xml:space="preserve">s. When contemplating Option 1, there are a number of considerations to keep in mind. Assuming the Amana souvenir had its own web site, it could sell 100,000 pieces online based on current market circumstances. In addition, since we are </w:t>
      </w:r>
      <w:r w:rsidR="00C049AB" w:rsidRPr="00B32269">
        <w:t>assuming</w:t>
      </w:r>
      <w:r w:rsidRPr="00B32269">
        <w:t xml:space="preserve"> that Amana would close three of its physical locations if it goes online, we have not </w:t>
      </w:r>
      <w:r w:rsidR="00C049AB" w:rsidRPr="00B32269">
        <w:t>considered</w:t>
      </w:r>
      <w:r w:rsidRPr="00B32269">
        <w:t xml:space="preserve"> employee and rent expenditures in our cost-benefit analysis. Following payment of all of its fees and charges, Amana may be able to reap the benefits of this option if just the essential expenses are </w:t>
      </w:r>
      <w:r w:rsidR="00C049AB" w:rsidRPr="00B32269">
        <w:t>considered</w:t>
      </w:r>
      <w:r w:rsidRPr="00B32269">
        <w:t>.</w:t>
      </w:r>
    </w:p>
    <w:p w:rsidR="00C15A4F" w:rsidRDefault="00C15A4F">
      <w:pPr>
        <w:jc w:val="left"/>
        <w:ind w:left="0"/>
        <w:ind w:right="0"/>
        <w:ind w:firstLine="0"/>
        <w:spacing w:after="160" w:line="259" w:lineRule="auto"/>
        <w:rPr>
          <w:b/>
          <w:sz w:val="24"/>
          <w:szCs w:val="24"/>
        </w:rPr>
      </w:pPr>
      <w:r>
        <w:rPr>
          <w:b/>
          <w:sz w:val="24"/>
          <w:szCs w:val="24"/>
        </w:rPr>
        <w:br w:type="page"/>
      </w:r>
    </w:p>
    <w:p w:rsidR="00BD5990" w:rsidRDefault="00734037" w:rsidP="00901E6E">
      <w:pPr>
        <w:rPr>
          <w:b/>
          <w:sz w:val="24"/>
          <w:szCs w:val="24"/>
        </w:rPr>
      </w:pPr>
      <w:r w:rsidRPr="00901E6E">
        <w:rPr>
          <w:b/>
          <w:sz w:val="24"/>
          <w:szCs w:val="24"/>
        </w:rPr>
        <w:t>Option 2</w:t>
        <w:lastRenderedPageBreak/>
      </w:r>
    </w:p>
    <w:p w:rsidR="00C049AB" w:rsidRDefault="00C049AB" w:rsidP="00C049AB" w:rsidRPr="00901E6E">
      <w:r w:rsidRPr="00C049AB">
        <w:t>Amana Souvenir now provides the option of selling their items online via the Amazon marketplace. A detailed cost analysis will be conducted in the same manner as Option 1, taking into consideration both pay and rent.</w:t>
      </w:r>
    </w:p>
    <w:p w:rsidR="00BD5990" w:rsidRDefault="00734037">
      <w:pPr>
        <w:jc w:val="left"/>
        <w:ind w:left="-5"/>
        <w:ind w:right="0"/>
        <w:spacing w:after="258"/>
      </w:pPr>
      <w:r>
        <w:rPr>
          <w:u w:val="single" w:color="000000"/>
        </w:rPr>
        <w:t>Cost-benefit analysis</w:t>
      </w:r>
    </w:p>
    <w:p w:rsidR="00BC1920" w:rsidRDefault="00BC1920" w:rsidP="00BC1920">
      <w:r>
        <w:rPr>
          <w:noProof/>
        </w:rPr>
        <w:drawing>
          <wp:inline distB="0" distL="0" distR="0" distT="0" wp14:anchorId="0AA36FD6" wp14:editId="3025119B">
            <wp:extent cx="2847975" cy="26098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847975" cy="2609850"/>
                    </a:xfrm>
                    <a:prstGeom prst="rect">
                      <a:avLst/>
                    </a:prstGeom>
                  </pic:spPr>
                </pic:pic>
              </a:graphicData>
            </a:graphic>
          </wp:inline>
        </w:drawing>
      </w:r>
    </w:p>
    <w:p w:rsidR="00BC1920" w:rsidRDefault="00BC1920" w:rsidP="00E61C96">
      <w:pPr>
        <w:rPr>
          <w:u w:color="000000"/>
        </w:rPr>
      </w:pPr>
      <w:r w:rsidRPr="00BC1920">
        <w:rPr>
          <w:u w:color="000000"/>
        </w:rPr>
        <w:t xml:space="preserve">For example, as shown in the previous cost-benefit analysis, even if just two fixed expenditures are included, there would be a profit of </w:t>
      </w:r>
      <w:r w:rsidR="00F5165A">
        <w:rPr>
          <w:u w:color="000000"/>
        </w:rPr>
        <w:t>£</w:t>
      </w:r>
      <w:r w:rsidRPr="00BC1920">
        <w:rPr>
          <w:u w:color="000000"/>
        </w:rPr>
        <w:t xml:space="preserve">1150,000 in this situation. After subtracting those two costs, the profit is equal to (1300,000-150,000-170,000-35,000) = 945,000 </w:t>
      </w:r>
      <w:r w:rsidR="00F5165A">
        <w:rPr>
          <w:u w:color="000000"/>
        </w:rPr>
        <w:t>pound</w:t>
      </w:r>
      <w:r w:rsidRPr="00BC1920">
        <w:rPr>
          <w:u w:color="000000"/>
        </w:rPr>
        <w:t xml:space="preserve">s, which is a net profit of </w:t>
      </w:r>
      <w:r w:rsidR="00F5165A">
        <w:rPr>
          <w:u w:color="000000"/>
        </w:rPr>
        <w:t>£</w:t>
      </w:r>
      <w:r w:rsidRPr="00BC1920">
        <w:rPr>
          <w:u w:color="000000"/>
        </w:rPr>
        <w:t xml:space="preserve">1,350,000. When all of the expenditures (wages and rent) are </w:t>
      </w:r>
      <w:r w:rsidR="00E61C96" w:rsidRPr="00BC1920">
        <w:rPr>
          <w:u w:color="000000"/>
        </w:rPr>
        <w:t>considered</w:t>
      </w:r>
      <w:r w:rsidRPr="00BC1920">
        <w:rPr>
          <w:u w:color="000000"/>
        </w:rPr>
        <w:t xml:space="preserve">, the profit is </w:t>
      </w:r>
      <w:r w:rsidR="00F5165A">
        <w:rPr>
          <w:u w:color="000000"/>
        </w:rPr>
        <w:t>£</w:t>
      </w:r>
      <w:r w:rsidRPr="00BC1920">
        <w:rPr>
          <w:u w:color="000000"/>
        </w:rPr>
        <w:t>945,000.</w:t>
      </w:r>
    </w:p>
    <w:p w:rsidR="00BD5990" w:rsidRDefault="00734037">
      <w:pPr>
        <w:jc w:val="left"/>
        <w:ind w:left="-5"/>
        <w:ind w:right="0"/>
        <w:spacing w:after="258"/>
      </w:pPr>
      <w:r>
        <w:rPr>
          <w:u w:val="single" w:color="000000"/>
        </w:rPr>
        <w:t>CVP analysis</w:t>
      </w:r>
    </w:p>
    <w:p w:rsidR="00E61C96" w:rsidRDefault="00E61C96" w:rsidP="00063550">
      <w:pPr>
        <w:ind w:left="-5"/>
        <w:ind w:right="0"/>
        <w:spacing w:after="160" w:line="339" w:lineRule="auto"/>
      </w:pPr>
      <w:r>
        <w:rPr>
          <w:noProof/>
        </w:rPr>
        <w:drawing>
          <wp:inline distB="0" distL="0" distR="0" distT="0" wp14:anchorId="0DDB4E01" wp14:editId="53FF0F54">
            <wp:extent cx="3219450" cy="14668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219450" cy="1466850"/>
                    </a:xfrm>
                    <a:prstGeom prst="rect">
                      <a:avLst/>
                    </a:prstGeom>
                  </pic:spPr>
                </pic:pic>
              </a:graphicData>
            </a:graphic>
          </wp:inline>
        </w:drawing>
      </w:r>
    </w:p>
    <w:p w:rsidR="00E61C96" w:rsidRDefault="001B322E" w:rsidP="001B322E">
      <w:r w:rsidRPr="001B322E">
        <w:t xml:space="preserve">By picking this option for Amana, you will get the contribution margin unit of (65,000-15789) = 49,211 units. Taking these two expenses into account, BEP is 355,000/9.5 = 37,368 units. There are thus 27,632 units of contribution margin that are available for utilization as a result of this result. When making this selection, there are a few factors to keep in mind. Since Amazon is a crowded market with severe competition, it is necessary for Amana to develop a number of creative items in order to stay competitive. </w:t>
        <w:lastRenderedPageBreak/>
      </w:r>
      <w:r w:rsidR="0055728E">
        <w:t>The</w:t>
      </w:r>
      <w:r w:rsidRPr="001B322E">
        <w:t xml:space="preserve"> team is well aware that Amazon is an online marketplace where customers may select and choose again, or just ignore the site altogether. As a result, if Amana does not provide differentiated products and services, it will be unable to compete with its rivals. In response to growing market demand, sales are expected to rise; as a consequence, the company may be needed to spend money on advertising in order to maintain or grow its market share. Furthermore, in order to differentiate itself, the company's personnel costs must be substantial. If Amazon controls the price system, it is likely that Amana will be unable to comply with Amazon's return policy, and if Amazon controls the pricing system, it is likely that Amana will have little influence on Amazon's pricing system.</w:t>
      </w:r>
    </w:p>
    <w:p w:rsidR="00BD5990" w:rsidRDefault="00734037" w:rsidP="00E61C96">
      <w:pPr>
        <w:rPr>
          <w:b/>
          <w:sz w:val="24"/>
          <w:szCs w:val="24"/>
        </w:rPr>
      </w:pPr>
      <w:r w:rsidRPr="00E61C96">
        <w:rPr>
          <w:b/>
          <w:sz w:val="24"/>
          <w:szCs w:val="24"/>
        </w:rPr>
        <w:t>Recommendation</w:t>
      </w:r>
    </w:p>
    <w:p w:rsidR="00B368C3" w:rsidRDefault="00B368C3" w:rsidP="00FB217E">
      <w:r>
        <w:t xml:space="preserve">It is necessary to do a CVP analysis for each option in order to determine the minimal number of sales necessary to achieve profitability. This analysis must </w:t>
      </w:r>
      <w:r w:rsidR="00F5165A">
        <w:t>consider</w:t>
      </w:r>
      <w:r>
        <w:t xml:space="preserve"> all of the fixed and variable costs associated with each of the alternatives. Because Amana is a brick-and-mortar company, its fixed costs would be higher if it picked Option 1, as it lacks the requisite internet resources to get started. If it chose Option 2, its fixed costs would be lower. When choosing Option 2, the company's fixed expenses would be lower. Any expenses incurred as a result of engaging an IT expert to finish the project update will be deducted from the final billing amount. For example, when Amazon is utilized as a platform for online sales rather than having one's own website, the cost is lower and the number of sales is lower than when one's own website is used, but the benefit is much higher</w:t>
      </w:r>
      <w:r w:rsidR="0008055B">
        <w:t xml:space="preserve"> </w:t>
      </w:r>
      <w:r w:rsidR="0008055B">
        <w:t>(</w:t>
      </w:r>
      <w:r w:rsidR="0008055B" w:rsidRPr="00591AC3">
        <w:t>Vale</w:t>
      </w:r>
      <w:r w:rsidR="0008055B">
        <w:t xml:space="preserve"> et al., </w:t>
      </w:r>
      <w:r w:rsidR="0008055B" w:rsidRPr="00591AC3">
        <w:t>2022)</w:t>
      </w:r>
      <w:r>
        <w:t xml:space="preserve">. Various negatives, including the inability of the company to govern its pricing and return procedures, as well as the fact that it would face fierce competition on Amazon.com, are possibilities with Option 2. Alternatively, despite the fact that Option 1 has a higher price tag, it will result in a greater number of sales, which will result in a reduction in some expenditures in the future, such as upgrade fees and shipping costs. Nonetheless, in the long run, this approach will be advantageous to the organization's bottom line as well. Although this option has been retired, it is still accessible and may be utilized both online and offline, regardless as to the present condition of the COVID situation. Aside from that, they will have total </w:t>
      </w:r>
      <w:r>
        <w:t>control over every element of its operation, and the new look of the website will encourage users to do their transactions there. The firm is likely to gain in the long run if Option 1 is selected, while also increasing their operational capabilities and expanding their market share in the area.</w:t>
        <w:lastRenderedPageBreak/>
      </w:r>
    </w:p>
    <w:p w:rsidR="003D580C" w:rsidRDefault="003D580C" w:rsidP="003D580C">
      <w:pPr>
        <w:pStyle w:val="Heading1"/>
        <w:ind w:left="-5"/>
      </w:pPr>
      <w:bookmarkStart w:id="6" w:name="_Toc101792843"/>
      <w:bookmarkStart w:id="7" w:name="_Toc101792871"/>
      <w:r>
        <w:t>Conclusion</w:t>
      </w:r>
      <w:bookmarkEnd w:id="6"/>
      <w:bookmarkEnd w:id="7"/>
      <w:r>
        <w:t xml:space="preserve"> </w:t>
      </w:r>
    </w:p>
    <w:p w:rsidR="00B368C3" w:rsidRDefault="00B368C3" w:rsidP="00FB217E">
      <w:r>
        <w:t>As the world continues to cure itself, there will be a rise in wealth, which will be advantageous to companies such as tourism, which have been adversely affected by the current conditions. The business should thus enhance all aspects of cost control so that it can begin working on its own recovery as soon as the usual situation resumes, rather than being compelled to wait until the typical scenario returns.</w:t>
      </w:r>
    </w:p>
    <w:p w:rsidR="00BD5990" w:rsidRDefault="00734037" w:rsidP="00B368C3">
      <w:r>
        <w:br w:type="page"/>
      </w:r>
    </w:p>
    <w:p w:rsidR="00BD5990" w:rsidRDefault="00734037">
      <w:pPr>
        <w:pStyle w:val="Heading1"/>
        <w:ind w:left="-5"/>
      </w:pPr>
      <w:bookmarkStart w:id="8" w:name="_Toc101792844"/>
      <w:bookmarkStart w:id="9" w:name="_Toc101792872"/>
      <w:r>
        <w:t>Reference</w:t>
        <w:lastRenderedPageBreak/>
      </w:r>
      <w:bookmarkEnd w:id="8"/>
      <w:bookmarkEnd w:id="9"/>
      <w:r w:rsidR="007E4E04">
        <w:t>s</w:t>
      </w:r>
    </w:p>
    <w:p w:rsidR="00734037" w:rsidRDefault="00734037" w:rsidP="00FE4D6C" w:rsidRPr="00FE4D6C">
      <w:r w:rsidRPr="00FE4D6C">
        <w:t xml:space="preserve">Ceil, C. (2019). Changes in Business Processes and Management Accounting Techniques and strategies. </w:t>
      </w:r>
      <w:r w:rsidRPr="00FE4D6C">
        <w:rPr>
          <w:iCs/>
          <w:i/>
        </w:rPr>
        <w:t>Available at SSRN 3521065</w:t>
      </w:r>
      <w:r w:rsidRPr="00FE4D6C">
        <w:t>.</w:t>
      </w:r>
    </w:p>
    <w:p w:rsidR="00734037" w:rsidRDefault="00734037" w:rsidP="00246282" w:rsidRPr="00246282">
      <w:r w:rsidRPr="00246282">
        <w:t xml:space="preserve">Jasim, Y. A., </w:t>
      </w:r>
      <w:r>
        <w:t>and</w:t>
      </w:r>
      <w:r w:rsidRPr="00246282">
        <w:t xml:space="preserve"> </w:t>
      </w:r>
      <w:proofErr w:type="spellStart"/>
      <w:r w:rsidRPr="00246282">
        <w:t>Raewf</w:t>
      </w:r>
      <w:proofErr w:type="spellEnd"/>
      <w:r w:rsidRPr="00246282">
        <w:t xml:space="preserve">, M. B. (2020). Information technology's impact on the accounting system. </w:t>
      </w:r>
      <w:proofErr w:type="spellStart"/>
      <w:r w:rsidRPr="00246282">
        <w:rPr>
          <w:iCs/>
          <w:i/>
        </w:rPr>
        <w:t>Cihan</w:t>
      </w:r>
      <w:proofErr w:type="spellEnd"/>
      <w:r w:rsidRPr="00246282">
        <w:rPr>
          <w:iCs/>
          <w:i/>
        </w:rPr>
        <w:t xml:space="preserve"> University-Erbil Journal of Humanities and Social Sciences</w:t>
      </w:r>
      <w:r w:rsidRPr="00246282">
        <w:t xml:space="preserve">, </w:t>
      </w:r>
      <w:r w:rsidRPr="00246282">
        <w:rPr>
          <w:iCs/>
          <w:i/>
        </w:rPr>
        <w:t>4</w:t>
      </w:r>
      <w:r w:rsidRPr="00246282">
        <w:t>(1), 50-57.</w:t>
      </w:r>
    </w:p>
    <w:p w:rsidR="00734037" w:rsidRDefault="00734037" w:rsidP="00943C6A" w:rsidRPr="00943C6A">
      <w:proofErr w:type="spellStart"/>
      <w:r w:rsidRPr="00943C6A">
        <w:t>Skorev</w:t>
      </w:r>
      <w:proofErr w:type="spellEnd"/>
      <w:r w:rsidRPr="00943C6A">
        <w:t xml:space="preserve">, M. M., </w:t>
      </w:r>
      <w:proofErr w:type="spellStart"/>
      <w:r w:rsidRPr="00943C6A">
        <w:t>Grafova</w:t>
      </w:r>
      <w:proofErr w:type="spellEnd"/>
      <w:r w:rsidRPr="00943C6A">
        <w:t xml:space="preserve">, T. O., </w:t>
      </w:r>
      <w:proofErr w:type="spellStart"/>
      <w:r w:rsidRPr="00943C6A">
        <w:t>Kirishchieva</w:t>
      </w:r>
      <w:proofErr w:type="spellEnd"/>
      <w:r w:rsidRPr="00943C6A">
        <w:t xml:space="preserve">, I. R., </w:t>
      </w:r>
      <w:r>
        <w:t>and</w:t>
      </w:r>
      <w:r w:rsidRPr="00943C6A">
        <w:t xml:space="preserve"> </w:t>
      </w:r>
      <w:proofErr w:type="spellStart"/>
      <w:r w:rsidRPr="00943C6A">
        <w:t>Mishchenko</w:t>
      </w:r>
      <w:proofErr w:type="spellEnd"/>
      <w:r w:rsidRPr="00943C6A">
        <w:t>, O. A. (2020). The use of accounting engineering elements in strategic accountin</w:t>
      </w:r>
      <w:bookmarkStart w:id="10" w:name="_GoBack"/>
      <w:bookmarkEnd w:id="10"/>
      <w:r w:rsidRPr="00943C6A">
        <w:t xml:space="preserve">g. In </w:t>
      </w:r>
      <w:r w:rsidRPr="00943C6A">
        <w:rPr>
          <w:iCs/>
          <w:i/>
        </w:rPr>
        <w:t>International Conference on Economics, Management and Technologies 2020 (ICEMT 2020)</w:t>
      </w:r>
      <w:r w:rsidRPr="00943C6A">
        <w:t xml:space="preserve"> (pp. 381-385). Atlantis Press.</w:t>
      </w:r>
    </w:p>
    <w:p w:rsidR="00734037" w:rsidRDefault="00734037" w:rsidP="001117E1" w:rsidRPr="001117E1">
      <w:proofErr w:type="spellStart"/>
      <w:r w:rsidRPr="001117E1">
        <w:t>Urkayev</w:t>
      </w:r>
      <w:proofErr w:type="spellEnd"/>
      <w:r w:rsidRPr="001117E1">
        <w:t xml:space="preserve">, M. H., </w:t>
      </w:r>
      <w:proofErr w:type="spellStart"/>
      <w:r w:rsidRPr="001117E1">
        <w:t>Karimov</w:t>
      </w:r>
      <w:proofErr w:type="spellEnd"/>
      <w:r w:rsidRPr="001117E1">
        <w:t xml:space="preserve">, F. J., Karimova, M. N., </w:t>
      </w:r>
      <w:r>
        <w:t>and</w:t>
      </w:r>
      <w:r w:rsidRPr="001117E1">
        <w:t xml:space="preserve"> Karimova, I. J. (2019). Methods of management accounting and economic analysis. </w:t>
      </w:r>
      <w:r w:rsidRPr="001117E1">
        <w:rPr>
          <w:iCs/>
          <w:i/>
        </w:rPr>
        <w:t>European journal of economics and management sciences</w:t>
      </w:r>
      <w:r w:rsidRPr="001117E1">
        <w:t>, (2), 13-24.</w:t>
      </w:r>
    </w:p>
    <w:p w:rsidR="00734037" w:rsidRDefault="00734037" w:rsidP="00591AC3" w:rsidRPr="00591AC3">
      <w:r w:rsidRPr="00591AC3">
        <w:t xml:space="preserve">Vale, J., Amaral, J., Abrantes, L., Leal, C., </w:t>
      </w:r>
      <w:r>
        <w:t>and</w:t>
      </w:r>
      <w:r w:rsidRPr="00591AC3">
        <w:t xml:space="preserve"> Silva, R. (2022). Management Accounting and Control in Higher Education Institutions: A Systematic Literature Review. </w:t>
      </w:r>
      <w:r w:rsidRPr="00591AC3">
        <w:rPr>
          <w:iCs/>
          <w:i/>
        </w:rPr>
        <w:t>Administrative Sciences</w:t>
      </w:r>
      <w:r w:rsidRPr="00591AC3">
        <w:t xml:space="preserve">, </w:t>
      </w:r>
      <w:r w:rsidRPr="00591AC3">
        <w:rPr>
          <w:iCs/>
          <w:i/>
        </w:rPr>
        <w:t>12</w:t>
      </w:r>
      <w:r w:rsidRPr="00591AC3">
        <w:t>(1), 14.</w:t>
      </w:r>
    </w:p>
    <w:p w:rsidR="00734037" w:rsidRDefault="00734037" w:rsidP="002E5932" w:rsidRPr="002E5932">
      <w:r w:rsidRPr="002E5932">
        <w:t xml:space="preserve">Williams, K. (2019). Management Accounting: Expanding Relevance. </w:t>
      </w:r>
      <w:r w:rsidRPr="002E5932">
        <w:rPr>
          <w:iCs/>
          <w:i/>
        </w:rPr>
        <w:t>Strategic Finance</w:t>
      </w:r>
      <w:r w:rsidRPr="002E5932">
        <w:t xml:space="preserve">, </w:t>
      </w:r>
      <w:r w:rsidRPr="002E5932">
        <w:rPr>
          <w:iCs/>
          <w:i/>
        </w:rPr>
        <w:t>100</w:t>
      </w:r>
      <w:r w:rsidRPr="002E5932">
        <w:t>(12), 38-43.</w:t>
      </w:r>
    </w:p>
    <w:p w:rsidR="007E4E04" w:rsidRDefault="007E4E04" w:rsidP="00A30F12" w:rsidRPr="007E4E04"/>
    <w:p w:rsidR="00BD5990" w:rsidRDefault="00BD5990" w:rsidP="00F5165A"/>
    <w:sectPr w:rsidR="00BD5990">
      <w:pgSz w:w="12240" w:h="15840"/>
      <w:pgMar w:left="1442" w:right="1438" w:top="1450" w:bottom="1624" w:header="720" w:footer="720" w:gutter="0"/>
      <w:cols w:space="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Cambria"/>
  <w:font w:name="Symbol"/>
  <w:font w:name="Courier New"/>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B9D3083"/>
    <w:tmpl w:val="98BE53D8"/>
    <w:lvl w:ilvl="0" w:tplc="05F60524">
      <w:numFmt w:val="bullet"/>
      <w:lvlText w:val="•"/>
      <w:start w:val="1"/>
      <w:rPr>
        <w:bdr w:val="none" w:sz="0" w:space="0" w:color="auto"/>
        <w:b w:val="0"/>
        <w:i w:val="0"/>
        <w:u w:val="none" w:color="000000"/>
        <w:strike w:val="0"/>
        <w:dstrike w:val="0"/>
        <w:color w:val="000000"/>
        <w:rFonts w:ascii="Arial" w:cs="Arial" w:eastAsia="Arial" w:hAnsi="Arial"/>
        <w:sz w:val="24"/>
        <w:szCs w:val="24"/>
        <w:shd w:fill="auto" w:color="auto" w:val="clear"/>
      </w:rPr>
      <w:pPr>
        <w:ind w:left="720"/>
      </w:pPr>
      <w:lvlJc w:val="left"/>
    </w:lvl>
    <w:lvl w:ilvl="1" w:tplc="AB80D624">
      <w:numFmt w:val="bullet"/>
      <w:lvlText w:val="o"/>
      <w:start w:val="1"/>
      <w:rPr>
        <w:bdr w:val="none" w:sz="0" w:space="0" w:color="auto"/>
        <w:b w:val="0"/>
        <w:i w:val="0"/>
        <w:u w:val="none" w:color="000000"/>
        <w:strike w:val="0"/>
        <w:dstrike w:val="0"/>
        <w:color w:val="000000"/>
        <w:rFonts w:ascii="Calibri" w:cs="Calibri" w:eastAsia="Calibri" w:hAnsi="Calibri"/>
        <w:sz w:val="24"/>
        <w:szCs w:val="24"/>
        <w:shd w:fill="auto" w:color="auto" w:val="clear"/>
      </w:rPr>
      <w:pPr>
        <w:ind w:left="1440"/>
      </w:pPr>
      <w:lvlJc w:val="left"/>
    </w:lvl>
    <w:lvl w:ilvl="2" w:tplc="BB485F50">
      <w:numFmt w:val="bullet"/>
      <w:lvlText w:val="▪"/>
      <w:start w:val="1"/>
      <w:rPr>
        <w:bdr w:val="none" w:sz="0" w:space="0" w:color="auto"/>
        <w:b w:val="0"/>
        <w:i w:val="0"/>
        <w:u w:val="none" w:color="000000"/>
        <w:strike w:val="0"/>
        <w:dstrike w:val="0"/>
        <w:color w:val="000000"/>
        <w:rFonts w:ascii="Calibri" w:cs="Calibri" w:eastAsia="Calibri" w:hAnsi="Calibri"/>
        <w:sz w:val="24"/>
        <w:szCs w:val="24"/>
        <w:shd w:fill="auto" w:color="auto" w:val="clear"/>
      </w:rPr>
      <w:pPr>
        <w:ind w:left="2160"/>
      </w:pPr>
      <w:lvlJc w:val="left"/>
    </w:lvl>
    <w:lvl w:ilvl="3" w:tplc="045A58E6">
      <w:numFmt w:val="bullet"/>
      <w:lvlText w:val="•"/>
      <w:start w:val="1"/>
      <w:rPr>
        <w:bdr w:val="none" w:sz="0" w:space="0" w:color="auto"/>
        <w:b w:val="0"/>
        <w:i w:val="0"/>
        <w:u w:val="none" w:color="000000"/>
        <w:strike w:val="0"/>
        <w:dstrike w:val="0"/>
        <w:color w:val="000000"/>
        <w:rFonts w:ascii="Calibri" w:cs="Calibri" w:eastAsia="Calibri" w:hAnsi="Calibri"/>
        <w:sz w:val="24"/>
        <w:szCs w:val="24"/>
        <w:shd w:fill="auto" w:color="auto" w:val="clear"/>
      </w:rPr>
      <w:pPr>
        <w:ind w:left="2880"/>
      </w:pPr>
      <w:lvlJc w:val="left"/>
    </w:lvl>
    <w:lvl w:ilvl="4" w:tplc="FA02C0CA">
      <w:numFmt w:val="bullet"/>
      <w:lvlText w:val="o"/>
      <w:start w:val="1"/>
      <w:rPr>
        <w:bdr w:val="none" w:sz="0" w:space="0" w:color="auto"/>
        <w:b w:val="0"/>
        <w:i w:val="0"/>
        <w:u w:val="none" w:color="000000"/>
        <w:strike w:val="0"/>
        <w:dstrike w:val="0"/>
        <w:color w:val="000000"/>
        <w:rFonts w:ascii="Calibri" w:cs="Calibri" w:eastAsia="Calibri" w:hAnsi="Calibri"/>
        <w:sz w:val="24"/>
        <w:szCs w:val="24"/>
        <w:shd w:fill="auto" w:color="auto" w:val="clear"/>
      </w:rPr>
      <w:pPr>
        <w:ind w:left="3600"/>
      </w:pPr>
      <w:lvlJc w:val="left"/>
    </w:lvl>
    <w:lvl w:ilvl="5" w:tplc="7AFA279A">
      <w:numFmt w:val="bullet"/>
      <w:lvlText w:val="▪"/>
      <w:start w:val="1"/>
      <w:rPr>
        <w:bdr w:val="none" w:sz="0" w:space="0" w:color="auto"/>
        <w:b w:val="0"/>
        <w:i w:val="0"/>
        <w:u w:val="none" w:color="000000"/>
        <w:strike w:val="0"/>
        <w:dstrike w:val="0"/>
        <w:color w:val="000000"/>
        <w:rFonts w:ascii="Calibri" w:cs="Calibri" w:eastAsia="Calibri" w:hAnsi="Calibri"/>
        <w:sz w:val="24"/>
        <w:szCs w:val="24"/>
        <w:shd w:fill="auto" w:color="auto" w:val="clear"/>
      </w:rPr>
      <w:pPr>
        <w:ind w:left="4320"/>
      </w:pPr>
      <w:lvlJc w:val="left"/>
    </w:lvl>
    <w:lvl w:ilvl="6" w:tplc="9DFEA09E">
      <w:numFmt w:val="bullet"/>
      <w:lvlText w:val="•"/>
      <w:start w:val="1"/>
      <w:rPr>
        <w:bdr w:val="none" w:sz="0" w:space="0" w:color="auto"/>
        <w:b w:val="0"/>
        <w:i w:val="0"/>
        <w:u w:val="none" w:color="000000"/>
        <w:strike w:val="0"/>
        <w:dstrike w:val="0"/>
        <w:color w:val="000000"/>
        <w:rFonts w:ascii="Calibri" w:cs="Calibri" w:eastAsia="Calibri" w:hAnsi="Calibri"/>
        <w:sz w:val="24"/>
        <w:szCs w:val="24"/>
        <w:shd w:fill="auto" w:color="auto" w:val="clear"/>
      </w:rPr>
      <w:pPr>
        <w:ind w:left="5040"/>
      </w:pPr>
      <w:lvlJc w:val="left"/>
    </w:lvl>
    <w:lvl w:ilvl="7" w:tplc="7DC42D44">
      <w:numFmt w:val="bullet"/>
      <w:lvlText w:val="o"/>
      <w:start w:val="1"/>
      <w:rPr>
        <w:bdr w:val="none" w:sz="0" w:space="0" w:color="auto"/>
        <w:b w:val="0"/>
        <w:i w:val="0"/>
        <w:u w:val="none" w:color="000000"/>
        <w:strike w:val="0"/>
        <w:dstrike w:val="0"/>
        <w:color w:val="000000"/>
        <w:rFonts w:ascii="Calibri" w:cs="Calibri" w:eastAsia="Calibri" w:hAnsi="Calibri"/>
        <w:sz w:val="24"/>
        <w:szCs w:val="24"/>
        <w:shd w:fill="auto" w:color="auto" w:val="clear"/>
      </w:rPr>
      <w:pPr>
        <w:ind w:left="5760"/>
      </w:pPr>
      <w:lvlJc w:val="left"/>
    </w:lvl>
    <w:lvl w:ilvl="8" w:tplc="D16CBC7A">
      <w:numFmt w:val="bullet"/>
      <w:lvlText w:val="▪"/>
      <w:start w:val="1"/>
      <w:rPr>
        <w:bdr w:val="none" w:sz="0" w:space="0" w:color="auto"/>
        <w:b w:val="0"/>
        <w:i w:val="0"/>
        <w:u w:val="none" w:color="000000"/>
        <w:strike w:val="0"/>
        <w:dstrike w:val="0"/>
        <w:color w:val="000000"/>
        <w:rFonts w:ascii="Calibri" w:cs="Calibri" w:eastAsia="Calibri" w:hAnsi="Calibri"/>
        <w:sz w:val="24"/>
        <w:szCs w:val="24"/>
        <w:shd w:fill="auto" w:color="auto" w:val="clear"/>
      </w:rPr>
      <w:pPr>
        <w:ind w:left="6480"/>
      </w:pPr>
      <w:lvlJc w:val="left"/>
    </w:lvl>
  </w:abstractNum>
  <w:abstractNum w:abstractNumId="1">
    <w:multiLevelType w:val="hybridMultilevel"/>
    <w:nsid w:val="1936656E"/>
    <w:tmpl w:val="CF3E236C"/>
    <w:lvl w:ilvl="0" w:tplc="703E8592">
      <w:numFmt w:val="bullet"/>
      <w:lvlText w:val="•"/>
      <w:start w:val="1"/>
      <w:rPr>
        <w:bdr w:val="none" w:sz="0" w:space="0" w:color="auto"/>
        <w:b w:val="0"/>
        <w:i w:val="0"/>
        <w:u w:val="none" w:color="000000"/>
        <w:strike w:val="0"/>
        <w:dstrike w:val="0"/>
        <w:color w:val="000000"/>
        <w:rFonts w:ascii="Arial" w:cs="Arial" w:eastAsia="Arial" w:hAnsi="Arial"/>
        <w:sz w:val="24"/>
        <w:szCs w:val="24"/>
        <w:shd w:fill="auto" w:color="auto" w:val="clear"/>
      </w:rPr>
      <w:pPr>
        <w:ind w:left="720"/>
      </w:pPr>
      <w:lvlJc w:val="left"/>
    </w:lvl>
    <w:lvl w:ilvl="1" w:tplc="B5CA9BEA">
      <w:numFmt w:val="bullet"/>
      <w:lvlText w:val="o"/>
      <w:start w:val="1"/>
      <w:rPr>
        <w:bdr w:val="none" w:sz="0" w:space="0" w:color="auto"/>
        <w:b w:val="0"/>
        <w:i w:val="0"/>
        <w:u w:val="none" w:color="000000"/>
        <w:strike w:val="0"/>
        <w:dstrike w:val="0"/>
        <w:color w:val="000000"/>
        <w:rFonts w:ascii="Calibri" w:cs="Calibri" w:eastAsia="Calibri" w:hAnsi="Calibri"/>
        <w:sz w:val="24"/>
        <w:szCs w:val="24"/>
        <w:shd w:fill="auto" w:color="auto" w:val="clear"/>
      </w:rPr>
      <w:pPr>
        <w:ind w:left="1440"/>
      </w:pPr>
      <w:lvlJc w:val="left"/>
    </w:lvl>
    <w:lvl w:ilvl="2" w:tplc="E68C3D32">
      <w:numFmt w:val="bullet"/>
      <w:lvlText w:val="▪"/>
      <w:start w:val="1"/>
      <w:rPr>
        <w:bdr w:val="none" w:sz="0" w:space="0" w:color="auto"/>
        <w:b w:val="0"/>
        <w:i w:val="0"/>
        <w:u w:val="none" w:color="000000"/>
        <w:strike w:val="0"/>
        <w:dstrike w:val="0"/>
        <w:color w:val="000000"/>
        <w:rFonts w:ascii="Calibri" w:cs="Calibri" w:eastAsia="Calibri" w:hAnsi="Calibri"/>
        <w:sz w:val="24"/>
        <w:szCs w:val="24"/>
        <w:shd w:fill="auto" w:color="auto" w:val="clear"/>
      </w:rPr>
      <w:pPr>
        <w:ind w:left="2160"/>
      </w:pPr>
      <w:lvlJc w:val="left"/>
    </w:lvl>
    <w:lvl w:ilvl="3" w:tplc="24402EC6">
      <w:numFmt w:val="bullet"/>
      <w:lvlText w:val="•"/>
      <w:start w:val="1"/>
      <w:rPr>
        <w:bdr w:val="none" w:sz="0" w:space="0" w:color="auto"/>
        <w:b w:val="0"/>
        <w:i w:val="0"/>
        <w:u w:val="none" w:color="000000"/>
        <w:strike w:val="0"/>
        <w:dstrike w:val="0"/>
        <w:color w:val="000000"/>
        <w:rFonts w:ascii="Calibri" w:cs="Calibri" w:eastAsia="Calibri" w:hAnsi="Calibri"/>
        <w:sz w:val="24"/>
        <w:szCs w:val="24"/>
        <w:shd w:fill="auto" w:color="auto" w:val="clear"/>
      </w:rPr>
      <w:pPr>
        <w:ind w:left="2880"/>
      </w:pPr>
      <w:lvlJc w:val="left"/>
    </w:lvl>
    <w:lvl w:ilvl="4" w:tplc="E3084E40">
      <w:numFmt w:val="bullet"/>
      <w:lvlText w:val="o"/>
      <w:start w:val="1"/>
      <w:rPr>
        <w:bdr w:val="none" w:sz="0" w:space="0" w:color="auto"/>
        <w:b w:val="0"/>
        <w:i w:val="0"/>
        <w:u w:val="none" w:color="000000"/>
        <w:strike w:val="0"/>
        <w:dstrike w:val="0"/>
        <w:color w:val="000000"/>
        <w:rFonts w:ascii="Calibri" w:cs="Calibri" w:eastAsia="Calibri" w:hAnsi="Calibri"/>
        <w:sz w:val="24"/>
        <w:szCs w:val="24"/>
        <w:shd w:fill="auto" w:color="auto" w:val="clear"/>
      </w:rPr>
      <w:pPr>
        <w:ind w:left="3600"/>
      </w:pPr>
      <w:lvlJc w:val="left"/>
    </w:lvl>
    <w:lvl w:ilvl="5" w:tplc="62DCF164">
      <w:numFmt w:val="bullet"/>
      <w:lvlText w:val="▪"/>
      <w:start w:val="1"/>
      <w:rPr>
        <w:bdr w:val="none" w:sz="0" w:space="0" w:color="auto"/>
        <w:b w:val="0"/>
        <w:i w:val="0"/>
        <w:u w:val="none" w:color="000000"/>
        <w:strike w:val="0"/>
        <w:dstrike w:val="0"/>
        <w:color w:val="000000"/>
        <w:rFonts w:ascii="Calibri" w:cs="Calibri" w:eastAsia="Calibri" w:hAnsi="Calibri"/>
        <w:sz w:val="24"/>
        <w:szCs w:val="24"/>
        <w:shd w:fill="auto" w:color="auto" w:val="clear"/>
      </w:rPr>
      <w:pPr>
        <w:ind w:left="4320"/>
      </w:pPr>
      <w:lvlJc w:val="left"/>
    </w:lvl>
    <w:lvl w:ilvl="6" w:tplc="113C7442">
      <w:numFmt w:val="bullet"/>
      <w:lvlText w:val="•"/>
      <w:start w:val="1"/>
      <w:rPr>
        <w:bdr w:val="none" w:sz="0" w:space="0" w:color="auto"/>
        <w:b w:val="0"/>
        <w:i w:val="0"/>
        <w:u w:val="none" w:color="000000"/>
        <w:strike w:val="0"/>
        <w:dstrike w:val="0"/>
        <w:color w:val="000000"/>
        <w:rFonts w:ascii="Calibri" w:cs="Calibri" w:eastAsia="Calibri" w:hAnsi="Calibri"/>
        <w:sz w:val="24"/>
        <w:szCs w:val="24"/>
        <w:shd w:fill="auto" w:color="auto" w:val="clear"/>
      </w:rPr>
      <w:pPr>
        <w:ind w:left="5040"/>
      </w:pPr>
      <w:lvlJc w:val="left"/>
    </w:lvl>
    <w:lvl w:ilvl="7" w:tplc="8D24261A">
      <w:numFmt w:val="bullet"/>
      <w:lvlText w:val="o"/>
      <w:start w:val="1"/>
      <w:rPr>
        <w:bdr w:val="none" w:sz="0" w:space="0" w:color="auto"/>
        <w:b w:val="0"/>
        <w:i w:val="0"/>
        <w:u w:val="none" w:color="000000"/>
        <w:strike w:val="0"/>
        <w:dstrike w:val="0"/>
        <w:color w:val="000000"/>
        <w:rFonts w:ascii="Calibri" w:cs="Calibri" w:eastAsia="Calibri" w:hAnsi="Calibri"/>
        <w:sz w:val="24"/>
        <w:szCs w:val="24"/>
        <w:shd w:fill="auto" w:color="auto" w:val="clear"/>
      </w:rPr>
      <w:pPr>
        <w:ind w:left="5760"/>
      </w:pPr>
      <w:lvlJc w:val="left"/>
    </w:lvl>
    <w:lvl w:ilvl="8" w:tplc="1574798C">
      <w:numFmt w:val="bullet"/>
      <w:lvlText w:val="▪"/>
      <w:start w:val="1"/>
      <w:rPr>
        <w:bdr w:val="none" w:sz="0" w:space="0" w:color="auto"/>
        <w:b w:val="0"/>
        <w:i w:val="0"/>
        <w:u w:val="none" w:color="000000"/>
        <w:strike w:val="0"/>
        <w:dstrike w:val="0"/>
        <w:color w:val="000000"/>
        <w:rFonts w:ascii="Calibri" w:cs="Calibri" w:eastAsia="Calibri" w:hAnsi="Calibri"/>
        <w:sz w:val="24"/>
        <w:szCs w:val="24"/>
        <w:shd w:fill="auto" w:color="auto" w:val="clear"/>
      </w:rPr>
      <w:pPr>
        <w:ind w:left="6480"/>
      </w:pPr>
      <w:lvlJc w:val="left"/>
    </w:lvl>
  </w:abstractNum>
  <w:abstractNum w:abstractNumId="2">
    <w:multiLevelType w:val="hybridMultilevel"/>
    <w:nsid w:val="658E504D"/>
    <w:tmpl w:val="E5047B9E"/>
    <w:lvl w:ilvl="0" w:tplc="D01C72EE">
      <w:numFmt w:val="bullet"/>
      <w:lvlText w:val="•"/>
      <w:start w:val="1"/>
      <w:rPr>
        <w:bdr w:val="none" w:sz="0" w:space="0" w:color="auto"/>
        <w:b w:val="0"/>
        <w:i w:val="0"/>
        <w:u w:val="none" w:color="000000"/>
        <w:strike w:val="0"/>
        <w:dstrike w:val="0"/>
        <w:color w:val="000000"/>
        <w:rFonts w:ascii="Arial" w:cs="Arial" w:eastAsia="Arial" w:hAnsi="Arial"/>
        <w:sz w:val="24"/>
        <w:szCs w:val="24"/>
        <w:shd w:fill="auto" w:color="auto" w:val="clear"/>
      </w:rPr>
      <w:pPr>
        <w:ind w:left="720"/>
      </w:pPr>
      <w:lvlJc w:val="left"/>
    </w:lvl>
    <w:lvl w:ilvl="1" w:tplc="B64E72B8">
      <w:numFmt w:val="bullet"/>
      <w:lvlText w:val="o"/>
      <w:start w:val="1"/>
      <w:rPr>
        <w:bdr w:val="none" w:sz="0" w:space="0" w:color="auto"/>
        <w:b w:val="0"/>
        <w:i w:val="0"/>
        <w:u w:val="none" w:color="000000"/>
        <w:strike w:val="0"/>
        <w:dstrike w:val="0"/>
        <w:color w:val="000000"/>
        <w:rFonts w:ascii="Calibri" w:cs="Calibri" w:eastAsia="Calibri" w:hAnsi="Calibri"/>
        <w:sz w:val="24"/>
        <w:szCs w:val="24"/>
        <w:shd w:fill="auto" w:color="auto" w:val="clear"/>
      </w:rPr>
      <w:pPr>
        <w:ind w:left="1440"/>
      </w:pPr>
      <w:lvlJc w:val="left"/>
    </w:lvl>
    <w:lvl w:ilvl="2" w:tplc="A0B00BE6">
      <w:numFmt w:val="bullet"/>
      <w:lvlText w:val="▪"/>
      <w:start w:val="1"/>
      <w:rPr>
        <w:bdr w:val="none" w:sz="0" w:space="0" w:color="auto"/>
        <w:b w:val="0"/>
        <w:i w:val="0"/>
        <w:u w:val="none" w:color="000000"/>
        <w:strike w:val="0"/>
        <w:dstrike w:val="0"/>
        <w:color w:val="000000"/>
        <w:rFonts w:ascii="Calibri" w:cs="Calibri" w:eastAsia="Calibri" w:hAnsi="Calibri"/>
        <w:sz w:val="24"/>
        <w:szCs w:val="24"/>
        <w:shd w:fill="auto" w:color="auto" w:val="clear"/>
      </w:rPr>
      <w:pPr>
        <w:ind w:left="2160"/>
      </w:pPr>
      <w:lvlJc w:val="left"/>
    </w:lvl>
    <w:lvl w:ilvl="3" w:tplc="EFCAB160">
      <w:numFmt w:val="bullet"/>
      <w:lvlText w:val="•"/>
      <w:start w:val="1"/>
      <w:rPr>
        <w:bdr w:val="none" w:sz="0" w:space="0" w:color="auto"/>
        <w:b w:val="0"/>
        <w:i w:val="0"/>
        <w:u w:val="none" w:color="000000"/>
        <w:strike w:val="0"/>
        <w:dstrike w:val="0"/>
        <w:color w:val="000000"/>
        <w:rFonts w:ascii="Calibri" w:cs="Calibri" w:eastAsia="Calibri" w:hAnsi="Calibri"/>
        <w:sz w:val="24"/>
        <w:szCs w:val="24"/>
        <w:shd w:fill="auto" w:color="auto" w:val="clear"/>
      </w:rPr>
      <w:pPr>
        <w:ind w:left="2880"/>
      </w:pPr>
      <w:lvlJc w:val="left"/>
    </w:lvl>
    <w:lvl w:ilvl="4" w:tplc="2BD29B86">
      <w:numFmt w:val="bullet"/>
      <w:lvlText w:val="o"/>
      <w:start w:val="1"/>
      <w:rPr>
        <w:bdr w:val="none" w:sz="0" w:space="0" w:color="auto"/>
        <w:b w:val="0"/>
        <w:i w:val="0"/>
        <w:u w:val="none" w:color="000000"/>
        <w:strike w:val="0"/>
        <w:dstrike w:val="0"/>
        <w:color w:val="000000"/>
        <w:rFonts w:ascii="Calibri" w:cs="Calibri" w:eastAsia="Calibri" w:hAnsi="Calibri"/>
        <w:sz w:val="24"/>
        <w:szCs w:val="24"/>
        <w:shd w:fill="auto" w:color="auto" w:val="clear"/>
      </w:rPr>
      <w:pPr>
        <w:ind w:left="3600"/>
      </w:pPr>
      <w:lvlJc w:val="left"/>
    </w:lvl>
    <w:lvl w:ilvl="5" w:tplc="E3329736">
      <w:numFmt w:val="bullet"/>
      <w:lvlText w:val="▪"/>
      <w:start w:val="1"/>
      <w:rPr>
        <w:bdr w:val="none" w:sz="0" w:space="0" w:color="auto"/>
        <w:b w:val="0"/>
        <w:i w:val="0"/>
        <w:u w:val="none" w:color="000000"/>
        <w:strike w:val="0"/>
        <w:dstrike w:val="0"/>
        <w:color w:val="000000"/>
        <w:rFonts w:ascii="Calibri" w:cs="Calibri" w:eastAsia="Calibri" w:hAnsi="Calibri"/>
        <w:sz w:val="24"/>
        <w:szCs w:val="24"/>
        <w:shd w:fill="auto" w:color="auto" w:val="clear"/>
      </w:rPr>
      <w:pPr>
        <w:ind w:left="4320"/>
      </w:pPr>
      <w:lvlJc w:val="left"/>
    </w:lvl>
    <w:lvl w:ilvl="6" w:tplc="891C8C90">
      <w:numFmt w:val="bullet"/>
      <w:lvlText w:val="•"/>
      <w:start w:val="1"/>
      <w:rPr>
        <w:bdr w:val="none" w:sz="0" w:space="0" w:color="auto"/>
        <w:b w:val="0"/>
        <w:i w:val="0"/>
        <w:u w:val="none" w:color="000000"/>
        <w:strike w:val="0"/>
        <w:dstrike w:val="0"/>
        <w:color w:val="000000"/>
        <w:rFonts w:ascii="Calibri" w:cs="Calibri" w:eastAsia="Calibri" w:hAnsi="Calibri"/>
        <w:sz w:val="24"/>
        <w:szCs w:val="24"/>
        <w:shd w:fill="auto" w:color="auto" w:val="clear"/>
      </w:rPr>
      <w:pPr>
        <w:ind w:left="5040"/>
      </w:pPr>
      <w:lvlJc w:val="left"/>
    </w:lvl>
    <w:lvl w:ilvl="7" w:tplc="FDCAC8C6">
      <w:numFmt w:val="bullet"/>
      <w:lvlText w:val="o"/>
      <w:start w:val="1"/>
      <w:rPr>
        <w:bdr w:val="none" w:sz="0" w:space="0" w:color="auto"/>
        <w:b w:val="0"/>
        <w:i w:val="0"/>
        <w:u w:val="none" w:color="000000"/>
        <w:strike w:val="0"/>
        <w:dstrike w:val="0"/>
        <w:color w:val="000000"/>
        <w:rFonts w:ascii="Calibri" w:cs="Calibri" w:eastAsia="Calibri" w:hAnsi="Calibri"/>
        <w:sz w:val="24"/>
        <w:szCs w:val="24"/>
        <w:shd w:fill="auto" w:color="auto" w:val="clear"/>
      </w:rPr>
      <w:pPr>
        <w:ind w:left="5760"/>
      </w:pPr>
      <w:lvlJc w:val="left"/>
    </w:lvl>
    <w:lvl w:ilvl="8" w:tplc="02DE67F8">
      <w:numFmt w:val="bullet"/>
      <w:lvlText w:val="▪"/>
      <w:start w:val="1"/>
      <w:rPr>
        <w:bdr w:val="none" w:sz="0" w:space="0" w:color="auto"/>
        <w:b w:val="0"/>
        <w:i w:val="0"/>
        <w:u w:val="none" w:color="000000"/>
        <w:strike w:val="0"/>
        <w:dstrike w:val="0"/>
        <w:color w:val="000000"/>
        <w:rFonts w:ascii="Calibri" w:cs="Calibri" w:eastAsia="Calibri" w:hAnsi="Calibri"/>
        <w:sz w:val="24"/>
        <w:szCs w:val="24"/>
        <w:shd w:fill="auto" w:color="auto" w:val="clear"/>
      </w:rPr>
      <w:pPr>
        <w:ind w:left="648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2"/>
  </w:num>
  <w:num w:numId="2">
    <w:abstractNumId w:val="0"/>
  </w:num>
  <w:num w:numId="3">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B8639"/>
  <w15:docId w15:val="{0A3839BD-49AC-4FA5-B7C1-72FC6894F315}"/>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docDefaults>
    <w:rPrDefault>
      <w:rPr>
        <w:lang w:val="en-US" w:eastAsia="en-US" w:bidi="ar-SA"/>
        <w:rFonts w:ascii="Calibri" w:eastAsiaTheme="minorEastAsia" w:hAnsiTheme="minorHAnsi" w:cstheme="minorBidi"/>
        <w:sz w:val="22"/>
        <w:szCs w:val="22"/>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678D6"/>
    <w:pPr>
      <w:jc w:val="both"/>
      <w:ind w:left="10"/>
      <w:ind w:right="8"/>
      <w:ind w:hanging="10"/>
      <w:spacing w:after="255" w:line="360" w:lineRule="auto"/>
    </w:pPr>
    <w:rPr>
      <w:color w:val="000000"/>
      <w:rFonts w:ascii="Arial" w:cs="Calibri" w:eastAsia="Calibri" w:hAnsi="Arial"/>
    </w:rPr>
  </w:style>
  <w:style w:type="paragraph" w:styleId="Heading1">
    <w:name w:val="Heading 1"/>
    <w:qFormat/>
    <w:next w:val="Normal"/>
    <w:link w:val="Heading1Char"/>
    <w:uiPriority w:val="9"/>
    <w:rsid w:val="003678D6"/>
    <w:pPr>
      <w:keepNext/>
      <w:keepLines/>
      <w:outlineLvl w:val="0"/>
      <w:jc w:val="both"/>
      <w:ind w:left="10"/>
      <w:ind w:hanging="10"/>
      <w:spacing w:after="54" w:line="360" w:lineRule="auto"/>
    </w:pPr>
    <w:rPr>
      <w:b/>
      <w:color w:val="44546A"/>
      <w:rFonts w:ascii="Arial" w:cs="Calibri" w:eastAsia="Calibri" w:hAnsi="Arial"/>
      <w:sz w:val="30"/>
    </w:rPr>
  </w:style>
  <w:style w:type="paragraph" w:styleId="Heading2">
    <w:name w:val="Heading 2"/>
    <w:qFormat/>
    <w:next w:val="Normal"/>
    <w:link w:val="Heading2Char"/>
    <w:uiPriority w:val="9"/>
    <w:unhideWhenUsed/>
    <w:rsid w:val="003678D6"/>
    <w:pPr>
      <w:keepNext/>
      <w:keepLines/>
      <w:outlineLvl w:val="1"/>
      <w:jc w:val="both"/>
      <w:ind w:left="10"/>
      <w:ind w:hanging="10"/>
      <w:spacing w:after="77" w:line="360" w:lineRule="auto"/>
    </w:pPr>
    <w:rPr>
      <w:b/>
      <w:color w:val="2F5496"/>
      <w:rFonts w:ascii="Arial" w:cs="Calibri" w:eastAsia="Calibri" w:hAnsi="Arial"/>
      <w:sz w:val="26"/>
    </w:rPr>
  </w:style>
  <w:style w:type="paragraph" w:styleId="Heading3">
    <w:name w:val="Heading 3"/>
    <w:qFormat/>
    <w:next w:val="Normal"/>
    <w:link w:val="Heading3Char"/>
    <w:uiPriority w:val="9"/>
    <w:unhideWhenUsed/>
    <w:pPr>
      <w:keepNext/>
      <w:keepLines/>
      <w:outlineLvl w:val="2"/>
      <w:ind w:left="10"/>
      <w:ind w:hanging="10"/>
      <w:spacing w:after="258"/>
    </w:pPr>
    <w:rPr>
      <w:b/>
      <w:color w:val="000000"/>
      <w:rFonts w:ascii="Calibri" w:cs="Calibri" w:eastAsia="Calibri" w:hAnsi="Calibri"/>
      <w:sz w:val="24"/>
    </w:rPr>
  </w:style>
  <w:style w:type="paragraph" w:styleId="Heading4">
    <w:name w:val="Heading 4"/>
    <w:qFormat/>
    <w:next w:val="Normal"/>
    <w:link w:val="Heading4Char"/>
    <w:uiPriority w:val="9"/>
    <w:unhideWhenUsed/>
    <w:pPr>
      <w:keepNext/>
      <w:keepLines/>
      <w:outlineLvl w:val="3"/>
      <w:ind w:left="10"/>
      <w:ind w:hanging="10"/>
      <w:spacing w:after="258"/>
    </w:pPr>
    <w:rPr>
      <w:b/>
      <w:color w:val="000000"/>
      <w:rFonts w:ascii="Calibri" w:cs="Calibri" w:eastAsia="Calibri" w:hAnsi="Calibri"/>
      <w:sz w:val="24"/>
    </w:rPr>
  </w:style>
  <w:style w:type="character" w:default="1" w:styleId="DefaultParagraphFont">
    <w:name w:val="Default Paragraph Font"/>
    <w:uiPriority w:val="1"/>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2Char">
    <w:name w:val="Heading 2 Char"/>
    <w:link w:val="Heading2"/>
    <w:uiPriority w:val="9"/>
    <w:rsid w:val="003678D6"/>
    <w:rPr>
      <w:b/>
      <w:color w:val="2F5496"/>
      <w:rFonts w:ascii="Arial" w:cs="Calibri" w:eastAsia="Calibri" w:hAnsi="Arial"/>
      <w:sz w:val="26"/>
    </w:rPr>
  </w:style>
  <w:style w:type="character" w:styleId="Heading3Char">
    <w:name w:val="Heading 3 Char"/>
    <w:link w:val="Heading3"/>
    <w:rPr>
      <w:b/>
      <w:color w:val="000000"/>
      <w:rFonts w:ascii="Calibri" w:cs="Calibri" w:eastAsia="Calibri" w:hAnsi="Calibri"/>
      <w:sz w:val="24"/>
    </w:rPr>
  </w:style>
  <w:style w:type="character" w:styleId="Heading4Char">
    <w:name w:val="Heading 4 Char"/>
    <w:link w:val="Heading4"/>
    <w:rPr>
      <w:b/>
      <w:color w:val="000000"/>
      <w:rFonts w:ascii="Calibri" w:cs="Calibri" w:eastAsia="Calibri" w:hAnsi="Calibri"/>
      <w:sz w:val="24"/>
    </w:rPr>
  </w:style>
  <w:style w:type="character" w:styleId="Heading1Char">
    <w:name w:val="Heading 1 Char"/>
    <w:link w:val="Heading1"/>
    <w:uiPriority w:val="9"/>
    <w:rsid w:val="003678D6"/>
    <w:rPr>
      <w:b/>
      <w:color w:val="44546A"/>
      <w:rFonts w:ascii="Arial" w:cs="Calibri" w:eastAsia="Calibri" w:hAnsi="Arial"/>
      <w:sz w:val="30"/>
    </w:rPr>
  </w:style>
  <w:style w:type="paragraph" w:styleId="TOC1">
    <w:name w:val="toc 1"/>
    <w:hidden/>
    <w:uiPriority w:val="39"/>
    <w:pPr>
      <w:jc w:val="both"/>
      <w:ind w:left="25"/>
      <w:ind w:right="23"/>
      <w:ind w:hanging="10"/>
      <w:spacing w:after="198"/>
    </w:pPr>
    <w:rPr>
      <w:color w:val="000000"/>
      <w:rFonts w:ascii="Calibri" w:cs="Calibri" w:eastAsia="Calibri" w:hAnsi="Calibri"/>
      <w:sz w:val="24"/>
    </w:rPr>
  </w:style>
  <w:style w:type="paragraph" w:styleId="TOC2">
    <w:name w:val="toc 2"/>
    <w:hidden/>
    <w:pPr>
      <w:jc w:val="center"/>
      <w:ind w:left="15"/>
      <w:ind w:right="20"/>
      <w:spacing w:after="0" w:line="421" w:lineRule="auto"/>
    </w:pPr>
    <w:rPr>
      <w:color w:val="000000"/>
      <w:rFonts w:ascii="Calibri" w:cs="Calibri" w:eastAsia="Calibri" w:hAnsi="Calibri"/>
      <w:sz w:val="24"/>
    </w:rPr>
  </w:style>
  <w:style w:type="character" w:styleId="Hyperlink">
    <w:name w:val="Hyperlink"/>
    <w:basedOn w:val="DefaultParagraphFont"/>
    <w:uiPriority w:val="99"/>
    <w:unhideWhenUsed/>
    <w:rsid w:val="000A6882"/>
    <w:rPr>
      <w:u w:val="single"/>
      <w:color w:val="0563C1"/>
    </w:rPr>
  </w:style>
  <w:style w:type="paragraph" w:styleId="TOCHeading">
    <w:name w:val="TOC Heading"/>
    <w:qFormat/>
    <w:basedOn w:val="Heading1"/>
    <w:next w:val="Normal"/>
    <w:uiPriority w:val="39"/>
    <w:unhideWhenUsed/>
    <w:rsid w:val="000A6882"/>
    <w:pPr>
      <w:outlineLvl w:val="9"/>
      <w:jc w:val="left"/>
      <w:ind w:left="0"/>
      <w:ind w:firstLine="0"/>
      <w:spacing w:before="240" w:after="0" w:line="259" w:lineRule="auto"/>
    </w:pPr>
    <w:rPr>
      <w:b w:val="0"/>
      <w:color w:val="2F5496"/>
      <w:rFonts w:ascii="Calibri Light" w:eastAsiaTheme="majorEastAsia" w:hAnsiTheme="majorHAnsi" w:cstheme="majorBidi"/>
      <w:sz w:val="32"/>
      <w:szCs w:val="32"/>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168857">
      <w:bodyDiv w:val="1"/>
      <w:marLeft w:val="0"/>
      <w:marRight w:val="0"/>
      <w:marTop w:val="0"/>
      <w:marBottom w:val="0"/>
      <w:divBdr>
        <w:top w:val="none" w:sz="0" w:space="0" w:color="auto"/>
        <w:left w:val="none" w:sz="0" w:space="0" w:color="auto"/>
        <w:bottom w:val="none" w:sz="0" w:space="0" w:color="auto"/>
        <w:right w:val="none" w:sz="0" w:space="0" w:color="auto"/>
      </w:divBdr>
      <w:divsChild>
        <w:div w:id="1989940222">
          <w:marLeft w:val="0"/>
          <w:marRight w:val="0"/>
          <w:marTop w:val="0"/>
          <w:marBottom w:val="0"/>
          <w:divBdr>
            <w:top w:val="none" w:sz="0" w:space="0" w:color="auto"/>
            <w:left w:val="none" w:sz="0" w:space="0" w:color="auto"/>
            <w:bottom w:val="none" w:sz="0" w:space="0" w:color="auto"/>
            <w:right w:val="none" w:sz="0" w:space="0" w:color="auto"/>
          </w:divBdr>
        </w:div>
      </w:divsChild>
    </w:div>
    <w:div w:id="147981235">
      <w:bodyDiv w:val="1"/>
      <w:marLeft w:val="0"/>
      <w:marRight w:val="0"/>
      <w:marTop w:val="0"/>
      <w:marBottom w:val="0"/>
      <w:divBdr>
        <w:top w:val="none" w:sz="0" w:space="0" w:color="auto"/>
        <w:left w:val="none" w:sz="0" w:space="0" w:color="auto"/>
        <w:bottom w:val="none" w:sz="0" w:space="0" w:color="auto"/>
        <w:right w:val="none" w:sz="0" w:space="0" w:color="auto"/>
      </w:divBdr>
      <w:divsChild>
        <w:div w:id="1372992135">
          <w:marLeft w:val="0"/>
          <w:marRight w:val="0"/>
          <w:marTop w:val="0"/>
          <w:marBottom w:val="0"/>
          <w:divBdr>
            <w:top w:val="none" w:sz="0" w:space="0" w:color="auto"/>
            <w:left w:val="none" w:sz="0" w:space="0" w:color="auto"/>
            <w:bottom w:val="none" w:sz="0" w:space="0" w:color="auto"/>
            <w:right w:val="none" w:sz="0" w:space="0" w:color="auto"/>
          </w:divBdr>
        </w:div>
      </w:divsChild>
    </w:div>
    <w:div w:id="522089606">
      <w:bodyDiv w:val="1"/>
      <w:marLeft w:val="0"/>
      <w:marRight w:val="0"/>
      <w:marTop w:val="0"/>
      <w:marBottom w:val="0"/>
      <w:divBdr>
        <w:top w:val="none" w:sz="0" w:space="0" w:color="auto"/>
        <w:left w:val="none" w:sz="0" w:space="0" w:color="auto"/>
        <w:bottom w:val="none" w:sz="0" w:space="0" w:color="auto"/>
        <w:right w:val="none" w:sz="0" w:space="0" w:color="auto"/>
      </w:divBdr>
      <w:divsChild>
        <w:div w:id="600263593">
          <w:marLeft w:val="0"/>
          <w:marRight w:val="0"/>
          <w:marTop w:val="0"/>
          <w:marBottom w:val="0"/>
          <w:divBdr>
            <w:top w:val="none" w:sz="0" w:space="0" w:color="auto"/>
            <w:left w:val="none" w:sz="0" w:space="0" w:color="auto"/>
            <w:bottom w:val="none" w:sz="0" w:space="0" w:color="auto"/>
            <w:right w:val="none" w:sz="0" w:space="0" w:color="auto"/>
          </w:divBdr>
        </w:div>
      </w:divsChild>
    </w:div>
    <w:div w:id="936330447">
      <w:bodyDiv w:val="1"/>
      <w:marLeft w:val="0"/>
      <w:marRight w:val="0"/>
      <w:marTop w:val="0"/>
      <w:marBottom w:val="0"/>
      <w:divBdr>
        <w:top w:val="none" w:sz="0" w:space="0" w:color="auto"/>
        <w:left w:val="none" w:sz="0" w:space="0" w:color="auto"/>
        <w:bottom w:val="none" w:sz="0" w:space="0" w:color="auto"/>
        <w:right w:val="none" w:sz="0" w:space="0" w:color="auto"/>
      </w:divBdr>
      <w:divsChild>
        <w:div w:id="823352621">
          <w:marLeft w:val="0"/>
          <w:marRight w:val="0"/>
          <w:marTop w:val="0"/>
          <w:marBottom w:val="0"/>
          <w:divBdr>
            <w:top w:val="none" w:sz="0" w:space="0" w:color="auto"/>
            <w:left w:val="none" w:sz="0" w:space="0" w:color="auto"/>
            <w:bottom w:val="none" w:sz="0" w:space="0" w:color="auto"/>
            <w:right w:val="none" w:sz="0" w:space="0" w:color="auto"/>
          </w:divBdr>
        </w:div>
      </w:divsChild>
    </w:div>
    <w:div w:id="1537960976">
      <w:bodyDiv w:val="1"/>
      <w:marLeft w:val="0"/>
      <w:marRight w:val="0"/>
      <w:marTop w:val="0"/>
      <w:marBottom w:val="0"/>
      <w:divBdr>
        <w:top w:val="none" w:sz="0" w:space="0" w:color="auto"/>
        <w:left w:val="none" w:sz="0" w:space="0" w:color="auto"/>
        <w:bottom w:val="none" w:sz="0" w:space="0" w:color="auto"/>
        <w:right w:val="none" w:sz="0" w:space="0" w:color="auto"/>
      </w:divBdr>
      <w:divsChild>
        <w:div w:id="792019651">
          <w:marLeft w:val="0"/>
          <w:marRight w:val="0"/>
          <w:marTop w:val="0"/>
          <w:marBottom w:val="0"/>
          <w:divBdr>
            <w:top w:val="none" w:sz="0" w:space="0" w:color="auto"/>
            <w:left w:val="none" w:sz="0" w:space="0" w:color="auto"/>
            <w:bottom w:val="none" w:sz="0" w:space="0" w:color="auto"/>
            <w:right w:val="none" w:sz="0" w:space="0" w:color="auto"/>
          </w:divBdr>
        </w:div>
      </w:divsChild>
    </w:div>
    <w:div w:id="1547638431">
      <w:bodyDiv w:val="1"/>
      <w:marLeft w:val="0"/>
      <w:marRight w:val="0"/>
      <w:marTop w:val="0"/>
      <w:marBottom w:val="0"/>
      <w:divBdr>
        <w:top w:val="none" w:sz="0" w:space="0" w:color="auto"/>
        <w:left w:val="none" w:sz="0" w:space="0" w:color="auto"/>
        <w:bottom w:val="none" w:sz="0" w:space="0" w:color="auto"/>
        <w:right w:val="none" w:sz="0" w:space="0" w:color="auto"/>
      </w:divBdr>
      <w:divsChild>
        <w:div w:id="1389449547">
          <w:marLeft w:val="0"/>
          <w:marRight w:val="0"/>
          <w:marTop w:val="0"/>
          <w:marBottom w:val="0"/>
          <w:divBdr>
            <w:top w:val="none" w:sz="0" w:space="0" w:color="auto"/>
            <w:left w:val="none" w:sz="0" w:space="0" w:color="auto"/>
            <w:bottom w:val="none" w:sz="0" w:space="0" w:color="auto"/>
            <w:right w:val="none" w:sz="0" w:space="0" w:color="auto"/>
          </w:divBdr>
        </w:div>
      </w:divsChild>
    </w:div>
    <w:div w:id="1758793570">
      <w:bodyDiv w:val="1"/>
      <w:marLeft w:val="0"/>
      <w:marRight w:val="0"/>
      <w:marTop w:val="0"/>
      <w:marBottom w:val="0"/>
      <w:divBdr>
        <w:top w:val="none" w:sz="0" w:space="0" w:color="auto"/>
        <w:left w:val="none" w:sz="0" w:space="0" w:color="auto"/>
        <w:bottom w:val="none" w:sz="0" w:space="0" w:color="auto"/>
        <w:right w:val="none" w:sz="0" w:space="0" w:color="auto"/>
      </w:divBdr>
      <w:divsChild>
        <w:div w:id="2145780268">
          <w:marLeft w:val="0"/>
          <w:marRight w:val="0"/>
          <w:marTop w:val="0"/>
          <w:marBottom w:val="0"/>
          <w:divBdr>
            <w:top w:val="none" w:sz="0" w:space="0" w:color="auto"/>
            <w:left w:val="none" w:sz="0" w:space="0" w:color="auto"/>
            <w:bottom w:val="none" w:sz="0" w:space="0" w:color="auto"/>
            <w:right w:val="none" w:sz="0" w:space="0" w:color="auto"/>
          </w:divBdr>
        </w:div>
      </w:divsChild>
    </w:div>
    <w:div w:id="1853565537">
      <w:bodyDiv w:val="1"/>
      <w:marLeft w:val="0"/>
      <w:marRight w:val="0"/>
      <w:marTop w:val="0"/>
      <w:marBottom w:val="0"/>
      <w:divBdr>
        <w:top w:val="none" w:sz="0" w:space="0" w:color="auto"/>
        <w:left w:val="none" w:sz="0" w:space="0" w:color="auto"/>
        <w:bottom w:val="none" w:sz="0" w:space="0" w:color="auto"/>
        <w:right w:val="none" w:sz="0" w:space="0" w:color="auto"/>
      </w:divBdr>
      <w:divsChild>
        <w:div w:id="1107771479">
          <w:marLeft w:val="0"/>
          <w:marRight w:val="0"/>
          <w:marTop w:val="0"/>
          <w:marBottom w:val="0"/>
          <w:divBdr>
            <w:top w:val="none" w:sz="0" w:space="0" w:color="auto"/>
            <w:left w:val="none" w:sz="0" w:space="0" w:color="auto"/>
            <w:bottom w:val="none" w:sz="0" w:space="0" w:color="auto"/>
            <w:right w:val="none" w:sz="0" w:space="0" w:color="auto"/>
          </w:divBdr>
        </w:div>
      </w:divsChild>
    </w:div>
    <w:div w:id="1868564075">
      <w:bodyDiv w:val="1"/>
      <w:marLeft w:val="0"/>
      <w:marRight w:val="0"/>
      <w:marTop w:val="0"/>
      <w:marBottom w:val="0"/>
      <w:divBdr>
        <w:top w:val="none" w:sz="0" w:space="0" w:color="auto"/>
        <w:left w:val="none" w:sz="0" w:space="0" w:color="auto"/>
        <w:bottom w:val="none" w:sz="0" w:space="0" w:color="auto"/>
        <w:right w:val="none" w:sz="0" w:space="0" w:color="auto"/>
      </w:divBdr>
      <w:divsChild>
        <w:div w:id="62777883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 Id="rId16" Type="http://schemas.openxmlformats.org/officeDocument/2006/relationships/image" Target="media/image3.png"/><Relationship Id="rId17" Type="http://schemas.openxmlformats.org/officeDocument/2006/relationships/image" Target="media/image8.png"/><Relationship Id="rId18" Type="http://schemas.openxmlformats.org/officeDocument/2006/relationships/image" Target="media/image2.png"/><Relationship Id="rId19" Type="http://schemas.openxmlformats.org/officeDocument/2006/relationships/image" Target="media/image7.png"/><Relationship Id="rId20" Type="http://schemas.openxmlformats.org/officeDocument/2006/relationships/image" Target="media/image1.png"/><Relationship Id="rId21" Type="http://schemas.openxmlformats.org/officeDocument/2006/relationships/image" Target="media/image6.png"/><Relationship Id="rId22" Type="http://schemas.openxmlformats.org/officeDocument/2006/relationships/image" Target="media/image5.png"/><Relationship Id="rId23" Type="http://schemas.openxmlformats.org/officeDocument/2006/relationships/image" Target="media/image4.png"/><Relationship Id="rId24" Type="http://schemas.openxmlformats.org/officeDocument/2006/relationships/image" Target="media/image3.png"/><Relationship Id="rId25" Type="http://schemas.openxmlformats.org/officeDocument/2006/relationships/image" Target="media/image8.png"/><Relationship Id="rId26" Type="http://schemas.openxmlformats.org/officeDocument/2006/relationships/image" Target="media/image2.png"/><Relationship Id="rId27" Type="http://schemas.openxmlformats.org/officeDocument/2006/relationships/image" Target="media/image7.png"/><Relationship Id="rId28" Type="http://schemas.openxmlformats.org/officeDocument/2006/relationships/image" Target="media/image1.png"/><Relationship Id="rId29" Type="http://schemas.openxmlformats.org/officeDocument/2006/relationships/image" Target="media/image6.png"/><Relationship Id="rId30" Type="http://schemas.openxmlformats.org/officeDocument/2006/relationships/image" Target="media/image5.png"/><Relationship Id="rId3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226323-72AC-4C09-84AD-3FC765C9C3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14</Pages>
  <Words>2438</Words>
  <Characters>13901</Characters>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terms:created xsi:type="dcterms:W3CDTF">2022-04-25T09:00:00Z</dcterms:created>
  <dcterms:modified xsi:type="dcterms:W3CDTF">2022-04-25T09:39:00Z</dcterms:modified>
</cp:coreProperties>
</file>