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2E1FE0" w14:textId="346100F5" w:rsidR="00F645E4" w:rsidRPr="00F645E4" w:rsidRDefault="00F645E4" w:rsidP="00F645E4">
      <w:pPr>
        <w:spacing w:before="1800"/>
        <w:jc w:val="center"/>
        <w:rPr>
          <w:rFonts w:ascii="Arial" w:hAnsi="Arial" w:cs="Arial"/>
        </w:rPr>
      </w:pPr>
      <w:r>
        <w:rPr>
          <w:rFonts w:ascii="Arial" w:hAnsi="Arial" w:cs="Arial"/>
          <w:noProof/>
          <w14:ligatures w14:val="standardContextual"/>
        </w:rPr>
        <w:drawing>
          <wp:inline distT="0" distB="0" distL="0" distR="0" wp14:anchorId="086E793F" wp14:editId="51B12180">
            <wp:extent cx="1587083" cy="1756372"/>
            <wp:effectExtent l="0" t="0" r="635" b="0"/>
            <wp:docPr id="1098866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66644" name="Picture 1098866644"/>
                    <pic:cNvPicPr/>
                  </pic:nvPicPr>
                  <pic:blipFill>
                    <a:blip r:embed="rId7">
                      <a:extLst>
                        <a:ext uri="{28A0092B-C50C-407E-A947-70E740481C1C}">
                          <a14:useLocalDpi xmlns:a14="http://schemas.microsoft.com/office/drawing/2010/main" val="0"/>
                        </a:ext>
                      </a:extLst>
                    </a:blip>
                    <a:stretch>
                      <a:fillRect/>
                    </a:stretch>
                  </pic:blipFill>
                  <pic:spPr>
                    <a:xfrm>
                      <a:off x="0" y="0"/>
                      <a:ext cx="1619027" cy="1791723"/>
                    </a:xfrm>
                    <a:prstGeom prst="rect">
                      <a:avLst/>
                    </a:prstGeom>
                  </pic:spPr>
                </pic:pic>
              </a:graphicData>
            </a:graphic>
          </wp:inline>
        </w:drawing>
      </w:r>
    </w:p>
    <w:p w14:paraId="718B367E" w14:textId="77777777" w:rsidR="00F645E4" w:rsidRDefault="00F645E4" w:rsidP="00F645E4">
      <w:pPr>
        <w:spacing w:after="120"/>
        <w:jc w:val="center"/>
        <w:rPr>
          <w:rFonts w:ascii="Arial" w:eastAsia="Calibri" w:hAnsi="Arial" w:cs="Arial"/>
          <w:sz w:val="24"/>
          <w:szCs w:val="24"/>
        </w:rPr>
      </w:pPr>
    </w:p>
    <w:p w14:paraId="2958B83D" w14:textId="77777777" w:rsidR="00F645E4" w:rsidRDefault="00F645E4" w:rsidP="00F645E4">
      <w:pPr>
        <w:spacing w:after="120"/>
        <w:jc w:val="center"/>
        <w:rPr>
          <w:rFonts w:ascii="Arial" w:eastAsia="Calibri" w:hAnsi="Arial" w:cs="Arial"/>
          <w:b/>
          <w:bCs/>
          <w:sz w:val="40"/>
          <w:szCs w:val="40"/>
        </w:rPr>
      </w:pPr>
    </w:p>
    <w:p w14:paraId="029A4F5A" w14:textId="12E9AB2E" w:rsidR="00F645E4" w:rsidRPr="00F645E4" w:rsidRDefault="00F645E4" w:rsidP="00F645E4">
      <w:pPr>
        <w:spacing w:after="120"/>
        <w:jc w:val="center"/>
        <w:rPr>
          <w:rFonts w:ascii="Arial" w:hAnsi="Arial" w:cs="Arial"/>
          <w:b/>
          <w:bCs/>
          <w:sz w:val="40"/>
          <w:szCs w:val="40"/>
        </w:rPr>
      </w:pPr>
      <w:bookmarkStart w:id="0" w:name="OLE_LINK1"/>
      <w:r w:rsidRPr="00F645E4">
        <w:rPr>
          <w:rFonts w:ascii="Arial" w:eastAsia="Calibri" w:hAnsi="Arial" w:cs="Arial"/>
          <w:b/>
          <w:bCs/>
          <w:sz w:val="40"/>
          <w:szCs w:val="40"/>
        </w:rPr>
        <w:t>BA Developing Leadership and Management</w:t>
      </w:r>
    </w:p>
    <w:p w14:paraId="74E2EC76" w14:textId="77777777" w:rsidR="00F645E4" w:rsidRPr="00F645E4" w:rsidRDefault="00F645E4" w:rsidP="00F645E4">
      <w:pPr>
        <w:spacing w:after="120"/>
        <w:jc w:val="center"/>
        <w:rPr>
          <w:rFonts w:ascii="Arial" w:hAnsi="Arial" w:cs="Arial"/>
          <w:b/>
          <w:bCs/>
          <w:sz w:val="40"/>
          <w:szCs w:val="40"/>
        </w:rPr>
      </w:pPr>
      <w:r w:rsidRPr="00F645E4">
        <w:rPr>
          <w:rFonts w:ascii="Arial" w:eastAsia="Calibri" w:hAnsi="Arial" w:cs="Arial"/>
          <w:b/>
          <w:bCs/>
          <w:sz w:val="40"/>
          <w:szCs w:val="40"/>
        </w:rPr>
        <w:t>Module: Managing Projects in the Organisation (BMSW5009)</w:t>
      </w:r>
    </w:p>
    <w:p w14:paraId="4096509F" w14:textId="77777777" w:rsidR="00F645E4" w:rsidRPr="00F645E4" w:rsidRDefault="00F645E4" w:rsidP="00F645E4">
      <w:pPr>
        <w:spacing w:after="120"/>
        <w:jc w:val="center"/>
        <w:rPr>
          <w:rFonts w:ascii="Arial" w:hAnsi="Arial" w:cs="Arial"/>
          <w:b/>
          <w:bCs/>
          <w:sz w:val="40"/>
          <w:szCs w:val="40"/>
        </w:rPr>
      </w:pPr>
      <w:r w:rsidRPr="00F645E4">
        <w:rPr>
          <w:rFonts w:ascii="Arial" w:eastAsia="Calibri" w:hAnsi="Arial" w:cs="Arial"/>
          <w:b/>
          <w:bCs/>
          <w:sz w:val="40"/>
          <w:szCs w:val="40"/>
        </w:rPr>
        <w:t>Lecturer: Lan Zhang</w:t>
      </w:r>
    </w:p>
    <w:p w14:paraId="49C07D07" w14:textId="0A4FD008" w:rsidR="00F645E4" w:rsidRPr="00F645E4" w:rsidRDefault="00F645E4" w:rsidP="00F645E4">
      <w:pPr>
        <w:spacing w:after="600"/>
        <w:jc w:val="center"/>
        <w:rPr>
          <w:rFonts w:ascii="Arial" w:eastAsia="Calibri" w:hAnsi="Arial" w:cs="Arial"/>
          <w:b/>
          <w:bCs/>
          <w:sz w:val="40"/>
          <w:szCs w:val="40"/>
        </w:rPr>
      </w:pPr>
      <w:r w:rsidRPr="00F645E4">
        <w:rPr>
          <w:rFonts w:ascii="Arial" w:eastAsia="Calibri" w:hAnsi="Arial" w:cs="Arial"/>
          <w:b/>
          <w:bCs/>
          <w:sz w:val="40"/>
          <w:szCs w:val="40"/>
        </w:rPr>
        <w:t xml:space="preserve">Student: Alexandru </w:t>
      </w:r>
      <w:proofErr w:type="spellStart"/>
      <w:r w:rsidRPr="00F645E4">
        <w:rPr>
          <w:rFonts w:ascii="Arial" w:eastAsia="Calibri" w:hAnsi="Arial" w:cs="Arial"/>
          <w:b/>
          <w:bCs/>
          <w:sz w:val="40"/>
          <w:szCs w:val="40"/>
        </w:rPr>
        <w:t>Țuțuiu</w:t>
      </w:r>
      <w:proofErr w:type="spellEnd"/>
      <w:r w:rsidRPr="00F645E4">
        <w:rPr>
          <w:rFonts w:ascii="Arial" w:eastAsia="Calibri" w:hAnsi="Arial" w:cs="Arial"/>
          <w:b/>
          <w:bCs/>
          <w:sz w:val="40"/>
          <w:szCs w:val="40"/>
        </w:rPr>
        <w:t xml:space="preserve"> (2313069)</w:t>
      </w:r>
    </w:p>
    <w:bookmarkEnd w:id="0"/>
    <w:p w14:paraId="6BAFB891" w14:textId="77777777" w:rsidR="00F645E4" w:rsidRDefault="00F645E4" w:rsidP="00F645E4">
      <w:pPr>
        <w:spacing w:after="300"/>
        <w:jc w:val="center"/>
        <w:rPr>
          <w:rFonts w:ascii="Arial" w:eastAsia="Calibri" w:hAnsi="Arial" w:cs="Arial"/>
          <w:b/>
          <w:bCs/>
          <w:color w:val="1F3864"/>
          <w:sz w:val="44"/>
          <w:szCs w:val="44"/>
        </w:rPr>
      </w:pPr>
    </w:p>
    <w:p w14:paraId="547985C7" w14:textId="3C217C70" w:rsidR="00F645E4" w:rsidRPr="00F645E4" w:rsidRDefault="00F645E4" w:rsidP="00F645E4">
      <w:pPr>
        <w:spacing w:after="300"/>
        <w:jc w:val="center"/>
        <w:rPr>
          <w:rFonts w:ascii="Arial" w:hAnsi="Arial" w:cs="Arial"/>
          <w:b/>
          <w:bCs/>
          <w:sz w:val="36"/>
          <w:szCs w:val="36"/>
        </w:rPr>
      </w:pPr>
      <w:r w:rsidRPr="00F645E4">
        <w:rPr>
          <w:rFonts w:ascii="Arial" w:eastAsia="Calibri" w:hAnsi="Arial" w:cs="Arial"/>
          <w:b/>
          <w:bCs/>
          <w:color w:val="1F3864"/>
          <w:sz w:val="36"/>
          <w:szCs w:val="36"/>
        </w:rPr>
        <w:t>Attend-X: Smart Attendance Verification System</w:t>
      </w:r>
    </w:p>
    <w:p w14:paraId="4E97E26E" w14:textId="4C72743C" w:rsidR="00F645E4" w:rsidRDefault="00F645E4" w:rsidP="00F645E4">
      <w:pPr>
        <w:spacing w:after="600"/>
        <w:jc w:val="center"/>
        <w:rPr>
          <w:rFonts w:ascii="Arial" w:eastAsia="Calibri" w:hAnsi="Arial" w:cs="Arial"/>
          <w:color w:val="2E5496"/>
          <w:sz w:val="32"/>
          <w:szCs w:val="32"/>
        </w:rPr>
      </w:pPr>
      <w:r w:rsidRPr="00F645E4">
        <w:rPr>
          <w:rFonts w:ascii="Arial" w:eastAsia="Calibri" w:hAnsi="Arial" w:cs="Arial"/>
          <w:color w:val="2E5496"/>
          <w:sz w:val="32"/>
          <w:szCs w:val="32"/>
        </w:rPr>
        <w:t>A Critical Evaluation of Project Management Tools and Techniques Across the Project Lifecycle</w:t>
      </w:r>
    </w:p>
    <w:p w14:paraId="5DE20620" w14:textId="77777777" w:rsidR="00F645E4" w:rsidRDefault="00F645E4">
      <w:pPr>
        <w:spacing w:after="160" w:line="278" w:lineRule="auto"/>
        <w:rPr>
          <w:rFonts w:ascii="Arial" w:eastAsia="Calibri" w:hAnsi="Arial" w:cs="Arial"/>
          <w:color w:val="2E5496"/>
          <w:sz w:val="32"/>
          <w:szCs w:val="32"/>
        </w:rPr>
      </w:pPr>
      <w:r>
        <w:rPr>
          <w:rFonts w:ascii="Arial" w:eastAsia="Calibri" w:hAnsi="Arial" w:cs="Arial"/>
          <w:color w:val="2E5496"/>
          <w:sz w:val="32"/>
          <w:szCs w:val="32"/>
        </w:rPr>
        <w:br w:type="page"/>
      </w:r>
    </w:p>
    <w:p w14:paraId="7EEC5B2B" w14:textId="77777777" w:rsidR="00F645E4" w:rsidRPr="00F645E4" w:rsidRDefault="00F645E4" w:rsidP="00F645E4">
      <w:pPr>
        <w:spacing w:after="600"/>
        <w:jc w:val="center"/>
        <w:rPr>
          <w:rFonts w:ascii="Arial" w:hAnsi="Arial" w:cs="Arial"/>
          <w:sz w:val="32"/>
          <w:szCs w:val="32"/>
        </w:rPr>
      </w:pPr>
    </w:p>
    <w:sdt>
      <w:sdtPr>
        <w:rPr>
          <w:rFonts w:ascii="Times New Roman" w:eastAsia="Times New Roman" w:hAnsi="Times New Roman" w:cs="Times New Roman"/>
          <w:b w:val="0"/>
          <w:bCs w:val="0"/>
          <w:color w:val="auto"/>
          <w:sz w:val="20"/>
          <w:szCs w:val="20"/>
          <w:lang w:val="en-GB" w:eastAsia="en-GB"/>
        </w:rPr>
        <w:id w:val="-1882697168"/>
        <w:docPartObj>
          <w:docPartGallery w:val="Table of Contents"/>
          <w:docPartUnique/>
        </w:docPartObj>
      </w:sdtPr>
      <w:sdtEndPr>
        <w:rPr>
          <w:noProof/>
        </w:rPr>
      </w:sdtEndPr>
      <w:sdtContent>
        <w:p w14:paraId="33D6798B" w14:textId="7FF82726" w:rsidR="00F645E4" w:rsidRPr="00F645E4" w:rsidRDefault="00F645E4">
          <w:pPr>
            <w:pStyle w:val="TOCHeading"/>
            <w:rPr>
              <w:sz w:val="32"/>
              <w:szCs w:val="32"/>
            </w:rPr>
          </w:pPr>
          <w:r w:rsidRPr="00F645E4">
            <w:rPr>
              <w:sz w:val="32"/>
              <w:szCs w:val="32"/>
            </w:rPr>
            <w:t>Table of Contents</w:t>
          </w:r>
        </w:p>
        <w:p w14:paraId="1F295F8D" w14:textId="77777777" w:rsidR="00F645E4" w:rsidRPr="00F645E4" w:rsidRDefault="00F645E4" w:rsidP="00F645E4">
          <w:pPr>
            <w:rPr>
              <w:lang w:val="en-US" w:eastAsia="en-US"/>
            </w:rPr>
          </w:pPr>
        </w:p>
        <w:p w14:paraId="02C84ABE" w14:textId="7CE18A19" w:rsidR="00740A19" w:rsidRDefault="00F645E4">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4430505" w:history="1">
            <w:r w:rsidR="00740A19" w:rsidRPr="00B472B1">
              <w:rPr>
                <w:rStyle w:val="Hyperlink"/>
                <w:rFonts w:ascii="Arial" w:eastAsia="Calibri" w:hAnsi="Arial" w:cs="Arial"/>
                <w:noProof/>
              </w:rPr>
              <w:t>Executive Summary</w:t>
            </w:r>
            <w:r w:rsidR="00740A19">
              <w:rPr>
                <w:noProof/>
                <w:webHidden/>
              </w:rPr>
              <w:tab/>
            </w:r>
            <w:r w:rsidR="00740A19">
              <w:rPr>
                <w:noProof/>
                <w:webHidden/>
              </w:rPr>
              <w:fldChar w:fldCharType="begin"/>
            </w:r>
            <w:r w:rsidR="00740A19">
              <w:rPr>
                <w:noProof/>
                <w:webHidden/>
              </w:rPr>
              <w:instrText xml:space="preserve"> PAGEREF _Toc234430505 \h </w:instrText>
            </w:r>
            <w:r w:rsidR="00740A19">
              <w:rPr>
                <w:noProof/>
                <w:webHidden/>
              </w:rPr>
            </w:r>
            <w:r w:rsidR="00740A19">
              <w:rPr>
                <w:noProof/>
                <w:webHidden/>
              </w:rPr>
              <w:fldChar w:fldCharType="separate"/>
            </w:r>
            <w:r w:rsidR="00740A19">
              <w:rPr>
                <w:noProof/>
                <w:webHidden/>
              </w:rPr>
              <w:t>3</w:t>
            </w:r>
            <w:r w:rsidR="00740A19">
              <w:rPr>
                <w:noProof/>
                <w:webHidden/>
              </w:rPr>
              <w:fldChar w:fldCharType="end"/>
            </w:r>
          </w:hyperlink>
        </w:p>
        <w:p w14:paraId="58E80E0C" w14:textId="71704B6C" w:rsidR="00740A19" w:rsidRDefault="00740A19">
          <w:pPr>
            <w:pStyle w:val="TOC1"/>
            <w:tabs>
              <w:tab w:val="right" w:leader="dot" w:pos="9016"/>
            </w:tabs>
            <w:rPr>
              <w:rFonts w:eastAsiaTheme="minorEastAsia" w:cstheme="minorBidi"/>
              <w:b w:val="0"/>
              <w:bCs w:val="0"/>
              <w:i w:val="0"/>
              <w:iCs w:val="0"/>
              <w:noProof/>
              <w:kern w:val="2"/>
              <w14:ligatures w14:val="standardContextual"/>
            </w:rPr>
          </w:pPr>
          <w:hyperlink w:anchor="_Toc234430506" w:history="1">
            <w:r w:rsidRPr="00B472B1">
              <w:rPr>
                <w:rStyle w:val="Hyperlink"/>
                <w:rFonts w:ascii="Arial" w:eastAsia="Calibri" w:hAnsi="Arial" w:cs="Arial"/>
                <w:noProof/>
              </w:rPr>
              <w:t>1.0 Introduction</w:t>
            </w:r>
            <w:r>
              <w:rPr>
                <w:noProof/>
                <w:webHidden/>
              </w:rPr>
              <w:tab/>
            </w:r>
            <w:r>
              <w:rPr>
                <w:noProof/>
                <w:webHidden/>
              </w:rPr>
              <w:fldChar w:fldCharType="begin"/>
            </w:r>
            <w:r>
              <w:rPr>
                <w:noProof/>
                <w:webHidden/>
              </w:rPr>
              <w:instrText xml:space="preserve"> PAGEREF _Toc234430506 \h </w:instrText>
            </w:r>
            <w:r>
              <w:rPr>
                <w:noProof/>
                <w:webHidden/>
              </w:rPr>
            </w:r>
            <w:r>
              <w:rPr>
                <w:noProof/>
                <w:webHidden/>
              </w:rPr>
              <w:fldChar w:fldCharType="separate"/>
            </w:r>
            <w:r>
              <w:rPr>
                <w:noProof/>
                <w:webHidden/>
              </w:rPr>
              <w:t>4</w:t>
            </w:r>
            <w:r>
              <w:rPr>
                <w:noProof/>
                <w:webHidden/>
              </w:rPr>
              <w:fldChar w:fldCharType="end"/>
            </w:r>
          </w:hyperlink>
        </w:p>
        <w:p w14:paraId="596FD6F3" w14:textId="330880CE" w:rsidR="00740A19" w:rsidRDefault="00740A19">
          <w:pPr>
            <w:pStyle w:val="TOC1"/>
            <w:tabs>
              <w:tab w:val="right" w:leader="dot" w:pos="9016"/>
            </w:tabs>
            <w:rPr>
              <w:rFonts w:eastAsiaTheme="minorEastAsia" w:cstheme="minorBidi"/>
              <w:b w:val="0"/>
              <w:bCs w:val="0"/>
              <w:i w:val="0"/>
              <w:iCs w:val="0"/>
              <w:noProof/>
              <w:kern w:val="2"/>
              <w14:ligatures w14:val="standardContextual"/>
            </w:rPr>
          </w:pPr>
          <w:hyperlink w:anchor="_Toc234430507" w:history="1">
            <w:r w:rsidRPr="00B472B1">
              <w:rPr>
                <w:rStyle w:val="Hyperlink"/>
                <w:noProof/>
              </w:rPr>
              <w:t>2.0 Critical Review of Tools and Techniques Across the Project Lifecycle</w:t>
            </w:r>
            <w:r>
              <w:rPr>
                <w:noProof/>
                <w:webHidden/>
              </w:rPr>
              <w:tab/>
            </w:r>
            <w:r>
              <w:rPr>
                <w:noProof/>
                <w:webHidden/>
              </w:rPr>
              <w:fldChar w:fldCharType="begin"/>
            </w:r>
            <w:r>
              <w:rPr>
                <w:noProof/>
                <w:webHidden/>
              </w:rPr>
              <w:instrText xml:space="preserve"> PAGEREF _Toc234430507 \h </w:instrText>
            </w:r>
            <w:r>
              <w:rPr>
                <w:noProof/>
                <w:webHidden/>
              </w:rPr>
            </w:r>
            <w:r>
              <w:rPr>
                <w:noProof/>
                <w:webHidden/>
              </w:rPr>
              <w:fldChar w:fldCharType="separate"/>
            </w:r>
            <w:r>
              <w:rPr>
                <w:noProof/>
                <w:webHidden/>
              </w:rPr>
              <w:t>5</w:t>
            </w:r>
            <w:r>
              <w:rPr>
                <w:noProof/>
                <w:webHidden/>
              </w:rPr>
              <w:fldChar w:fldCharType="end"/>
            </w:r>
          </w:hyperlink>
        </w:p>
        <w:p w14:paraId="32960B09" w14:textId="4BC501B7" w:rsidR="00740A19" w:rsidRDefault="00740A19">
          <w:pPr>
            <w:pStyle w:val="TOC2"/>
            <w:tabs>
              <w:tab w:val="right" w:leader="dot" w:pos="9016"/>
            </w:tabs>
            <w:rPr>
              <w:rFonts w:eastAsiaTheme="minorEastAsia" w:cstheme="minorBidi"/>
              <w:b w:val="0"/>
              <w:bCs w:val="0"/>
              <w:noProof/>
              <w:kern w:val="2"/>
              <w:sz w:val="24"/>
              <w:szCs w:val="24"/>
              <w14:ligatures w14:val="standardContextual"/>
            </w:rPr>
          </w:pPr>
          <w:hyperlink w:anchor="_Toc234430508" w:history="1">
            <w:r w:rsidRPr="00B472B1">
              <w:rPr>
                <w:rStyle w:val="Hyperlink"/>
                <w:rFonts w:ascii="Arial" w:eastAsia="Calibri" w:hAnsi="Arial" w:cs="Arial"/>
                <w:noProof/>
              </w:rPr>
              <w:t>2.1 Initiation: Scope and Ownership</w:t>
            </w:r>
            <w:r>
              <w:rPr>
                <w:noProof/>
                <w:webHidden/>
              </w:rPr>
              <w:tab/>
            </w:r>
            <w:r>
              <w:rPr>
                <w:noProof/>
                <w:webHidden/>
              </w:rPr>
              <w:fldChar w:fldCharType="begin"/>
            </w:r>
            <w:r>
              <w:rPr>
                <w:noProof/>
                <w:webHidden/>
              </w:rPr>
              <w:instrText xml:space="preserve"> PAGEREF _Toc234430508 \h </w:instrText>
            </w:r>
            <w:r>
              <w:rPr>
                <w:noProof/>
                <w:webHidden/>
              </w:rPr>
            </w:r>
            <w:r>
              <w:rPr>
                <w:noProof/>
                <w:webHidden/>
              </w:rPr>
              <w:fldChar w:fldCharType="separate"/>
            </w:r>
            <w:r>
              <w:rPr>
                <w:noProof/>
                <w:webHidden/>
              </w:rPr>
              <w:t>5</w:t>
            </w:r>
            <w:r>
              <w:rPr>
                <w:noProof/>
                <w:webHidden/>
              </w:rPr>
              <w:fldChar w:fldCharType="end"/>
            </w:r>
          </w:hyperlink>
        </w:p>
        <w:p w14:paraId="41321B2E" w14:textId="20C5DB42" w:rsidR="00740A19" w:rsidRDefault="00740A19">
          <w:pPr>
            <w:pStyle w:val="TOC2"/>
            <w:tabs>
              <w:tab w:val="right" w:leader="dot" w:pos="9016"/>
            </w:tabs>
            <w:rPr>
              <w:rFonts w:eastAsiaTheme="minorEastAsia" w:cstheme="minorBidi"/>
              <w:b w:val="0"/>
              <w:bCs w:val="0"/>
              <w:noProof/>
              <w:kern w:val="2"/>
              <w:sz w:val="24"/>
              <w:szCs w:val="24"/>
              <w14:ligatures w14:val="standardContextual"/>
            </w:rPr>
          </w:pPr>
          <w:hyperlink w:anchor="_Toc234430509" w:history="1">
            <w:r w:rsidRPr="00B472B1">
              <w:rPr>
                <w:rStyle w:val="Hyperlink"/>
                <w:rFonts w:ascii="Arial" w:eastAsia="Calibri" w:hAnsi="Arial" w:cs="Arial"/>
                <w:noProof/>
              </w:rPr>
              <w:t>2.2 Planning: WBS, Gantt Chart and the Iron Triangle</w:t>
            </w:r>
            <w:r>
              <w:rPr>
                <w:noProof/>
                <w:webHidden/>
              </w:rPr>
              <w:tab/>
            </w:r>
            <w:r>
              <w:rPr>
                <w:noProof/>
                <w:webHidden/>
              </w:rPr>
              <w:fldChar w:fldCharType="begin"/>
            </w:r>
            <w:r>
              <w:rPr>
                <w:noProof/>
                <w:webHidden/>
              </w:rPr>
              <w:instrText xml:space="preserve"> PAGEREF _Toc234430509 \h </w:instrText>
            </w:r>
            <w:r>
              <w:rPr>
                <w:noProof/>
                <w:webHidden/>
              </w:rPr>
            </w:r>
            <w:r>
              <w:rPr>
                <w:noProof/>
                <w:webHidden/>
              </w:rPr>
              <w:fldChar w:fldCharType="separate"/>
            </w:r>
            <w:r>
              <w:rPr>
                <w:noProof/>
                <w:webHidden/>
              </w:rPr>
              <w:t>6</w:t>
            </w:r>
            <w:r>
              <w:rPr>
                <w:noProof/>
                <w:webHidden/>
              </w:rPr>
              <w:fldChar w:fldCharType="end"/>
            </w:r>
          </w:hyperlink>
        </w:p>
        <w:p w14:paraId="3A49956B" w14:textId="01742E6B" w:rsidR="00740A19" w:rsidRDefault="00740A19">
          <w:pPr>
            <w:pStyle w:val="TOC2"/>
            <w:tabs>
              <w:tab w:val="right" w:leader="dot" w:pos="9016"/>
            </w:tabs>
            <w:rPr>
              <w:rFonts w:eastAsiaTheme="minorEastAsia" w:cstheme="minorBidi"/>
              <w:b w:val="0"/>
              <w:bCs w:val="0"/>
              <w:noProof/>
              <w:kern w:val="2"/>
              <w:sz w:val="24"/>
              <w:szCs w:val="24"/>
              <w14:ligatures w14:val="standardContextual"/>
            </w:rPr>
          </w:pPr>
          <w:hyperlink w:anchor="_Toc234430510" w:history="1">
            <w:r w:rsidRPr="00B472B1">
              <w:rPr>
                <w:rStyle w:val="Hyperlink"/>
                <w:rFonts w:ascii="Arial" w:eastAsia="Calibri" w:hAnsi="Arial" w:cs="Arial"/>
                <w:noProof/>
              </w:rPr>
              <w:t>2.3 Risk and Budget</w:t>
            </w:r>
            <w:r>
              <w:rPr>
                <w:noProof/>
                <w:webHidden/>
              </w:rPr>
              <w:tab/>
            </w:r>
            <w:r>
              <w:rPr>
                <w:noProof/>
                <w:webHidden/>
              </w:rPr>
              <w:fldChar w:fldCharType="begin"/>
            </w:r>
            <w:r>
              <w:rPr>
                <w:noProof/>
                <w:webHidden/>
              </w:rPr>
              <w:instrText xml:space="preserve"> PAGEREF _Toc234430510 \h </w:instrText>
            </w:r>
            <w:r>
              <w:rPr>
                <w:noProof/>
                <w:webHidden/>
              </w:rPr>
            </w:r>
            <w:r>
              <w:rPr>
                <w:noProof/>
                <w:webHidden/>
              </w:rPr>
              <w:fldChar w:fldCharType="separate"/>
            </w:r>
            <w:r>
              <w:rPr>
                <w:noProof/>
                <w:webHidden/>
              </w:rPr>
              <w:t>6</w:t>
            </w:r>
            <w:r>
              <w:rPr>
                <w:noProof/>
                <w:webHidden/>
              </w:rPr>
              <w:fldChar w:fldCharType="end"/>
            </w:r>
          </w:hyperlink>
        </w:p>
        <w:p w14:paraId="33F5FE51" w14:textId="73E89A47" w:rsidR="00740A19" w:rsidRDefault="00740A19">
          <w:pPr>
            <w:pStyle w:val="TOC2"/>
            <w:tabs>
              <w:tab w:val="right" w:leader="dot" w:pos="9016"/>
            </w:tabs>
            <w:rPr>
              <w:rFonts w:eastAsiaTheme="minorEastAsia" w:cstheme="minorBidi"/>
              <w:b w:val="0"/>
              <w:bCs w:val="0"/>
              <w:noProof/>
              <w:kern w:val="2"/>
              <w:sz w:val="24"/>
              <w:szCs w:val="24"/>
              <w14:ligatures w14:val="standardContextual"/>
            </w:rPr>
          </w:pPr>
          <w:hyperlink w:anchor="_Toc234430511" w:history="1">
            <w:r w:rsidRPr="00B472B1">
              <w:rPr>
                <w:rStyle w:val="Hyperlink"/>
                <w:rFonts w:ascii="Arial" w:eastAsia="Calibri" w:hAnsi="Arial" w:cs="Arial"/>
                <w:noProof/>
              </w:rPr>
              <w:t>2.4 Design and Closure</w:t>
            </w:r>
            <w:r>
              <w:rPr>
                <w:noProof/>
                <w:webHidden/>
              </w:rPr>
              <w:tab/>
            </w:r>
            <w:r>
              <w:rPr>
                <w:noProof/>
                <w:webHidden/>
              </w:rPr>
              <w:fldChar w:fldCharType="begin"/>
            </w:r>
            <w:r>
              <w:rPr>
                <w:noProof/>
                <w:webHidden/>
              </w:rPr>
              <w:instrText xml:space="preserve"> PAGEREF _Toc234430511 \h </w:instrText>
            </w:r>
            <w:r>
              <w:rPr>
                <w:noProof/>
                <w:webHidden/>
              </w:rPr>
            </w:r>
            <w:r>
              <w:rPr>
                <w:noProof/>
                <w:webHidden/>
              </w:rPr>
              <w:fldChar w:fldCharType="separate"/>
            </w:r>
            <w:r>
              <w:rPr>
                <w:noProof/>
                <w:webHidden/>
              </w:rPr>
              <w:t>7</w:t>
            </w:r>
            <w:r>
              <w:rPr>
                <w:noProof/>
                <w:webHidden/>
              </w:rPr>
              <w:fldChar w:fldCharType="end"/>
            </w:r>
          </w:hyperlink>
        </w:p>
        <w:p w14:paraId="7F2A3819" w14:textId="173CBE94" w:rsidR="00740A19" w:rsidRDefault="00740A19">
          <w:pPr>
            <w:pStyle w:val="TOC1"/>
            <w:tabs>
              <w:tab w:val="right" w:leader="dot" w:pos="9016"/>
            </w:tabs>
            <w:rPr>
              <w:rFonts w:eastAsiaTheme="minorEastAsia" w:cstheme="minorBidi"/>
              <w:b w:val="0"/>
              <w:bCs w:val="0"/>
              <w:i w:val="0"/>
              <w:iCs w:val="0"/>
              <w:noProof/>
              <w:kern w:val="2"/>
              <w14:ligatures w14:val="standardContextual"/>
            </w:rPr>
          </w:pPr>
          <w:hyperlink w:anchor="_Toc234430512" w:history="1">
            <w:r w:rsidRPr="00B472B1">
              <w:rPr>
                <w:rStyle w:val="Hyperlink"/>
                <w:rFonts w:ascii="Arial" w:eastAsia="Calibri" w:hAnsi="Arial" w:cs="Arial"/>
                <w:noProof/>
              </w:rPr>
              <w:t>3.0 Stakeholder Analysis: A Critical Discussion</w:t>
            </w:r>
            <w:r>
              <w:rPr>
                <w:noProof/>
                <w:webHidden/>
              </w:rPr>
              <w:tab/>
            </w:r>
            <w:r>
              <w:rPr>
                <w:noProof/>
                <w:webHidden/>
              </w:rPr>
              <w:fldChar w:fldCharType="begin"/>
            </w:r>
            <w:r>
              <w:rPr>
                <w:noProof/>
                <w:webHidden/>
              </w:rPr>
              <w:instrText xml:space="preserve"> PAGEREF _Toc234430512 \h </w:instrText>
            </w:r>
            <w:r>
              <w:rPr>
                <w:noProof/>
                <w:webHidden/>
              </w:rPr>
            </w:r>
            <w:r>
              <w:rPr>
                <w:noProof/>
                <w:webHidden/>
              </w:rPr>
              <w:fldChar w:fldCharType="separate"/>
            </w:r>
            <w:r>
              <w:rPr>
                <w:noProof/>
                <w:webHidden/>
              </w:rPr>
              <w:t>7</w:t>
            </w:r>
            <w:r>
              <w:rPr>
                <w:noProof/>
                <w:webHidden/>
              </w:rPr>
              <w:fldChar w:fldCharType="end"/>
            </w:r>
          </w:hyperlink>
        </w:p>
        <w:p w14:paraId="11B70CA6" w14:textId="7D896268" w:rsidR="00740A19" w:rsidRDefault="00740A19">
          <w:pPr>
            <w:pStyle w:val="TOC1"/>
            <w:tabs>
              <w:tab w:val="right" w:leader="dot" w:pos="9016"/>
            </w:tabs>
            <w:rPr>
              <w:rFonts w:eastAsiaTheme="minorEastAsia" w:cstheme="minorBidi"/>
              <w:b w:val="0"/>
              <w:bCs w:val="0"/>
              <w:i w:val="0"/>
              <w:iCs w:val="0"/>
              <w:noProof/>
              <w:kern w:val="2"/>
              <w14:ligatures w14:val="standardContextual"/>
            </w:rPr>
          </w:pPr>
          <w:hyperlink w:anchor="_Toc234430513" w:history="1">
            <w:r w:rsidRPr="00B472B1">
              <w:rPr>
                <w:rStyle w:val="Hyperlink"/>
                <w:rFonts w:ascii="Arial" w:eastAsia="Calibri" w:hAnsi="Arial" w:cs="Arial"/>
                <w:noProof/>
              </w:rPr>
              <w:t>4.0 Recommendations for Future Project Management</w:t>
            </w:r>
            <w:r>
              <w:rPr>
                <w:noProof/>
                <w:webHidden/>
              </w:rPr>
              <w:tab/>
            </w:r>
            <w:r>
              <w:rPr>
                <w:noProof/>
                <w:webHidden/>
              </w:rPr>
              <w:fldChar w:fldCharType="begin"/>
            </w:r>
            <w:r>
              <w:rPr>
                <w:noProof/>
                <w:webHidden/>
              </w:rPr>
              <w:instrText xml:space="preserve"> PAGEREF _Toc234430513 \h </w:instrText>
            </w:r>
            <w:r>
              <w:rPr>
                <w:noProof/>
                <w:webHidden/>
              </w:rPr>
            </w:r>
            <w:r>
              <w:rPr>
                <w:noProof/>
                <w:webHidden/>
              </w:rPr>
              <w:fldChar w:fldCharType="separate"/>
            </w:r>
            <w:r>
              <w:rPr>
                <w:noProof/>
                <w:webHidden/>
              </w:rPr>
              <w:t>8</w:t>
            </w:r>
            <w:r>
              <w:rPr>
                <w:noProof/>
                <w:webHidden/>
              </w:rPr>
              <w:fldChar w:fldCharType="end"/>
            </w:r>
          </w:hyperlink>
        </w:p>
        <w:p w14:paraId="366CEFA2" w14:textId="4EFEC750" w:rsidR="00740A19" w:rsidRDefault="00740A19">
          <w:pPr>
            <w:pStyle w:val="TOC1"/>
            <w:tabs>
              <w:tab w:val="right" w:leader="dot" w:pos="9016"/>
            </w:tabs>
            <w:rPr>
              <w:rFonts w:eastAsiaTheme="minorEastAsia" w:cstheme="minorBidi"/>
              <w:b w:val="0"/>
              <w:bCs w:val="0"/>
              <w:i w:val="0"/>
              <w:iCs w:val="0"/>
              <w:noProof/>
              <w:kern w:val="2"/>
              <w14:ligatures w14:val="standardContextual"/>
            </w:rPr>
          </w:pPr>
          <w:hyperlink w:anchor="_Toc234430514" w:history="1">
            <w:r w:rsidRPr="00B472B1">
              <w:rPr>
                <w:rStyle w:val="Hyperlink"/>
                <w:rFonts w:ascii="Arial" w:eastAsia="Calibri" w:hAnsi="Arial" w:cs="Arial"/>
                <w:noProof/>
              </w:rPr>
              <w:t>References</w:t>
            </w:r>
            <w:r>
              <w:rPr>
                <w:noProof/>
                <w:webHidden/>
              </w:rPr>
              <w:tab/>
            </w:r>
            <w:r>
              <w:rPr>
                <w:noProof/>
                <w:webHidden/>
              </w:rPr>
              <w:fldChar w:fldCharType="begin"/>
            </w:r>
            <w:r>
              <w:rPr>
                <w:noProof/>
                <w:webHidden/>
              </w:rPr>
              <w:instrText xml:space="preserve"> PAGEREF _Toc234430514 \h </w:instrText>
            </w:r>
            <w:r>
              <w:rPr>
                <w:noProof/>
                <w:webHidden/>
              </w:rPr>
            </w:r>
            <w:r>
              <w:rPr>
                <w:noProof/>
                <w:webHidden/>
              </w:rPr>
              <w:fldChar w:fldCharType="separate"/>
            </w:r>
            <w:r>
              <w:rPr>
                <w:noProof/>
                <w:webHidden/>
              </w:rPr>
              <w:t>10</w:t>
            </w:r>
            <w:r>
              <w:rPr>
                <w:noProof/>
                <w:webHidden/>
              </w:rPr>
              <w:fldChar w:fldCharType="end"/>
            </w:r>
          </w:hyperlink>
        </w:p>
        <w:p w14:paraId="46018C55" w14:textId="0C31DD97" w:rsidR="00F645E4" w:rsidRDefault="00F645E4">
          <w:r>
            <w:rPr>
              <w:b/>
              <w:bCs/>
              <w:noProof/>
            </w:rPr>
            <w:fldChar w:fldCharType="end"/>
          </w:r>
        </w:p>
      </w:sdtContent>
    </w:sdt>
    <w:p w14:paraId="550DF830" w14:textId="3058829F" w:rsidR="00F645E4" w:rsidRPr="00F645E4" w:rsidRDefault="00F645E4" w:rsidP="00F645E4">
      <w:pPr>
        <w:spacing w:after="600"/>
        <w:jc w:val="center"/>
        <w:rPr>
          <w:rFonts w:ascii="Arial" w:hAnsi="Arial" w:cs="Arial"/>
          <w:sz w:val="32"/>
          <w:szCs w:val="32"/>
        </w:rPr>
      </w:pPr>
    </w:p>
    <w:p w14:paraId="5D400F79" w14:textId="77777777" w:rsidR="00F645E4" w:rsidRPr="00F645E4" w:rsidRDefault="00F645E4" w:rsidP="00F645E4">
      <w:pPr>
        <w:spacing w:after="600"/>
        <w:jc w:val="center"/>
        <w:rPr>
          <w:rFonts w:ascii="Arial" w:hAnsi="Arial" w:cs="Arial"/>
          <w:sz w:val="24"/>
          <w:szCs w:val="24"/>
        </w:rPr>
      </w:pPr>
    </w:p>
    <w:p w14:paraId="48E4DB2F" w14:textId="77777777" w:rsidR="00F645E4" w:rsidRPr="00F645E4" w:rsidRDefault="00F645E4" w:rsidP="00F645E4">
      <w:pPr>
        <w:rPr>
          <w:rFonts w:ascii="Arial" w:hAnsi="Arial" w:cs="Arial"/>
          <w:sz w:val="24"/>
          <w:szCs w:val="24"/>
        </w:rPr>
      </w:pPr>
      <w:r w:rsidRPr="00F645E4">
        <w:rPr>
          <w:rFonts w:ascii="Arial" w:hAnsi="Arial" w:cs="Arial"/>
          <w:sz w:val="24"/>
          <w:szCs w:val="24"/>
        </w:rPr>
        <w:br w:type="page"/>
      </w:r>
    </w:p>
    <w:p w14:paraId="0EB9799C" w14:textId="77777777" w:rsidR="00F645E4" w:rsidRPr="00740A19" w:rsidRDefault="00F645E4" w:rsidP="00F645E4">
      <w:pPr>
        <w:pStyle w:val="Heading1"/>
        <w:spacing w:before="300" w:after="150"/>
        <w:rPr>
          <w:rFonts w:ascii="Arial" w:hAnsi="Arial" w:cs="Arial"/>
          <w:sz w:val="28"/>
          <w:szCs w:val="28"/>
        </w:rPr>
      </w:pPr>
      <w:bookmarkStart w:id="1" w:name="_Toc234430505"/>
      <w:r w:rsidRPr="00740A19">
        <w:rPr>
          <w:rFonts w:ascii="Arial" w:eastAsia="Calibri" w:hAnsi="Arial" w:cs="Arial"/>
          <w:b/>
          <w:bCs/>
          <w:color w:val="1F3864"/>
          <w:sz w:val="28"/>
          <w:szCs w:val="28"/>
        </w:rPr>
        <w:lastRenderedPageBreak/>
        <w:t>Executive Summary</w:t>
      </w:r>
      <w:bookmarkEnd w:id="1"/>
    </w:p>
    <w:p w14:paraId="7C7B1FD9" w14:textId="22111C79" w:rsidR="00F645E4" w:rsidRPr="00F645E4" w:rsidRDefault="00F645E4" w:rsidP="00740A19">
      <w:pPr>
        <w:spacing w:after="200" w:line="360" w:lineRule="auto"/>
        <w:ind w:firstLine="720"/>
        <w:jc w:val="both"/>
        <w:rPr>
          <w:rFonts w:ascii="Arial" w:hAnsi="Arial" w:cs="Arial"/>
          <w:sz w:val="24"/>
          <w:szCs w:val="24"/>
        </w:rPr>
      </w:pPr>
      <w:r w:rsidRPr="00F645E4">
        <w:rPr>
          <w:rFonts w:ascii="Arial" w:eastAsia="Calibri" w:hAnsi="Arial" w:cs="Arial"/>
          <w:sz w:val="24"/>
          <w:szCs w:val="24"/>
        </w:rPr>
        <w:t xml:space="preserve">This report is a critical analysis of how our group, Perspective, managed the Attend-X project, a proposal for a QR-code attendance verification system for university classrooms. Although the project never moved beyond the proposal stage, with no prototype built and no pilot testing carried out, we treated the process throughout as though it would genuinely be implemented, including a final presentation pitched as an actual proposal to sponsors rather than as a token exercise. This report looks back critically at that process rather than simply describing it. Instead of just listing the project management tools we used, the WBS, Gantt chart, Iron Triangle, risk matrix and stakeholder mapping, we assess where each one genuinely held up under scrutiny and where, with hindsight, its usefulness was limited by the constraints we were not actually operating under. Our main finding centres on ownership: our original plan to build Attend-X into the university's existing app changed only after our lecturer questioned who would </w:t>
      </w:r>
      <w:r w:rsidR="00740A19" w:rsidRPr="00F645E4">
        <w:rPr>
          <w:rFonts w:ascii="Arial" w:eastAsia="Calibri" w:hAnsi="Arial" w:cs="Arial"/>
          <w:sz w:val="24"/>
          <w:szCs w:val="24"/>
        </w:rPr>
        <w:t>own</w:t>
      </w:r>
      <w:r w:rsidRPr="00F645E4">
        <w:rPr>
          <w:rFonts w:ascii="Arial" w:eastAsia="Calibri" w:hAnsi="Arial" w:cs="Arial"/>
          <w:sz w:val="24"/>
          <w:szCs w:val="24"/>
        </w:rPr>
        <w:t xml:space="preserve"> the project once it was built. That question also exposed a gap in our stakeholder analysis, since it hadn't accounted for the person with the most real influence over our decisions. We also examine how budget and risk planning led to genuine disagreement within the team, and how our planning tools performed differently than they would under real organisational pressure. The report closes with what we think would need to change for Attend-X to move toward real implementation.</w:t>
      </w:r>
    </w:p>
    <w:p w14:paraId="1A81C14B" w14:textId="77777777" w:rsidR="00F645E4" w:rsidRPr="00F645E4" w:rsidRDefault="00F645E4" w:rsidP="00F645E4">
      <w:pPr>
        <w:rPr>
          <w:rFonts w:ascii="Arial" w:hAnsi="Arial" w:cs="Arial"/>
          <w:sz w:val="24"/>
          <w:szCs w:val="24"/>
        </w:rPr>
      </w:pPr>
      <w:r w:rsidRPr="00F645E4">
        <w:rPr>
          <w:rFonts w:ascii="Arial" w:hAnsi="Arial" w:cs="Arial"/>
          <w:sz w:val="24"/>
          <w:szCs w:val="24"/>
        </w:rPr>
        <w:br w:type="page"/>
      </w:r>
    </w:p>
    <w:p w14:paraId="7EE11EA7" w14:textId="77777777" w:rsidR="00F645E4" w:rsidRPr="00740A19" w:rsidRDefault="00F645E4" w:rsidP="00F645E4">
      <w:pPr>
        <w:pStyle w:val="Heading1"/>
        <w:spacing w:before="300" w:after="150"/>
        <w:rPr>
          <w:rFonts w:ascii="Arial" w:hAnsi="Arial" w:cs="Arial"/>
          <w:sz w:val="28"/>
          <w:szCs w:val="28"/>
        </w:rPr>
      </w:pPr>
      <w:bookmarkStart w:id="2" w:name="_Toc234430506"/>
      <w:r w:rsidRPr="00740A19">
        <w:rPr>
          <w:rFonts w:ascii="Arial" w:eastAsia="Calibri" w:hAnsi="Arial" w:cs="Arial"/>
          <w:b/>
          <w:bCs/>
          <w:color w:val="1F3864"/>
          <w:sz w:val="28"/>
          <w:szCs w:val="28"/>
        </w:rPr>
        <w:lastRenderedPageBreak/>
        <w:t>1.0 Introduction</w:t>
      </w:r>
      <w:bookmarkEnd w:id="2"/>
    </w:p>
    <w:p w14:paraId="1D61E6A7" w14:textId="50D95A70" w:rsidR="00F645E4" w:rsidRPr="00F645E4" w:rsidRDefault="00F645E4" w:rsidP="00740A19">
      <w:pPr>
        <w:spacing w:after="200" w:line="360" w:lineRule="auto"/>
        <w:ind w:firstLine="720"/>
        <w:jc w:val="both"/>
        <w:rPr>
          <w:rFonts w:ascii="Arial" w:hAnsi="Arial" w:cs="Arial"/>
          <w:sz w:val="24"/>
          <w:szCs w:val="24"/>
        </w:rPr>
      </w:pPr>
      <w:r w:rsidRPr="00F645E4">
        <w:rPr>
          <w:rFonts w:ascii="Arial" w:eastAsia="Calibri" w:hAnsi="Arial" w:cs="Arial"/>
          <w:sz w:val="24"/>
          <w:szCs w:val="24"/>
        </w:rPr>
        <w:t xml:space="preserve">Attend-X started with our brief for the Managing Projects in the Organisation module, which asks us to manage a project within an organisation. Since there wasn't an existing organisation for us to work within, our team effectively became one: we formed as a group, brainstormed our way to the idea of a QR-code attendance verification system for university classrooms, and then moved that idea through every stage of the project lifecycle a real organisation would go through, initiation, planning, risk, design, budgeting and closure, ending with a presentation built and pitched as though we were genuinely seeking sponsor investment. Project management, at its simplest, is just a structured way of directing temporary, purposeful work toward a defined outcome (Hollister, 2017), and that's essentially what our team set out to do without an organisation already in place to do it in. The system itself never moved past that proposal stage: no prototype was built, no student scanned a code, and no pilot feedback was ever collected. But we treated the process throughout as though it were real, building a genuine budget and risk register and developing a stakeholder analysis as though real stakeholders were involved, rather than treating any of it as a box-ticking exercise. Simulated projects are recognised in the literature as valuable for building conceptual understanding and teamworking skills, and part of that value depends on treating the exercise with the same seriousness as a live project (Geithner and Menzel, 2016). This report is a critical look back at how we, acting as our own organisation, </w:t>
      </w:r>
      <w:r w:rsidR="00740A19" w:rsidRPr="00F645E4">
        <w:rPr>
          <w:rFonts w:ascii="Arial" w:eastAsia="Calibri" w:hAnsi="Arial" w:cs="Arial"/>
          <w:sz w:val="24"/>
          <w:szCs w:val="24"/>
        </w:rPr>
        <w:t>managed</w:t>
      </w:r>
      <w:r w:rsidRPr="00F645E4">
        <w:rPr>
          <w:rFonts w:ascii="Arial" w:eastAsia="Calibri" w:hAnsi="Arial" w:cs="Arial"/>
          <w:sz w:val="24"/>
          <w:szCs w:val="24"/>
        </w:rPr>
        <w:t xml:space="preserve"> that process, not just what we did, but where we had to regroup, revisit earlier decisions and rebuild parts of our plan once new theory or feedback showed us something wasn't working. There is also a wider argument in the literature that project management courses need to be honest about where a simulated project like this still falls short of a live one, since students without real-world exposure can end up under-prepared for how much harder the real version would be (Özsoy and Sezgili, 2024). Rather than listing our tools one by one, we go through the project in the order things </w:t>
      </w:r>
      <w:r w:rsidR="00740A19" w:rsidRPr="00F645E4">
        <w:rPr>
          <w:rFonts w:ascii="Arial" w:eastAsia="Calibri" w:hAnsi="Arial" w:cs="Arial"/>
          <w:sz w:val="24"/>
          <w:szCs w:val="24"/>
        </w:rPr>
        <w:t>happened</w:t>
      </w:r>
      <w:r w:rsidRPr="00F645E4">
        <w:rPr>
          <w:rFonts w:ascii="Arial" w:eastAsia="Calibri" w:hAnsi="Arial" w:cs="Arial"/>
          <w:sz w:val="24"/>
          <w:szCs w:val="24"/>
        </w:rPr>
        <w:t>, flagging where our thinking changed and why, before turning to a closer critical discussion of our stakeholder analysis and closing with what we think would need to change for a real implementation.</w:t>
      </w:r>
    </w:p>
    <w:p w14:paraId="1CE1BDDE" w14:textId="77777777" w:rsidR="00740A19" w:rsidRDefault="00740A19">
      <w:pPr>
        <w:spacing w:after="160" w:line="278" w:lineRule="auto"/>
        <w:rPr>
          <w:rFonts w:ascii="Arial" w:eastAsia="Calibri" w:hAnsi="Arial" w:cs="Arial"/>
          <w:b/>
          <w:bCs/>
          <w:color w:val="1F3864"/>
          <w:kern w:val="2"/>
          <w:sz w:val="24"/>
          <w:szCs w:val="24"/>
          <w:lang w:eastAsia="en-US"/>
          <w14:ligatures w14:val="standardContextual"/>
        </w:rPr>
      </w:pPr>
      <w:r>
        <w:rPr>
          <w:rFonts w:ascii="Arial" w:eastAsia="Calibri" w:hAnsi="Arial" w:cs="Arial"/>
          <w:b/>
          <w:bCs/>
          <w:color w:val="1F3864"/>
          <w:sz w:val="24"/>
          <w:szCs w:val="24"/>
        </w:rPr>
        <w:br w:type="page"/>
      </w:r>
    </w:p>
    <w:p w14:paraId="4FDA636B" w14:textId="75962A4D" w:rsidR="00F645E4" w:rsidRPr="00740A19" w:rsidRDefault="00F645E4" w:rsidP="00740A19">
      <w:pPr>
        <w:pStyle w:val="Heading1"/>
        <w:rPr>
          <w:b/>
          <w:bCs/>
          <w:sz w:val="28"/>
          <w:szCs w:val="28"/>
        </w:rPr>
      </w:pPr>
      <w:bookmarkStart w:id="3" w:name="_Toc234430507"/>
      <w:r w:rsidRPr="00740A19">
        <w:rPr>
          <w:b/>
          <w:bCs/>
          <w:sz w:val="28"/>
          <w:szCs w:val="28"/>
        </w:rPr>
        <w:lastRenderedPageBreak/>
        <w:t>2.0 Critical Review of Tools and Techniques Across the Project Lifecycle</w:t>
      </w:r>
      <w:bookmarkEnd w:id="3"/>
    </w:p>
    <w:p w14:paraId="0824D60B" w14:textId="669FC3C0" w:rsidR="00F645E4" w:rsidRPr="00F645E4" w:rsidRDefault="00F645E4" w:rsidP="00740A19">
      <w:pPr>
        <w:spacing w:after="200" w:line="360" w:lineRule="auto"/>
        <w:ind w:firstLine="720"/>
        <w:jc w:val="both"/>
        <w:rPr>
          <w:rFonts w:ascii="Arial" w:hAnsi="Arial" w:cs="Arial"/>
          <w:sz w:val="24"/>
          <w:szCs w:val="24"/>
        </w:rPr>
      </w:pPr>
      <w:r w:rsidRPr="00F645E4">
        <w:rPr>
          <w:rFonts w:ascii="Arial" w:eastAsia="Calibri" w:hAnsi="Arial" w:cs="Arial"/>
          <w:sz w:val="24"/>
          <w:szCs w:val="24"/>
        </w:rPr>
        <w:t>We've laid this out in the order things happened rather than tool by tool, because some of the most useful things we learned came from having to undo an earlier decision</w:t>
      </w:r>
      <w:r w:rsidR="008B56CC">
        <w:rPr>
          <w:rFonts w:ascii="Arial" w:eastAsia="Calibri" w:hAnsi="Arial" w:cs="Arial"/>
          <w:sz w:val="24"/>
          <w:szCs w:val="24"/>
        </w:rPr>
        <w:t xml:space="preserve">, </w:t>
      </w:r>
      <w:r w:rsidRPr="00F645E4">
        <w:rPr>
          <w:rFonts w:ascii="Arial" w:eastAsia="Calibri" w:hAnsi="Arial" w:cs="Arial"/>
          <w:sz w:val="24"/>
          <w:szCs w:val="24"/>
        </w:rPr>
        <w:t>once a comment from our lecturer</w:t>
      </w:r>
      <w:r w:rsidR="008B56CC">
        <w:rPr>
          <w:rFonts w:ascii="Arial" w:eastAsia="Calibri" w:hAnsi="Arial" w:cs="Arial"/>
          <w:sz w:val="24"/>
          <w:szCs w:val="24"/>
        </w:rPr>
        <w:t xml:space="preserve"> </w:t>
      </w:r>
      <w:r w:rsidRPr="00F645E4">
        <w:rPr>
          <w:rFonts w:ascii="Arial" w:eastAsia="Calibri" w:hAnsi="Arial" w:cs="Arial"/>
          <w:sz w:val="24"/>
          <w:szCs w:val="24"/>
        </w:rPr>
        <w:t xml:space="preserve">showed </w:t>
      </w:r>
      <w:proofErr w:type="gramStart"/>
      <w:r w:rsidR="008B56CC" w:rsidRPr="00F645E4">
        <w:rPr>
          <w:rFonts w:ascii="Arial" w:eastAsia="Calibri" w:hAnsi="Arial" w:cs="Arial"/>
          <w:sz w:val="24"/>
          <w:szCs w:val="24"/>
        </w:rPr>
        <w:t>us</w:t>
      </w:r>
      <w:proofErr w:type="gramEnd"/>
      <w:r w:rsidRPr="00F645E4">
        <w:rPr>
          <w:rFonts w:ascii="Arial" w:eastAsia="Calibri" w:hAnsi="Arial" w:cs="Arial"/>
          <w:sz w:val="24"/>
          <w:szCs w:val="24"/>
        </w:rPr>
        <w:t xml:space="preserve"> we</w:t>
      </w:r>
      <w:r w:rsidR="008B56CC">
        <w:rPr>
          <w:rFonts w:ascii="Arial" w:eastAsia="Calibri" w:hAnsi="Arial" w:cs="Arial"/>
          <w:sz w:val="24"/>
          <w:szCs w:val="24"/>
        </w:rPr>
        <w:t xml:space="preserve"> ha</w:t>
      </w:r>
      <w:r w:rsidRPr="00F645E4">
        <w:rPr>
          <w:rFonts w:ascii="Arial" w:eastAsia="Calibri" w:hAnsi="Arial" w:cs="Arial"/>
          <w:sz w:val="24"/>
          <w:szCs w:val="24"/>
        </w:rPr>
        <w:t>d missed something.</w:t>
      </w:r>
    </w:p>
    <w:p w14:paraId="36E4440E" w14:textId="77777777" w:rsidR="00F645E4" w:rsidRDefault="00F645E4" w:rsidP="00F645E4">
      <w:pPr>
        <w:pStyle w:val="Heading2"/>
        <w:spacing w:before="200" w:after="120"/>
        <w:rPr>
          <w:rFonts w:ascii="Arial" w:eastAsia="Calibri" w:hAnsi="Arial" w:cs="Arial"/>
          <w:b/>
          <w:bCs/>
          <w:color w:val="2E5496"/>
          <w:sz w:val="24"/>
          <w:szCs w:val="24"/>
        </w:rPr>
      </w:pPr>
    </w:p>
    <w:p w14:paraId="50CE9621" w14:textId="3D5D1465" w:rsidR="00F645E4" w:rsidRPr="00740A19" w:rsidRDefault="00F645E4" w:rsidP="00F645E4">
      <w:pPr>
        <w:pStyle w:val="Heading2"/>
        <w:spacing w:before="200" w:after="120"/>
        <w:rPr>
          <w:rFonts w:ascii="Arial" w:eastAsia="Times New Roman" w:hAnsi="Arial" w:cs="Arial"/>
          <w:color w:val="2E74B5"/>
          <w:sz w:val="28"/>
          <w:szCs w:val="28"/>
        </w:rPr>
      </w:pPr>
      <w:bookmarkStart w:id="4" w:name="_Toc234430508"/>
      <w:r w:rsidRPr="00740A19">
        <w:rPr>
          <w:rFonts w:ascii="Arial" w:eastAsia="Calibri" w:hAnsi="Arial" w:cs="Arial"/>
          <w:b/>
          <w:bCs/>
          <w:color w:val="2E5496"/>
          <w:sz w:val="28"/>
          <w:szCs w:val="28"/>
        </w:rPr>
        <w:t>2.1 Initiation: Scope and Ownership</w:t>
      </w:r>
      <w:bookmarkEnd w:id="4"/>
    </w:p>
    <w:p w14:paraId="20625239" w14:textId="225F7EB0" w:rsidR="00F645E4" w:rsidRPr="00F645E4" w:rsidRDefault="00F645E4" w:rsidP="00740A19">
      <w:pPr>
        <w:spacing w:after="200" w:line="360" w:lineRule="auto"/>
        <w:ind w:firstLine="720"/>
        <w:jc w:val="both"/>
        <w:rPr>
          <w:rFonts w:ascii="Arial" w:hAnsi="Arial" w:cs="Arial"/>
          <w:sz w:val="24"/>
          <w:szCs w:val="24"/>
        </w:rPr>
      </w:pPr>
      <w:r w:rsidRPr="00F645E4">
        <w:rPr>
          <w:rFonts w:ascii="Arial" w:eastAsia="Calibri" w:hAnsi="Arial" w:cs="Arial"/>
          <w:sz w:val="24"/>
          <w:szCs w:val="24"/>
        </w:rPr>
        <w:t xml:space="preserve">When we started, our first idea was to build Attend-X as a feature inside the university's existing student app. It made sense at the time: using existing infrastructure, logins, notifications, all of that, would make the system feel more realistic and easier for students to </w:t>
      </w:r>
      <w:r w:rsidR="00740A19" w:rsidRPr="00F645E4">
        <w:rPr>
          <w:rFonts w:ascii="Arial" w:eastAsia="Calibri" w:hAnsi="Arial" w:cs="Arial"/>
          <w:sz w:val="24"/>
          <w:szCs w:val="24"/>
        </w:rPr>
        <w:t>adopt</w:t>
      </w:r>
      <w:r w:rsidRPr="00F645E4">
        <w:rPr>
          <w:rFonts w:ascii="Arial" w:eastAsia="Calibri" w:hAnsi="Arial" w:cs="Arial"/>
          <w:sz w:val="24"/>
          <w:szCs w:val="24"/>
        </w:rPr>
        <w:t xml:space="preserve">, and </w:t>
      </w:r>
      <w:r w:rsidR="008B56CC" w:rsidRPr="00F645E4">
        <w:rPr>
          <w:rFonts w:ascii="Arial" w:eastAsia="Calibri" w:hAnsi="Arial" w:cs="Arial"/>
          <w:sz w:val="24"/>
          <w:szCs w:val="24"/>
        </w:rPr>
        <w:t>it</w:t>
      </w:r>
      <w:r w:rsidR="008B56CC">
        <w:rPr>
          <w:rFonts w:ascii="Arial" w:eastAsia="Calibri" w:hAnsi="Arial" w:cs="Arial"/>
          <w:sz w:val="24"/>
          <w:szCs w:val="24"/>
        </w:rPr>
        <w:t xml:space="preserve"> i</w:t>
      </w:r>
      <w:r w:rsidR="008B56CC" w:rsidRPr="00F645E4">
        <w:rPr>
          <w:rFonts w:ascii="Arial" w:eastAsia="Calibri" w:hAnsi="Arial" w:cs="Arial"/>
          <w:sz w:val="24"/>
          <w:szCs w:val="24"/>
        </w:rPr>
        <w:t>s</w:t>
      </w:r>
      <w:r w:rsidRPr="00F645E4">
        <w:rPr>
          <w:rFonts w:ascii="Arial" w:eastAsia="Calibri" w:hAnsi="Arial" w:cs="Arial"/>
          <w:sz w:val="24"/>
          <w:szCs w:val="24"/>
        </w:rPr>
        <w:t xml:space="preserve"> roughly how comparable smart</w:t>
      </w:r>
      <w:r w:rsidR="008B56CC">
        <w:rPr>
          <w:rFonts w:ascii="Arial" w:eastAsia="Calibri" w:hAnsi="Arial" w:cs="Arial"/>
          <w:sz w:val="24"/>
          <w:szCs w:val="24"/>
        </w:rPr>
        <w:t xml:space="preserve"> </w:t>
      </w:r>
      <w:r w:rsidRPr="00F645E4">
        <w:rPr>
          <w:rFonts w:ascii="Arial" w:eastAsia="Calibri" w:hAnsi="Arial" w:cs="Arial"/>
          <w:sz w:val="24"/>
          <w:szCs w:val="24"/>
        </w:rPr>
        <w:t xml:space="preserve">attendance systems in the literature tend to work (Nadhan et al., 2022; Sundar et al., 2025). Then our lecturer asked one question that changed everything: if Attend-X lived inside the university's own app, who would </w:t>
      </w:r>
      <w:r w:rsidR="00740A19" w:rsidRPr="00F645E4">
        <w:rPr>
          <w:rFonts w:ascii="Arial" w:eastAsia="Calibri" w:hAnsi="Arial" w:cs="Arial"/>
          <w:sz w:val="24"/>
          <w:szCs w:val="24"/>
        </w:rPr>
        <w:t>own</w:t>
      </w:r>
      <w:r w:rsidRPr="00F645E4">
        <w:rPr>
          <w:rFonts w:ascii="Arial" w:eastAsia="Calibri" w:hAnsi="Arial" w:cs="Arial"/>
          <w:sz w:val="24"/>
          <w:szCs w:val="24"/>
        </w:rPr>
        <w:t xml:space="preserve"> it? Under that setup, the university's IT department would hold the governance and the decision-making, not us. Looking back, this was a real gap in how we</w:t>
      </w:r>
      <w:r w:rsidR="008B56CC">
        <w:rPr>
          <w:rFonts w:ascii="Arial" w:eastAsia="Calibri" w:hAnsi="Arial" w:cs="Arial"/>
          <w:sz w:val="24"/>
          <w:szCs w:val="24"/>
        </w:rPr>
        <w:t xml:space="preserve"> had</w:t>
      </w:r>
      <w:r w:rsidRPr="00F645E4">
        <w:rPr>
          <w:rFonts w:ascii="Arial" w:eastAsia="Calibri" w:hAnsi="Arial" w:cs="Arial"/>
          <w:sz w:val="24"/>
          <w:szCs w:val="24"/>
        </w:rPr>
        <w:t xml:space="preserve"> scoped the project. Our scope statement said what the system would do but never asked who would control it, even though ownership is supposed to be one of the first things a scope statement settles (PMI, 2021; Reiss, 2015). We</w:t>
      </w:r>
      <w:r w:rsidR="008B56CC">
        <w:rPr>
          <w:rFonts w:ascii="Arial" w:eastAsia="Calibri" w:hAnsi="Arial" w:cs="Arial"/>
          <w:sz w:val="24"/>
          <w:szCs w:val="24"/>
        </w:rPr>
        <w:t xml:space="preserve"> ha</w:t>
      </w:r>
      <w:r w:rsidRPr="00F645E4">
        <w:rPr>
          <w:rFonts w:ascii="Arial" w:eastAsia="Calibri" w:hAnsi="Arial" w:cs="Arial"/>
          <w:sz w:val="24"/>
          <w:szCs w:val="24"/>
        </w:rPr>
        <w:t xml:space="preserve">d basically written a workable plan without asking who </w:t>
      </w:r>
      <w:r w:rsidR="00740A19" w:rsidRPr="00F645E4">
        <w:rPr>
          <w:rFonts w:ascii="Arial" w:eastAsia="Calibri" w:hAnsi="Arial" w:cs="Arial"/>
          <w:sz w:val="24"/>
          <w:szCs w:val="24"/>
        </w:rPr>
        <w:t>owned</w:t>
      </w:r>
      <w:r w:rsidRPr="00F645E4">
        <w:rPr>
          <w:rFonts w:ascii="Arial" w:eastAsia="Calibri" w:hAnsi="Arial" w:cs="Arial"/>
          <w:sz w:val="24"/>
          <w:szCs w:val="24"/>
        </w:rPr>
        <w:t xml:space="preserve"> the thing we were planning. Once we changed direction, moving to a standalone QR system built outside the university's app, almost everything downstream had to change with it: the budget, the WBS, the stakeholder map, the risk register. If we</w:t>
      </w:r>
      <w:r w:rsidR="008B56CC">
        <w:rPr>
          <w:rFonts w:ascii="Arial" w:eastAsia="Calibri" w:hAnsi="Arial" w:cs="Arial"/>
          <w:sz w:val="24"/>
          <w:szCs w:val="24"/>
        </w:rPr>
        <w:t xml:space="preserve"> ar</w:t>
      </w:r>
      <w:r w:rsidRPr="00F645E4">
        <w:rPr>
          <w:rFonts w:ascii="Arial" w:eastAsia="Calibri" w:hAnsi="Arial" w:cs="Arial"/>
          <w:sz w:val="24"/>
          <w:szCs w:val="24"/>
        </w:rPr>
        <w:t xml:space="preserve">e honest, this only came up because our lecturer pushed us on it, not because we caught it ourselves, which says something about how carefully we were </w:t>
      </w:r>
      <w:r w:rsidR="00740A19" w:rsidRPr="00F645E4">
        <w:rPr>
          <w:rFonts w:ascii="Arial" w:eastAsia="Calibri" w:hAnsi="Arial" w:cs="Arial"/>
          <w:sz w:val="24"/>
          <w:szCs w:val="24"/>
        </w:rPr>
        <w:t>applying</w:t>
      </w:r>
      <w:r w:rsidRPr="00F645E4">
        <w:rPr>
          <w:rFonts w:ascii="Arial" w:eastAsia="Calibri" w:hAnsi="Arial" w:cs="Arial"/>
          <w:sz w:val="24"/>
          <w:szCs w:val="24"/>
        </w:rPr>
        <w:t xml:space="preserve"> scope management versus just going through the motions of it.</w:t>
      </w:r>
    </w:p>
    <w:p w14:paraId="710401B1" w14:textId="77777777" w:rsidR="00F645E4" w:rsidRDefault="00F645E4" w:rsidP="00F645E4">
      <w:pPr>
        <w:pStyle w:val="Heading2"/>
        <w:spacing w:before="200" w:after="120"/>
        <w:rPr>
          <w:rFonts w:ascii="Arial" w:eastAsia="Calibri" w:hAnsi="Arial" w:cs="Arial"/>
          <w:b/>
          <w:bCs/>
          <w:color w:val="2E5496"/>
          <w:sz w:val="24"/>
          <w:szCs w:val="24"/>
        </w:rPr>
      </w:pPr>
    </w:p>
    <w:p w14:paraId="26E51417" w14:textId="77777777" w:rsidR="00740A19" w:rsidRDefault="00740A19">
      <w:pPr>
        <w:spacing w:after="160" w:line="278" w:lineRule="auto"/>
        <w:rPr>
          <w:rFonts w:ascii="Arial" w:eastAsia="Calibri" w:hAnsi="Arial" w:cs="Arial"/>
          <w:b/>
          <w:bCs/>
          <w:color w:val="2E5496"/>
          <w:kern w:val="2"/>
          <w:sz w:val="24"/>
          <w:szCs w:val="24"/>
          <w:lang w:eastAsia="en-US"/>
          <w14:ligatures w14:val="standardContextual"/>
        </w:rPr>
      </w:pPr>
      <w:r>
        <w:rPr>
          <w:rFonts w:ascii="Arial" w:eastAsia="Calibri" w:hAnsi="Arial" w:cs="Arial"/>
          <w:b/>
          <w:bCs/>
          <w:color w:val="2E5496"/>
          <w:sz w:val="24"/>
          <w:szCs w:val="24"/>
        </w:rPr>
        <w:br w:type="page"/>
      </w:r>
    </w:p>
    <w:p w14:paraId="76F90D33" w14:textId="1B3DA4B9" w:rsidR="00F645E4" w:rsidRPr="00740A19" w:rsidRDefault="00F645E4" w:rsidP="00740A19">
      <w:pPr>
        <w:pStyle w:val="Heading2"/>
        <w:spacing w:before="200" w:after="120"/>
        <w:rPr>
          <w:rFonts w:ascii="Arial" w:hAnsi="Arial" w:cs="Arial"/>
          <w:sz w:val="28"/>
          <w:szCs w:val="28"/>
        </w:rPr>
      </w:pPr>
      <w:bookmarkStart w:id="5" w:name="_Toc234430509"/>
      <w:r w:rsidRPr="00740A19">
        <w:rPr>
          <w:rFonts w:ascii="Arial" w:eastAsia="Calibri" w:hAnsi="Arial" w:cs="Arial"/>
          <w:b/>
          <w:bCs/>
          <w:color w:val="2E5496"/>
          <w:sz w:val="28"/>
          <w:szCs w:val="28"/>
        </w:rPr>
        <w:lastRenderedPageBreak/>
        <w:t>2.2 Planning: WBS, Gantt Chart and the Iron Triangle</w:t>
      </w:r>
      <w:bookmarkEnd w:id="5"/>
    </w:p>
    <w:p w14:paraId="4B7C5C15" w14:textId="46DDE9A0" w:rsidR="00F645E4" w:rsidRPr="00F645E4" w:rsidRDefault="00F645E4" w:rsidP="00740A19">
      <w:pPr>
        <w:spacing w:after="200" w:line="360" w:lineRule="auto"/>
        <w:ind w:firstLine="720"/>
        <w:jc w:val="both"/>
        <w:rPr>
          <w:rFonts w:ascii="Arial" w:hAnsi="Arial" w:cs="Arial"/>
          <w:sz w:val="24"/>
          <w:szCs w:val="24"/>
        </w:rPr>
      </w:pPr>
      <w:r w:rsidRPr="00F645E4">
        <w:rPr>
          <w:rFonts w:ascii="Arial" w:hAnsi="Arial" w:cs="Arial"/>
          <w:sz w:val="24"/>
          <w:szCs w:val="24"/>
        </w:rPr>
        <w:t>Compared to that, the WBS and Gantt chart felt much easier, but that is probably worth questioning rather than just seeing as a success. Nobody gave us an external deadline; we chose the eight weeks ourselves, split the work into ten work packages (</w:t>
      </w:r>
      <w:proofErr w:type="spellStart"/>
      <w:r w:rsidRPr="00F645E4">
        <w:rPr>
          <w:rFonts w:ascii="Arial" w:hAnsi="Arial" w:cs="Arial"/>
          <w:sz w:val="24"/>
          <w:szCs w:val="24"/>
        </w:rPr>
        <w:t>Burghate</w:t>
      </w:r>
      <w:proofErr w:type="spellEnd"/>
      <w:r w:rsidRPr="00F645E4">
        <w:rPr>
          <w:rFonts w:ascii="Arial" w:hAnsi="Arial" w:cs="Arial"/>
          <w:sz w:val="24"/>
          <w:szCs w:val="24"/>
        </w:rPr>
        <w:t xml:space="preserve">, 2018), and used </w:t>
      </w:r>
      <w:r w:rsidR="00740A19" w:rsidRPr="00F645E4">
        <w:rPr>
          <w:rFonts w:ascii="Arial" w:hAnsi="Arial" w:cs="Arial"/>
          <w:sz w:val="24"/>
          <w:szCs w:val="24"/>
        </w:rPr>
        <w:t>standard</w:t>
      </w:r>
      <w:r w:rsidRPr="00F645E4">
        <w:rPr>
          <w:rFonts w:ascii="Arial" w:hAnsi="Arial" w:cs="Arial"/>
          <w:sz w:val="24"/>
          <w:szCs w:val="24"/>
        </w:rPr>
        <w:t xml:space="preserve"> planning, scheduling and monitoring techniques to map it out week by week (Kidston, Haward and Association for Project Management, 2015). </w:t>
      </w:r>
      <w:r w:rsidR="00740A19">
        <w:rPr>
          <w:rFonts w:ascii="Arial" w:hAnsi="Arial" w:cs="Arial"/>
          <w:sz w:val="24"/>
          <w:szCs w:val="24"/>
        </w:rPr>
        <w:t xml:space="preserve"> </w:t>
      </w:r>
      <w:r w:rsidRPr="00F645E4">
        <w:rPr>
          <w:rFonts w:ascii="Arial" w:hAnsi="Arial" w:cs="Arial"/>
          <w:sz w:val="24"/>
          <w:szCs w:val="24"/>
        </w:rPr>
        <w:t xml:space="preserve">Because the time side of our own Iron Triangle was something we set ourselves, rather than something forced on us, fitting the work into the calendar was never that difficult. There was no real client chasing us, no clash over resources and no other organisational priority getting in the way. </w:t>
      </w:r>
      <w:r w:rsidR="00740A19" w:rsidRPr="00F645E4">
        <w:rPr>
          <w:rFonts w:ascii="Arial" w:hAnsi="Arial" w:cs="Arial"/>
          <w:sz w:val="24"/>
          <w:szCs w:val="24"/>
        </w:rPr>
        <w:t>So,</w:t>
      </w:r>
      <w:r w:rsidRPr="00F645E4">
        <w:rPr>
          <w:rFonts w:ascii="Arial" w:hAnsi="Arial" w:cs="Arial"/>
          <w:sz w:val="24"/>
          <w:szCs w:val="24"/>
        </w:rPr>
        <w:t xml:space="preserve"> although the WBS and Gantt chart were useful, we probably did not test them in the way they are normally tested in a real project (Clegg, </w:t>
      </w:r>
      <w:proofErr w:type="spellStart"/>
      <w:r w:rsidRPr="00F645E4">
        <w:rPr>
          <w:rFonts w:ascii="Arial" w:hAnsi="Arial" w:cs="Arial"/>
          <w:sz w:val="24"/>
          <w:szCs w:val="24"/>
        </w:rPr>
        <w:t>Skyttermoen</w:t>
      </w:r>
      <w:proofErr w:type="spellEnd"/>
      <w:r w:rsidRPr="00F645E4">
        <w:rPr>
          <w:rFonts w:ascii="Arial" w:hAnsi="Arial" w:cs="Arial"/>
          <w:sz w:val="24"/>
          <w:szCs w:val="24"/>
        </w:rPr>
        <w:t xml:space="preserve"> and </w:t>
      </w:r>
      <w:proofErr w:type="spellStart"/>
      <w:r w:rsidRPr="00F645E4">
        <w:rPr>
          <w:rFonts w:ascii="Arial" w:hAnsi="Arial" w:cs="Arial"/>
          <w:sz w:val="24"/>
          <w:szCs w:val="24"/>
        </w:rPr>
        <w:t>Vaagaasar</w:t>
      </w:r>
      <w:proofErr w:type="spellEnd"/>
      <w:r w:rsidRPr="00F645E4">
        <w:rPr>
          <w:rFonts w:ascii="Arial" w:hAnsi="Arial" w:cs="Arial"/>
          <w:sz w:val="24"/>
          <w:szCs w:val="24"/>
        </w:rPr>
        <w:t xml:space="preserve">, 2020; Heagney, 2016; </w:t>
      </w:r>
      <w:proofErr w:type="spellStart"/>
      <w:r w:rsidRPr="00F645E4">
        <w:rPr>
          <w:rFonts w:ascii="Arial" w:hAnsi="Arial" w:cs="Arial"/>
          <w:sz w:val="24"/>
          <w:szCs w:val="24"/>
        </w:rPr>
        <w:t>Heerkens</w:t>
      </w:r>
      <w:proofErr w:type="spellEnd"/>
      <w:r w:rsidRPr="00F645E4">
        <w:rPr>
          <w:rFonts w:ascii="Arial" w:hAnsi="Arial" w:cs="Arial"/>
          <w:sz w:val="24"/>
          <w:szCs w:val="24"/>
        </w:rPr>
        <w:t>, 2015; Meredith and Mantel, 2017; Wysocki, Kaikini and Sneed, 2014). Maylor and Turner (2017) make the point that complexity in a project is something a manager experiences, not something you can read off a chart, and Attend-X was low</w:t>
      </w:r>
      <w:r w:rsidR="008B56CC">
        <w:rPr>
          <w:rFonts w:ascii="Arial" w:hAnsi="Arial" w:cs="Arial"/>
          <w:sz w:val="24"/>
          <w:szCs w:val="24"/>
        </w:rPr>
        <w:t xml:space="preserve"> </w:t>
      </w:r>
      <w:r w:rsidRPr="00F645E4">
        <w:rPr>
          <w:rFonts w:ascii="Arial" w:hAnsi="Arial" w:cs="Arial"/>
          <w:sz w:val="24"/>
          <w:szCs w:val="24"/>
        </w:rPr>
        <w:t>complexity on almost every measure they describe, mainly because we controlled both the pace and what was actually at stake. The Iron Triangle helped us understand the idea of trading off scope, time and cost, but it did not really show us what those trade-offs feel like when there are real pressures behind them.</w:t>
      </w:r>
    </w:p>
    <w:p w14:paraId="541EC38B" w14:textId="77777777" w:rsidR="00F645E4" w:rsidRDefault="00F645E4" w:rsidP="00F645E4">
      <w:pPr>
        <w:pStyle w:val="Heading2"/>
        <w:spacing w:before="200" w:after="120"/>
        <w:rPr>
          <w:rFonts w:ascii="Arial" w:eastAsia="Calibri" w:hAnsi="Arial" w:cs="Arial"/>
          <w:b/>
          <w:bCs/>
          <w:color w:val="2E5496"/>
          <w:sz w:val="24"/>
          <w:szCs w:val="24"/>
        </w:rPr>
      </w:pPr>
    </w:p>
    <w:p w14:paraId="7CE56386" w14:textId="361B65D7" w:rsidR="00F645E4" w:rsidRPr="00740A19" w:rsidRDefault="00F645E4" w:rsidP="00F645E4">
      <w:pPr>
        <w:pStyle w:val="Heading2"/>
        <w:spacing w:before="200" w:after="120"/>
        <w:rPr>
          <w:rFonts w:ascii="Arial" w:hAnsi="Arial" w:cs="Arial"/>
          <w:kern w:val="0"/>
          <w:sz w:val="28"/>
          <w:szCs w:val="28"/>
          <w14:ligatures w14:val="none"/>
        </w:rPr>
      </w:pPr>
      <w:bookmarkStart w:id="6" w:name="_Toc234430510"/>
      <w:r w:rsidRPr="00740A19">
        <w:rPr>
          <w:rFonts w:ascii="Arial" w:eastAsia="Calibri" w:hAnsi="Arial" w:cs="Arial"/>
          <w:b/>
          <w:bCs/>
          <w:color w:val="2E5496"/>
          <w:sz w:val="28"/>
          <w:szCs w:val="28"/>
        </w:rPr>
        <w:t>2.3 Risk and Budget</w:t>
      </w:r>
      <w:bookmarkEnd w:id="6"/>
    </w:p>
    <w:p w14:paraId="6FF16AF5" w14:textId="39FA8949" w:rsidR="00740A19" w:rsidRDefault="00F645E4" w:rsidP="00740A19">
      <w:pPr>
        <w:spacing w:after="200" w:line="360" w:lineRule="auto"/>
        <w:ind w:firstLine="720"/>
        <w:jc w:val="both"/>
        <w:rPr>
          <w:rFonts w:ascii="Arial" w:eastAsia="Calibri" w:hAnsi="Arial" w:cs="Arial"/>
          <w:sz w:val="24"/>
          <w:szCs w:val="24"/>
        </w:rPr>
      </w:pPr>
      <w:r w:rsidRPr="00F645E4">
        <w:rPr>
          <w:rFonts w:ascii="Arial" w:eastAsia="Calibri" w:hAnsi="Arial" w:cs="Arial"/>
          <w:sz w:val="24"/>
          <w:szCs w:val="24"/>
        </w:rPr>
        <w:t xml:space="preserve">Risk and budget planning was different, and honestly the most realistic part of the whole thing, because we </w:t>
      </w:r>
      <w:r w:rsidR="00740A19" w:rsidRPr="00F645E4">
        <w:rPr>
          <w:rFonts w:ascii="Arial" w:eastAsia="Calibri" w:hAnsi="Arial" w:cs="Arial"/>
          <w:sz w:val="24"/>
          <w:szCs w:val="24"/>
        </w:rPr>
        <w:t>disagreed</w:t>
      </w:r>
      <w:r w:rsidRPr="00F645E4">
        <w:rPr>
          <w:rFonts w:ascii="Arial" w:eastAsia="Calibri" w:hAnsi="Arial" w:cs="Arial"/>
          <w:sz w:val="24"/>
          <w:szCs w:val="24"/>
        </w:rPr>
        <w:t xml:space="preserve"> with each other. We built a risk matrix flagging fraud, user resistance and time pressure, then moved on to costing the project, and that</w:t>
      </w:r>
      <w:r w:rsidR="008B56CC">
        <w:rPr>
          <w:rFonts w:ascii="Arial" w:eastAsia="Calibri" w:hAnsi="Arial" w:cs="Arial"/>
          <w:sz w:val="24"/>
          <w:szCs w:val="24"/>
        </w:rPr>
        <w:t xml:space="preserve"> i</w:t>
      </w:r>
      <w:r w:rsidRPr="00F645E4">
        <w:rPr>
          <w:rFonts w:ascii="Arial" w:eastAsia="Calibri" w:hAnsi="Arial" w:cs="Arial"/>
          <w:sz w:val="24"/>
          <w:szCs w:val="24"/>
        </w:rPr>
        <w:t>s where opinions split. Some of us thought £3,600 was tight once every line item was added up; others thought it was generous once you separated out a proper contingency. It's a small example, but it lines up with Cox's (2008) well</w:t>
      </w:r>
      <w:r w:rsidR="008B56CC">
        <w:rPr>
          <w:rFonts w:ascii="Arial" w:eastAsia="Calibri" w:hAnsi="Arial" w:cs="Arial"/>
          <w:sz w:val="24"/>
          <w:szCs w:val="24"/>
        </w:rPr>
        <w:t xml:space="preserve"> </w:t>
      </w:r>
      <w:r w:rsidRPr="00F645E4">
        <w:rPr>
          <w:rFonts w:ascii="Arial" w:eastAsia="Calibri" w:hAnsi="Arial" w:cs="Arial"/>
          <w:sz w:val="24"/>
          <w:szCs w:val="24"/>
        </w:rPr>
        <w:t xml:space="preserve">known criticism of risk matrices: by squashing likelihood and impact into a handful of broad categories, they can hide disagreement rather than settle it. </w:t>
      </w:r>
    </w:p>
    <w:p w14:paraId="0EAA2B38" w14:textId="77777777" w:rsidR="00740A19" w:rsidRDefault="00740A19">
      <w:pPr>
        <w:spacing w:after="160" w:line="278" w:lineRule="auto"/>
        <w:rPr>
          <w:rFonts w:ascii="Arial" w:eastAsia="Calibri" w:hAnsi="Arial" w:cs="Arial"/>
          <w:sz w:val="24"/>
          <w:szCs w:val="24"/>
        </w:rPr>
      </w:pPr>
      <w:r>
        <w:rPr>
          <w:rFonts w:ascii="Arial" w:eastAsia="Calibri" w:hAnsi="Arial" w:cs="Arial"/>
          <w:sz w:val="24"/>
          <w:szCs w:val="24"/>
        </w:rPr>
        <w:br w:type="page"/>
      </w:r>
    </w:p>
    <w:p w14:paraId="23ADADAF" w14:textId="374C0001" w:rsidR="00F645E4" w:rsidRPr="00F645E4" w:rsidRDefault="00F645E4" w:rsidP="00740A19">
      <w:pPr>
        <w:spacing w:after="200" w:line="360" w:lineRule="auto"/>
        <w:jc w:val="both"/>
        <w:rPr>
          <w:rFonts w:ascii="Arial" w:hAnsi="Arial" w:cs="Arial"/>
          <w:sz w:val="24"/>
          <w:szCs w:val="24"/>
        </w:rPr>
      </w:pPr>
      <w:r w:rsidRPr="00F645E4">
        <w:rPr>
          <w:rFonts w:ascii="Arial" w:eastAsia="Calibri" w:hAnsi="Arial" w:cs="Arial"/>
          <w:sz w:val="24"/>
          <w:szCs w:val="24"/>
        </w:rPr>
        <w:lastRenderedPageBreak/>
        <w:t xml:space="preserve">Our matrix rated fraud as “medium,” but that label didn't tell us anything about whether our financial buffer against it was </w:t>
      </w:r>
      <w:r w:rsidR="00740A19" w:rsidRPr="00F645E4">
        <w:rPr>
          <w:rFonts w:ascii="Arial" w:eastAsia="Calibri" w:hAnsi="Arial" w:cs="Arial"/>
          <w:sz w:val="24"/>
          <w:szCs w:val="24"/>
        </w:rPr>
        <w:t>enough</w:t>
      </w:r>
      <w:r w:rsidRPr="00F645E4">
        <w:rPr>
          <w:rFonts w:ascii="Arial" w:eastAsia="Calibri" w:hAnsi="Arial" w:cs="Arial"/>
          <w:sz w:val="24"/>
          <w:szCs w:val="24"/>
        </w:rPr>
        <w:t>, which fits with more recent concerns that risk matrices can give a false sense that a judgement has been made when it hasn't (Rud, 2022). We ended up settling the disagreement by just ring-fencing part of the budget as contingency, a decision made through team discussion rather than anything the risk matrix itself told us to do, which makes us question how much that matrix was driving decisions versus just documenting ones we</w:t>
      </w:r>
      <w:r w:rsidR="00E66023">
        <w:rPr>
          <w:rFonts w:ascii="Arial" w:eastAsia="Calibri" w:hAnsi="Arial" w:cs="Arial"/>
          <w:sz w:val="24"/>
          <w:szCs w:val="24"/>
        </w:rPr>
        <w:t xml:space="preserve"> ha</w:t>
      </w:r>
      <w:r w:rsidRPr="00F645E4">
        <w:rPr>
          <w:rFonts w:ascii="Arial" w:eastAsia="Calibri" w:hAnsi="Arial" w:cs="Arial"/>
          <w:sz w:val="24"/>
          <w:szCs w:val="24"/>
        </w:rPr>
        <w:t>d</w:t>
      </w:r>
      <w:r w:rsidR="00E66023">
        <w:rPr>
          <w:rFonts w:ascii="Arial" w:eastAsia="Calibri" w:hAnsi="Arial" w:cs="Arial"/>
          <w:sz w:val="24"/>
          <w:szCs w:val="24"/>
        </w:rPr>
        <w:t xml:space="preserve"> </w:t>
      </w:r>
      <w:r w:rsidRPr="00F645E4">
        <w:rPr>
          <w:rFonts w:ascii="Arial" w:eastAsia="Calibri" w:hAnsi="Arial" w:cs="Arial"/>
          <w:sz w:val="24"/>
          <w:szCs w:val="24"/>
        </w:rPr>
        <w:t>already made.</w:t>
      </w:r>
      <w:r>
        <w:rPr>
          <w:rFonts w:ascii="Arial" w:hAnsi="Arial" w:cs="Arial"/>
          <w:sz w:val="24"/>
          <w:szCs w:val="24"/>
        </w:rPr>
        <w:t xml:space="preserve"> </w:t>
      </w:r>
      <w:r w:rsidRPr="00F645E4">
        <w:rPr>
          <w:rFonts w:ascii="Arial" w:hAnsi="Arial" w:cs="Arial"/>
          <w:sz w:val="24"/>
          <w:szCs w:val="24"/>
        </w:rPr>
        <w:t>That same gap between planning on paper and testing in practice also showed up in the design stage.</w:t>
      </w:r>
    </w:p>
    <w:p w14:paraId="76049865" w14:textId="77777777" w:rsidR="00740A19" w:rsidRDefault="00740A19" w:rsidP="00F645E4">
      <w:pPr>
        <w:pStyle w:val="Heading2"/>
        <w:spacing w:before="200" w:after="120"/>
        <w:rPr>
          <w:rFonts w:ascii="Arial" w:eastAsia="Calibri" w:hAnsi="Arial" w:cs="Arial"/>
          <w:b/>
          <w:bCs/>
          <w:color w:val="2E5496"/>
          <w:sz w:val="24"/>
          <w:szCs w:val="24"/>
        </w:rPr>
      </w:pPr>
    </w:p>
    <w:p w14:paraId="58ECDF73" w14:textId="0C42B41E" w:rsidR="00F645E4" w:rsidRPr="00740A19" w:rsidRDefault="00F645E4" w:rsidP="00F645E4">
      <w:pPr>
        <w:pStyle w:val="Heading2"/>
        <w:spacing w:before="200" w:after="120"/>
        <w:rPr>
          <w:rFonts w:ascii="Arial" w:hAnsi="Arial" w:cs="Arial"/>
          <w:sz w:val="28"/>
          <w:szCs w:val="28"/>
        </w:rPr>
      </w:pPr>
      <w:bookmarkStart w:id="7" w:name="_Toc234430511"/>
      <w:r w:rsidRPr="00740A19">
        <w:rPr>
          <w:rFonts w:ascii="Arial" w:eastAsia="Calibri" w:hAnsi="Arial" w:cs="Arial"/>
          <w:b/>
          <w:bCs/>
          <w:color w:val="2E5496"/>
          <w:sz w:val="28"/>
          <w:szCs w:val="28"/>
        </w:rPr>
        <w:t>2.4 Design and Closure</w:t>
      </w:r>
      <w:bookmarkEnd w:id="7"/>
    </w:p>
    <w:p w14:paraId="1245268E" w14:textId="4F45E1D4" w:rsidR="00F645E4" w:rsidRPr="00F645E4" w:rsidRDefault="00F645E4" w:rsidP="00740A19">
      <w:pPr>
        <w:spacing w:after="200" w:line="360" w:lineRule="auto"/>
        <w:ind w:firstLine="720"/>
        <w:jc w:val="both"/>
        <w:rPr>
          <w:rFonts w:ascii="Arial" w:hAnsi="Arial" w:cs="Arial"/>
          <w:kern w:val="2"/>
          <w14:ligatures w14:val="standardContextual"/>
        </w:rPr>
      </w:pPr>
      <w:r w:rsidRPr="00F645E4">
        <w:rPr>
          <w:rFonts w:ascii="Arial" w:hAnsi="Arial" w:cs="Arial"/>
          <w:sz w:val="24"/>
          <w:szCs w:val="24"/>
        </w:rPr>
        <w:t xml:space="preserve">For the design side, we based choices like dynamic QR codes, a short scanning window and one-device-per-student access on published smart-attendance research (Nadhan et al., 2022; Zhao, Zhao and Qu, 2022; Sundar et al., 2025), which gave the proposal some technical weight. But we should be upfront that none of it was tested against real students </w:t>
      </w:r>
      <w:r w:rsidR="00740A19" w:rsidRPr="00F645E4">
        <w:rPr>
          <w:rFonts w:ascii="Arial" w:hAnsi="Arial" w:cs="Arial"/>
          <w:sz w:val="24"/>
          <w:szCs w:val="24"/>
        </w:rPr>
        <w:t>trying</w:t>
      </w:r>
      <w:r w:rsidRPr="00F645E4">
        <w:rPr>
          <w:rFonts w:ascii="Arial" w:hAnsi="Arial" w:cs="Arial"/>
          <w:sz w:val="24"/>
          <w:szCs w:val="24"/>
        </w:rPr>
        <w:t xml:space="preserve"> to get around it. Our fraud-prevention section is really a summary of what other people have found works, not something we proved ourselves. That</w:t>
      </w:r>
      <w:r w:rsidR="00E66023">
        <w:rPr>
          <w:rFonts w:ascii="Arial" w:hAnsi="Arial" w:cs="Arial"/>
          <w:sz w:val="24"/>
          <w:szCs w:val="24"/>
        </w:rPr>
        <w:t xml:space="preserve"> i</w:t>
      </w:r>
      <w:r w:rsidRPr="00F645E4">
        <w:rPr>
          <w:rFonts w:ascii="Arial" w:hAnsi="Arial" w:cs="Arial"/>
          <w:sz w:val="24"/>
          <w:szCs w:val="24"/>
        </w:rPr>
        <w:t>s exactly the kind of gap an agile approach is supposed to close: a traditional, plan-it-all-first method can specify a design completely before anything gets built, but only an actual build-test-revise cycle would tell us if dynamic QR codes hold up against students sharing or reusing them the way we assumed they would (</w:t>
      </w:r>
      <w:proofErr w:type="spellStart"/>
      <w:r w:rsidRPr="00F645E4">
        <w:rPr>
          <w:rFonts w:ascii="Arial" w:hAnsi="Arial" w:cs="Arial"/>
          <w:sz w:val="24"/>
          <w:szCs w:val="24"/>
        </w:rPr>
        <w:t>Gemino</w:t>
      </w:r>
      <w:proofErr w:type="spellEnd"/>
      <w:r w:rsidRPr="00F645E4">
        <w:rPr>
          <w:rFonts w:ascii="Arial" w:hAnsi="Arial" w:cs="Arial"/>
          <w:sz w:val="24"/>
          <w:szCs w:val="24"/>
        </w:rPr>
        <w:t xml:space="preserve">, Horner Reich and </w:t>
      </w:r>
      <w:proofErr w:type="spellStart"/>
      <w:r w:rsidRPr="00F645E4">
        <w:rPr>
          <w:rFonts w:ascii="Arial" w:hAnsi="Arial" w:cs="Arial"/>
          <w:sz w:val="24"/>
          <w:szCs w:val="24"/>
        </w:rPr>
        <w:t>Serrador</w:t>
      </w:r>
      <w:proofErr w:type="spellEnd"/>
      <w:r w:rsidRPr="00F645E4">
        <w:rPr>
          <w:rFonts w:ascii="Arial" w:hAnsi="Arial" w:cs="Arial"/>
          <w:sz w:val="24"/>
          <w:szCs w:val="24"/>
        </w:rPr>
        <w:t>, 2021). Closure, for us, included presenting the proposal to the class and lecturer and receiving feedback, so it was not purely internal. But it was still classroom feedback, not feedback from a real sponsor, IT owner or student user group, so it could only test our assumptions up to a point.</w:t>
      </w:r>
    </w:p>
    <w:p w14:paraId="01E4DF05" w14:textId="77777777" w:rsidR="00F645E4" w:rsidRPr="00F645E4" w:rsidRDefault="00F645E4" w:rsidP="00F645E4">
      <w:pPr>
        <w:pStyle w:val="Heading1"/>
        <w:spacing w:before="300" w:after="150"/>
        <w:rPr>
          <w:rFonts w:ascii="Arial" w:eastAsia="Calibri" w:hAnsi="Arial" w:cs="Arial"/>
          <w:b/>
          <w:bCs/>
          <w:color w:val="1F3864"/>
          <w:kern w:val="0"/>
          <w:sz w:val="24"/>
          <w:szCs w:val="24"/>
          <w14:ligatures w14:val="none"/>
        </w:rPr>
      </w:pPr>
    </w:p>
    <w:p w14:paraId="444C7698" w14:textId="77777777" w:rsidR="00F645E4" w:rsidRPr="00740A19" w:rsidRDefault="00F645E4" w:rsidP="00F645E4">
      <w:pPr>
        <w:pStyle w:val="Heading1"/>
        <w:spacing w:before="300" w:after="150"/>
        <w:rPr>
          <w:rFonts w:ascii="Arial" w:eastAsia="Times New Roman" w:hAnsi="Arial" w:cs="Arial"/>
          <w:color w:val="2E74B5"/>
          <w:sz w:val="28"/>
          <w:szCs w:val="28"/>
        </w:rPr>
      </w:pPr>
      <w:bookmarkStart w:id="8" w:name="_Toc234430512"/>
      <w:r w:rsidRPr="00740A19">
        <w:rPr>
          <w:rFonts w:ascii="Arial" w:eastAsia="Calibri" w:hAnsi="Arial" w:cs="Arial"/>
          <w:b/>
          <w:bCs/>
          <w:color w:val="1F3864"/>
          <w:sz w:val="28"/>
          <w:szCs w:val="28"/>
        </w:rPr>
        <w:t>3.0 Stakeholder Analysis: A Critical Discussion</w:t>
      </w:r>
      <w:bookmarkEnd w:id="8"/>
    </w:p>
    <w:p w14:paraId="0A6155B7" w14:textId="77777777" w:rsidR="00E66023" w:rsidRDefault="00F645E4" w:rsidP="00E66023">
      <w:pPr>
        <w:spacing w:after="200" w:line="360" w:lineRule="auto"/>
        <w:ind w:firstLine="720"/>
        <w:jc w:val="both"/>
        <w:rPr>
          <w:rFonts w:ascii="Arial" w:eastAsia="Calibri" w:hAnsi="Arial" w:cs="Arial"/>
          <w:sz w:val="24"/>
          <w:szCs w:val="24"/>
        </w:rPr>
      </w:pPr>
      <w:r w:rsidRPr="00F645E4">
        <w:rPr>
          <w:rFonts w:ascii="Arial" w:eastAsia="Calibri" w:hAnsi="Arial" w:cs="Arial"/>
          <w:sz w:val="24"/>
          <w:szCs w:val="24"/>
        </w:rPr>
        <w:t>We mapped stakeholders using the Power-Interest grid that comes from Mendelow (1991), putting the project team, university administration and the IT department into the high-power, high interest “collaborate” box, students and lecturers into “keep informed,” and sponsors and university management into “keep satisfied” (Buhmann et al., 2024).</w:t>
      </w:r>
    </w:p>
    <w:p w14:paraId="5B418B53" w14:textId="362E9E4A" w:rsidR="00F645E4" w:rsidRPr="00740A19" w:rsidRDefault="00F645E4" w:rsidP="00E66023">
      <w:pPr>
        <w:spacing w:after="200" w:line="360" w:lineRule="auto"/>
        <w:jc w:val="both"/>
        <w:rPr>
          <w:rFonts w:ascii="Arial" w:eastAsia="Calibri" w:hAnsi="Arial" w:cs="Arial"/>
          <w:sz w:val="24"/>
          <w:szCs w:val="24"/>
        </w:rPr>
      </w:pPr>
      <w:r w:rsidRPr="00F645E4">
        <w:rPr>
          <w:rFonts w:ascii="Arial" w:eastAsia="Calibri" w:hAnsi="Arial" w:cs="Arial"/>
          <w:sz w:val="24"/>
          <w:szCs w:val="24"/>
        </w:rPr>
        <w:lastRenderedPageBreak/>
        <w:t xml:space="preserve">On paper this followed the theory closely enough: </w:t>
      </w:r>
      <w:r w:rsidR="00740A19">
        <w:rPr>
          <w:rFonts w:ascii="Arial" w:eastAsia="Calibri" w:hAnsi="Arial" w:cs="Arial"/>
          <w:sz w:val="24"/>
          <w:szCs w:val="24"/>
        </w:rPr>
        <w:t xml:space="preserve"> </w:t>
      </w:r>
      <w:r w:rsidRPr="00F645E4">
        <w:rPr>
          <w:rFonts w:ascii="Arial" w:eastAsia="Calibri" w:hAnsi="Arial" w:cs="Arial"/>
          <w:sz w:val="24"/>
          <w:szCs w:val="24"/>
        </w:rPr>
        <w:t>Freeman (1984) defines</w:t>
      </w:r>
      <w:r w:rsidR="00E66023">
        <w:rPr>
          <w:rFonts w:ascii="Arial" w:eastAsia="Calibri" w:hAnsi="Arial" w:cs="Arial"/>
          <w:sz w:val="24"/>
          <w:szCs w:val="24"/>
        </w:rPr>
        <w:t xml:space="preserve"> </w:t>
      </w:r>
      <w:r w:rsidRPr="00F645E4">
        <w:rPr>
          <w:rFonts w:ascii="Arial" w:eastAsia="Calibri" w:hAnsi="Arial" w:cs="Arial"/>
          <w:sz w:val="24"/>
          <w:szCs w:val="24"/>
        </w:rPr>
        <w:t>a</w:t>
      </w:r>
      <w:r w:rsidR="00E66023">
        <w:rPr>
          <w:rFonts w:ascii="Arial" w:eastAsia="Calibri" w:hAnsi="Arial" w:cs="Arial"/>
          <w:sz w:val="24"/>
          <w:szCs w:val="24"/>
        </w:rPr>
        <w:t xml:space="preserve"> </w:t>
      </w:r>
      <w:r w:rsidRPr="00F645E4">
        <w:rPr>
          <w:rFonts w:ascii="Arial" w:eastAsia="Calibri" w:hAnsi="Arial" w:cs="Arial"/>
          <w:sz w:val="24"/>
          <w:szCs w:val="24"/>
        </w:rPr>
        <w:t xml:space="preserve">stakeholder as any group that can affect, or be affected by, an organisation's goals, and our matrix ticked that box with a </w:t>
      </w:r>
      <w:r w:rsidR="00740A19" w:rsidRPr="00F645E4">
        <w:rPr>
          <w:rFonts w:ascii="Arial" w:eastAsia="Calibri" w:hAnsi="Arial" w:cs="Arial"/>
          <w:sz w:val="24"/>
          <w:szCs w:val="24"/>
        </w:rPr>
        <w:t>sensible</w:t>
      </w:r>
      <w:r w:rsidRPr="00F645E4">
        <w:rPr>
          <w:rFonts w:ascii="Arial" w:eastAsia="Calibri" w:hAnsi="Arial" w:cs="Arial"/>
          <w:sz w:val="24"/>
          <w:szCs w:val="24"/>
        </w:rPr>
        <w:t xml:space="preserve"> list of actors. But putting this model onto our project exposed something the theory does</w:t>
      </w:r>
      <w:r w:rsidR="00E66023">
        <w:rPr>
          <w:rFonts w:ascii="Arial" w:eastAsia="Calibri" w:hAnsi="Arial" w:cs="Arial"/>
          <w:sz w:val="24"/>
          <w:szCs w:val="24"/>
        </w:rPr>
        <w:t xml:space="preserve"> no</w:t>
      </w:r>
      <w:r w:rsidRPr="00F645E4">
        <w:rPr>
          <w:rFonts w:ascii="Arial" w:eastAsia="Calibri" w:hAnsi="Arial" w:cs="Arial"/>
          <w:sz w:val="24"/>
          <w:szCs w:val="24"/>
        </w:rPr>
        <w:t xml:space="preserve">t really deal </w:t>
      </w:r>
      <w:r w:rsidR="00740A19" w:rsidRPr="00F645E4">
        <w:rPr>
          <w:rFonts w:ascii="Arial" w:eastAsia="Calibri" w:hAnsi="Arial" w:cs="Arial"/>
          <w:sz w:val="24"/>
          <w:szCs w:val="24"/>
        </w:rPr>
        <w:t>with</w:t>
      </w:r>
      <w:r w:rsidRPr="00F645E4">
        <w:rPr>
          <w:rFonts w:ascii="Arial" w:eastAsia="Calibri" w:hAnsi="Arial" w:cs="Arial"/>
          <w:sz w:val="24"/>
          <w:szCs w:val="24"/>
        </w:rPr>
        <w:t xml:space="preserve"> none of these stakeholders could </w:t>
      </w:r>
      <w:r w:rsidR="00740A19" w:rsidRPr="00F645E4">
        <w:rPr>
          <w:rFonts w:ascii="Arial" w:eastAsia="Calibri" w:hAnsi="Arial" w:cs="Arial"/>
          <w:sz w:val="24"/>
          <w:szCs w:val="24"/>
        </w:rPr>
        <w:t>exert</w:t>
      </w:r>
      <w:r w:rsidRPr="00F645E4">
        <w:rPr>
          <w:rFonts w:ascii="Arial" w:eastAsia="Calibri" w:hAnsi="Arial" w:cs="Arial"/>
          <w:sz w:val="24"/>
          <w:szCs w:val="24"/>
        </w:rPr>
        <w:t xml:space="preserve"> the influence the model assumes they will. “University Administration” never reviewed our proposal with the power to approve or reject it. “Sponsors” never withheld or released a penny. The only person who genuinely had power over where this project went was our own lecturer, and she does</w:t>
      </w:r>
      <w:r w:rsidR="00E66023">
        <w:rPr>
          <w:rFonts w:ascii="Arial" w:eastAsia="Calibri" w:hAnsi="Arial" w:cs="Arial"/>
          <w:sz w:val="24"/>
          <w:szCs w:val="24"/>
        </w:rPr>
        <w:t xml:space="preserve"> not</w:t>
      </w:r>
      <w:r w:rsidRPr="00F645E4">
        <w:rPr>
          <w:rFonts w:ascii="Arial" w:eastAsia="Calibri" w:hAnsi="Arial" w:cs="Arial"/>
          <w:sz w:val="24"/>
          <w:szCs w:val="24"/>
        </w:rPr>
        <w:t xml:space="preserve"> appear anywhere on our matrix, despite being, as the ownership decision above shows, the single most influential figure in the entire process. That</w:t>
      </w:r>
      <w:r w:rsidR="00E66023">
        <w:rPr>
          <w:rFonts w:ascii="Arial" w:eastAsia="Calibri" w:hAnsi="Arial" w:cs="Arial"/>
          <w:sz w:val="24"/>
          <w:szCs w:val="24"/>
        </w:rPr>
        <w:t xml:space="preserve"> is</w:t>
      </w:r>
      <w:r w:rsidRPr="00F645E4">
        <w:rPr>
          <w:rFonts w:ascii="Arial" w:eastAsia="Calibri" w:hAnsi="Arial" w:cs="Arial"/>
          <w:sz w:val="24"/>
          <w:szCs w:val="24"/>
        </w:rPr>
        <w:t xml:space="preserve"> not a small thing to miss.</w:t>
      </w:r>
      <w:r w:rsidR="00740A19">
        <w:rPr>
          <w:rFonts w:ascii="Arial" w:eastAsia="Calibri" w:hAnsi="Arial" w:cs="Arial"/>
          <w:sz w:val="24"/>
          <w:szCs w:val="24"/>
        </w:rPr>
        <w:t xml:space="preserve"> </w:t>
      </w:r>
      <w:r w:rsidRPr="00F645E4">
        <w:rPr>
          <w:rFonts w:ascii="Arial" w:eastAsia="Calibri" w:hAnsi="Arial" w:cs="Arial"/>
          <w:sz w:val="24"/>
          <w:szCs w:val="24"/>
        </w:rPr>
        <w:t>It points to a real limitation in applying Mendelow's matrix to an academic simulation like ours: in a hypothetical project, the most powerful person in the room is the one marking it, and that</w:t>
      </w:r>
      <w:r w:rsidR="00E66023">
        <w:rPr>
          <w:rFonts w:ascii="Arial" w:eastAsia="Calibri" w:hAnsi="Arial" w:cs="Arial"/>
          <w:sz w:val="24"/>
          <w:szCs w:val="24"/>
        </w:rPr>
        <w:t xml:space="preserve"> i</w:t>
      </w:r>
      <w:r w:rsidRPr="00F645E4">
        <w:rPr>
          <w:rFonts w:ascii="Arial" w:eastAsia="Calibri" w:hAnsi="Arial" w:cs="Arial"/>
          <w:sz w:val="24"/>
          <w:szCs w:val="24"/>
        </w:rPr>
        <w:t>s not a role the model was ever built to anticipate (Nguyen and Mohamed, 2021; Petrescu-Mag et al., 2025). Eskerod and Jepsen (2013) argue that stakeholder engagement should be an ongoing, evolving process rather than something done once and filed away, and recent empirical work on stakeholder mapping backs this up, finding that stakeholders' position on the grid is not fixed but shifts as a project moves along (Chiwala, Makasa and Zulu, 2025). Our own experience fits that pattern: if we</w:t>
      </w:r>
      <w:r w:rsidR="00E66023">
        <w:rPr>
          <w:rFonts w:ascii="Arial" w:eastAsia="Calibri" w:hAnsi="Arial" w:cs="Arial"/>
          <w:sz w:val="24"/>
          <w:szCs w:val="24"/>
        </w:rPr>
        <w:t xml:space="preserve"> ha</w:t>
      </w:r>
      <w:r w:rsidRPr="00F645E4">
        <w:rPr>
          <w:rFonts w:ascii="Arial" w:eastAsia="Calibri" w:hAnsi="Arial" w:cs="Arial"/>
          <w:sz w:val="24"/>
          <w:szCs w:val="24"/>
        </w:rPr>
        <w:t>d gone back to our matrix after the ownership conversation, we probably would have spotted our lecturer's real authority earlier and raised the governance question ourselves, instead of only reacting to it once it was raised for us. In our view, treating the matrix as a one-off exercise rather than something to keep revisiting is one of the clearer weaknesses in how we used stakeholder analysis, more than any flaw in the model itself.</w:t>
      </w:r>
    </w:p>
    <w:p w14:paraId="6A278F38" w14:textId="77777777" w:rsidR="00F645E4" w:rsidRDefault="00F645E4" w:rsidP="00F645E4">
      <w:pPr>
        <w:pStyle w:val="Heading1"/>
        <w:spacing w:before="300" w:after="150"/>
        <w:rPr>
          <w:rFonts w:ascii="Arial" w:eastAsia="Calibri" w:hAnsi="Arial" w:cs="Arial"/>
          <w:b/>
          <w:bCs/>
          <w:color w:val="1F3864"/>
          <w:sz w:val="24"/>
          <w:szCs w:val="24"/>
        </w:rPr>
      </w:pPr>
    </w:p>
    <w:p w14:paraId="0F93CC8C" w14:textId="22EC9BF3" w:rsidR="00F645E4" w:rsidRPr="00740A19" w:rsidRDefault="00F645E4" w:rsidP="00F645E4">
      <w:pPr>
        <w:pStyle w:val="Heading1"/>
        <w:spacing w:before="300" w:after="150"/>
        <w:rPr>
          <w:rFonts w:ascii="Arial" w:eastAsia="Times New Roman" w:hAnsi="Arial" w:cs="Arial"/>
          <w:color w:val="2E74B5"/>
          <w:sz w:val="28"/>
          <w:szCs w:val="28"/>
        </w:rPr>
      </w:pPr>
      <w:bookmarkStart w:id="9" w:name="_Toc234430513"/>
      <w:r w:rsidRPr="00740A19">
        <w:rPr>
          <w:rFonts w:ascii="Arial" w:eastAsia="Calibri" w:hAnsi="Arial" w:cs="Arial"/>
          <w:b/>
          <w:bCs/>
          <w:color w:val="1F3864"/>
          <w:sz w:val="28"/>
          <w:szCs w:val="28"/>
        </w:rPr>
        <w:t>4.0 Recommendations for Future Project Management</w:t>
      </w:r>
      <w:bookmarkEnd w:id="9"/>
    </w:p>
    <w:p w14:paraId="69BF8485" w14:textId="4F2E9E44" w:rsidR="00740A19" w:rsidRDefault="00F645E4" w:rsidP="00740A19">
      <w:pPr>
        <w:spacing w:after="200" w:line="360" w:lineRule="auto"/>
        <w:ind w:firstLine="720"/>
        <w:jc w:val="both"/>
        <w:rPr>
          <w:rFonts w:ascii="Arial" w:eastAsia="Calibri" w:hAnsi="Arial" w:cs="Arial"/>
          <w:sz w:val="24"/>
          <w:szCs w:val="24"/>
        </w:rPr>
      </w:pPr>
      <w:r w:rsidRPr="00F645E4">
        <w:rPr>
          <w:rFonts w:ascii="Arial" w:eastAsia="Calibri" w:hAnsi="Arial" w:cs="Arial"/>
          <w:sz w:val="24"/>
          <w:szCs w:val="24"/>
        </w:rPr>
        <w:t>If Attend-X ever moved past the proposal stage, three things would need to change. Stakeholder mapping should</w:t>
      </w:r>
      <w:r w:rsidR="00E66023">
        <w:rPr>
          <w:rFonts w:ascii="Arial" w:eastAsia="Calibri" w:hAnsi="Arial" w:cs="Arial"/>
          <w:sz w:val="24"/>
          <w:szCs w:val="24"/>
        </w:rPr>
        <w:t xml:space="preserve"> not</w:t>
      </w:r>
      <w:r w:rsidRPr="00F645E4">
        <w:rPr>
          <w:rFonts w:ascii="Arial" w:eastAsia="Calibri" w:hAnsi="Arial" w:cs="Arial"/>
          <w:sz w:val="24"/>
          <w:szCs w:val="24"/>
        </w:rPr>
        <w:t xml:space="preserve"> be fixed at the start and left alone; it needs revisiting at every major milestone, and it needs to include whoever actually holds authority over the project, even if that feels strange in an academic context, since here that means naming the assessor as a stakeholder (Eskerod and Jepsen, 2013). </w:t>
      </w:r>
    </w:p>
    <w:p w14:paraId="3F0A7356" w14:textId="77777777" w:rsidR="00740A19" w:rsidRDefault="00740A19">
      <w:pPr>
        <w:spacing w:after="160" w:line="278" w:lineRule="auto"/>
        <w:rPr>
          <w:rFonts w:ascii="Arial" w:eastAsia="Calibri" w:hAnsi="Arial" w:cs="Arial"/>
          <w:sz w:val="24"/>
          <w:szCs w:val="24"/>
        </w:rPr>
      </w:pPr>
      <w:r>
        <w:rPr>
          <w:rFonts w:ascii="Arial" w:eastAsia="Calibri" w:hAnsi="Arial" w:cs="Arial"/>
          <w:sz w:val="24"/>
          <w:szCs w:val="24"/>
        </w:rPr>
        <w:br w:type="page"/>
      </w:r>
    </w:p>
    <w:p w14:paraId="3B594F84" w14:textId="75E0B3BF" w:rsidR="00F645E4" w:rsidRDefault="00F645E4" w:rsidP="00F645E4">
      <w:pPr>
        <w:spacing w:after="200" w:line="360" w:lineRule="auto"/>
        <w:jc w:val="both"/>
        <w:rPr>
          <w:rFonts w:ascii="Arial" w:eastAsia="Calibri" w:hAnsi="Arial" w:cs="Arial"/>
          <w:sz w:val="24"/>
          <w:szCs w:val="24"/>
        </w:rPr>
      </w:pPr>
      <w:r w:rsidRPr="00F645E4">
        <w:rPr>
          <w:rFonts w:ascii="Arial" w:eastAsia="Calibri" w:hAnsi="Arial" w:cs="Arial"/>
          <w:sz w:val="24"/>
          <w:szCs w:val="24"/>
        </w:rPr>
        <w:lastRenderedPageBreak/>
        <w:t>Risk and budget also should</w:t>
      </w:r>
      <w:r w:rsidR="00E66023">
        <w:rPr>
          <w:rFonts w:ascii="Arial" w:eastAsia="Calibri" w:hAnsi="Arial" w:cs="Arial"/>
          <w:sz w:val="24"/>
          <w:szCs w:val="24"/>
        </w:rPr>
        <w:t xml:space="preserve"> not </w:t>
      </w:r>
      <w:r w:rsidRPr="00F645E4">
        <w:rPr>
          <w:rFonts w:ascii="Arial" w:eastAsia="Calibri" w:hAnsi="Arial" w:cs="Arial"/>
          <w:sz w:val="24"/>
          <w:szCs w:val="24"/>
        </w:rPr>
        <w:t>be treated as separate steps done one after the other: our fraud-risk rating and our contingency decision were made almost independently of each other, when really the severity of a risk should shape how much of a financial buffer it gets (Cox, 2008). And probably the biggest change: any real next step means giving up the idea that time and scope are things we get to set ourselves. An actual implementation would mean dealing with a real IT department, real data protection requirements and a real funding body, and that</w:t>
      </w:r>
      <w:r w:rsidR="00E66023">
        <w:rPr>
          <w:rFonts w:ascii="Arial" w:eastAsia="Calibri" w:hAnsi="Arial" w:cs="Arial"/>
          <w:sz w:val="24"/>
          <w:szCs w:val="24"/>
        </w:rPr>
        <w:t xml:space="preserve"> i</w:t>
      </w:r>
      <w:r w:rsidRPr="00F645E4">
        <w:rPr>
          <w:rFonts w:ascii="Arial" w:eastAsia="Calibri" w:hAnsi="Arial" w:cs="Arial"/>
          <w:sz w:val="24"/>
          <w:szCs w:val="24"/>
        </w:rPr>
        <w:t>s the point where the Iron Triangle would, for the first time, involve trade-offs we do</w:t>
      </w:r>
      <w:r w:rsidR="00E66023">
        <w:rPr>
          <w:rFonts w:ascii="Arial" w:eastAsia="Calibri" w:hAnsi="Arial" w:cs="Arial"/>
          <w:sz w:val="24"/>
          <w:szCs w:val="24"/>
        </w:rPr>
        <w:t xml:space="preserve"> not</w:t>
      </w:r>
      <w:r w:rsidRPr="00F645E4">
        <w:rPr>
          <w:rFonts w:ascii="Arial" w:eastAsia="Calibri" w:hAnsi="Arial" w:cs="Arial"/>
          <w:sz w:val="24"/>
          <w:szCs w:val="24"/>
        </w:rPr>
        <w:t xml:space="preserve"> get to control (</w:t>
      </w:r>
      <w:proofErr w:type="spellStart"/>
      <w:r w:rsidRPr="00F645E4">
        <w:rPr>
          <w:rFonts w:ascii="Arial" w:eastAsia="Calibri" w:hAnsi="Arial" w:cs="Arial"/>
          <w:sz w:val="24"/>
          <w:szCs w:val="24"/>
        </w:rPr>
        <w:t>Gemino</w:t>
      </w:r>
      <w:proofErr w:type="spellEnd"/>
      <w:r w:rsidRPr="00F645E4">
        <w:rPr>
          <w:rFonts w:ascii="Arial" w:eastAsia="Calibri" w:hAnsi="Arial" w:cs="Arial"/>
          <w:sz w:val="24"/>
          <w:szCs w:val="24"/>
        </w:rPr>
        <w:t xml:space="preserve">, Horner Reich and </w:t>
      </w:r>
      <w:proofErr w:type="spellStart"/>
      <w:r w:rsidRPr="00F645E4">
        <w:rPr>
          <w:rFonts w:ascii="Arial" w:eastAsia="Calibri" w:hAnsi="Arial" w:cs="Arial"/>
          <w:sz w:val="24"/>
          <w:szCs w:val="24"/>
        </w:rPr>
        <w:t>Serrador</w:t>
      </w:r>
      <w:proofErr w:type="spellEnd"/>
      <w:r w:rsidRPr="00F645E4">
        <w:rPr>
          <w:rFonts w:ascii="Arial" w:eastAsia="Calibri" w:hAnsi="Arial" w:cs="Arial"/>
          <w:sz w:val="24"/>
          <w:szCs w:val="24"/>
        </w:rPr>
        <w:t xml:space="preserve">, 2021). </w:t>
      </w:r>
      <w:r w:rsidR="00740A19">
        <w:rPr>
          <w:rFonts w:ascii="Arial" w:eastAsia="Calibri" w:hAnsi="Arial" w:cs="Arial"/>
          <w:sz w:val="24"/>
          <w:szCs w:val="24"/>
        </w:rPr>
        <w:t xml:space="preserve"> </w:t>
      </w:r>
      <w:r w:rsidRPr="00F645E4">
        <w:rPr>
          <w:rFonts w:ascii="Arial" w:eastAsia="Calibri" w:hAnsi="Arial" w:cs="Arial"/>
          <w:sz w:val="24"/>
          <w:szCs w:val="24"/>
        </w:rPr>
        <w:t xml:space="preserve">A hybrid approach, keeping a more traditional structure for approvals but testing the prototype in an agile, iterative way (Mirzaei, Mabin and </w:t>
      </w:r>
      <w:proofErr w:type="spellStart"/>
      <w:r w:rsidRPr="00F645E4">
        <w:rPr>
          <w:rFonts w:ascii="Arial" w:eastAsia="Calibri" w:hAnsi="Arial" w:cs="Arial"/>
          <w:sz w:val="24"/>
          <w:szCs w:val="24"/>
        </w:rPr>
        <w:t>Zwikael</w:t>
      </w:r>
      <w:proofErr w:type="spellEnd"/>
      <w:r w:rsidRPr="00F645E4">
        <w:rPr>
          <w:rFonts w:ascii="Arial" w:eastAsia="Calibri" w:hAnsi="Arial" w:cs="Arial"/>
          <w:sz w:val="24"/>
          <w:szCs w:val="24"/>
        </w:rPr>
        <w:t>, 2025; Dinis, Ribeiro and Tereso, 2021), would probably suit a live pilot better than the straight WBS</w:t>
      </w:r>
      <w:r w:rsidR="00E66023">
        <w:rPr>
          <w:rFonts w:ascii="Arial" w:eastAsia="Calibri" w:hAnsi="Arial" w:cs="Arial"/>
          <w:sz w:val="24"/>
          <w:szCs w:val="24"/>
        </w:rPr>
        <w:t xml:space="preserve"> </w:t>
      </w:r>
      <w:r w:rsidRPr="00F645E4">
        <w:rPr>
          <w:rFonts w:ascii="Arial" w:eastAsia="Calibri" w:hAnsi="Arial" w:cs="Arial"/>
          <w:sz w:val="24"/>
          <w:szCs w:val="24"/>
        </w:rPr>
        <w:t>and</w:t>
      </w:r>
      <w:r w:rsidR="00E66023">
        <w:rPr>
          <w:rFonts w:ascii="Arial" w:eastAsia="Calibri" w:hAnsi="Arial" w:cs="Arial"/>
          <w:sz w:val="24"/>
          <w:szCs w:val="24"/>
        </w:rPr>
        <w:t xml:space="preserve"> </w:t>
      </w:r>
      <w:r w:rsidRPr="00F645E4">
        <w:rPr>
          <w:rFonts w:ascii="Arial" w:eastAsia="Calibri" w:hAnsi="Arial" w:cs="Arial"/>
          <w:sz w:val="24"/>
          <w:szCs w:val="24"/>
        </w:rPr>
        <w:t>Gantt approach we used here.</w:t>
      </w:r>
    </w:p>
    <w:p w14:paraId="45191B8B" w14:textId="77777777" w:rsidR="00F645E4" w:rsidRDefault="00F645E4" w:rsidP="00F645E4">
      <w:pPr>
        <w:spacing w:after="200" w:line="360" w:lineRule="auto"/>
        <w:jc w:val="both"/>
        <w:rPr>
          <w:rFonts w:ascii="Arial" w:eastAsia="Calibri" w:hAnsi="Arial" w:cs="Arial"/>
          <w:sz w:val="24"/>
          <w:szCs w:val="24"/>
        </w:rPr>
      </w:pPr>
    </w:p>
    <w:p w14:paraId="049FE219" w14:textId="6C4C45A7" w:rsidR="00F645E4" w:rsidRPr="00740A19" w:rsidRDefault="00F645E4" w:rsidP="00F645E4">
      <w:pPr>
        <w:spacing w:after="200" w:line="360" w:lineRule="auto"/>
        <w:jc w:val="both"/>
        <w:rPr>
          <w:rFonts w:ascii="Arial" w:hAnsi="Arial" w:cs="Arial"/>
          <w:sz w:val="28"/>
          <w:szCs w:val="28"/>
        </w:rPr>
      </w:pPr>
      <w:r w:rsidRPr="00740A19">
        <w:rPr>
          <w:rFonts w:ascii="Arial" w:eastAsia="Calibri" w:hAnsi="Arial" w:cs="Arial"/>
          <w:b/>
          <w:bCs/>
          <w:color w:val="1F3864"/>
          <w:sz w:val="28"/>
          <w:szCs w:val="28"/>
        </w:rPr>
        <w:t>5.0 Conclusion</w:t>
      </w:r>
    </w:p>
    <w:p w14:paraId="04B180CC" w14:textId="290C5FEA" w:rsidR="00F645E4" w:rsidRPr="00F645E4" w:rsidRDefault="00F645E4" w:rsidP="00740A19">
      <w:pPr>
        <w:spacing w:after="200" w:line="360" w:lineRule="auto"/>
        <w:ind w:firstLine="720"/>
        <w:jc w:val="both"/>
        <w:rPr>
          <w:rFonts w:ascii="Arial" w:hAnsi="Arial" w:cs="Arial"/>
          <w:sz w:val="24"/>
          <w:szCs w:val="24"/>
        </w:rPr>
      </w:pPr>
      <w:r w:rsidRPr="00F645E4">
        <w:rPr>
          <w:rFonts w:ascii="Arial" w:eastAsia="Calibri" w:hAnsi="Arial" w:cs="Arial"/>
          <w:sz w:val="24"/>
          <w:szCs w:val="24"/>
        </w:rPr>
        <w:t>Attend-X showed that we could work through the full sequence of project management tools taught on this module: scoping, WBS, Gantt scheduling, the Iron Triangle, risk matrices, budgeting, stakeholder mapping. What it showed us more usefully is where those tools work differently in a low-stakes, hypothetical setting than the textbooks assume. We did</w:t>
      </w:r>
      <w:r w:rsidR="006F68AB">
        <w:rPr>
          <w:rFonts w:ascii="Arial" w:eastAsia="Calibri" w:hAnsi="Arial" w:cs="Arial"/>
          <w:sz w:val="24"/>
          <w:szCs w:val="24"/>
        </w:rPr>
        <w:t xml:space="preserve"> not </w:t>
      </w:r>
      <w:r w:rsidRPr="00F645E4">
        <w:rPr>
          <w:rFonts w:ascii="Arial" w:eastAsia="Calibri" w:hAnsi="Arial" w:cs="Arial"/>
          <w:sz w:val="24"/>
          <w:szCs w:val="24"/>
        </w:rPr>
        <w:t>face real constraints, our stakeholders could</w:t>
      </w:r>
      <w:r w:rsidR="006F68AB">
        <w:rPr>
          <w:rFonts w:ascii="Arial" w:eastAsia="Calibri" w:hAnsi="Arial" w:cs="Arial"/>
          <w:sz w:val="24"/>
          <w:szCs w:val="24"/>
        </w:rPr>
        <w:t xml:space="preserve"> not</w:t>
      </w:r>
      <w:r w:rsidRPr="00F645E4">
        <w:rPr>
          <w:rFonts w:ascii="Arial" w:eastAsia="Calibri" w:hAnsi="Arial" w:cs="Arial"/>
          <w:sz w:val="24"/>
          <w:szCs w:val="24"/>
        </w:rPr>
        <w:t xml:space="preserve"> really push back, and we only caught a major governance issue because someone outside the team forced the question. Going back to our original questions: the tools were good at teaching us the mechanics, less good at teaching us what happens when those mechanics meet actual consequences. Our group dynamics were shaped less by conflict and more by a willingness to go back and change something once someone challenged it. And if there</w:t>
      </w:r>
      <w:r w:rsidR="006F68AB">
        <w:rPr>
          <w:rFonts w:ascii="Arial" w:eastAsia="Calibri" w:hAnsi="Arial" w:cs="Arial"/>
          <w:sz w:val="24"/>
          <w:szCs w:val="24"/>
        </w:rPr>
        <w:t xml:space="preserve"> i</w:t>
      </w:r>
      <w:r w:rsidRPr="00F645E4">
        <w:rPr>
          <w:rFonts w:ascii="Arial" w:eastAsia="Calibri" w:hAnsi="Arial" w:cs="Arial"/>
          <w:sz w:val="24"/>
          <w:szCs w:val="24"/>
        </w:rPr>
        <w:t>s one improvement we</w:t>
      </w:r>
      <w:r w:rsidR="006F68AB">
        <w:rPr>
          <w:rFonts w:ascii="Arial" w:eastAsia="Calibri" w:hAnsi="Arial" w:cs="Arial"/>
          <w:sz w:val="24"/>
          <w:szCs w:val="24"/>
        </w:rPr>
        <w:t xml:space="preserve"> woul</w:t>
      </w:r>
      <w:r w:rsidRPr="00F645E4">
        <w:rPr>
          <w:rFonts w:ascii="Arial" w:eastAsia="Calibri" w:hAnsi="Arial" w:cs="Arial"/>
          <w:sz w:val="24"/>
          <w:szCs w:val="24"/>
        </w:rPr>
        <w:t>d make for next time, it</w:t>
      </w:r>
      <w:r w:rsidR="006F68AB">
        <w:rPr>
          <w:rFonts w:ascii="Arial" w:eastAsia="Calibri" w:hAnsi="Arial" w:cs="Arial"/>
          <w:sz w:val="24"/>
          <w:szCs w:val="24"/>
        </w:rPr>
        <w:t xml:space="preserve"> i</w:t>
      </w:r>
      <w:r w:rsidRPr="00F645E4">
        <w:rPr>
          <w:rFonts w:ascii="Arial" w:eastAsia="Calibri" w:hAnsi="Arial" w:cs="Arial"/>
          <w:sz w:val="24"/>
          <w:szCs w:val="24"/>
        </w:rPr>
        <w:t>s treating every tool we use as something to keep checking and revising, rather than something you finish once and move on from.</w:t>
      </w:r>
    </w:p>
    <w:p w14:paraId="28A6CFED" w14:textId="77777777" w:rsidR="00F645E4" w:rsidRPr="00F645E4" w:rsidRDefault="00F645E4" w:rsidP="00F645E4">
      <w:pPr>
        <w:rPr>
          <w:rFonts w:ascii="Arial" w:hAnsi="Arial" w:cs="Arial"/>
          <w:sz w:val="24"/>
          <w:szCs w:val="24"/>
        </w:rPr>
      </w:pPr>
      <w:r w:rsidRPr="00F645E4">
        <w:rPr>
          <w:rFonts w:ascii="Arial" w:hAnsi="Arial" w:cs="Arial"/>
          <w:sz w:val="24"/>
          <w:szCs w:val="24"/>
        </w:rPr>
        <w:br w:type="page"/>
      </w:r>
    </w:p>
    <w:p w14:paraId="22838B52" w14:textId="77777777" w:rsidR="00F645E4" w:rsidRPr="00740A19" w:rsidRDefault="00F645E4" w:rsidP="00F645E4">
      <w:pPr>
        <w:pStyle w:val="Heading1"/>
        <w:spacing w:before="300" w:after="150"/>
        <w:rPr>
          <w:rFonts w:ascii="Arial" w:hAnsi="Arial" w:cs="Arial"/>
          <w:sz w:val="28"/>
          <w:szCs w:val="28"/>
        </w:rPr>
      </w:pPr>
      <w:bookmarkStart w:id="10" w:name="_Toc234430514"/>
      <w:r w:rsidRPr="00740A19">
        <w:rPr>
          <w:rFonts w:ascii="Arial" w:eastAsia="Calibri" w:hAnsi="Arial" w:cs="Arial"/>
          <w:b/>
          <w:bCs/>
          <w:color w:val="1F3864"/>
          <w:sz w:val="28"/>
          <w:szCs w:val="28"/>
        </w:rPr>
        <w:lastRenderedPageBreak/>
        <w:t>References</w:t>
      </w:r>
      <w:bookmarkEnd w:id="10"/>
    </w:p>
    <w:p w14:paraId="2B84828F"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Buhmann, K., Fonseca, A., Andrews, N. and Amatulli, G. (eds.) (2024) The Routledge Handbook on Meaningful Stakeholder Engagement. Abingdon: Routledge. </w:t>
      </w:r>
      <w:hyperlink r:id="rId8" w:history="1">
        <w:r w:rsidRPr="00F645E4">
          <w:rPr>
            <w:rStyle w:val="Hyperlink"/>
            <w:rFonts w:ascii="Arial" w:eastAsia="Calibri" w:hAnsi="Arial" w:cs="Arial"/>
            <w:sz w:val="24"/>
            <w:szCs w:val="24"/>
          </w:rPr>
          <w:t>https://doi.org/10.4324/9781003388227</w:t>
        </w:r>
      </w:hyperlink>
    </w:p>
    <w:p w14:paraId="15918384" w14:textId="77777777" w:rsidR="00F645E4" w:rsidRPr="00F645E4" w:rsidRDefault="00F645E4" w:rsidP="00F645E4">
      <w:pPr>
        <w:spacing w:after="160" w:line="300" w:lineRule="auto"/>
        <w:ind w:left="360" w:hanging="360"/>
        <w:rPr>
          <w:rFonts w:ascii="Arial" w:hAnsi="Arial" w:cs="Arial"/>
          <w:sz w:val="24"/>
          <w:szCs w:val="24"/>
        </w:rPr>
      </w:pPr>
      <w:proofErr w:type="spellStart"/>
      <w:r w:rsidRPr="00F645E4">
        <w:rPr>
          <w:rFonts w:ascii="Arial" w:eastAsia="Calibri" w:hAnsi="Arial" w:cs="Arial"/>
          <w:sz w:val="24"/>
          <w:szCs w:val="24"/>
        </w:rPr>
        <w:t>Burghate</w:t>
      </w:r>
      <w:proofErr w:type="spellEnd"/>
      <w:r w:rsidRPr="00F645E4">
        <w:rPr>
          <w:rFonts w:ascii="Arial" w:eastAsia="Calibri" w:hAnsi="Arial" w:cs="Arial"/>
          <w:sz w:val="24"/>
          <w:szCs w:val="24"/>
        </w:rPr>
        <w:t>, M. (2018) 'Work breakdown structure: simplifying project management', International Journal of Commerce and Management Studies, 3(2), pp. 1–5.</w:t>
      </w:r>
    </w:p>
    <w:p w14:paraId="0A6F1115"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Chiwala, B., Makasa, M. and Zulu, J.M. (2025) 'Power and interest levels in safely managed sanitation services in Zambia: a stakeholder mapping', PLOS ONE, 20(11), e0335130. </w:t>
      </w:r>
      <w:hyperlink r:id="rId9" w:history="1">
        <w:r w:rsidRPr="00F645E4">
          <w:rPr>
            <w:rStyle w:val="Hyperlink"/>
            <w:rFonts w:ascii="Arial" w:eastAsia="Calibri" w:hAnsi="Arial" w:cs="Arial"/>
            <w:sz w:val="24"/>
            <w:szCs w:val="24"/>
          </w:rPr>
          <w:t>https://doi.org/10.1371/journal.pone.0335130</w:t>
        </w:r>
      </w:hyperlink>
    </w:p>
    <w:p w14:paraId="61EF19F5"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 xml:space="preserve">Clegg, S.R., </w:t>
      </w:r>
      <w:proofErr w:type="spellStart"/>
      <w:r w:rsidRPr="00F645E4">
        <w:rPr>
          <w:rFonts w:ascii="Arial" w:eastAsia="Calibri" w:hAnsi="Arial" w:cs="Arial"/>
          <w:sz w:val="24"/>
          <w:szCs w:val="24"/>
        </w:rPr>
        <w:t>Skyttermoen</w:t>
      </w:r>
      <w:proofErr w:type="spellEnd"/>
      <w:r w:rsidRPr="00F645E4">
        <w:rPr>
          <w:rFonts w:ascii="Arial" w:eastAsia="Calibri" w:hAnsi="Arial" w:cs="Arial"/>
          <w:sz w:val="24"/>
          <w:szCs w:val="24"/>
        </w:rPr>
        <w:t xml:space="preserve">, T. and </w:t>
      </w:r>
      <w:proofErr w:type="spellStart"/>
      <w:r w:rsidRPr="00F645E4">
        <w:rPr>
          <w:rFonts w:ascii="Arial" w:eastAsia="Calibri" w:hAnsi="Arial" w:cs="Arial"/>
          <w:sz w:val="24"/>
          <w:szCs w:val="24"/>
        </w:rPr>
        <w:t>Vaagaasar</w:t>
      </w:r>
      <w:proofErr w:type="spellEnd"/>
      <w:r w:rsidRPr="00F645E4">
        <w:rPr>
          <w:rFonts w:ascii="Arial" w:eastAsia="Calibri" w:hAnsi="Arial" w:cs="Arial"/>
          <w:sz w:val="24"/>
          <w:szCs w:val="24"/>
        </w:rPr>
        <w:t>, A.L. (2020) Project Management: A Value Creation Approach. London: Sage.</w:t>
      </w:r>
    </w:p>
    <w:p w14:paraId="2CC3C936"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Cox, L.A. (2008) 'What's wrong with risk matrices?', Risk Analysis, 28(2), pp. 497–512. </w:t>
      </w:r>
      <w:hyperlink r:id="rId10" w:history="1">
        <w:r w:rsidRPr="00F645E4">
          <w:rPr>
            <w:rStyle w:val="Hyperlink"/>
            <w:rFonts w:ascii="Arial" w:eastAsia="Calibri" w:hAnsi="Arial" w:cs="Arial"/>
            <w:sz w:val="24"/>
            <w:szCs w:val="24"/>
          </w:rPr>
          <w:t>https://doi.org/10.1111/j.1539-6924.2008.01030.x</w:t>
        </w:r>
      </w:hyperlink>
    </w:p>
    <w:p w14:paraId="6E0AE419"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Dinis, C., Ribeiro, P. and Tereso, A. (2021) 'A project management hybrid model of software development in an academic environment', in Rocha, Á., Adeli, H., Dzemyda, G., Moreira, F. and Ramalho Correia, A.M. (eds.) Trends and Applications in Information Systems and Technologies. Cham: Springer, pp. 116–125. </w:t>
      </w:r>
      <w:hyperlink r:id="rId11" w:history="1">
        <w:r w:rsidRPr="00F645E4">
          <w:rPr>
            <w:rStyle w:val="Hyperlink"/>
            <w:rFonts w:ascii="Arial" w:eastAsia="Calibri" w:hAnsi="Arial" w:cs="Arial"/>
            <w:sz w:val="24"/>
            <w:szCs w:val="24"/>
          </w:rPr>
          <w:t>https://doi.org/10.1007/978-3-030-72651-5_12</w:t>
        </w:r>
      </w:hyperlink>
    </w:p>
    <w:p w14:paraId="32DD77DD"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Eskerod, P. and Jepsen, A.L. (2013) Project Stakeholder Management. Farnham: Gower.</w:t>
      </w:r>
    </w:p>
    <w:p w14:paraId="754C1899"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Freeman, R.E. (1984) Strategic Management: A Stakeholder Approach. Boston: Pitman.</w:t>
      </w:r>
    </w:p>
    <w:p w14:paraId="03589215"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Geithner, S. and Menzel, D. (2016) 'Effectiveness of learning through experience and reflection in a project management simulation', Simulation &amp; Gaming, 47(2), pp. 228–256. </w:t>
      </w:r>
      <w:hyperlink r:id="rId12" w:history="1">
        <w:r w:rsidRPr="00F645E4">
          <w:rPr>
            <w:rStyle w:val="Hyperlink"/>
            <w:rFonts w:ascii="Arial" w:eastAsia="Calibri" w:hAnsi="Arial" w:cs="Arial"/>
            <w:sz w:val="24"/>
            <w:szCs w:val="24"/>
          </w:rPr>
          <w:t>https://doi.org/10.1177/1046878115624312</w:t>
        </w:r>
      </w:hyperlink>
    </w:p>
    <w:p w14:paraId="77E8E3B3" w14:textId="77777777" w:rsidR="00F645E4" w:rsidRPr="00F645E4" w:rsidRDefault="00F645E4" w:rsidP="00F645E4">
      <w:pPr>
        <w:spacing w:after="160" w:line="300" w:lineRule="auto"/>
        <w:ind w:left="360" w:hanging="360"/>
        <w:rPr>
          <w:rFonts w:ascii="Arial" w:eastAsia="Calibri" w:hAnsi="Arial" w:cs="Arial"/>
          <w:sz w:val="24"/>
          <w:szCs w:val="24"/>
        </w:rPr>
      </w:pPr>
      <w:proofErr w:type="spellStart"/>
      <w:r w:rsidRPr="00F645E4">
        <w:rPr>
          <w:rFonts w:ascii="Arial" w:eastAsia="Calibri" w:hAnsi="Arial" w:cs="Arial"/>
          <w:sz w:val="24"/>
          <w:szCs w:val="24"/>
        </w:rPr>
        <w:t>Gemino</w:t>
      </w:r>
      <w:proofErr w:type="spellEnd"/>
      <w:r w:rsidRPr="00F645E4">
        <w:rPr>
          <w:rFonts w:ascii="Arial" w:eastAsia="Calibri" w:hAnsi="Arial" w:cs="Arial"/>
          <w:sz w:val="24"/>
          <w:szCs w:val="24"/>
        </w:rPr>
        <w:t xml:space="preserve">, A., Horner Reich, B. and </w:t>
      </w:r>
      <w:proofErr w:type="spellStart"/>
      <w:r w:rsidRPr="00F645E4">
        <w:rPr>
          <w:rFonts w:ascii="Arial" w:eastAsia="Calibri" w:hAnsi="Arial" w:cs="Arial"/>
          <w:sz w:val="24"/>
          <w:szCs w:val="24"/>
        </w:rPr>
        <w:t>Serrador</w:t>
      </w:r>
      <w:proofErr w:type="spellEnd"/>
      <w:r w:rsidRPr="00F645E4">
        <w:rPr>
          <w:rFonts w:ascii="Arial" w:eastAsia="Calibri" w:hAnsi="Arial" w:cs="Arial"/>
          <w:sz w:val="24"/>
          <w:szCs w:val="24"/>
        </w:rPr>
        <w:t xml:space="preserve">, P.M. (2021) 'Agile, traditional, and hybrid approaches to project success: is hybrid a poor second choice?', Project Management Journal, 52(2), pp. 161–175. </w:t>
      </w:r>
      <w:hyperlink r:id="rId13" w:history="1">
        <w:r w:rsidRPr="00F645E4">
          <w:rPr>
            <w:rStyle w:val="Hyperlink"/>
            <w:rFonts w:ascii="Arial" w:eastAsia="Calibri" w:hAnsi="Arial" w:cs="Arial"/>
            <w:sz w:val="24"/>
            <w:szCs w:val="24"/>
          </w:rPr>
          <w:t>https://doi.org/10.1177/8756972820973082</w:t>
        </w:r>
      </w:hyperlink>
    </w:p>
    <w:p w14:paraId="3C745372"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 xml:space="preserve">Heagney, J. (2016) Fundamentals of Project Management. 5th </w:t>
      </w:r>
      <w:proofErr w:type="spellStart"/>
      <w:r w:rsidRPr="00F645E4">
        <w:rPr>
          <w:rFonts w:ascii="Arial" w:eastAsia="Calibri" w:hAnsi="Arial" w:cs="Arial"/>
          <w:sz w:val="24"/>
          <w:szCs w:val="24"/>
        </w:rPr>
        <w:t>edn</w:t>
      </w:r>
      <w:proofErr w:type="spellEnd"/>
      <w:r w:rsidRPr="00F645E4">
        <w:rPr>
          <w:rFonts w:ascii="Arial" w:eastAsia="Calibri" w:hAnsi="Arial" w:cs="Arial"/>
          <w:sz w:val="24"/>
          <w:szCs w:val="24"/>
        </w:rPr>
        <w:t>. New York: AMACOM.</w:t>
      </w:r>
    </w:p>
    <w:p w14:paraId="55B21B33" w14:textId="77777777" w:rsidR="00F645E4" w:rsidRPr="00F645E4" w:rsidRDefault="00F645E4" w:rsidP="00F645E4">
      <w:pPr>
        <w:spacing w:after="160" w:line="300" w:lineRule="auto"/>
        <w:ind w:left="360" w:hanging="360"/>
        <w:rPr>
          <w:rFonts w:ascii="Arial" w:hAnsi="Arial" w:cs="Arial"/>
          <w:sz w:val="24"/>
          <w:szCs w:val="24"/>
        </w:rPr>
      </w:pPr>
      <w:proofErr w:type="spellStart"/>
      <w:r w:rsidRPr="00F645E4">
        <w:rPr>
          <w:rFonts w:ascii="Arial" w:eastAsia="Calibri" w:hAnsi="Arial" w:cs="Arial"/>
          <w:sz w:val="24"/>
          <w:szCs w:val="24"/>
        </w:rPr>
        <w:t>Heerkens</w:t>
      </w:r>
      <w:proofErr w:type="spellEnd"/>
      <w:r w:rsidRPr="00F645E4">
        <w:rPr>
          <w:rFonts w:ascii="Arial" w:eastAsia="Calibri" w:hAnsi="Arial" w:cs="Arial"/>
          <w:sz w:val="24"/>
          <w:szCs w:val="24"/>
        </w:rPr>
        <w:t>, G. (2015) Project Management. New York: McGraw-Hill.</w:t>
      </w:r>
    </w:p>
    <w:p w14:paraId="2CCA44C0"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lastRenderedPageBreak/>
        <w:t>Hollister, S. (2017) Project Management: A Quick Start Beginners Guide for Easily Managing Projects the Right Way. CreateSpace Independent Publishing Platform.</w:t>
      </w:r>
    </w:p>
    <w:p w14:paraId="66BC4FB1"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Kidston, P., Haward, K. and Association for Project Management (2015) Planning, Scheduling, Monitoring and Control: The Practical Project Management of Time, Cost and Risk. Buckinghamshire: Association for Project Management.</w:t>
      </w:r>
    </w:p>
    <w:p w14:paraId="614A2040"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Maylor, H. and Turner, N. (2017) 'Understand, reduce, respond: project complexity management theory and practice', International Journal of Operations &amp; Production Management, 37(8), pp. 1076–1093. </w:t>
      </w:r>
      <w:hyperlink r:id="rId14" w:history="1">
        <w:r w:rsidRPr="00F645E4">
          <w:rPr>
            <w:rStyle w:val="Hyperlink"/>
            <w:rFonts w:ascii="Arial" w:eastAsia="Calibri" w:hAnsi="Arial" w:cs="Arial"/>
            <w:sz w:val="24"/>
            <w:szCs w:val="24"/>
          </w:rPr>
          <w:t>https://doi.org/10.1108/IJOPM-05-2016-0263</w:t>
        </w:r>
      </w:hyperlink>
    </w:p>
    <w:p w14:paraId="73C4271D"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Mendelow, A.L. (1991) 'Environmental scanning: the impact of the stakeholder concept', presented at the Second International Conference on Information Systems, Cambridge, MA.</w:t>
      </w:r>
    </w:p>
    <w:p w14:paraId="471D8B01"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 xml:space="preserve">Meredith, J.R. and Mantel, S.J. (2017) Project Management: A Managerial Approach. 9th </w:t>
      </w:r>
      <w:proofErr w:type="spellStart"/>
      <w:r w:rsidRPr="00F645E4">
        <w:rPr>
          <w:rFonts w:ascii="Arial" w:eastAsia="Calibri" w:hAnsi="Arial" w:cs="Arial"/>
          <w:sz w:val="24"/>
          <w:szCs w:val="24"/>
        </w:rPr>
        <w:t>edn</w:t>
      </w:r>
      <w:proofErr w:type="spellEnd"/>
      <w:r w:rsidRPr="00F645E4">
        <w:rPr>
          <w:rFonts w:ascii="Arial" w:eastAsia="Calibri" w:hAnsi="Arial" w:cs="Arial"/>
          <w:sz w:val="24"/>
          <w:szCs w:val="24"/>
        </w:rPr>
        <w:t>. Hoboken: John Wiley &amp; Sons.</w:t>
      </w:r>
    </w:p>
    <w:p w14:paraId="536A8EC9"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Mirzaei, M., Mabin, V.J. and </w:t>
      </w:r>
      <w:proofErr w:type="spellStart"/>
      <w:r w:rsidRPr="00F645E4">
        <w:rPr>
          <w:rFonts w:ascii="Arial" w:eastAsia="Calibri" w:hAnsi="Arial" w:cs="Arial"/>
          <w:sz w:val="24"/>
          <w:szCs w:val="24"/>
        </w:rPr>
        <w:t>Zwikael</w:t>
      </w:r>
      <w:proofErr w:type="spellEnd"/>
      <w:r w:rsidRPr="00F645E4">
        <w:rPr>
          <w:rFonts w:ascii="Arial" w:eastAsia="Calibri" w:hAnsi="Arial" w:cs="Arial"/>
          <w:sz w:val="24"/>
          <w:szCs w:val="24"/>
        </w:rPr>
        <w:t xml:space="preserve">, O. (2025) 'Customising hybrid project management methodologies', Production Planning &amp; Control, 36(9), pp. 1188–1205. </w:t>
      </w:r>
      <w:hyperlink r:id="rId15" w:history="1">
        <w:r w:rsidRPr="00F645E4">
          <w:rPr>
            <w:rStyle w:val="Hyperlink"/>
            <w:rFonts w:ascii="Arial" w:eastAsia="Calibri" w:hAnsi="Arial" w:cs="Arial"/>
            <w:sz w:val="24"/>
            <w:szCs w:val="24"/>
          </w:rPr>
          <w:t>https://doi.org/10.1080/09537287.2024.2349231</w:t>
        </w:r>
      </w:hyperlink>
    </w:p>
    <w:p w14:paraId="39F4A4AA"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Nadhan, A.S., </w:t>
      </w:r>
      <w:proofErr w:type="spellStart"/>
      <w:r w:rsidRPr="00F645E4">
        <w:rPr>
          <w:rFonts w:ascii="Arial" w:eastAsia="Calibri" w:hAnsi="Arial" w:cs="Arial"/>
          <w:sz w:val="24"/>
          <w:szCs w:val="24"/>
        </w:rPr>
        <w:t>Tukkoji</w:t>
      </w:r>
      <w:proofErr w:type="spellEnd"/>
      <w:r w:rsidRPr="00F645E4">
        <w:rPr>
          <w:rFonts w:ascii="Arial" w:eastAsia="Calibri" w:hAnsi="Arial" w:cs="Arial"/>
          <w:sz w:val="24"/>
          <w:szCs w:val="24"/>
        </w:rPr>
        <w:t xml:space="preserve">, C., Shyamala, B., Dayanand Lal, N., Sanjeev Kumar, A.N., Mohan Gowda, V., Adhoni, Z.A. and </w:t>
      </w:r>
      <w:proofErr w:type="spellStart"/>
      <w:r w:rsidRPr="00F645E4">
        <w:rPr>
          <w:rFonts w:ascii="Arial" w:eastAsia="Calibri" w:hAnsi="Arial" w:cs="Arial"/>
          <w:sz w:val="24"/>
          <w:szCs w:val="24"/>
        </w:rPr>
        <w:t>Endaweke</w:t>
      </w:r>
      <w:proofErr w:type="spellEnd"/>
      <w:r w:rsidRPr="00F645E4">
        <w:rPr>
          <w:rFonts w:ascii="Arial" w:eastAsia="Calibri" w:hAnsi="Arial" w:cs="Arial"/>
          <w:sz w:val="24"/>
          <w:szCs w:val="24"/>
        </w:rPr>
        <w:t xml:space="preserve">, M. (2022) 'Smart attendance monitoring technology for Industry 4.0', Journal of Nanomaterials, 2022(1), p. 4899768. </w:t>
      </w:r>
      <w:hyperlink r:id="rId16" w:history="1">
        <w:r w:rsidRPr="00F645E4">
          <w:rPr>
            <w:rStyle w:val="Hyperlink"/>
            <w:rFonts w:ascii="Arial" w:eastAsia="Calibri" w:hAnsi="Arial" w:cs="Arial"/>
            <w:sz w:val="24"/>
            <w:szCs w:val="24"/>
          </w:rPr>
          <w:t>https://doi.org/10.1155/2022/4899768</w:t>
        </w:r>
      </w:hyperlink>
    </w:p>
    <w:p w14:paraId="795DD9F5"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Nguyen, T.S. and Mohamed, S. (2021) 'Mediation effect of stakeholder management between stakeholder characteristics and project performance', Journal of Engineering, Project, and Production Management, 11(2), pp. 102–117. </w:t>
      </w:r>
      <w:hyperlink r:id="rId17" w:history="1">
        <w:r w:rsidRPr="00F645E4">
          <w:rPr>
            <w:rStyle w:val="Hyperlink"/>
            <w:rFonts w:ascii="Arial" w:eastAsia="Calibri" w:hAnsi="Arial" w:cs="Arial"/>
            <w:sz w:val="24"/>
            <w:szCs w:val="24"/>
          </w:rPr>
          <w:t>https://doi.org/10.2478/jeppm-2021-0011</w:t>
        </w:r>
      </w:hyperlink>
    </w:p>
    <w:p w14:paraId="207F81CB"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Özsoy, T. and Sezgili, K. (2024) 'Exploring the current practices and future directions in project management education and training', SAGE Open, 14(1). </w:t>
      </w:r>
      <w:hyperlink r:id="rId18" w:history="1">
        <w:r w:rsidRPr="00F645E4">
          <w:rPr>
            <w:rStyle w:val="Hyperlink"/>
            <w:rFonts w:ascii="Arial" w:eastAsia="Calibri" w:hAnsi="Arial" w:cs="Arial"/>
            <w:sz w:val="24"/>
            <w:szCs w:val="24"/>
          </w:rPr>
          <w:t>https://doi.org/10.1177/21582440241236053</w:t>
        </w:r>
      </w:hyperlink>
    </w:p>
    <w:p w14:paraId="56A310E7"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Petrescu-Mag, R.M., Reti, K.O., Hartel, T., </w:t>
      </w:r>
      <w:proofErr w:type="spellStart"/>
      <w:r w:rsidRPr="00F645E4">
        <w:rPr>
          <w:rFonts w:ascii="Arial" w:eastAsia="Calibri" w:hAnsi="Arial" w:cs="Arial"/>
          <w:sz w:val="24"/>
          <w:szCs w:val="24"/>
        </w:rPr>
        <w:t>Bădărău</w:t>
      </w:r>
      <w:proofErr w:type="spellEnd"/>
      <w:r w:rsidRPr="00F645E4">
        <w:rPr>
          <w:rFonts w:ascii="Arial" w:eastAsia="Calibri" w:hAnsi="Arial" w:cs="Arial"/>
          <w:sz w:val="24"/>
          <w:szCs w:val="24"/>
        </w:rPr>
        <w:t xml:space="preserve">, A.S., </w:t>
      </w:r>
      <w:proofErr w:type="spellStart"/>
      <w:r w:rsidRPr="00F645E4">
        <w:rPr>
          <w:rFonts w:ascii="Arial" w:eastAsia="Calibri" w:hAnsi="Arial" w:cs="Arial"/>
          <w:sz w:val="24"/>
          <w:szCs w:val="24"/>
        </w:rPr>
        <w:t>Măcicaşan</w:t>
      </w:r>
      <w:proofErr w:type="spellEnd"/>
      <w:r w:rsidRPr="00F645E4">
        <w:rPr>
          <w:rFonts w:ascii="Arial" w:eastAsia="Calibri" w:hAnsi="Arial" w:cs="Arial"/>
          <w:sz w:val="24"/>
          <w:szCs w:val="24"/>
        </w:rPr>
        <w:t xml:space="preserve">, V. and Petrescu, D.C. (2025) 'A stakeholder analysis based on project managers' perceptions: unlocking transformative potential in Natura 2000 projects', Environmental Science &amp; Policy, 164, p. 104011. </w:t>
      </w:r>
      <w:hyperlink r:id="rId19" w:history="1">
        <w:r w:rsidRPr="00F645E4">
          <w:rPr>
            <w:rStyle w:val="Hyperlink"/>
            <w:rFonts w:ascii="Arial" w:eastAsia="Calibri" w:hAnsi="Arial" w:cs="Arial"/>
            <w:sz w:val="24"/>
            <w:szCs w:val="24"/>
          </w:rPr>
          <w:t>https://doi.org/10.1016/j.envsci.2025.104011</w:t>
        </w:r>
      </w:hyperlink>
    </w:p>
    <w:p w14:paraId="48CC44AF"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lastRenderedPageBreak/>
        <w:t xml:space="preserve">PMI (Project Management Institute) (2021) A Guide to the Project Management Body of Knowledge (PMBOK® Guide). 7th </w:t>
      </w:r>
      <w:proofErr w:type="spellStart"/>
      <w:r w:rsidRPr="00F645E4">
        <w:rPr>
          <w:rFonts w:ascii="Arial" w:eastAsia="Calibri" w:hAnsi="Arial" w:cs="Arial"/>
          <w:sz w:val="24"/>
          <w:szCs w:val="24"/>
        </w:rPr>
        <w:t>edn</w:t>
      </w:r>
      <w:proofErr w:type="spellEnd"/>
      <w:r w:rsidRPr="00F645E4">
        <w:rPr>
          <w:rFonts w:ascii="Arial" w:eastAsia="Calibri" w:hAnsi="Arial" w:cs="Arial"/>
          <w:sz w:val="24"/>
          <w:szCs w:val="24"/>
        </w:rPr>
        <w:t>. Newtown Square: Project Management Institute.</w:t>
      </w:r>
    </w:p>
    <w:p w14:paraId="5F73D473"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Reiss, G. (2015) Project Management Demystified. London: Routledge.</w:t>
      </w:r>
    </w:p>
    <w:p w14:paraId="79AA28AC"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Rud, N. (2022) 'Use of risk matrix in innovation project management', Economic Forum, 12(3), pp. 79–88. </w:t>
      </w:r>
      <w:hyperlink r:id="rId20" w:history="1">
        <w:r w:rsidRPr="00F645E4">
          <w:rPr>
            <w:rStyle w:val="Hyperlink"/>
            <w:rFonts w:ascii="Arial" w:eastAsia="Calibri" w:hAnsi="Arial" w:cs="Arial"/>
            <w:sz w:val="24"/>
            <w:szCs w:val="24"/>
          </w:rPr>
          <w:t>https://doi.org/10.36910/6775-2308-8559-2022-3-10</w:t>
        </w:r>
      </w:hyperlink>
    </w:p>
    <w:p w14:paraId="0FE75A14"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Sundar, R., Kumar, T.B., Vardhan, N.H., Reddy, K.K. and Devendra, A. (2025) 'Smart classroom for attendance monitoring and power conservation using machine learning and IoT', AIP Conference Proceedings, 3257(1), p. 020166. </w:t>
      </w:r>
      <w:hyperlink r:id="rId21" w:history="1">
        <w:r w:rsidRPr="00F645E4">
          <w:rPr>
            <w:rStyle w:val="Hyperlink"/>
            <w:rFonts w:ascii="Arial" w:eastAsia="Calibri" w:hAnsi="Arial" w:cs="Arial"/>
            <w:sz w:val="24"/>
            <w:szCs w:val="24"/>
          </w:rPr>
          <w:t>https://doi.org/10.1063/5.0264872</w:t>
        </w:r>
      </w:hyperlink>
    </w:p>
    <w:p w14:paraId="39777407" w14:textId="77777777" w:rsidR="00F645E4" w:rsidRPr="00F645E4" w:rsidRDefault="00F645E4" w:rsidP="00F645E4">
      <w:pPr>
        <w:spacing w:after="160" w:line="300" w:lineRule="auto"/>
        <w:ind w:left="360" w:hanging="360"/>
        <w:rPr>
          <w:rFonts w:ascii="Arial" w:hAnsi="Arial" w:cs="Arial"/>
          <w:sz w:val="24"/>
          <w:szCs w:val="24"/>
        </w:rPr>
      </w:pPr>
      <w:r w:rsidRPr="00F645E4">
        <w:rPr>
          <w:rFonts w:ascii="Arial" w:eastAsia="Calibri" w:hAnsi="Arial" w:cs="Arial"/>
          <w:sz w:val="24"/>
          <w:szCs w:val="24"/>
        </w:rPr>
        <w:t xml:space="preserve">Wysocki, R.K., Kaikini, S. and Sneed, R. (2014) Effective Project Management: Traditional, Agile, Extreme. 7th </w:t>
      </w:r>
      <w:proofErr w:type="spellStart"/>
      <w:r w:rsidRPr="00F645E4">
        <w:rPr>
          <w:rFonts w:ascii="Arial" w:eastAsia="Calibri" w:hAnsi="Arial" w:cs="Arial"/>
          <w:sz w:val="24"/>
          <w:szCs w:val="24"/>
        </w:rPr>
        <w:t>edn</w:t>
      </w:r>
      <w:proofErr w:type="spellEnd"/>
      <w:r w:rsidRPr="00F645E4">
        <w:rPr>
          <w:rFonts w:ascii="Arial" w:eastAsia="Calibri" w:hAnsi="Arial" w:cs="Arial"/>
          <w:sz w:val="24"/>
          <w:szCs w:val="24"/>
        </w:rPr>
        <w:t>. Indianapolis: Wiley.</w:t>
      </w:r>
    </w:p>
    <w:p w14:paraId="36AB0450" w14:textId="77777777" w:rsidR="00F645E4" w:rsidRPr="00F645E4" w:rsidRDefault="00F645E4" w:rsidP="00F645E4">
      <w:pPr>
        <w:spacing w:after="160" w:line="300" w:lineRule="auto"/>
        <w:ind w:left="360" w:hanging="360"/>
        <w:rPr>
          <w:rFonts w:ascii="Arial" w:eastAsia="Calibri" w:hAnsi="Arial" w:cs="Arial"/>
          <w:sz w:val="24"/>
          <w:szCs w:val="24"/>
        </w:rPr>
      </w:pPr>
      <w:r w:rsidRPr="00F645E4">
        <w:rPr>
          <w:rFonts w:ascii="Arial" w:eastAsia="Calibri" w:hAnsi="Arial" w:cs="Arial"/>
          <w:sz w:val="24"/>
          <w:szCs w:val="24"/>
        </w:rPr>
        <w:t xml:space="preserve">Zhao, M., Zhao, G. and Qu, M. (2022) 'A college smart classroom attendance management system based on internet of Things', Computational Intelligence and Neuroscience, 2022(1), p. 4953721. </w:t>
      </w:r>
      <w:hyperlink r:id="rId22" w:history="1">
        <w:r w:rsidRPr="00F645E4">
          <w:rPr>
            <w:rStyle w:val="Hyperlink"/>
            <w:rFonts w:ascii="Arial" w:eastAsia="Calibri" w:hAnsi="Arial" w:cs="Arial"/>
            <w:sz w:val="24"/>
            <w:szCs w:val="24"/>
          </w:rPr>
          <w:t>https://doi.org/10.1155/2022/4953721</w:t>
        </w:r>
      </w:hyperlink>
    </w:p>
    <w:p w14:paraId="59D14DBF" w14:textId="77777777" w:rsidR="00F645E4" w:rsidRPr="00F645E4" w:rsidRDefault="00F645E4" w:rsidP="00F645E4">
      <w:pPr>
        <w:spacing w:after="160" w:line="300" w:lineRule="auto"/>
        <w:ind w:left="360" w:hanging="360"/>
        <w:rPr>
          <w:rFonts w:ascii="Arial" w:hAnsi="Arial" w:cs="Arial"/>
          <w:sz w:val="24"/>
          <w:szCs w:val="24"/>
        </w:rPr>
      </w:pPr>
    </w:p>
    <w:p w14:paraId="03ED66A0" w14:textId="77777777" w:rsidR="00DD6DF8" w:rsidRPr="00F645E4" w:rsidRDefault="00DD6DF8">
      <w:pPr>
        <w:rPr>
          <w:rFonts w:ascii="Arial" w:hAnsi="Arial" w:cs="Arial"/>
        </w:rPr>
      </w:pPr>
    </w:p>
    <w:sectPr w:rsidR="00DD6DF8" w:rsidRPr="00F645E4">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2D5488" w14:textId="77777777" w:rsidR="009B1557" w:rsidRDefault="009B1557" w:rsidP="00740A19">
      <w:r>
        <w:separator/>
      </w:r>
    </w:p>
  </w:endnote>
  <w:endnote w:type="continuationSeparator" w:id="0">
    <w:p w14:paraId="41E9EA03" w14:textId="77777777" w:rsidR="009B1557" w:rsidRDefault="009B1557" w:rsidP="00740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40717434"/>
      <w:docPartObj>
        <w:docPartGallery w:val="Page Numbers (Bottom of Page)"/>
        <w:docPartUnique/>
      </w:docPartObj>
    </w:sdtPr>
    <w:sdtContent>
      <w:p w14:paraId="65904B34" w14:textId="3E56B257" w:rsidR="00740A19" w:rsidRDefault="00740A19" w:rsidP="008347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AA97DB" w14:textId="77777777" w:rsidR="00740A19" w:rsidRDefault="00740A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09337561"/>
      <w:docPartObj>
        <w:docPartGallery w:val="Page Numbers (Bottom of Page)"/>
        <w:docPartUnique/>
      </w:docPartObj>
    </w:sdtPr>
    <w:sdtContent>
      <w:p w14:paraId="018748CE" w14:textId="453088CF" w:rsidR="00740A19" w:rsidRDefault="00740A19" w:rsidP="008347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FA5478" w14:textId="77777777" w:rsidR="00740A19" w:rsidRDefault="00740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DAB16E2" w14:textId="77777777" w:rsidR="009B1557" w:rsidRDefault="009B1557" w:rsidP="00740A19">
      <w:r>
        <w:separator/>
      </w:r>
    </w:p>
  </w:footnote>
  <w:footnote w:type="continuationSeparator" w:id="0">
    <w:p w14:paraId="1E30985F" w14:textId="77777777" w:rsidR="009B1557" w:rsidRDefault="009B1557" w:rsidP="00740A19">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5E4"/>
    <w:rsid w:val="000071B9"/>
    <w:rsid w:val="001F383E"/>
    <w:rsid w:val="0069790D"/>
    <w:rsid w:val="006F68AB"/>
    <w:rsid w:val="00740A19"/>
    <w:rsid w:val="00767C7D"/>
    <w:rsid w:val="008B56CC"/>
    <w:rsid w:val="009B1557"/>
    <w:rsid w:val="00AB6184"/>
    <w:rsid w:val="00B948DF"/>
    <w:rsid w:val="00D22BE4"/>
    <w:rsid w:val="00DD6DF8"/>
    <w:rsid w:val="00E27ACA"/>
    <w:rsid w:val="00E66023"/>
    <w:rsid w:val="00F51183"/>
    <w:rsid w:val="00F645E4"/>
    <w:rsid w:val="00F74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0A980"/>
  <w15:chartTrackingRefBased/>
  <w15:docId w15:val="{40707387-CA4C-E940-ACF6-B40A7261A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5E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645E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645E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645E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645E4"/>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F645E4"/>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F645E4"/>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F645E4"/>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F645E4"/>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F645E4"/>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5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5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5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5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5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5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5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5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5E4"/>
    <w:rPr>
      <w:rFonts w:eastAsiaTheme="majorEastAsia" w:cstheme="majorBidi"/>
      <w:color w:val="272727" w:themeColor="text1" w:themeTint="D8"/>
    </w:rPr>
  </w:style>
  <w:style w:type="paragraph" w:styleId="Title">
    <w:name w:val="Title"/>
    <w:basedOn w:val="Normal"/>
    <w:next w:val="Normal"/>
    <w:link w:val="TitleChar"/>
    <w:uiPriority w:val="10"/>
    <w:qFormat/>
    <w:rsid w:val="00F645E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645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5E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645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5E4"/>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F645E4"/>
    <w:rPr>
      <w:i/>
      <w:iCs/>
      <w:color w:val="404040" w:themeColor="text1" w:themeTint="BF"/>
    </w:rPr>
  </w:style>
  <w:style w:type="paragraph" w:styleId="ListParagraph">
    <w:name w:val="List Paragraph"/>
    <w:basedOn w:val="Normal"/>
    <w:uiPriority w:val="34"/>
    <w:qFormat/>
    <w:rsid w:val="00F645E4"/>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F645E4"/>
    <w:rPr>
      <w:i/>
      <w:iCs/>
      <w:color w:val="0F4761" w:themeColor="accent1" w:themeShade="BF"/>
    </w:rPr>
  </w:style>
  <w:style w:type="paragraph" w:styleId="IntenseQuote">
    <w:name w:val="Intense Quote"/>
    <w:basedOn w:val="Normal"/>
    <w:next w:val="Normal"/>
    <w:link w:val="IntenseQuoteChar"/>
    <w:uiPriority w:val="30"/>
    <w:qFormat/>
    <w:rsid w:val="00F645E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F645E4"/>
    <w:rPr>
      <w:i/>
      <w:iCs/>
      <w:color w:val="0F4761" w:themeColor="accent1" w:themeShade="BF"/>
    </w:rPr>
  </w:style>
  <w:style w:type="character" w:styleId="IntenseReference">
    <w:name w:val="Intense Reference"/>
    <w:basedOn w:val="DefaultParagraphFont"/>
    <w:uiPriority w:val="32"/>
    <w:qFormat/>
    <w:rsid w:val="00F645E4"/>
    <w:rPr>
      <w:b/>
      <w:bCs/>
      <w:smallCaps/>
      <w:color w:val="0F4761" w:themeColor="accent1" w:themeShade="BF"/>
      <w:spacing w:val="5"/>
    </w:rPr>
  </w:style>
  <w:style w:type="character" w:styleId="Hyperlink">
    <w:name w:val="Hyperlink"/>
    <w:uiPriority w:val="99"/>
    <w:unhideWhenUsed/>
    <w:rsid w:val="00F645E4"/>
    <w:rPr>
      <w:color w:val="0563C1"/>
      <w:u w:val="single"/>
    </w:rPr>
  </w:style>
  <w:style w:type="paragraph" w:styleId="TOCHeading">
    <w:name w:val="TOC Heading"/>
    <w:basedOn w:val="Heading1"/>
    <w:next w:val="Normal"/>
    <w:uiPriority w:val="39"/>
    <w:unhideWhenUsed/>
    <w:qFormat/>
    <w:rsid w:val="00F645E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645E4"/>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F645E4"/>
    <w:pPr>
      <w:spacing w:before="120"/>
      <w:ind w:left="200"/>
    </w:pPr>
    <w:rPr>
      <w:rFonts w:asciiTheme="minorHAnsi" w:hAnsiTheme="minorHAnsi"/>
      <w:b/>
      <w:bCs/>
      <w:sz w:val="22"/>
      <w:szCs w:val="22"/>
    </w:rPr>
  </w:style>
  <w:style w:type="paragraph" w:styleId="TOC3">
    <w:name w:val="toc 3"/>
    <w:basedOn w:val="Normal"/>
    <w:next w:val="Normal"/>
    <w:autoRedefine/>
    <w:uiPriority w:val="39"/>
    <w:semiHidden/>
    <w:unhideWhenUsed/>
    <w:rsid w:val="00F645E4"/>
    <w:pPr>
      <w:ind w:left="400"/>
    </w:pPr>
    <w:rPr>
      <w:rFonts w:asciiTheme="minorHAnsi" w:hAnsiTheme="minorHAnsi"/>
    </w:rPr>
  </w:style>
  <w:style w:type="paragraph" w:styleId="TOC4">
    <w:name w:val="toc 4"/>
    <w:basedOn w:val="Normal"/>
    <w:next w:val="Normal"/>
    <w:autoRedefine/>
    <w:uiPriority w:val="39"/>
    <w:semiHidden/>
    <w:unhideWhenUsed/>
    <w:rsid w:val="00F645E4"/>
    <w:pPr>
      <w:ind w:left="600"/>
    </w:pPr>
    <w:rPr>
      <w:rFonts w:asciiTheme="minorHAnsi" w:hAnsiTheme="minorHAnsi"/>
    </w:rPr>
  </w:style>
  <w:style w:type="paragraph" w:styleId="TOC5">
    <w:name w:val="toc 5"/>
    <w:basedOn w:val="Normal"/>
    <w:next w:val="Normal"/>
    <w:autoRedefine/>
    <w:uiPriority w:val="39"/>
    <w:semiHidden/>
    <w:unhideWhenUsed/>
    <w:rsid w:val="00F645E4"/>
    <w:pPr>
      <w:ind w:left="800"/>
    </w:pPr>
    <w:rPr>
      <w:rFonts w:asciiTheme="minorHAnsi" w:hAnsiTheme="minorHAnsi"/>
    </w:rPr>
  </w:style>
  <w:style w:type="paragraph" w:styleId="TOC6">
    <w:name w:val="toc 6"/>
    <w:basedOn w:val="Normal"/>
    <w:next w:val="Normal"/>
    <w:autoRedefine/>
    <w:uiPriority w:val="39"/>
    <w:semiHidden/>
    <w:unhideWhenUsed/>
    <w:rsid w:val="00F645E4"/>
    <w:pPr>
      <w:ind w:left="1000"/>
    </w:pPr>
    <w:rPr>
      <w:rFonts w:asciiTheme="minorHAnsi" w:hAnsiTheme="minorHAnsi"/>
    </w:rPr>
  </w:style>
  <w:style w:type="paragraph" w:styleId="TOC7">
    <w:name w:val="toc 7"/>
    <w:basedOn w:val="Normal"/>
    <w:next w:val="Normal"/>
    <w:autoRedefine/>
    <w:uiPriority w:val="39"/>
    <w:semiHidden/>
    <w:unhideWhenUsed/>
    <w:rsid w:val="00F645E4"/>
    <w:pPr>
      <w:ind w:left="1200"/>
    </w:pPr>
    <w:rPr>
      <w:rFonts w:asciiTheme="minorHAnsi" w:hAnsiTheme="minorHAnsi"/>
    </w:rPr>
  </w:style>
  <w:style w:type="paragraph" w:styleId="TOC8">
    <w:name w:val="toc 8"/>
    <w:basedOn w:val="Normal"/>
    <w:next w:val="Normal"/>
    <w:autoRedefine/>
    <w:uiPriority w:val="39"/>
    <w:semiHidden/>
    <w:unhideWhenUsed/>
    <w:rsid w:val="00F645E4"/>
    <w:pPr>
      <w:ind w:left="1400"/>
    </w:pPr>
    <w:rPr>
      <w:rFonts w:asciiTheme="minorHAnsi" w:hAnsiTheme="minorHAnsi"/>
    </w:rPr>
  </w:style>
  <w:style w:type="paragraph" w:styleId="TOC9">
    <w:name w:val="toc 9"/>
    <w:basedOn w:val="Normal"/>
    <w:next w:val="Normal"/>
    <w:autoRedefine/>
    <w:uiPriority w:val="39"/>
    <w:semiHidden/>
    <w:unhideWhenUsed/>
    <w:rsid w:val="00F645E4"/>
    <w:pPr>
      <w:ind w:left="1600"/>
    </w:pPr>
    <w:rPr>
      <w:rFonts w:asciiTheme="minorHAnsi" w:hAnsiTheme="minorHAnsi"/>
    </w:rPr>
  </w:style>
  <w:style w:type="character" w:styleId="BookTitle">
    <w:name w:val="Book Title"/>
    <w:basedOn w:val="DefaultParagraphFont"/>
    <w:uiPriority w:val="33"/>
    <w:qFormat/>
    <w:rsid w:val="00740A19"/>
    <w:rPr>
      <w:b/>
      <w:bCs/>
      <w:i/>
      <w:iCs/>
      <w:spacing w:val="5"/>
    </w:rPr>
  </w:style>
  <w:style w:type="paragraph" w:styleId="Caption">
    <w:name w:val="caption"/>
    <w:basedOn w:val="Normal"/>
    <w:next w:val="Normal"/>
    <w:uiPriority w:val="35"/>
    <w:semiHidden/>
    <w:unhideWhenUsed/>
    <w:qFormat/>
    <w:rsid w:val="00740A19"/>
    <w:pPr>
      <w:spacing w:after="200"/>
    </w:pPr>
    <w:rPr>
      <w:i/>
      <w:iCs/>
      <w:color w:val="0E2841" w:themeColor="text2"/>
      <w:sz w:val="18"/>
      <w:szCs w:val="18"/>
    </w:rPr>
  </w:style>
  <w:style w:type="character" w:styleId="Emphasis">
    <w:name w:val="Emphasis"/>
    <w:basedOn w:val="DefaultParagraphFont"/>
    <w:uiPriority w:val="20"/>
    <w:qFormat/>
    <w:rsid w:val="00740A19"/>
    <w:rPr>
      <w:i/>
      <w:iCs/>
    </w:rPr>
  </w:style>
  <w:style w:type="paragraph" w:styleId="NoSpacing">
    <w:name w:val="No Spacing"/>
    <w:uiPriority w:val="1"/>
    <w:qFormat/>
    <w:rsid w:val="00740A19"/>
    <w:pPr>
      <w:spacing w:after="0" w:line="240" w:lineRule="auto"/>
    </w:pPr>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740A19"/>
    <w:rPr>
      <w:b/>
      <w:bCs/>
    </w:rPr>
  </w:style>
  <w:style w:type="character" w:styleId="SubtleEmphasis">
    <w:name w:val="Subtle Emphasis"/>
    <w:basedOn w:val="DefaultParagraphFont"/>
    <w:uiPriority w:val="19"/>
    <w:qFormat/>
    <w:rsid w:val="00740A19"/>
    <w:rPr>
      <w:i/>
      <w:iCs/>
      <w:color w:val="404040" w:themeColor="text1" w:themeTint="BF"/>
    </w:rPr>
  </w:style>
  <w:style w:type="character" w:styleId="SubtleReference">
    <w:name w:val="Subtle Reference"/>
    <w:basedOn w:val="DefaultParagraphFont"/>
    <w:uiPriority w:val="31"/>
    <w:qFormat/>
    <w:rsid w:val="00740A19"/>
    <w:rPr>
      <w:smallCaps/>
      <w:color w:val="5A5A5A" w:themeColor="text1" w:themeTint="A5"/>
    </w:rPr>
  </w:style>
  <w:style w:type="paragraph" w:styleId="Footer">
    <w:name w:val="footer"/>
    <w:basedOn w:val="Normal"/>
    <w:link w:val="FooterChar"/>
    <w:uiPriority w:val="99"/>
    <w:unhideWhenUsed/>
    <w:rsid w:val="00740A19"/>
    <w:pPr>
      <w:tabs>
        <w:tab w:val="center" w:pos="4513"/>
        <w:tab w:val="right" w:pos="9026"/>
      </w:tabs>
    </w:pPr>
  </w:style>
  <w:style w:type="character" w:customStyle="1" w:styleId="FooterChar">
    <w:name w:val="Footer Char"/>
    <w:basedOn w:val="DefaultParagraphFont"/>
    <w:link w:val="Footer"/>
    <w:uiPriority w:val="99"/>
    <w:rsid w:val="00740A19"/>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740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388227" TargetMode="External"/><Relationship Id="rId13" Type="http://schemas.openxmlformats.org/officeDocument/2006/relationships/hyperlink" Target="https://doi.org/10.1177/8756972820973082" TargetMode="External"/><Relationship Id="rId18" Type="http://schemas.openxmlformats.org/officeDocument/2006/relationships/hyperlink" Target="https://doi.org/10.1177/2158244024123605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63/5.0264872" TargetMode="External"/><Relationship Id="rId7" Type="http://schemas.openxmlformats.org/officeDocument/2006/relationships/image" Target="media/image1.png"/><Relationship Id="rId12" Type="http://schemas.openxmlformats.org/officeDocument/2006/relationships/hyperlink" Target="https://doi.org/10.1177/1046878115624312" TargetMode="External"/><Relationship Id="rId17" Type="http://schemas.openxmlformats.org/officeDocument/2006/relationships/hyperlink" Target="https://doi.org/10.2478/jeppm-2021-001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55/2022/4899768" TargetMode="External"/><Relationship Id="rId20" Type="http://schemas.openxmlformats.org/officeDocument/2006/relationships/hyperlink" Target="https://doi.org/10.36910/6775-2308-8559-2022-3-1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030-72651-5_12"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080/09537287.2024.2349231" TargetMode="External"/><Relationship Id="rId23" Type="http://schemas.openxmlformats.org/officeDocument/2006/relationships/footer" Target="footer1.xml"/><Relationship Id="rId10" Type="http://schemas.openxmlformats.org/officeDocument/2006/relationships/hyperlink" Target="https://doi.org/10.1111/j.1539-6924.2008.01030.x" TargetMode="External"/><Relationship Id="rId19" Type="http://schemas.openxmlformats.org/officeDocument/2006/relationships/hyperlink" Target="https://doi.org/10.1016/j.envsci.2025.104011" TargetMode="External"/><Relationship Id="rId4" Type="http://schemas.openxmlformats.org/officeDocument/2006/relationships/webSettings" Target="webSettings.xml"/><Relationship Id="rId9" Type="http://schemas.openxmlformats.org/officeDocument/2006/relationships/hyperlink" Target="https://doi.org/10.1371/journal.pone.0335130" TargetMode="External"/><Relationship Id="rId14" Type="http://schemas.openxmlformats.org/officeDocument/2006/relationships/hyperlink" Target="https://doi.org/10.1108/IJOPM-05-2016-0263" TargetMode="External"/><Relationship Id="rId22" Type="http://schemas.openxmlformats.org/officeDocument/2006/relationships/hyperlink" Target="https://doi.org/10.1155/2022/49537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22767-ECBE-4C42-A6C2-FDCFB8721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12</Pages>
  <Words>3357</Words>
  <Characters>18670</Characters>
  <Application>Microsoft Office Word</Application>
  <DocSecurity>0</DocSecurity>
  <Lines>339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Tutuiu</dc:creator>
  <cp:keywords/>
  <dc:description/>
  <cp:lastModifiedBy>Alex Tutuiu</cp:lastModifiedBy>
  <cp:revision>3</cp:revision>
  <dcterms:created xsi:type="dcterms:W3CDTF">2026-07-08T17:55:00Z</dcterms:created>
  <dcterms:modified xsi:type="dcterms:W3CDTF">2026-07-08T19:40:00Z</dcterms:modified>
</cp:coreProperties>
</file>