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F6654" w:rsidR="009D629E" w:rsidP="00DF6654" w:rsidRDefault="009D629E" w14:paraId="654CE062" w14:textId="77777777">
      <w:pPr>
        <w:spacing w:after="0"/>
        <w:jc w:val="center"/>
        <w:rPr>
          <w:rFonts w:ascii="Arial" w:hAnsi="Arial" w:cs="Arial"/>
          <w:b/>
          <w:szCs w:val="24"/>
        </w:rPr>
      </w:pPr>
    </w:p>
    <w:p w:rsidRPr="00DF6654" w:rsidR="009D629E" w:rsidP="00DF6654" w:rsidRDefault="009D629E" w14:paraId="5148F5A8" w14:textId="77777777">
      <w:pPr>
        <w:spacing w:after="0"/>
        <w:rPr>
          <w:rFonts w:ascii="Arial" w:hAnsi="Arial" w:cs="Arial"/>
          <w:b/>
          <w:szCs w:val="24"/>
        </w:rPr>
      </w:pPr>
    </w:p>
    <w:p w:rsidRPr="00DF6654" w:rsidR="00DB4C90" w:rsidP="00DF6654" w:rsidRDefault="00C1093D" w14:paraId="770507A4" w14:textId="77777777">
      <w:pPr>
        <w:spacing w:after="0"/>
        <w:jc w:val="center"/>
        <w:rPr>
          <w:rFonts w:ascii="Arial" w:hAnsi="Arial" w:cs="Arial"/>
          <w:b/>
          <w:szCs w:val="24"/>
        </w:rPr>
      </w:pPr>
      <w:r w:rsidRPr="00DF6654">
        <w:rPr>
          <w:rFonts w:ascii="Arial" w:hAnsi="Arial" w:cs="Arial"/>
          <w:b/>
          <w:szCs w:val="24"/>
        </w:rPr>
        <w:t>Module: Legal Process</w:t>
      </w:r>
    </w:p>
    <w:p w:rsidRPr="00DF6654" w:rsidR="00920683" w:rsidP="345E07D2" w:rsidRDefault="00C1093D" w14:paraId="7E578A37" w14:textId="6B9759F0">
      <w:pPr>
        <w:spacing w:after="0"/>
        <w:jc w:val="center"/>
        <w:rPr>
          <w:rFonts w:ascii="Arial" w:hAnsi="Arial" w:cs="Arial"/>
          <w:b w:val="1"/>
          <w:bCs w:val="1"/>
        </w:rPr>
      </w:pPr>
    </w:p>
    <w:p w:rsidR="345E07D2" w:rsidP="345E07D2" w:rsidRDefault="345E07D2" w14:paraId="67AB5E92" w14:textId="178D88A4">
      <w:pPr>
        <w:pStyle w:val="Normal"/>
        <w:spacing w:after="0"/>
        <w:jc w:val="center"/>
        <w:rPr>
          <w:rFonts w:ascii="Arial" w:hAnsi="Arial" w:cs="Arial"/>
          <w:b w:val="1"/>
          <w:bCs w:val="1"/>
        </w:rPr>
      </w:pPr>
      <w:r w:rsidRPr="345E07D2" w:rsidR="345E07D2">
        <w:rPr>
          <w:rFonts w:ascii="Arial" w:hAnsi="Arial" w:cs="Arial"/>
          <w:b w:val="1"/>
          <w:bCs w:val="1"/>
        </w:rPr>
        <w:t>COMMON LAW</w:t>
      </w:r>
    </w:p>
    <w:p w:rsidR="345E07D2" w:rsidP="345E07D2" w:rsidRDefault="345E07D2" w14:paraId="636B97F0" w14:textId="55D98F4D">
      <w:pPr>
        <w:pStyle w:val="Normal"/>
        <w:spacing w:after="0"/>
        <w:jc w:val="center"/>
        <w:rPr>
          <w:rFonts w:ascii="Arial" w:hAnsi="Arial" w:cs="Arial"/>
          <w:b w:val="1"/>
          <w:bCs w:val="1"/>
        </w:rPr>
      </w:pPr>
      <w:r w:rsidRPr="345E07D2" w:rsidR="345E07D2">
        <w:rPr>
          <w:rFonts w:ascii="Arial" w:hAnsi="Arial" w:cs="Arial"/>
          <w:b w:val="1"/>
          <w:bCs w:val="1"/>
        </w:rPr>
        <w:t xml:space="preserve">Maria-Madalina </w:t>
      </w:r>
      <w:r w:rsidRPr="345E07D2" w:rsidR="345E07D2">
        <w:rPr>
          <w:rFonts w:ascii="Arial" w:hAnsi="Arial" w:cs="Arial"/>
          <w:b w:val="1"/>
          <w:bCs w:val="1"/>
        </w:rPr>
        <w:t>Feier (</w:t>
      </w:r>
      <w:r w:rsidRPr="345E07D2" w:rsidR="345E07D2">
        <w:rPr>
          <w:rFonts w:ascii="Arial" w:hAnsi="Arial" w:cs="Arial"/>
          <w:b w:val="1"/>
          <w:bCs w:val="1"/>
        </w:rPr>
        <w:t>2207140)</w:t>
      </w:r>
    </w:p>
    <w:p w:rsidRPr="00DF6654" w:rsidR="00B31B27" w:rsidP="00DF6654" w:rsidRDefault="00C1093D" w14:paraId="7F5E58B0" w14:textId="77777777">
      <w:pPr>
        <w:spacing w:after="0"/>
        <w:rPr>
          <w:rFonts w:ascii="Arial" w:hAnsi="Arial" w:cs="Arial" w:eastAsiaTheme="majorEastAsia"/>
          <w:b/>
          <w:szCs w:val="24"/>
        </w:rPr>
      </w:pPr>
      <w:r w:rsidRPr="00DF6654">
        <w:rPr>
          <w:rFonts w:ascii="Arial" w:hAnsi="Arial" w:cs="Arial"/>
          <w:b/>
          <w:szCs w:val="24"/>
        </w:rPr>
        <w:br w:type="page"/>
      </w:r>
    </w:p>
    <w:sdt>
      <w:sdtPr>
        <w:rPr>
          <w:rFonts w:ascii="Arial" w:hAnsi="Arial" w:cs="Arial" w:eastAsiaTheme="minorHAnsi"/>
          <w:color w:val="auto"/>
          <w:sz w:val="24"/>
          <w:szCs w:val="24"/>
        </w:rPr>
        <w:id w:val="-877861038"/>
        <w:docPartObj>
          <w:docPartGallery w:val="Table of Contents"/>
          <w:docPartUnique/>
        </w:docPartObj>
      </w:sdtPr>
      <w:sdtEndPr>
        <w:rPr>
          <w:b/>
          <w:bCs/>
          <w:noProof/>
        </w:rPr>
      </w:sdtEndPr>
      <w:sdtContent>
        <w:p w:rsidRPr="00DF6654" w:rsidR="003F2634" w:rsidP="00DF6654" w:rsidRDefault="00C1093D" w14:paraId="617D49C0" w14:textId="77777777">
          <w:pPr>
            <w:pStyle w:val="TOCHeading"/>
            <w:spacing w:before="0" w:line="360" w:lineRule="auto"/>
            <w:jc w:val="center"/>
            <w:rPr>
              <w:rFonts w:ascii="Arial" w:hAnsi="Arial" w:cs="Arial"/>
              <w:b/>
              <w:color w:val="auto"/>
              <w:sz w:val="24"/>
              <w:szCs w:val="24"/>
            </w:rPr>
          </w:pPr>
          <w:r w:rsidRPr="00DF6654">
            <w:rPr>
              <w:rFonts w:ascii="Arial" w:hAnsi="Arial" w:cs="Arial"/>
              <w:b/>
              <w:color w:val="auto"/>
              <w:sz w:val="24"/>
              <w:szCs w:val="24"/>
            </w:rPr>
            <w:t>Table of Contents</w:t>
          </w:r>
        </w:p>
        <w:p w:rsidRPr="00DF6654" w:rsidR="00285B1F" w:rsidP="00DF6654" w:rsidRDefault="00C1093D" w14:paraId="1E8347A8" w14:textId="77777777">
          <w:pPr>
            <w:pStyle w:val="TOC1"/>
            <w:tabs>
              <w:tab w:val="left" w:pos="440"/>
              <w:tab w:val="right" w:leader="dot" w:pos="9350"/>
            </w:tabs>
            <w:spacing w:after="0"/>
            <w:rPr>
              <w:rFonts w:ascii="Arial" w:hAnsi="Arial" w:cs="Arial" w:eastAsiaTheme="minorEastAsia"/>
              <w:noProof/>
              <w:szCs w:val="24"/>
            </w:rPr>
          </w:pPr>
          <w:r w:rsidRPr="00DF6654">
            <w:rPr>
              <w:rFonts w:ascii="Arial" w:hAnsi="Arial" w:cs="Arial"/>
              <w:szCs w:val="24"/>
            </w:rPr>
            <w:fldChar w:fldCharType="begin"/>
          </w:r>
          <w:r w:rsidRPr="00DF6654">
            <w:rPr>
              <w:rFonts w:ascii="Arial" w:hAnsi="Arial" w:cs="Arial"/>
              <w:szCs w:val="24"/>
            </w:rPr>
            <w:instrText xml:space="preserve"> TOC \o "1-3" \h \z \u </w:instrText>
          </w:r>
          <w:r w:rsidRPr="00DF6654">
            <w:rPr>
              <w:rFonts w:ascii="Arial" w:hAnsi="Arial" w:cs="Arial"/>
              <w:szCs w:val="24"/>
            </w:rPr>
            <w:fldChar w:fldCharType="separate"/>
          </w:r>
          <w:hyperlink w:history="1" w:anchor="_Toc146365116">
            <w:r w:rsidRPr="00DF6654">
              <w:rPr>
                <w:rStyle w:val="Hyperlink"/>
                <w:rFonts w:ascii="Arial" w:hAnsi="Arial" w:cs="Arial"/>
                <w:noProof/>
                <w:color w:val="auto"/>
                <w:szCs w:val="24"/>
              </w:rPr>
              <w:t>1</w:t>
            </w:r>
            <w:r w:rsidRPr="00DF6654">
              <w:rPr>
                <w:rFonts w:ascii="Arial" w:hAnsi="Arial" w:cs="Arial" w:eastAsiaTheme="minorEastAsia"/>
                <w:noProof/>
                <w:szCs w:val="24"/>
              </w:rPr>
              <w:tab/>
            </w:r>
            <w:r w:rsidRPr="00DF6654">
              <w:rPr>
                <w:rStyle w:val="Hyperlink"/>
                <w:rFonts w:ascii="Arial" w:hAnsi="Arial" w:cs="Arial"/>
                <w:noProof/>
                <w:color w:val="auto"/>
                <w:szCs w:val="24"/>
              </w:rPr>
              <w:t>Introduction</w:t>
            </w:r>
            <w:r w:rsidRPr="00DF6654">
              <w:rPr>
                <w:rFonts w:ascii="Arial" w:hAnsi="Arial" w:cs="Arial"/>
                <w:noProof/>
                <w:webHidden/>
                <w:szCs w:val="24"/>
              </w:rPr>
              <w:tab/>
            </w:r>
            <w:r w:rsidRPr="00DF6654">
              <w:rPr>
                <w:rFonts w:ascii="Arial" w:hAnsi="Arial" w:cs="Arial"/>
                <w:noProof/>
                <w:webHidden/>
                <w:szCs w:val="24"/>
              </w:rPr>
              <w:fldChar w:fldCharType="begin"/>
            </w:r>
            <w:r w:rsidRPr="00DF6654">
              <w:rPr>
                <w:rFonts w:ascii="Arial" w:hAnsi="Arial" w:cs="Arial"/>
                <w:noProof/>
                <w:webHidden/>
                <w:szCs w:val="24"/>
              </w:rPr>
              <w:instrText xml:space="preserve"> PAGEREF _Toc146365116 \h </w:instrText>
            </w:r>
            <w:r w:rsidRPr="00DF6654">
              <w:rPr>
                <w:rFonts w:ascii="Arial" w:hAnsi="Arial" w:cs="Arial"/>
                <w:noProof/>
                <w:webHidden/>
                <w:szCs w:val="24"/>
              </w:rPr>
            </w:r>
            <w:r w:rsidRPr="00DF6654">
              <w:rPr>
                <w:rFonts w:ascii="Arial" w:hAnsi="Arial" w:cs="Arial"/>
                <w:noProof/>
                <w:webHidden/>
                <w:szCs w:val="24"/>
              </w:rPr>
              <w:fldChar w:fldCharType="separate"/>
            </w:r>
            <w:r w:rsidRPr="00DF6654">
              <w:rPr>
                <w:rFonts w:ascii="Arial" w:hAnsi="Arial" w:cs="Arial"/>
                <w:noProof/>
                <w:webHidden/>
                <w:szCs w:val="24"/>
              </w:rPr>
              <w:t>3</w:t>
            </w:r>
            <w:r w:rsidRPr="00DF6654">
              <w:rPr>
                <w:rFonts w:ascii="Arial" w:hAnsi="Arial" w:cs="Arial"/>
                <w:noProof/>
                <w:webHidden/>
                <w:szCs w:val="24"/>
              </w:rPr>
              <w:fldChar w:fldCharType="end"/>
            </w:r>
          </w:hyperlink>
        </w:p>
        <w:p w:rsidRPr="00DF6654" w:rsidR="00285B1F" w:rsidP="00DF6654" w:rsidRDefault="00440E5B" w14:paraId="2D60CA01" w14:textId="77777777">
          <w:pPr>
            <w:pStyle w:val="TOC1"/>
            <w:tabs>
              <w:tab w:val="left" w:pos="440"/>
              <w:tab w:val="right" w:leader="dot" w:pos="9350"/>
            </w:tabs>
            <w:spacing w:after="0"/>
            <w:rPr>
              <w:rFonts w:ascii="Arial" w:hAnsi="Arial" w:cs="Arial" w:eastAsiaTheme="minorEastAsia"/>
              <w:noProof/>
              <w:szCs w:val="24"/>
            </w:rPr>
          </w:pPr>
          <w:hyperlink w:history="1" w:anchor="_Toc146365117">
            <w:r w:rsidRPr="00DF6654" w:rsidR="00C1093D">
              <w:rPr>
                <w:rStyle w:val="Hyperlink"/>
                <w:rFonts w:ascii="Arial" w:hAnsi="Arial" w:cs="Arial"/>
                <w:noProof/>
                <w:color w:val="auto"/>
                <w:szCs w:val="24"/>
              </w:rPr>
              <w:t>2</w:t>
            </w:r>
            <w:r w:rsidRPr="00DF6654" w:rsidR="00C1093D">
              <w:rPr>
                <w:rFonts w:ascii="Arial" w:hAnsi="Arial" w:cs="Arial" w:eastAsiaTheme="minorEastAsia"/>
                <w:noProof/>
                <w:szCs w:val="24"/>
              </w:rPr>
              <w:tab/>
            </w:r>
            <w:r w:rsidRPr="00DF6654" w:rsidR="00C1093D">
              <w:rPr>
                <w:rStyle w:val="Hyperlink"/>
                <w:rFonts w:ascii="Arial" w:hAnsi="Arial" w:cs="Arial"/>
                <w:noProof/>
                <w:color w:val="auto"/>
                <w:szCs w:val="24"/>
              </w:rPr>
              <w:t>Critical Analysis of Common Law and Civil Law</w:t>
            </w:r>
            <w:r w:rsidRPr="00DF6654" w:rsidR="00C1093D">
              <w:rPr>
                <w:rFonts w:ascii="Arial" w:hAnsi="Arial" w:cs="Arial"/>
                <w:noProof/>
                <w:webHidden/>
                <w:szCs w:val="24"/>
              </w:rPr>
              <w:tab/>
            </w:r>
            <w:r w:rsidRPr="00DF6654" w:rsidR="00C1093D">
              <w:rPr>
                <w:rFonts w:ascii="Arial" w:hAnsi="Arial" w:cs="Arial"/>
                <w:noProof/>
                <w:webHidden/>
                <w:szCs w:val="24"/>
              </w:rPr>
              <w:fldChar w:fldCharType="begin"/>
            </w:r>
            <w:r w:rsidRPr="00DF6654" w:rsidR="00C1093D">
              <w:rPr>
                <w:rFonts w:ascii="Arial" w:hAnsi="Arial" w:cs="Arial"/>
                <w:noProof/>
                <w:webHidden/>
                <w:szCs w:val="24"/>
              </w:rPr>
              <w:instrText xml:space="preserve"> PAGEREF _Toc146365117 \h </w:instrText>
            </w:r>
            <w:r w:rsidRPr="00DF6654" w:rsidR="00C1093D">
              <w:rPr>
                <w:rFonts w:ascii="Arial" w:hAnsi="Arial" w:cs="Arial"/>
                <w:noProof/>
                <w:webHidden/>
                <w:szCs w:val="24"/>
              </w:rPr>
            </w:r>
            <w:r w:rsidRPr="00DF6654" w:rsidR="00C1093D">
              <w:rPr>
                <w:rFonts w:ascii="Arial" w:hAnsi="Arial" w:cs="Arial"/>
                <w:noProof/>
                <w:webHidden/>
                <w:szCs w:val="24"/>
              </w:rPr>
              <w:fldChar w:fldCharType="separate"/>
            </w:r>
            <w:r w:rsidRPr="00DF6654" w:rsidR="00C1093D">
              <w:rPr>
                <w:rFonts w:ascii="Arial" w:hAnsi="Arial" w:cs="Arial"/>
                <w:noProof/>
                <w:webHidden/>
                <w:szCs w:val="24"/>
              </w:rPr>
              <w:t>3</w:t>
            </w:r>
            <w:r w:rsidRPr="00DF6654" w:rsidR="00C1093D">
              <w:rPr>
                <w:rFonts w:ascii="Arial" w:hAnsi="Arial" w:cs="Arial"/>
                <w:noProof/>
                <w:webHidden/>
                <w:szCs w:val="24"/>
              </w:rPr>
              <w:fldChar w:fldCharType="end"/>
            </w:r>
          </w:hyperlink>
        </w:p>
        <w:p w:rsidRPr="00DF6654" w:rsidR="00285B1F" w:rsidP="00DF6654" w:rsidRDefault="00440E5B" w14:paraId="75325743" w14:textId="77777777">
          <w:pPr>
            <w:pStyle w:val="TOC1"/>
            <w:tabs>
              <w:tab w:val="left" w:pos="440"/>
              <w:tab w:val="right" w:leader="dot" w:pos="9350"/>
            </w:tabs>
            <w:spacing w:after="0"/>
            <w:rPr>
              <w:rFonts w:ascii="Arial" w:hAnsi="Arial" w:cs="Arial" w:eastAsiaTheme="minorEastAsia"/>
              <w:noProof/>
              <w:szCs w:val="24"/>
            </w:rPr>
          </w:pPr>
          <w:hyperlink w:history="1" w:anchor="_Toc146365118">
            <w:r w:rsidRPr="00DF6654" w:rsidR="00C1093D">
              <w:rPr>
                <w:rStyle w:val="Hyperlink"/>
                <w:rFonts w:ascii="Arial" w:hAnsi="Arial" w:cs="Arial"/>
                <w:noProof/>
                <w:color w:val="auto"/>
                <w:szCs w:val="24"/>
              </w:rPr>
              <w:t>3</w:t>
            </w:r>
            <w:r w:rsidRPr="00DF6654" w:rsidR="00C1093D">
              <w:rPr>
                <w:rFonts w:ascii="Arial" w:hAnsi="Arial" w:cs="Arial" w:eastAsiaTheme="minorEastAsia"/>
                <w:noProof/>
                <w:szCs w:val="24"/>
              </w:rPr>
              <w:tab/>
            </w:r>
            <w:r w:rsidRPr="00DF6654" w:rsidR="00C1093D">
              <w:rPr>
                <w:rStyle w:val="Hyperlink"/>
                <w:rFonts w:ascii="Arial" w:hAnsi="Arial" w:cs="Arial"/>
                <w:noProof/>
                <w:color w:val="auto"/>
                <w:szCs w:val="24"/>
              </w:rPr>
              <w:t>Conclusion</w:t>
            </w:r>
            <w:r w:rsidRPr="00DF6654" w:rsidR="00C1093D">
              <w:rPr>
                <w:rFonts w:ascii="Arial" w:hAnsi="Arial" w:cs="Arial"/>
                <w:noProof/>
                <w:webHidden/>
                <w:szCs w:val="24"/>
              </w:rPr>
              <w:tab/>
            </w:r>
            <w:r w:rsidRPr="00DF6654" w:rsidR="00C1093D">
              <w:rPr>
                <w:rFonts w:ascii="Arial" w:hAnsi="Arial" w:cs="Arial"/>
                <w:noProof/>
                <w:webHidden/>
                <w:szCs w:val="24"/>
              </w:rPr>
              <w:fldChar w:fldCharType="begin"/>
            </w:r>
            <w:r w:rsidRPr="00DF6654" w:rsidR="00C1093D">
              <w:rPr>
                <w:rFonts w:ascii="Arial" w:hAnsi="Arial" w:cs="Arial"/>
                <w:noProof/>
                <w:webHidden/>
                <w:szCs w:val="24"/>
              </w:rPr>
              <w:instrText xml:space="preserve"> PAGEREF _Toc146365118 \h </w:instrText>
            </w:r>
            <w:r w:rsidRPr="00DF6654" w:rsidR="00C1093D">
              <w:rPr>
                <w:rFonts w:ascii="Arial" w:hAnsi="Arial" w:cs="Arial"/>
                <w:noProof/>
                <w:webHidden/>
                <w:szCs w:val="24"/>
              </w:rPr>
            </w:r>
            <w:r w:rsidRPr="00DF6654" w:rsidR="00C1093D">
              <w:rPr>
                <w:rFonts w:ascii="Arial" w:hAnsi="Arial" w:cs="Arial"/>
                <w:noProof/>
                <w:webHidden/>
                <w:szCs w:val="24"/>
              </w:rPr>
              <w:fldChar w:fldCharType="separate"/>
            </w:r>
            <w:r w:rsidRPr="00DF6654" w:rsidR="00C1093D">
              <w:rPr>
                <w:rFonts w:ascii="Arial" w:hAnsi="Arial" w:cs="Arial"/>
                <w:noProof/>
                <w:webHidden/>
                <w:szCs w:val="24"/>
              </w:rPr>
              <w:t>6</w:t>
            </w:r>
            <w:r w:rsidRPr="00DF6654" w:rsidR="00C1093D">
              <w:rPr>
                <w:rFonts w:ascii="Arial" w:hAnsi="Arial" w:cs="Arial"/>
                <w:noProof/>
                <w:webHidden/>
                <w:szCs w:val="24"/>
              </w:rPr>
              <w:fldChar w:fldCharType="end"/>
            </w:r>
          </w:hyperlink>
        </w:p>
        <w:p w:rsidRPr="00DF6654" w:rsidR="00285B1F" w:rsidP="00DF6654" w:rsidRDefault="00440E5B" w14:paraId="274A8972" w14:textId="77777777">
          <w:pPr>
            <w:pStyle w:val="TOC1"/>
            <w:tabs>
              <w:tab w:val="left" w:pos="440"/>
              <w:tab w:val="right" w:leader="dot" w:pos="9350"/>
            </w:tabs>
            <w:spacing w:after="0"/>
            <w:rPr>
              <w:rFonts w:ascii="Arial" w:hAnsi="Arial" w:cs="Arial" w:eastAsiaTheme="minorEastAsia"/>
              <w:noProof/>
              <w:szCs w:val="24"/>
            </w:rPr>
          </w:pPr>
          <w:hyperlink w:history="1" w:anchor="_Toc146365119">
            <w:r w:rsidRPr="00DF6654" w:rsidR="00C1093D">
              <w:rPr>
                <w:rStyle w:val="Hyperlink"/>
                <w:rFonts w:ascii="Arial" w:hAnsi="Arial" w:cs="Arial"/>
                <w:noProof/>
                <w:color w:val="auto"/>
                <w:szCs w:val="24"/>
              </w:rPr>
              <w:t>4</w:t>
            </w:r>
            <w:r w:rsidRPr="00DF6654" w:rsidR="00C1093D">
              <w:rPr>
                <w:rFonts w:ascii="Arial" w:hAnsi="Arial" w:cs="Arial" w:eastAsiaTheme="minorEastAsia"/>
                <w:noProof/>
                <w:szCs w:val="24"/>
              </w:rPr>
              <w:tab/>
            </w:r>
            <w:r w:rsidRPr="00DF6654" w:rsidR="00C1093D">
              <w:rPr>
                <w:rStyle w:val="Hyperlink"/>
                <w:rFonts w:ascii="Arial" w:hAnsi="Arial" w:cs="Arial"/>
                <w:noProof/>
                <w:color w:val="auto"/>
                <w:szCs w:val="24"/>
              </w:rPr>
              <w:t>References</w:t>
            </w:r>
            <w:r w:rsidRPr="00DF6654" w:rsidR="00C1093D">
              <w:rPr>
                <w:rFonts w:ascii="Arial" w:hAnsi="Arial" w:cs="Arial"/>
                <w:noProof/>
                <w:webHidden/>
                <w:szCs w:val="24"/>
              </w:rPr>
              <w:tab/>
            </w:r>
            <w:r w:rsidRPr="00DF6654" w:rsidR="00C1093D">
              <w:rPr>
                <w:rFonts w:ascii="Arial" w:hAnsi="Arial" w:cs="Arial"/>
                <w:noProof/>
                <w:webHidden/>
                <w:szCs w:val="24"/>
              </w:rPr>
              <w:fldChar w:fldCharType="begin"/>
            </w:r>
            <w:r w:rsidRPr="00DF6654" w:rsidR="00C1093D">
              <w:rPr>
                <w:rFonts w:ascii="Arial" w:hAnsi="Arial" w:cs="Arial"/>
                <w:noProof/>
                <w:webHidden/>
                <w:szCs w:val="24"/>
              </w:rPr>
              <w:instrText xml:space="preserve"> PAGEREF _Toc146365119 \h </w:instrText>
            </w:r>
            <w:r w:rsidRPr="00DF6654" w:rsidR="00C1093D">
              <w:rPr>
                <w:rFonts w:ascii="Arial" w:hAnsi="Arial" w:cs="Arial"/>
                <w:noProof/>
                <w:webHidden/>
                <w:szCs w:val="24"/>
              </w:rPr>
            </w:r>
            <w:r w:rsidRPr="00DF6654" w:rsidR="00C1093D">
              <w:rPr>
                <w:rFonts w:ascii="Arial" w:hAnsi="Arial" w:cs="Arial"/>
                <w:noProof/>
                <w:webHidden/>
                <w:szCs w:val="24"/>
              </w:rPr>
              <w:fldChar w:fldCharType="separate"/>
            </w:r>
            <w:r w:rsidRPr="00DF6654" w:rsidR="00C1093D">
              <w:rPr>
                <w:rFonts w:ascii="Arial" w:hAnsi="Arial" w:cs="Arial"/>
                <w:noProof/>
                <w:webHidden/>
                <w:szCs w:val="24"/>
              </w:rPr>
              <w:t>8</w:t>
            </w:r>
            <w:r w:rsidRPr="00DF6654" w:rsidR="00C1093D">
              <w:rPr>
                <w:rFonts w:ascii="Arial" w:hAnsi="Arial" w:cs="Arial"/>
                <w:noProof/>
                <w:webHidden/>
                <w:szCs w:val="24"/>
              </w:rPr>
              <w:fldChar w:fldCharType="end"/>
            </w:r>
          </w:hyperlink>
        </w:p>
        <w:p w:rsidRPr="00DF6654" w:rsidR="003F2634" w:rsidP="00DF6654" w:rsidRDefault="00C1093D" w14:paraId="7187A7AA" w14:textId="77777777">
          <w:pPr>
            <w:spacing w:after="0"/>
            <w:jc w:val="center"/>
            <w:rPr>
              <w:rFonts w:ascii="Arial" w:hAnsi="Arial" w:cs="Arial"/>
              <w:szCs w:val="24"/>
            </w:rPr>
          </w:pPr>
          <w:r w:rsidRPr="00DF6654">
            <w:rPr>
              <w:rFonts w:ascii="Arial" w:hAnsi="Arial" w:cs="Arial"/>
              <w:bCs/>
              <w:noProof/>
              <w:szCs w:val="24"/>
            </w:rPr>
            <w:fldChar w:fldCharType="end"/>
          </w:r>
        </w:p>
      </w:sdtContent>
    </w:sdt>
    <w:p w:rsidRPr="00DF6654" w:rsidR="00B31B27" w:rsidP="00DF6654" w:rsidRDefault="00C1093D" w14:paraId="7C380902" w14:textId="77777777">
      <w:pPr>
        <w:spacing w:after="0"/>
        <w:rPr>
          <w:rFonts w:ascii="Arial" w:hAnsi="Arial" w:cs="Arial" w:eastAsiaTheme="majorEastAsia"/>
          <w:b/>
          <w:szCs w:val="24"/>
        </w:rPr>
      </w:pPr>
      <w:r w:rsidRPr="00DF6654">
        <w:rPr>
          <w:rFonts w:ascii="Arial" w:hAnsi="Arial" w:cs="Arial"/>
          <w:b/>
          <w:szCs w:val="24"/>
        </w:rPr>
        <w:br w:type="page"/>
      </w:r>
    </w:p>
    <w:p w:rsidRPr="00DF6654" w:rsidR="00C96F14" w:rsidP="00DF6654" w:rsidRDefault="00C1093D" w14:paraId="0CBE936E" w14:textId="77777777">
      <w:pPr>
        <w:pStyle w:val="Heading1"/>
        <w:spacing w:before="0"/>
        <w:rPr>
          <w:rFonts w:ascii="Arial" w:hAnsi="Arial" w:cs="Arial"/>
          <w:b/>
          <w:color w:val="auto"/>
          <w:sz w:val="24"/>
          <w:szCs w:val="24"/>
        </w:rPr>
      </w:pPr>
      <w:bookmarkStart w:name="_Toc146365116" w:id="0"/>
      <w:r w:rsidRPr="00DF6654">
        <w:rPr>
          <w:rFonts w:ascii="Arial" w:hAnsi="Arial" w:cs="Arial"/>
          <w:b/>
          <w:color w:val="auto"/>
          <w:sz w:val="24"/>
          <w:szCs w:val="24"/>
        </w:rPr>
        <w:lastRenderedPageBreak/>
        <w:t>Introduction</w:t>
      </w:r>
      <w:bookmarkEnd w:id="0"/>
      <w:r w:rsidRPr="00DF6654">
        <w:rPr>
          <w:rFonts w:ascii="Arial" w:hAnsi="Arial" w:cs="Arial"/>
          <w:b/>
          <w:color w:val="auto"/>
          <w:sz w:val="24"/>
          <w:szCs w:val="24"/>
        </w:rPr>
        <w:t xml:space="preserve"> </w:t>
      </w:r>
    </w:p>
    <w:p w:rsidRPr="00DF6654" w:rsidR="005B7277" w:rsidP="005B7277" w:rsidRDefault="00C1093D" w14:paraId="41325902" w14:textId="3B6B62C5">
      <w:pPr>
        <w:spacing w:after="0"/>
        <w:rPr>
          <w:rFonts w:ascii="Arial" w:hAnsi="Arial" w:cs="Arial"/>
        </w:rPr>
      </w:pPr>
      <w:r w:rsidRPr="0158BF1A">
        <w:rPr>
          <w:rFonts w:ascii="Arial" w:hAnsi="Arial" w:cs="Arial"/>
        </w:rPr>
        <w:t xml:space="preserve">Wales. </w:t>
      </w:r>
      <w:r w:rsidRPr="0158BF1A" w:rsidR="00E645D1">
        <w:rPr>
          <w:rFonts w:ascii="Arial" w:hAnsi="Arial" w:cs="Arial"/>
        </w:rPr>
        <w:t xml:space="preserve">Each </w:t>
      </w:r>
      <w:r w:rsidRPr="0158BF1A" w:rsidR="0158BF1A">
        <w:rPr>
          <w:rFonts w:ascii="Arial" w:hAnsi="Arial" w:cs="Arial"/>
        </w:rPr>
        <w:t>district</w:t>
      </w:r>
      <w:r w:rsidRPr="0158BF1A" w:rsidR="00E645D1">
        <w:rPr>
          <w:rFonts w:ascii="Arial" w:hAnsi="Arial" w:cs="Arial"/>
        </w:rPr>
        <w:t xml:space="preserve"> has its court systems, judges, lawyers</w:t>
      </w:r>
      <w:r w:rsidRPr="432AA8F5" w:rsidR="432AA8F5">
        <w:rPr>
          <w:rFonts w:ascii="Arial" w:hAnsi="Arial" w:cs="Arial"/>
        </w:rPr>
        <w:t>,</w:t>
      </w:r>
      <w:r w:rsidRPr="0158BF1A" w:rsidR="00E645D1">
        <w:rPr>
          <w:rFonts w:ascii="Arial" w:hAnsi="Arial" w:cs="Arial"/>
        </w:rPr>
        <w:t xml:space="preserve"> and laws</w:t>
      </w:r>
      <w:r w:rsidRPr="0158BF1A" w:rsidR="00EA5632">
        <w:rPr>
          <w:rFonts w:ascii="Arial" w:hAnsi="Arial" w:cs="Arial"/>
        </w:rPr>
        <w:t xml:space="preserve"> </w:t>
      </w:r>
      <w:r w:rsidRPr="0158BF1A" w:rsidR="005B7277">
        <w:rPr>
          <w:rFonts w:ascii="Arial" w:hAnsi="Arial" w:cs="Arial"/>
        </w:rPr>
        <w:t xml:space="preserve">and further </w:t>
      </w:r>
      <w:r w:rsidRPr="28A44326" w:rsidR="28A44326">
        <w:rPr>
          <w:rFonts w:ascii="Arial" w:hAnsi="Arial" w:cs="Arial"/>
        </w:rPr>
        <w:t>compares</w:t>
      </w:r>
      <w:r w:rsidRPr="0158BF1A" w:rsidR="005B7277">
        <w:rPr>
          <w:rFonts w:ascii="Arial" w:hAnsi="Arial" w:cs="Arial"/>
        </w:rPr>
        <w:t xml:space="preserve"> these laws. This assessment will further highlight the history of common law as well as provide relevant examples of common law working in practice. This assessment will explain and provide reasoning for proving if the English legal system is grounded on the values of common law. In the UK, there are three primary </w:t>
      </w:r>
      <w:r w:rsidRPr="0158BF1A" w:rsidR="0158BF1A">
        <w:rPr>
          <w:rFonts w:ascii="Arial" w:hAnsi="Arial" w:cs="Arial"/>
        </w:rPr>
        <w:t>authorities</w:t>
      </w:r>
      <w:r w:rsidRPr="0158BF1A" w:rsidR="005B7277">
        <w:rPr>
          <w:rFonts w:ascii="Arial" w:hAnsi="Arial" w:cs="Arial"/>
        </w:rPr>
        <w:t xml:space="preserve"> which are considered the English Legal System. These legal systems are Scotland, Northern Ireland</w:t>
      </w:r>
      <w:r w:rsidRPr="432AA8F5" w:rsidR="432AA8F5">
        <w:rPr>
          <w:rFonts w:ascii="Arial" w:hAnsi="Arial" w:cs="Arial"/>
        </w:rPr>
        <w:t>,</w:t>
      </w:r>
      <w:r w:rsidRPr="0158BF1A" w:rsidR="005B7277">
        <w:rPr>
          <w:rFonts w:ascii="Arial" w:hAnsi="Arial" w:cs="Arial"/>
        </w:rPr>
        <w:t xml:space="preserve"> and England and</w:t>
      </w:r>
    </w:p>
    <w:p w:rsidRPr="00661267" w:rsidR="005B7277" w:rsidP="005B7277" w:rsidRDefault="005B7277" w14:paraId="438D7892" w14:textId="77777777">
      <w:pPr>
        <w:pStyle w:val="Heading1"/>
        <w:spacing w:before="0"/>
        <w:rPr>
          <w:rFonts w:ascii="Arial" w:hAnsi="Arial" w:cs="Arial"/>
          <w:b/>
          <w:color w:val="auto"/>
          <w:sz w:val="24"/>
          <w:szCs w:val="24"/>
          <w:highlight w:val="yellow"/>
        </w:rPr>
      </w:pPr>
      <w:bookmarkStart w:name="_Toc146365117" w:id="1"/>
      <w:r w:rsidRPr="00661267">
        <w:rPr>
          <w:rFonts w:ascii="Arial" w:hAnsi="Arial" w:cs="Arial"/>
          <w:b/>
          <w:color w:val="auto"/>
          <w:sz w:val="24"/>
          <w:szCs w:val="24"/>
          <w:highlight w:val="yellow"/>
        </w:rPr>
        <w:t>Critical Analysis of Common Law and Civil Law</w:t>
      </w:r>
      <w:bookmarkEnd w:id="1"/>
    </w:p>
    <w:p w:rsidRPr="00661267" w:rsidR="00C96F14" w:rsidP="005B7277" w:rsidRDefault="00EA5632" w14:paraId="2D46FC6D" w14:textId="25574086">
      <w:pPr>
        <w:spacing w:after="0"/>
        <w:rPr>
          <w:rFonts w:ascii="Arial" w:hAnsi="Arial" w:cs="Arial"/>
          <w:b/>
          <w:szCs w:val="24"/>
          <w:highlight w:val="yellow"/>
        </w:rPr>
      </w:pPr>
      <w:r w:rsidRPr="00DF6654">
        <w:rPr>
          <w:rFonts w:ascii="Arial" w:hAnsi="Arial" w:cs="Arial"/>
          <w:szCs w:val="24"/>
        </w:rPr>
        <w:t>(</w:t>
      </w:r>
      <w:r w:rsidRPr="00DF6654" w:rsidR="0062659E">
        <w:rPr>
          <w:rFonts w:ascii="Arial" w:hAnsi="Arial" w:cs="Arial"/>
          <w:szCs w:val="24"/>
        </w:rPr>
        <w:t>Feeley, 2019</w:t>
      </w:r>
      <w:r w:rsidRPr="00DF6654">
        <w:rPr>
          <w:rFonts w:ascii="Arial" w:hAnsi="Arial" w:cs="Arial"/>
          <w:szCs w:val="24"/>
        </w:rPr>
        <w:t>)</w:t>
      </w:r>
      <w:r w:rsidRPr="00DF6654" w:rsidR="00E645D1">
        <w:rPr>
          <w:rFonts w:ascii="Arial" w:hAnsi="Arial" w:cs="Arial"/>
          <w:szCs w:val="24"/>
        </w:rPr>
        <w:t xml:space="preserve">. </w:t>
      </w:r>
      <w:r w:rsidRPr="00DF6654" w:rsidR="00F16315">
        <w:rPr>
          <w:rFonts w:ascii="Arial" w:hAnsi="Arial" w:cs="Arial"/>
          <w:szCs w:val="24"/>
        </w:rPr>
        <w:t xml:space="preserve">This assessment will highlight the common law and civil law in the UK </w:t>
      </w:r>
    </w:p>
    <w:p w:rsidRPr="00DF6654" w:rsidR="00285B1F" w:rsidP="00DF6654" w:rsidRDefault="00C1093D" w14:paraId="174EB333" w14:textId="1E354020">
      <w:pPr>
        <w:spacing w:after="0"/>
        <w:rPr>
          <w:rFonts w:ascii="Arial" w:hAnsi="Arial" w:cs="Arial"/>
        </w:rPr>
      </w:pPr>
      <w:r w:rsidRPr="6B421CFC" w:rsidR="6B421CFC">
        <w:rPr>
          <w:rFonts w:ascii="Arial" w:hAnsi="Arial" w:cs="Arial"/>
        </w:rPr>
        <w:t>In the view of Nelson (2015), common law is regarded as legislation that is acknowledged by magistrates and derived from standards and customs. These laws were created with the lawful reforms provided by King Henry II in the 12</w:t>
      </w:r>
      <w:r w:rsidRPr="6B421CFC" w:rsidR="6B421CFC">
        <w:rPr>
          <w:rFonts w:ascii="Arial" w:hAnsi="Arial" w:cs="Arial"/>
          <w:vertAlign w:val="superscript"/>
        </w:rPr>
        <w:t>th</w:t>
      </w:r>
      <w:r w:rsidRPr="6B421CFC" w:rsidR="6B421CFC">
        <w:rPr>
          <w:rFonts w:ascii="Arial" w:hAnsi="Arial" w:cs="Arial"/>
        </w:rPr>
        <w:t xml:space="preserve"> era and were named common as they function across the UK. The principle of compulsory precedent, whereby law courts apply and follow the guidelines that have been declared by </w:t>
      </w:r>
      <w:r w:rsidRPr="6B421CFC" w:rsidR="6B421CFC">
        <w:rPr>
          <w:rFonts w:ascii="Arial" w:hAnsi="Arial" w:cs="Arial"/>
        </w:rPr>
        <w:t>previous</w:t>
      </w:r>
      <w:r w:rsidRPr="6B421CFC" w:rsidR="6B421CFC">
        <w:rPr>
          <w:rFonts w:ascii="Arial" w:hAnsi="Arial" w:cs="Arial"/>
        </w:rPr>
        <w:t xml:space="preserve"> cases which have been decided by senior courts called courts of record or stare decisis. The common law involves substantive rules like murder offences and procedural ones involving the procedural rules of the court, which have been derived from inherent court districts. Management of common law may be substituted or outdated by legislation that takes superiority over this law. Burglary offences, for instances based on traditional common law, are considered larceny offences, which are governed by Theft Acts 1968, 1978 and many others (CPS, 2022). </w:t>
      </w:r>
      <w:r w:rsidRPr="6B421CFC" w:rsidR="6B421CFC">
        <w:rPr>
          <w:rFonts w:ascii="Arial" w:hAnsi="Arial" w:cs="Arial"/>
          <w:highlight w:val="yellow"/>
        </w:rPr>
        <w:t xml:space="preserve">Common law concepts have evolved significantly since the seminal decision of O’Donoghue v. Stevenson in the year 1932. The precedent for negligence claims based on a duty of care was </w:t>
      </w:r>
      <w:r w:rsidRPr="6B421CFC" w:rsidR="6B421CFC">
        <w:rPr>
          <w:rFonts w:ascii="Arial" w:hAnsi="Arial" w:cs="Arial"/>
          <w:highlight w:val="yellow"/>
        </w:rPr>
        <w:t>established</w:t>
      </w:r>
      <w:r w:rsidRPr="6B421CFC" w:rsidR="6B421CFC">
        <w:rPr>
          <w:rFonts w:ascii="Arial" w:hAnsi="Arial" w:cs="Arial"/>
          <w:highlight w:val="yellow"/>
        </w:rPr>
        <w:t xml:space="preserve"> by this decision. It is possible to link several </w:t>
      </w:r>
      <w:r w:rsidRPr="6B421CFC" w:rsidR="6B421CFC">
        <w:rPr>
          <w:rFonts w:ascii="Arial" w:hAnsi="Arial" w:cs="Arial"/>
          <w:highlight w:val="yellow"/>
        </w:rPr>
        <w:t>subsequent</w:t>
      </w:r>
      <w:r w:rsidRPr="6B421CFC" w:rsidR="6B421CFC">
        <w:rPr>
          <w:rFonts w:ascii="Arial" w:hAnsi="Arial" w:cs="Arial"/>
          <w:highlight w:val="yellow"/>
        </w:rPr>
        <w:t xml:space="preserve"> tort law rulings to Lord Atkin's well-known neighbour principle in this instance. In comparison, Donoghue v. Stevenson has nothing to do with criminal law or the common law murder offence (V Penny et al., 2022). It is a notable illustration of how common law concepts and precedent-setting decisions have </w:t>
      </w:r>
      <w:r w:rsidRPr="6B421CFC" w:rsidR="6B421CFC">
        <w:rPr>
          <w:rFonts w:ascii="Arial" w:hAnsi="Arial" w:cs="Arial"/>
          <w:highlight w:val="yellow"/>
        </w:rPr>
        <w:t>impacted</w:t>
      </w:r>
      <w:r w:rsidRPr="6B421CFC" w:rsidR="6B421CFC">
        <w:rPr>
          <w:rFonts w:ascii="Arial" w:hAnsi="Arial" w:cs="Arial"/>
          <w:highlight w:val="yellow"/>
        </w:rPr>
        <w:t xml:space="preserve"> several areas of law in the UK.</w:t>
      </w:r>
    </w:p>
    <w:p w:rsidRPr="00DF6654" w:rsidR="008F01D5" w:rsidP="00DF6654" w:rsidRDefault="00C1093D" w14:paraId="413D5796" w14:textId="5D7A6102">
      <w:pPr>
        <w:spacing w:after="0"/>
        <w:rPr>
          <w:rFonts w:ascii="Arial" w:hAnsi="Arial" w:cs="Arial"/>
        </w:rPr>
      </w:pPr>
      <w:r w:rsidRPr="6B421CFC" w:rsidR="6B421CFC">
        <w:rPr>
          <w:rFonts w:ascii="Arial" w:hAnsi="Arial" w:cs="Arial"/>
        </w:rPr>
        <w:t xml:space="preserve">According to Christie (2017), civil law includes conflicts between organizations or individuals. This law is related to the offence that harms another individual and their property or rights. In civil case laws, the plaintiff brings the statement while the suspect is the defendant. Cases of civil law </w:t>
      </w:r>
      <w:r w:rsidRPr="6B421CFC" w:rsidR="6B421CFC">
        <w:rPr>
          <w:rFonts w:ascii="Arial" w:hAnsi="Arial" w:cs="Arial"/>
        </w:rPr>
        <w:t>seek</w:t>
      </w:r>
      <w:r w:rsidRPr="6B421CFC" w:rsidR="6B421CFC">
        <w:rPr>
          <w:rFonts w:ascii="Arial" w:hAnsi="Arial" w:cs="Arial"/>
        </w:rPr>
        <w:t xml:space="preserve"> to settle conflicts and institute whether the suspect had a duty of care or accountability towards the plaintiff. Activities or offences in violation of civil law in the UK involve family conflicts, employment law, personal injury, and breach of the agreement. After a civil case, mostly no party is sent to prison. But if the accused is found accountable, then the court can order them to pay compensation in damages form. This law promotes collaboration between society members, deterring unethical practices of business and exploitative </w:t>
      </w:r>
      <w:r w:rsidRPr="6B421CFC" w:rsidR="6B421CFC">
        <w:rPr>
          <w:rFonts w:ascii="Arial" w:hAnsi="Arial" w:cs="Arial"/>
        </w:rPr>
        <w:t>behaviours</w:t>
      </w:r>
      <w:r w:rsidRPr="6B421CFC" w:rsidR="6B421CFC">
        <w:rPr>
          <w:rFonts w:ascii="Arial" w:hAnsi="Arial" w:cs="Arial"/>
        </w:rPr>
        <w:t xml:space="preserve">. </w:t>
      </w:r>
      <w:r w:rsidRPr="6B421CFC" w:rsidR="6B421CFC">
        <w:rPr>
          <w:rFonts w:ascii="Arial" w:hAnsi="Arial" w:cs="Arial"/>
          <w:highlight w:val="yellow"/>
        </w:rPr>
        <w:t xml:space="preserve">The case of Donoghue v. Stevenson in 1932 serves as an example of civil law principles since it deals with the </w:t>
      </w:r>
      <w:r w:rsidRPr="6B421CFC" w:rsidR="6B421CFC">
        <w:rPr>
          <w:rFonts w:ascii="Arial" w:hAnsi="Arial" w:cs="Arial"/>
          <w:highlight w:val="yellow"/>
        </w:rPr>
        <w:t>defence</w:t>
      </w:r>
      <w:r w:rsidRPr="6B421CFC" w:rsidR="6B421CFC">
        <w:rPr>
          <w:rFonts w:ascii="Arial" w:hAnsi="Arial" w:cs="Arial"/>
          <w:highlight w:val="yellow"/>
        </w:rPr>
        <w:t xml:space="preserve"> of an individual's rights against harm. Mrs Donoghue believes that she consumed a Stevenson ginger beer bottle that </w:t>
      </w:r>
      <w:r w:rsidRPr="6B421CFC" w:rsidR="6B421CFC">
        <w:rPr>
          <w:rFonts w:ascii="Arial" w:hAnsi="Arial" w:cs="Arial"/>
          <w:highlight w:val="yellow"/>
        </w:rPr>
        <w:t>contained</w:t>
      </w:r>
      <w:r w:rsidRPr="6B421CFC" w:rsidR="6B421CFC">
        <w:rPr>
          <w:rFonts w:ascii="Arial" w:hAnsi="Arial" w:cs="Arial"/>
          <w:highlight w:val="yellow"/>
        </w:rPr>
        <w:t xml:space="preserve"> a dead snail, which is why she felt ill. She filed a negligence lawsuit, claiming the company had violated its duty of care to its clients. This decision </w:t>
      </w:r>
      <w:r w:rsidRPr="6B421CFC" w:rsidR="6B421CFC">
        <w:rPr>
          <w:rFonts w:ascii="Arial" w:hAnsi="Arial" w:cs="Arial"/>
          <w:highlight w:val="yellow"/>
        </w:rPr>
        <w:t>established</w:t>
      </w:r>
      <w:r w:rsidRPr="6B421CFC" w:rsidR="6B421CFC">
        <w:rPr>
          <w:rFonts w:ascii="Arial" w:hAnsi="Arial" w:cs="Arial"/>
          <w:highlight w:val="yellow"/>
        </w:rPr>
        <w:t xml:space="preserve"> a duty of care between manufacturers and their consumers, advancing the notion of product responsibility in civil law (Scottish Council of Law Reporting, 2023). This case </w:t>
      </w:r>
      <w:r w:rsidRPr="6B421CFC" w:rsidR="6B421CFC">
        <w:rPr>
          <w:rFonts w:ascii="Arial" w:hAnsi="Arial" w:cs="Arial"/>
          <w:highlight w:val="yellow"/>
        </w:rPr>
        <w:t>demonstrates</w:t>
      </w:r>
      <w:r w:rsidRPr="6B421CFC" w:rsidR="6B421CFC">
        <w:rPr>
          <w:rFonts w:ascii="Arial" w:hAnsi="Arial" w:cs="Arial"/>
          <w:highlight w:val="yellow"/>
        </w:rPr>
        <w:t xml:space="preserve"> the </w:t>
      </w:r>
      <w:r w:rsidRPr="6B421CFC" w:rsidR="6B421CFC">
        <w:rPr>
          <w:rFonts w:ascii="Arial" w:hAnsi="Arial" w:cs="Arial"/>
          <w:highlight w:val="yellow"/>
        </w:rPr>
        <w:t>objectives</w:t>
      </w:r>
      <w:r w:rsidRPr="6B421CFC" w:rsidR="6B421CFC">
        <w:rPr>
          <w:rFonts w:ascii="Arial" w:hAnsi="Arial" w:cs="Arial"/>
          <w:highlight w:val="yellow"/>
        </w:rPr>
        <w:t xml:space="preserve"> of civil law, dispute settlement, duty determination, and liability in the context of harm to an individual's rights or property.</w:t>
      </w:r>
      <w:r w:rsidRPr="6B421CFC" w:rsidR="6B421CFC">
        <w:rPr>
          <w:rFonts w:ascii="Arial" w:hAnsi="Arial" w:cs="Arial"/>
        </w:rPr>
        <w:t xml:space="preserve"> </w:t>
      </w:r>
    </w:p>
    <w:p w:rsidRPr="00DF6654" w:rsidR="00FC25FB" w:rsidP="00DF6654" w:rsidRDefault="00C1093D" w14:paraId="6955E7D6" w14:textId="794A1BDA">
      <w:pPr>
        <w:spacing w:after="0"/>
        <w:rPr>
          <w:rFonts w:ascii="Arial" w:hAnsi="Arial" w:cs="Arial"/>
        </w:rPr>
      </w:pPr>
      <w:r w:rsidRPr="4BCC8D71">
        <w:rPr>
          <w:rFonts w:ascii="Arial" w:hAnsi="Arial" w:cs="Arial"/>
        </w:rPr>
        <w:t xml:space="preserve">Liang and Renneberg </w:t>
      </w:r>
      <w:r w:rsidRPr="4BCC8D71" w:rsidR="00DE3C3F">
        <w:rPr>
          <w:rFonts w:ascii="Arial" w:hAnsi="Arial" w:cs="Arial"/>
        </w:rPr>
        <w:t>(</w:t>
      </w:r>
      <w:r w:rsidRPr="4BCC8D71">
        <w:rPr>
          <w:rFonts w:ascii="Arial" w:hAnsi="Arial" w:cs="Arial"/>
        </w:rPr>
        <w:t>2017</w:t>
      </w:r>
      <w:r w:rsidRPr="4BCC8D71" w:rsidR="00DE3C3F">
        <w:rPr>
          <w:rFonts w:ascii="Arial" w:hAnsi="Arial" w:cs="Arial"/>
        </w:rPr>
        <w:t xml:space="preserve">) described that civil law and common law are two varied legal systems that exist in the UK. </w:t>
      </w:r>
      <w:r w:rsidRPr="0371FD47" w:rsidR="0371FD47">
        <w:rPr>
          <w:rFonts w:ascii="Arial" w:hAnsi="Arial" w:cs="Arial"/>
        </w:rPr>
        <w:t>Som</w:t>
      </w:r>
      <w:r w:rsidRPr="4BCC8D71" w:rsidR="00B55C71">
        <w:rPr>
          <w:rFonts w:ascii="Arial" w:hAnsi="Arial" w:cs="Arial"/>
        </w:rPr>
        <w:t>e</w:t>
      </w:r>
      <w:r w:rsidRPr="4BCC8D71" w:rsidR="00B55C71">
        <w:rPr>
          <w:rFonts w:ascii="Arial" w:hAnsi="Arial" w:cs="Arial"/>
        </w:rPr>
        <w:t xml:space="preserve"> differences are</w:t>
      </w:r>
      <w:r w:rsidRPr="4BCC8D71" w:rsidR="00B55C71">
        <w:rPr>
          <w:rFonts w:ascii="Arial" w:hAnsi="Arial" w:cs="Arial"/>
        </w:rPr>
        <w:t xml:space="preserve"> found between these two legal systems.</w:t>
      </w:r>
      <w:r w:rsidRPr="4BCC8D71" w:rsidR="006D4FAD">
        <w:rPr>
          <w:rFonts w:ascii="Arial" w:hAnsi="Arial" w:cs="Arial"/>
        </w:rPr>
        <w:t xml:space="preserve"> </w:t>
      </w:r>
      <w:r w:rsidRPr="59B7FBC9" w:rsidR="59B7FBC9">
        <w:rPr>
          <w:rFonts w:ascii="Arial" w:hAnsi="Arial" w:cs="Arial"/>
          <w:highlight w:val="yellow"/>
        </w:rPr>
        <w:t>Most</w:t>
      </w:r>
      <w:r w:rsidRPr="4BCC8D71" w:rsidR="00A34E0C">
        <w:rPr>
          <w:rFonts w:ascii="Arial" w:hAnsi="Arial" w:cs="Arial"/>
          <w:highlight w:val="yellow"/>
        </w:rPr>
        <w:t xml:space="preserve"> international legal frameworks are based on common law or civil law. Both aim to achieve justice and resolve conflicts, but they are based on quite different principles and work in </w:t>
      </w:r>
      <w:r w:rsidRPr="4BCC8D71" w:rsidR="00A34E0C">
        <w:rPr>
          <w:rFonts w:ascii="Arial" w:hAnsi="Arial" w:cs="Arial"/>
          <w:highlight w:val="yellow"/>
        </w:rPr>
        <w:t xml:space="preserve">vastly diverse ways</w:t>
      </w:r>
      <w:r w:rsidRPr="4BCC8D71" w:rsidR="00A34E0C">
        <w:rPr>
          <w:rFonts w:ascii="Arial" w:hAnsi="Arial" w:cs="Arial"/>
          <w:highlight w:val="yellow"/>
        </w:rPr>
        <w:t xml:space="preserve">. Countries such as France, Germany, and Japan have a legal system based on codified regulations and laws called civil law. It functions </w:t>
      </w:r>
      <w:r w:rsidRPr="0371FD47" w:rsidR="0371FD47">
        <w:rPr>
          <w:rFonts w:ascii="Arial" w:hAnsi="Arial" w:cs="Arial"/>
          <w:highlight w:val="yellow"/>
        </w:rPr>
        <w:t>following</w:t>
      </w:r>
      <w:r w:rsidRPr="4BCC8D71" w:rsidR="00A34E0C">
        <w:rPr>
          <w:rFonts w:ascii="Arial" w:hAnsi="Arial" w:cs="Arial"/>
          <w:highlight w:val="yellow"/>
        </w:rPr>
        <w:t xml:space="preserve"> complex legal laws that outline the rights and obligations of every individual and company. The function of a civil law system is mostly restricted to applying and interpreting pre-existing laws, as opposed to creating new legal conceptions via precedent</w:t>
      </w:r>
      <w:r w:rsidRPr="4BCC8D71" w:rsidR="00DF6654">
        <w:rPr>
          <w:rFonts w:ascii="Arial" w:hAnsi="Arial" w:cs="Arial"/>
          <w:highlight w:val="yellow"/>
        </w:rPr>
        <w:t xml:space="preserve"> (Carozza, 2023)</w:t>
      </w:r>
      <w:r w:rsidRPr="4BCC8D71" w:rsidR="00A34E0C">
        <w:rPr>
          <w:rFonts w:ascii="Arial" w:hAnsi="Arial" w:cs="Arial"/>
          <w:highlight w:val="yellow"/>
        </w:rPr>
        <w:t xml:space="preserve">. Civil law offers clarity but </w:t>
      </w:r>
      <w:r w:rsidRPr="4BCC8D71" w:rsidR="00DF6654">
        <w:rPr>
          <w:rFonts w:ascii="Arial" w:hAnsi="Arial" w:cs="Arial"/>
          <w:highlight w:val="yellow"/>
        </w:rPr>
        <w:t>is</w:t>
      </w:r>
      <w:r w:rsidRPr="4BCC8D71" w:rsidR="00A34E0C">
        <w:rPr>
          <w:rFonts w:ascii="Arial" w:hAnsi="Arial" w:cs="Arial"/>
          <w:highlight w:val="yellow"/>
        </w:rPr>
        <w:t xml:space="preserve"> reluctant to adapt to shifting societal mores because of its more restrictive structure.</w:t>
      </w:r>
      <w:r w:rsidRPr="4BCC8D71" w:rsidR="00A34E0C">
        <w:rPr>
          <w:rFonts w:ascii="Arial" w:hAnsi="Arial" w:cs="Arial"/>
        </w:rPr>
        <w:t xml:space="preserve"> </w:t>
      </w:r>
      <w:r w:rsidRPr="4BCC8D71" w:rsidR="00C80912">
        <w:rPr>
          <w:rFonts w:ascii="Arial" w:hAnsi="Arial" w:cs="Arial"/>
        </w:rPr>
        <w:t>In common law</w:t>
      </w:r>
      <w:r w:rsidRPr="002921AE" w:rsidR="00C80912">
        <w:rPr>
          <w:rFonts w:ascii="Arial" w:hAnsi="Arial" w:cs="Arial"/>
        </w:rPr>
        <w:t xml:space="preserve"> in the</w:t>
      </w:r>
      <w:r w:rsidRPr="4BCC8D71" w:rsidR="00C80912">
        <w:rPr>
          <w:rFonts w:ascii="Arial" w:hAnsi="Arial" w:cs="Arial"/>
        </w:rPr>
        <w:t xml:space="preserve"> UK, the primary sources of legislation </w:t>
      </w:r>
      <w:r w:rsidRPr="4BCC8D71" w:rsidR="00106DB5">
        <w:rPr>
          <w:rFonts w:ascii="Arial" w:hAnsi="Arial" w:cs="Arial"/>
        </w:rPr>
        <w:t xml:space="preserve">are decrees and judicial decisions that have been made by judges in old cases and are considered as precedent or case law. </w:t>
      </w:r>
      <w:r w:rsidRPr="4BCC8D71" w:rsidR="00A34E0C">
        <w:rPr>
          <w:rFonts w:ascii="Arial" w:hAnsi="Arial" w:cs="Arial"/>
          <w:highlight w:val="yellow"/>
        </w:rPr>
        <w:t xml:space="preserve">Common law is mostly reliant on earlier decisions and is used in </w:t>
      </w:r>
      <w:r w:rsidRPr="0371FD47" w:rsidR="0158BF1A">
        <w:rPr>
          <w:rFonts w:ascii="Arial" w:hAnsi="Arial" w:cs="Arial"/>
          <w:highlight w:val="yellow"/>
        </w:rPr>
        <w:t>district</w:t>
      </w:r>
      <w:r w:rsidRPr="4BCC8D71" w:rsidR="00A34E0C">
        <w:rPr>
          <w:rFonts w:ascii="Arial" w:hAnsi="Arial" w:cs="Arial"/>
          <w:highlight w:val="yellow"/>
        </w:rPr>
        <w:t xml:space="preserve">s such as the US, the UK, and other former colonies of the UK. This suggests that the foundation for resolving new matters in court is precedent. </w:t>
      </w:r>
      <w:r w:rsidRPr="4BCC8D71" w:rsidR="00A34E0C">
        <w:rPr>
          <w:rFonts w:ascii="Arial" w:hAnsi="Arial" w:cs="Arial"/>
          <w:highlight w:val="yellow"/>
        </w:rPr>
        <w:lastRenderedPageBreak/>
        <w:t>Common law system judges interpret and develop the law by their judgments, producing a strong and constantly changing body of case law</w:t>
      </w:r>
      <w:r w:rsidRPr="4BCC8D71" w:rsidR="00DF6654">
        <w:rPr>
          <w:rFonts w:ascii="Arial" w:hAnsi="Arial" w:cs="Arial"/>
          <w:highlight w:val="yellow"/>
        </w:rPr>
        <w:t xml:space="preserve"> (</w:t>
      </w:r>
      <w:r w:rsidRPr="59B7FBC9" w:rsidR="00DF6654">
        <w:rPr>
          <w:rFonts w:ascii="Arial" w:hAnsi="Arial" w:cs="Arial"/>
          <w:highlight w:val="yellow"/>
        </w:rPr>
        <w:t>Franklin, 2023)</w:t>
      </w:r>
      <w:r w:rsidRPr="4BCC8D71" w:rsidR="00A34E0C">
        <w:rPr>
          <w:rFonts w:ascii="Arial" w:hAnsi="Arial" w:cs="Arial"/>
          <w:highlight w:val="yellow"/>
        </w:rPr>
        <w:t xml:space="preserve">. Common law is adaptable and changes to meet complex issues and newly developing cultural norms as they </w:t>
      </w:r>
      <w:r w:rsidRPr="4BCC8D71" w:rsidR="00A34E0C">
        <w:rPr>
          <w:rFonts w:ascii="Arial" w:hAnsi="Arial" w:cs="Arial"/>
          <w:highlight w:val="yellow"/>
        </w:rPr>
        <w:t>emerge</w:t>
      </w:r>
      <w:r w:rsidRPr="4BCC8D71" w:rsidR="00A34E0C">
        <w:rPr>
          <w:rFonts w:ascii="Arial" w:hAnsi="Arial" w:cs="Arial"/>
          <w:highlight w:val="yellow"/>
        </w:rPr>
        <w:t>.</w:t>
      </w:r>
      <w:r w:rsidRPr="4BCC8D71" w:rsidR="00B87ECC">
        <w:rPr>
          <w:rFonts w:ascii="Arial" w:hAnsi="Arial" w:cs="Arial"/>
        </w:rPr>
        <w:t xml:space="preserve"> </w:t>
      </w:r>
      <w:r w:rsidRPr="4BCC8D71" w:rsidR="00AD5F15">
        <w:rPr>
          <w:rFonts w:ascii="Arial" w:hAnsi="Arial" w:cs="Arial"/>
        </w:rPr>
        <w:t xml:space="preserve">In civil law in the UK, the primary sources of legislation are statutes and codes that have been developed by the parliament and writings of legal scholars. </w:t>
      </w:r>
      <w:r w:rsidRPr="4BCC8D71" w:rsidR="00EA1518">
        <w:rPr>
          <w:rFonts w:ascii="Arial" w:hAnsi="Arial" w:cs="Arial"/>
        </w:rPr>
        <w:t>In common law, courts play an active role in applying and interpreting the regulations to the case facts.</w:t>
      </w:r>
      <w:r w:rsidRPr="4BCC8D71" w:rsidR="00BF0F1F">
        <w:rPr>
          <w:rFonts w:ascii="Arial" w:hAnsi="Arial" w:cs="Arial"/>
        </w:rPr>
        <w:t xml:space="preserve"> </w:t>
      </w:r>
      <w:r w:rsidRPr="4BCC8D71" w:rsidR="008D000F">
        <w:rPr>
          <w:rFonts w:ascii="Arial" w:hAnsi="Arial" w:cs="Arial"/>
        </w:rPr>
        <w:t xml:space="preserve">In civil law, courts play a reflexive role as they are </w:t>
      </w:r>
      <w:r w:rsidRPr="4BCC8D71" w:rsidR="008D000F">
        <w:rPr>
          <w:rFonts w:ascii="Arial" w:hAnsi="Arial" w:cs="Arial"/>
        </w:rPr>
        <w:t xml:space="preserve">anticipated</w:t>
      </w:r>
      <w:r w:rsidRPr="4BCC8D71" w:rsidR="008D000F">
        <w:rPr>
          <w:rFonts w:ascii="Arial" w:hAnsi="Arial" w:cs="Arial"/>
        </w:rPr>
        <w:t xml:space="preserve"> to strictly apply the legislation that has been written in the statutes and codes. </w:t>
      </w:r>
      <w:r w:rsidRPr="4BCC8D71" w:rsidR="00DC7385">
        <w:rPr>
          <w:rFonts w:ascii="Arial" w:hAnsi="Arial" w:cs="Arial"/>
        </w:rPr>
        <w:t xml:space="preserve">They rely on past decisions and precedents to guide the decision-making. </w:t>
      </w:r>
      <w:r w:rsidRPr="0371FD47" w:rsidR="00832DB8">
        <w:rPr>
          <w:rFonts w:ascii="Arial" w:hAnsi="Arial" w:cs="Arial"/>
          <w:shd w:val="clear" w:color="auto" w:fill="FFFFFF"/>
        </w:rPr>
        <w:t>Common law</w:t>
      </w:r>
      <w:r w:rsidRPr="4BCC8D71" w:rsidR="00832DB8">
        <w:rPr>
          <w:rFonts w:ascii="Arial" w:hAnsi="Arial" w:cs="Arial"/>
        </w:rPr>
        <w:t xml:space="preserve"> </w:t>
      </w:r>
      <w:r w:rsidRPr="4BCC8D71" w:rsidR="00832DB8">
        <w:rPr>
          <w:rFonts w:ascii="Arial" w:hAnsi="Arial" w:cs="Arial"/>
        </w:rPr>
        <w:t xml:space="preserve">relies on an adversarial lawful system where two parties </w:t>
      </w:r>
      <w:r w:rsidRPr="4BCC8D71" w:rsidR="00832DB8">
        <w:rPr>
          <w:rFonts w:ascii="Arial" w:hAnsi="Arial" w:cs="Arial"/>
        </w:rPr>
        <w:t xml:space="preserve">demonstrate</w:t>
      </w:r>
      <w:r w:rsidRPr="4BCC8D71" w:rsidR="00832DB8">
        <w:rPr>
          <w:rFonts w:ascii="Arial" w:hAnsi="Arial" w:cs="Arial"/>
        </w:rPr>
        <w:t xml:space="preserve"> the evidence </w:t>
      </w:r>
      <w:r w:rsidRPr="4BCC8D71" w:rsidR="003C1216">
        <w:rPr>
          <w:rFonts w:ascii="Arial" w:hAnsi="Arial" w:cs="Arial"/>
        </w:rPr>
        <w:t xml:space="preserve">and arguments to a jury or judge. </w:t>
      </w:r>
      <w:r w:rsidRPr="4BCC8D71" w:rsidR="00E05EA4">
        <w:rPr>
          <w:rFonts w:ascii="Arial" w:hAnsi="Arial" w:cs="Arial"/>
        </w:rPr>
        <w:t>In civil law, the lawful system is analytical, where courts play an active role in gathering evidence and questioning witnesses.</w:t>
      </w:r>
      <w:r w:rsidRPr="4BCC8D71" w:rsidR="001F79D8">
        <w:rPr>
          <w:rFonts w:ascii="Arial" w:hAnsi="Arial" w:cs="Arial"/>
        </w:rPr>
        <w:t xml:space="preserve"> In common law, lawyers have a fundamental role in the legal system, which </w:t>
      </w:r>
      <w:r w:rsidRPr="4BCC8D71" w:rsidR="001F79D8">
        <w:rPr>
          <w:rFonts w:ascii="Arial" w:hAnsi="Arial" w:cs="Arial"/>
        </w:rPr>
        <w:t xml:space="preserve">represents</w:t>
      </w:r>
      <w:r w:rsidRPr="4BCC8D71" w:rsidR="001F79D8">
        <w:rPr>
          <w:rFonts w:ascii="Arial" w:hAnsi="Arial" w:cs="Arial"/>
        </w:rPr>
        <w:t xml:space="preserve"> clients and </w:t>
      </w:r>
      <w:r w:rsidRPr="4BCC8D71" w:rsidR="001F79D8">
        <w:rPr>
          <w:rFonts w:ascii="Arial" w:hAnsi="Arial" w:cs="Arial"/>
        </w:rPr>
        <w:t xml:space="preserve">demonstrates</w:t>
      </w:r>
      <w:r w:rsidRPr="4BCC8D71" w:rsidR="001F79D8">
        <w:rPr>
          <w:rFonts w:ascii="Arial" w:hAnsi="Arial" w:cs="Arial"/>
        </w:rPr>
        <w:t xml:space="preserve"> arguments in court. </w:t>
      </w:r>
      <w:r w:rsidRPr="4BCC8D71" w:rsidR="00721037">
        <w:rPr>
          <w:rFonts w:ascii="Arial" w:hAnsi="Arial" w:cs="Arial"/>
        </w:rPr>
        <w:t>In civil law, lawyers are shown as consultants and legal advisers who offer information to clients outside the courtroom</w:t>
      </w:r>
      <w:r w:rsidRPr="4BCC8D71" w:rsidR="00E12C3B">
        <w:rPr>
          <w:rFonts w:ascii="Arial" w:hAnsi="Arial" w:cs="Arial"/>
        </w:rPr>
        <w:t xml:space="preserve"> (</w:t>
      </w:r>
      <w:r w:rsidRPr="4BCC8D71" w:rsidR="008A5199">
        <w:rPr>
          <w:rFonts w:ascii="Arial" w:hAnsi="Arial" w:cs="Arial"/>
        </w:rPr>
        <w:t>Myers, 2015</w:t>
      </w:r>
      <w:r w:rsidRPr="4BCC8D71" w:rsidR="00E12C3B">
        <w:rPr>
          <w:rFonts w:ascii="Arial" w:hAnsi="Arial" w:cs="Arial"/>
        </w:rPr>
        <w:t>).</w:t>
      </w:r>
      <w:r w:rsidRPr="4BCC8D71" w:rsidR="00A34E0C">
        <w:rPr>
          <w:rFonts w:ascii="Arial" w:hAnsi="Arial" w:cs="Arial"/>
          <w:highlight w:val="yellow"/>
        </w:rPr>
        <w:t xml:space="preserve"> Common law is adaptable and changes to meet complex issues and newly developing cultural norms as they </w:t>
      </w:r>
      <w:r w:rsidRPr="4BCC8D71" w:rsidR="00A34E0C">
        <w:rPr>
          <w:rFonts w:ascii="Arial" w:hAnsi="Arial" w:cs="Arial"/>
          <w:highlight w:val="yellow"/>
        </w:rPr>
        <w:t>emerge</w:t>
      </w:r>
      <w:r w:rsidRPr="4BCC8D71" w:rsidR="00A34E0C">
        <w:rPr>
          <w:rFonts w:ascii="Arial" w:hAnsi="Arial" w:cs="Arial"/>
          <w:highlight w:val="yellow"/>
        </w:rPr>
        <w:t>.</w:t>
      </w:r>
      <w:r w:rsidRPr="4BCC8D71" w:rsidR="00B87ECC">
        <w:rPr>
          <w:rFonts w:ascii="Arial" w:hAnsi="Arial" w:cs="Arial"/>
        </w:rPr>
        <w:t xml:space="preserve"> </w:t>
      </w:r>
      <w:r w:rsidRPr="4BCC8D71" w:rsidR="00AD5F15">
        <w:rPr>
          <w:rFonts w:ascii="Arial" w:hAnsi="Arial" w:cs="Arial"/>
        </w:rPr>
        <w:t xml:space="preserve">In civil law in the UK, the primary sources of legislation are statutes and codes that have been developed by the parliament and writings of legal scholars. </w:t>
      </w:r>
      <w:r w:rsidRPr="4BCC8D71" w:rsidR="00EA1518">
        <w:rPr>
          <w:rFonts w:ascii="Arial" w:hAnsi="Arial" w:cs="Arial"/>
        </w:rPr>
        <w:t>In common law, courts play an active role in applying and interpreting the regulations to the case facts.</w:t>
      </w:r>
      <w:r w:rsidRPr="4BCC8D71" w:rsidR="00BF0F1F">
        <w:rPr>
          <w:rFonts w:ascii="Arial" w:hAnsi="Arial" w:cs="Arial"/>
        </w:rPr>
        <w:t xml:space="preserve"> </w:t>
      </w:r>
      <w:r w:rsidRPr="4BCC8D71" w:rsidR="008D000F">
        <w:rPr>
          <w:rFonts w:ascii="Arial" w:hAnsi="Arial" w:cs="Arial"/>
        </w:rPr>
        <w:t xml:space="preserve">In civil law, courts play a reflexive role as they are </w:t>
      </w:r>
      <w:r w:rsidRPr="4BCC8D71" w:rsidR="008D000F">
        <w:rPr>
          <w:rFonts w:ascii="Arial" w:hAnsi="Arial" w:cs="Arial"/>
        </w:rPr>
        <w:t xml:space="preserve">anticipated</w:t>
      </w:r>
      <w:r w:rsidRPr="4BCC8D71" w:rsidR="008D000F">
        <w:rPr>
          <w:rFonts w:ascii="Arial" w:hAnsi="Arial" w:cs="Arial"/>
        </w:rPr>
        <w:t xml:space="preserve"> to strictly apply the legislation that has been written in the statutes and codes. </w:t>
      </w:r>
      <w:r w:rsidRPr="4BCC8D71" w:rsidR="00DC7385">
        <w:rPr>
          <w:rFonts w:ascii="Arial" w:hAnsi="Arial" w:cs="Arial"/>
        </w:rPr>
        <w:t xml:space="preserve">They rely on past decisions and precedents to guide the decision-making. </w:t>
      </w:r>
      <w:r w:rsidRPr="4BCC8D71" w:rsidR="00832DB8">
        <w:rPr>
          <w:rFonts w:ascii="Arial" w:hAnsi="Arial" w:cs="Arial"/>
        </w:rPr>
        <w:t xml:space="preserve">Common law relies on an adversarial lawful system where two parties </w:t>
      </w:r>
      <w:r w:rsidRPr="4BCC8D71" w:rsidR="00832DB8">
        <w:rPr>
          <w:rFonts w:ascii="Arial" w:hAnsi="Arial" w:cs="Arial"/>
        </w:rPr>
        <w:t xml:space="preserve">demonstrate</w:t>
      </w:r>
      <w:r w:rsidRPr="4BCC8D71" w:rsidR="00832DB8">
        <w:rPr>
          <w:rFonts w:ascii="Arial" w:hAnsi="Arial" w:cs="Arial"/>
        </w:rPr>
        <w:t xml:space="preserve"> the evidence </w:t>
      </w:r>
      <w:r w:rsidRPr="4BCC8D71" w:rsidR="003C1216">
        <w:rPr>
          <w:rFonts w:ascii="Arial" w:hAnsi="Arial" w:cs="Arial"/>
        </w:rPr>
        <w:t xml:space="preserve">and arguments to a jury or judge. </w:t>
      </w:r>
      <w:r w:rsidRPr="4BCC8D71" w:rsidR="00E05EA4">
        <w:rPr>
          <w:rFonts w:ascii="Arial" w:hAnsi="Arial" w:cs="Arial"/>
        </w:rPr>
        <w:t>In civil law, the lawful system is analytical, where courts play an active role in gathering evidence and questioning witnesses.</w:t>
      </w:r>
      <w:r w:rsidRPr="4BCC8D71" w:rsidR="001F79D8">
        <w:rPr>
          <w:rFonts w:ascii="Arial" w:hAnsi="Arial" w:cs="Arial"/>
        </w:rPr>
        <w:t xml:space="preserve"> In common law, lawyers have a fundamental role in the legal system, which </w:t>
      </w:r>
      <w:r w:rsidRPr="4BCC8D71" w:rsidR="001F79D8">
        <w:rPr>
          <w:rFonts w:ascii="Arial" w:hAnsi="Arial" w:cs="Arial"/>
        </w:rPr>
        <w:t xml:space="preserve">represents</w:t>
      </w:r>
      <w:r w:rsidRPr="4BCC8D71" w:rsidR="001F79D8">
        <w:rPr>
          <w:rFonts w:ascii="Arial" w:hAnsi="Arial" w:cs="Arial"/>
        </w:rPr>
        <w:t xml:space="preserve"> clients and </w:t>
      </w:r>
      <w:r w:rsidRPr="4BCC8D71" w:rsidR="001F79D8">
        <w:rPr>
          <w:rFonts w:ascii="Arial" w:hAnsi="Arial" w:cs="Arial"/>
        </w:rPr>
        <w:t xml:space="preserve">demonstrates</w:t>
      </w:r>
      <w:r w:rsidRPr="4BCC8D71" w:rsidR="001F79D8">
        <w:rPr>
          <w:rFonts w:ascii="Arial" w:hAnsi="Arial" w:cs="Arial"/>
        </w:rPr>
        <w:t xml:space="preserve"> arguments in court. </w:t>
      </w:r>
      <w:r w:rsidRPr="4BCC8D71" w:rsidR="00721037">
        <w:rPr>
          <w:rFonts w:ascii="Arial" w:hAnsi="Arial" w:cs="Arial"/>
        </w:rPr>
        <w:t>In civil law, lawyers are shown as consultants and legal advisers who offer information to clients outside the courtroom</w:t>
      </w:r>
      <w:r w:rsidRPr="4BCC8D71" w:rsidR="00E12C3B">
        <w:rPr>
          <w:rFonts w:ascii="Arial" w:hAnsi="Arial" w:cs="Arial"/>
        </w:rPr>
        <w:t xml:space="preserve"> (</w:t>
      </w:r>
      <w:r w:rsidRPr="4BCC8D71" w:rsidR="008A5199">
        <w:rPr>
          <w:rFonts w:ascii="Arial" w:hAnsi="Arial" w:cs="Arial"/>
        </w:rPr>
        <w:t>Myers, 2015</w:t>
      </w:r>
      <w:r w:rsidRPr="4BCC8D71" w:rsidR="00E12C3B">
        <w:rPr>
          <w:rFonts w:ascii="Arial" w:hAnsi="Arial" w:cs="Arial"/>
        </w:rPr>
        <w:t>)</w:t>
      </w:r>
      <w:r w:rsidRPr="4BCC8D71" w:rsidR="00721037">
        <w:rPr>
          <w:rFonts w:ascii="Arial" w:hAnsi="Arial" w:cs="Arial"/>
        </w:rPr>
        <w:t xml:space="preserve">. </w:t>
      </w:r>
    </w:p>
    <w:p w:rsidRPr="00DF6654" w:rsidR="006B4BF0" w:rsidP="00DF6654" w:rsidRDefault="64F2C0EA" w14:paraId="1FABEE7C" w14:textId="2180D0E4">
      <w:pPr>
        <w:spacing w:after="0"/>
        <w:rPr>
          <w:rFonts w:ascii="Arial" w:hAnsi="Arial" w:cs="Arial"/>
        </w:rPr>
      </w:pPr>
      <w:r w:rsidRPr="64F2C0EA">
        <w:rPr>
          <w:rFonts w:ascii="Arial" w:hAnsi="Arial" w:cs="Arial"/>
          <w:highlight w:val="yellow"/>
        </w:rPr>
        <w:t xml:space="preserve">The </w:t>
      </w:r>
      <w:r w:rsidRPr="4BCC8D71" w:rsidR="00C1093D">
        <w:rPr>
          <w:rFonts w:ascii="Arial" w:hAnsi="Arial" w:cs="Arial"/>
          <w:highlight w:val="yellow"/>
        </w:rPr>
        <w:t>role of a lawyer is</w:t>
      </w:r>
      <w:r w:rsidRPr="4BCC8D71" w:rsidR="00C1093D">
        <w:rPr>
          <w:rFonts w:ascii="Arial" w:hAnsi="Arial" w:cs="Arial"/>
          <w:highlight w:val="yellow"/>
        </w:rPr>
        <w:t xml:space="preserve"> </w:t>
      </w:r>
      <w:r w:rsidRPr="64F2C0EA">
        <w:rPr>
          <w:rFonts w:ascii="Arial" w:hAnsi="Arial" w:cs="Arial"/>
          <w:highlight w:val="yellow"/>
        </w:rPr>
        <w:t xml:space="preserve">indeed </w:t>
      </w:r>
      <w:r w:rsidRPr="4BCC8D71" w:rsidR="00C1093D">
        <w:rPr>
          <w:rFonts w:ascii="Arial" w:hAnsi="Arial" w:cs="Arial"/>
          <w:highlight w:val="yellow"/>
        </w:rPr>
        <w:t xml:space="preserve">different in both laws. In common law systems, lawyers play a vital role as advocates to carry out inquiries, provide evidence, and cross-examine witnesses. Meanwhile, in civil law systems, the main duty of a lawyer is to provide </w:t>
      </w:r>
      <w:r w:rsidRPr="4BCC8D71" w:rsidR="00C1093D">
        <w:rPr>
          <w:rFonts w:ascii="Arial" w:hAnsi="Arial" w:cs="Arial"/>
          <w:highlight w:val="yellow"/>
        </w:rPr>
        <w:lastRenderedPageBreak/>
        <w:t>arguments and legal interpretations, whereas the role of a judge is more investigative</w:t>
      </w:r>
      <w:r w:rsidRPr="4BCC8D71" w:rsidR="00DF6654">
        <w:rPr>
          <w:rFonts w:ascii="Arial" w:hAnsi="Arial" w:cs="Arial"/>
          <w:highlight w:val="yellow"/>
        </w:rPr>
        <w:t xml:space="preserve"> (</w:t>
      </w:r>
      <w:r w:rsidRPr="64F2C0EA" w:rsidR="00DF6654">
        <w:rPr>
          <w:rFonts w:ascii="Arial" w:hAnsi="Arial" w:cs="Arial"/>
          <w:highlight w:val="yellow"/>
        </w:rPr>
        <w:t>Holste and Sparmann, 2023)</w:t>
      </w:r>
      <w:r w:rsidRPr="4BCC8D71" w:rsidR="00C1093D">
        <w:rPr>
          <w:rFonts w:ascii="Arial" w:hAnsi="Arial" w:cs="Arial"/>
          <w:highlight w:val="yellow"/>
        </w:rPr>
        <w:t>.</w:t>
      </w:r>
      <w:r w:rsidRPr="4BCC8D71" w:rsidR="00C1093D">
        <w:rPr>
          <w:rFonts w:ascii="Arial" w:hAnsi="Arial" w:cs="Arial"/>
        </w:rPr>
        <w:t xml:space="preserve"> </w:t>
      </w:r>
      <w:r w:rsidRPr="4BCC8D71" w:rsidR="00B20C1F">
        <w:rPr>
          <w:rFonts w:ascii="Arial" w:hAnsi="Arial" w:cs="Arial"/>
        </w:rPr>
        <w:t xml:space="preserve">The English common law advanced in the premature </w:t>
      </w:r>
      <w:r w:rsidRPr="002921AE" w:rsidR="00C1093D">
        <w:rPr>
          <w:rFonts w:ascii="Arial" w:hAnsi="Arial" w:cs="Arial"/>
        </w:rPr>
        <w:t>Middle</w:t>
      </w:r>
      <w:r w:rsidRPr="4BCC8D71" w:rsidR="00B20C1F">
        <w:rPr>
          <w:rFonts w:ascii="Arial" w:hAnsi="Arial" w:cs="Arial"/>
        </w:rPr>
        <w:t xml:space="preserve"> Ages in the Curia Regis is considered the King's Law court, which is a distinct royal law court that has been set up in the country. </w:t>
      </w:r>
      <w:r w:rsidRPr="4BCC8D71" w:rsidR="00071B41">
        <w:rPr>
          <w:rFonts w:ascii="Arial" w:hAnsi="Arial" w:cs="Arial"/>
        </w:rPr>
        <w:t xml:space="preserve">Like other legal systems, it has yet to consider functional </w:t>
      </w:r>
      <w:r w:rsidRPr="4BCC8D71" w:rsidR="00B20C1F">
        <w:rPr>
          <w:rFonts w:ascii="Arial" w:hAnsi="Arial" w:cs="Arial"/>
        </w:rPr>
        <w:t>privileges</w:t>
      </w:r>
      <w:r w:rsidRPr="4BCC8D71" w:rsidR="00071B41">
        <w:rPr>
          <w:rFonts w:ascii="Arial" w:hAnsi="Arial" w:cs="Arial"/>
        </w:rPr>
        <w:t xml:space="preserve"> but </w:t>
      </w:r>
      <w:r w:rsidRPr="4BCC8D71" w:rsidR="00071B41">
        <w:rPr>
          <w:rFonts w:ascii="Arial" w:hAnsi="Arial" w:cs="Arial"/>
        </w:rPr>
        <w:t xml:space="preserve">practical </w:t>
      </w:r>
      <w:r w:rsidRPr="4BCC8D71" w:rsidR="00B20C1F">
        <w:rPr>
          <w:rFonts w:ascii="Arial" w:hAnsi="Arial" w:cs="Arial"/>
        </w:rPr>
        <w:t>s</w:t>
      </w:r>
      <w:r w:rsidRPr="4BCC8D71" w:rsidR="00B20C1F">
        <w:rPr>
          <w:rFonts w:ascii="Arial" w:hAnsi="Arial" w:cs="Arial"/>
        </w:rPr>
        <w:t>olutions</w:t>
      </w:r>
      <w:r w:rsidRPr="4BCC8D71" w:rsidR="00071B41">
        <w:rPr>
          <w:rFonts w:ascii="Arial" w:hAnsi="Arial" w:cs="Arial"/>
        </w:rPr>
        <w:t xml:space="preserve">. The working of these </w:t>
      </w:r>
      <w:r w:rsidRPr="4BCC8D71" w:rsidR="00B20C1F">
        <w:rPr>
          <w:rFonts w:ascii="Arial" w:hAnsi="Arial" w:cs="Arial"/>
        </w:rPr>
        <w:t>solutions</w:t>
      </w:r>
      <w:r w:rsidRPr="4BCC8D71" w:rsidR="00071B41">
        <w:rPr>
          <w:rFonts w:ascii="Arial" w:hAnsi="Arial" w:cs="Arial"/>
        </w:rPr>
        <w:t xml:space="preserve"> has developed </w:t>
      </w:r>
      <w:r w:rsidRPr="002921AE" w:rsidR="00071B41">
        <w:rPr>
          <w:rFonts w:ascii="Arial" w:hAnsi="Arial" w:cs="Arial"/>
        </w:rPr>
        <w:t>a</w:t>
      </w:r>
      <w:r w:rsidRPr="4BCC8D71" w:rsidR="00071B41">
        <w:rPr>
          <w:rFonts w:ascii="Arial" w:hAnsi="Arial" w:cs="Arial"/>
        </w:rPr>
        <w:t xml:space="preserve"> </w:t>
      </w:r>
      <w:r w:rsidRPr="4BCC8D71" w:rsidR="00E57A66">
        <w:rPr>
          <w:rFonts w:ascii="Arial" w:hAnsi="Arial" w:cs="Arial"/>
        </w:rPr>
        <w:t>contemporary</w:t>
      </w:r>
      <w:r w:rsidRPr="4BCC8D71" w:rsidR="00071B41">
        <w:rPr>
          <w:rFonts w:ascii="Arial" w:hAnsi="Arial" w:cs="Arial"/>
        </w:rPr>
        <w:t xml:space="preserve"> </w:t>
      </w:r>
      <w:r w:rsidRPr="4BCC8D71" w:rsidR="00B20C1F">
        <w:rPr>
          <w:rFonts w:ascii="Arial" w:hAnsi="Arial" w:cs="Arial"/>
        </w:rPr>
        <w:t>method</w:t>
      </w:r>
      <w:r w:rsidRPr="4BCC8D71" w:rsidR="00071B41">
        <w:rPr>
          <w:rFonts w:ascii="Arial" w:hAnsi="Arial" w:cs="Arial"/>
        </w:rPr>
        <w:t xml:space="preserve"> in which </w:t>
      </w:r>
      <w:r w:rsidRPr="4BCC8D71" w:rsidR="00E57A66">
        <w:rPr>
          <w:rFonts w:ascii="Arial" w:hAnsi="Arial" w:cs="Arial"/>
        </w:rPr>
        <w:t>privileges</w:t>
      </w:r>
      <w:r w:rsidRPr="4BCC8D71" w:rsidR="00071B41">
        <w:rPr>
          <w:rFonts w:ascii="Arial" w:hAnsi="Arial" w:cs="Arial"/>
        </w:rPr>
        <w:t xml:space="preserve"> are considered primary over </w:t>
      </w:r>
      <w:r w:rsidRPr="4BCC8D71" w:rsidR="00E57A66">
        <w:rPr>
          <w:rFonts w:ascii="Arial" w:hAnsi="Arial" w:cs="Arial"/>
        </w:rPr>
        <w:t>process</w:t>
      </w:r>
      <w:r w:rsidRPr="4BCC8D71" w:rsidR="00071B41">
        <w:rPr>
          <w:rFonts w:ascii="Arial" w:hAnsi="Arial" w:cs="Arial"/>
        </w:rPr>
        <w:t xml:space="preserve">. </w:t>
      </w:r>
      <w:r w:rsidRPr="4BCC8D71" w:rsidR="00B20C1F">
        <w:rPr>
          <w:rFonts w:ascii="Arial" w:hAnsi="Arial" w:cs="Arial"/>
        </w:rPr>
        <w:t>Till</w:t>
      </w:r>
      <w:r w:rsidRPr="4BCC8D71" w:rsidR="00987A88">
        <w:rPr>
          <w:rFonts w:ascii="Arial" w:hAnsi="Arial" w:cs="Arial"/>
        </w:rPr>
        <w:t xml:space="preserve"> the late 19</w:t>
      </w:r>
      <w:r w:rsidRPr="4BCC8D71" w:rsidR="00987A88">
        <w:rPr>
          <w:rFonts w:ascii="Arial" w:hAnsi="Arial" w:cs="Arial"/>
          <w:vertAlign w:val="superscript"/>
        </w:rPr>
        <w:t>th</w:t>
      </w:r>
      <w:r w:rsidRPr="4BCC8D71" w:rsidR="00987A88">
        <w:rPr>
          <w:rFonts w:ascii="Arial" w:hAnsi="Arial" w:cs="Arial"/>
        </w:rPr>
        <w:t xml:space="preserve"> era, common law was created </w:t>
      </w:r>
      <w:r w:rsidRPr="4BCC8D71" w:rsidR="00D40718">
        <w:rPr>
          <w:rFonts w:ascii="Arial" w:hAnsi="Arial" w:cs="Arial"/>
        </w:rPr>
        <w:t xml:space="preserve">by </w:t>
      </w:r>
      <w:r w:rsidRPr="4BCC8D71" w:rsidR="003C10A5">
        <w:rPr>
          <w:rFonts w:ascii="Arial" w:hAnsi="Arial" w:cs="Arial"/>
        </w:rPr>
        <w:t>magistrates</w:t>
      </w:r>
      <w:r w:rsidRPr="4BCC8D71" w:rsidR="00D40718">
        <w:rPr>
          <w:rFonts w:ascii="Arial" w:hAnsi="Arial" w:cs="Arial"/>
        </w:rPr>
        <w:t xml:space="preserve"> rather than </w:t>
      </w:r>
      <w:r w:rsidRPr="4BCC8D71" w:rsidR="003C10A5">
        <w:rPr>
          <w:rFonts w:ascii="Arial" w:hAnsi="Arial" w:cs="Arial"/>
        </w:rPr>
        <w:t>representatives</w:t>
      </w:r>
      <w:r w:rsidRPr="4BCC8D71" w:rsidR="00D40718">
        <w:rPr>
          <w:rFonts w:ascii="Arial" w:hAnsi="Arial" w:cs="Arial"/>
        </w:rPr>
        <w:t xml:space="preserve">. </w:t>
      </w:r>
      <w:r w:rsidRPr="4BCC8D71" w:rsidR="00A37144">
        <w:rPr>
          <w:rFonts w:ascii="Arial" w:hAnsi="Arial" w:cs="Arial"/>
        </w:rPr>
        <w:t xml:space="preserve">The English common law was </w:t>
      </w:r>
      <w:r w:rsidRPr="4BCC8D71" w:rsidR="00B20C1F">
        <w:rPr>
          <w:rFonts w:ascii="Arial" w:hAnsi="Arial" w:cs="Arial"/>
        </w:rPr>
        <w:t>established</w:t>
      </w:r>
      <w:r w:rsidRPr="4BCC8D71" w:rsidR="00A37144">
        <w:rPr>
          <w:rFonts w:ascii="Arial" w:hAnsi="Arial" w:cs="Arial"/>
        </w:rPr>
        <w:t xml:space="preserve"> in the </w:t>
      </w:r>
      <w:r w:rsidRPr="4BCC8D71" w:rsidR="00B20C1F">
        <w:rPr>
          <w:rFonts w:ascii="Arial" w:hAnsi="Arial" w:cs="Arial"/>
        </w:rPr>
        <w:t>age</w:t>
      </w:r>
      <w:r w:rsidRPr="4BCC8D71" w:rsidR="00A37144">
        <w:rPr>
          <w:rFonts w:ascii="Arial" w:hAnsi="Arial" w:cs="Arial"/>
        </w:rPr>
        <w:t xml:space="preserve"> after the Norman Conquest. </w:t>
      </w:r>
      <w:r w:rsidRPr="4BCC8D71" w:rsidR="00554A48">
        <w:rPr>
          <w:rFonts w:ascii="Arial" w:hAnsi="Arial" w:cs="Arial"/>
        </w:rPr>
        <w:t>The Anglo-Saxons, after</w:t>
      </w:r>
      <w:r w:rsidRPr="64F2C0EA">
        <w:rPr>
          <w:rFonts w:ascii="Arial" w:hAnsi="Arial" w:cs="Arial"/>
        </w:rPr>
        <w:t xml:space="preserve"> the Alfred</w:t>
      </w:r>
      <w:r w:rsidRPr="4BCC8D71" w:rsidR="00554A48">
        <w:rPr>
          <w:rFonts w:ascii="Arial" w:hAnsi="Arial" w:cs="Arial"/>
        </w:rPr>
        <w:t xml:space="preserve"> the Great accession,</w:t>
      </w:r>
      <w:r w:rsidRPr="4BCC8D71" w:rsidR="00554A48">
        <w:rPr>
          <w:rFonts w:ascii="Arial" w:hAnsi="Arial" w:cs="Arial"/>
        </w:rPr>
        <w:t xml:space="preserve"> </w:t>
      </w:r>
      <w:r w:rsidRPr="4BCC8D71" w:rsidR="00554A48">
        <w:rPr>
          <w:rFonts w:ascii="Arial" w:hAnsi="Arial" w:cs="Arial"/>
        </w:rPr>
        <w:t xml:space="preserve">generated a </w:t>
      </w:r>
      <w:r w:rsidRPr="4BCC8D71" w:rsidR="00957246">
        <w:rPr>
          <w:rFonts w:ascii="Arial" w:hAnsi="Arial" w:cs="Arial"/>
        </w:rPr>
        <w:t>group</w:t>
      </w:r>
      <w:r w:rsidRPr="4BCC8D71" w:rsidR="00554A48">
        <w:rPr>
          <w:rFonts w:ascii="Arial" w:hAnsi="Arial" w:cs="Arial"/>
        </w:rPr>
        <w:t xml:space="preserve"> of regulations </w:t>
      </w:r>
      <w:r w:rsidRPr="4BCC8D71" w:rsidR="00B20C1F">
        <w:rPr>
          <w:rFonts w:ascii="Arial" w:hAnsi="Arial" w:cs="Arial"/>
        </w:rPr>
        <w:t>approaching</w:t>
      </w:r>
      <w:r w:rsidRPr="4BCC8D71" w:rsidR="00554A48">
        <w:rPr>
          <w:rFonts w:ascii="Arial" w:hAnsi="Arial" w:cs="Arial"/>
        </w:rPr>
        <w:t xml:space="preserve"> those being utilized by the Germanic </w:t>
      </w:r>
      <w:r w:rsidRPr="4BCC8D71" w:rsidR="006A228F">
        <w:rPr>
          <w:rFonts w:ascii="Arial" w:hAnsi="Arial" w:cs="Arial"/>
        </w:rPr>
        <w:t xml:space="preserve">individuals of </w:t>
      </w:r>
      <w:r w:rsidRPr="4BCC8D71" w:rsidR="002947AC">
        <w:rPr>
          <w:rFonts w:ascii="Arial" w:hAnsi="Arial" w:cs="Arial"/>
        </w:rPr>
        <w:t>northern</w:t>
      </w:r>
      <w:r w:rsidRPr="4BCC8D71" w:rsidR="006A228F">
        <w:rPr>
          <w:rFonts w:ascii="Arial" w:hAnsi="Arial" w:cs="Arial"/>
        </w:rPr>
        <w:t xml:space="preserve"> Europe. </w:t>
      </w:r>
      <w:r w:rsidRPr="4BCC8D71" w:rsidR="00B20C1F">
        <w:rPr>
          <w:rFonts w:ascii="Arial" w:hAnsi="Arial" w:cs="Arial"/>
        </w:rPr>
        <w:t>Native</w:t>
      </w:r>
      <w:r w:rsidRPr="4BCC8D71" w:rsidR="001454BF">
        <w:rPr>
          <w:rFonts w:ascii="Arial" w:hAnsi="Arial" w:cs="Arial"/>
        </w:rPr>
        <w:t xml:space="preserve"> duties have been </w:t>
      </w:r>
      <w:r w:rsidRPr="4BCC8D71" w:rsidR="00B20C1F">
        <w:rPr>
          <w:rFonts w:ascii="Arial" w:hAnsi="Arial" w:cs="Arial"/>
        </w:rPr>
        <w:t>ruled</w:t>
      </w:r>
      <w:r w:rsidRPr="4BCC8D71" w:rsidR="001454BF">
        <w:rPr>
          <w:rFonts w:ascii="Arial" w:hAnsi="Arial" w:cs="Arial"/>
        </w:rPr>
        <w:t xml:space="preserve"> matters while the church played a vital role in </w:t>
      </w:r>
      <w:r w:rsidRPr="4BCC8D71" w:rsidR="00B20C1F">
        <w:rPr>
          <w:rFonts w:ascii="Arial" w:hAnsi="Arial" w:cs="Arial"/>
        </w:rPr>
        <w:t>the administration</w:t>
      </w:r>
      <w:r w:rsidRPr="4BCC8D71" w:rsidR="001454BF">
        <w:rPr>
          <w:rFonts w:ascii="Arial" w:hAnsi="Arial" w:cs="Arial"/>
        </w:rPr>
        <w:t xml:space="preserve">. </w:t>
      </w:r>
      <w:r w:rsidRPr="4BCC8D71" w:rsidR="00187F97">
        <w:rPr>
          <w:rFonts w:ascii="Arial" w:hAnsi="Arial" w:cs="Arial"/>
        </w:rPr>
        <w:t xml:space="preserve">Crimes were </w:t>
      </w:r>
      <w:r w:rsidRPr="4BCC8D71" w:rsidR="00B20C1F">
        <w:rPr>
          <w:rFonts w:ascii="Arial" w:hAnsi="Arial" w:cs="Arial"/>
        </w:rPr>
        <w:t>preserved</w:t>
      </w:r>
      <w:r w:rsidRPr="4BCC8D71" w:rsidR="00187F97">
        <w:rPr>
          <w:rFonts w:ascii="Arial" w:hAnsi="Arial" w:cs="Arial"/>
        </w:rPr>
        <w:t xml:space="preserve"> as wrongdoings for which </w:t>
      </w:r>
      <w:r w:rsidRPr="4BCC8D71" w:rsidR="00B20C1F">
        <w:rPr>
          <w:rFonts w:ascii="Arial" w:hAnsi="Arial" w:cs="Arial"/>
        </w:rPr>
        <w:t>payment</w:t>
      </w:r>
      <w:r w:rsidRPr="4BCC8D71" w:rsidR="00187F97">
        <w:rPr>
          <w:rFonts w:ascii="Arial" w:hAnsi="Arial" w:cs="Arial"/>
        </w:rPr>
        <w:t xml:space="preserve"> was made by the victim</w:t>
      </w:r>
      <w:r w:rsidRPr="4BCC8D71" w:rsidR="00B50FE0">
        <w:rPr>
          <w:rFonts w:ascii="Arial" w:hAnsi="Arial" w:cs="Arial"/>
        </w:rPr>
        <w:t xml:space="preserve"> (</w:t>
      </w:r>
      <w:r w:rsidRPr="4BCC8D71" w:rsidR="009E3C06">
        <w:rPr>
          <w:rFonts w:ascii="Arial" w:hAnsi="Arial" w:cs="Arial"/>
        </w:rPr>
        <w:t>Heffner</w:t>
      </w:r>
      <w:r w:rsidRPr="4BCC8D71" w:rsidR="00B85181">
        <w:rPr>
          <w:rFonts w:ascii="Arial" w:hAnsi="Arial" w:cs="Arial"/>
        </w:rPr>
        <w:t xml:space="preserve"> and Feldman Hall, 2019</w:t>
      </w:r>
      <w:r w:rsidRPr="4BCC8D71" w:rsidR="00B50FE0">
        <w:rPr>
          <w:rFonts w:ascii="Arial" w:hAnsi="Arial" w:cs="Arial"/>
        </w:rPr>
        <w:t>)</w:t>
      </w:r>
      <w:r w:rsidRPr="4BCC8D71" w:rsidR="00187F97">
        <w:rPr>
          <w:rFonts w:ascii="Arial" w:hAnsi="Arial" w:cs="Arial"/>
        </w:rPr>
        <w:t xml:space="preserve">. </w:t>
      </w:r>
      <w:r w:rsidRPr="4BCC8D71" w:rsidR="00C1093D">
        <w:rPr>
          <w:rFonts w:ascii="Arial" w:hAnsi="Arial" w:cs="Arial"/>
          <w:highlight w:val="yellow"/>
        </w:rPr>
        <w:t>Many contemporary legal systems are hybrids that include ideas and procedures from both common law and civil law traditions despite these basic differences. The effectiveness of each system is dependent on the cultural, historical, and social context in which it operates; thus, it is critical to keep in mind that none is inherently superior</w:t>
      </w:r>
      <w:r w:rsidRPr="4BCC8D71" w:rsidR="00DF6654">
        <w:rPr>
          <w:rFonts w:ascii="Arial" w:hAnsi="Arial" w:cs="Arial"/>
          <w:highlight w:val="yellow"/>
        </w:rPr>
        <w:t xml:space="preserve"> (</w:t>
      </w:r>
      <w:r w:rsidRPr="64F2C0EA" w:rsidR="00DF6654">
        <w:rPr>
          <w:rFonts w:ascii="Arial" w:hAnsi="Arial" w:cs="Arial"/>
          <w:highlight w:val="yellow"/>
        </w:rPr>
        <w:t>Casey and Vermelle, 2022)</w:t>
      </w:r>
      <w:r w:rsidRPr="4BCC8D71" w:rsidR="00C1093D">
        <w:rPr>
          <w:rFonts w:ascii="Arial" w:hAnsi="Arial" w:cs="Arial"/>
          <w:highlight w:val="yellow"/>
        </w:rPr>
        <w:t>. The analysis and evaluation of these systems is a continuous process for academics and legal professionals to better meet the dynamic demands of modern society.</w:t>
      </w:r>
    </w:p>
    <w:p w:rsidRPr="00DF6654" w:rsidR="00AF3C17" w:rsidP="00DF6654" w:rsidRDefault="00C1093D" w14:paraId="21E8DA8C" w14:textId="14C9340C">
      <w:pPr>
        <w:spacing w:after="0"/>
        <w:rPr>
          <w:rFonts w:ascii="Arial" w:hAnsi="Arial" w:cs="Arial"/>
        </w:rPr>
      </w:pPr>
      <w:r w:rsidRPr="6B421CFC" w:rsidR="6B421CFC">
        <w:rPr>
          <w:rFonts w:ascii="Arial" w:hAnsi="Arial" w:cs="Arial"/>
        </w:rPr>
        <w:t xml:space="preserve">In the UK, common law is regarded as a legal system that relies on past precedents to guide cases. Common law can be better understood by assessing the examples of the working of law in practice. Donoghue v Stevenson [1932] is considered a landmark case in which </w:t>
      </w:r>
      <w:r w:rsidRPr="6B421CFC" w:rsidR="6B421CFC">
        <w:rPr>
          <w:rFonts w:ascii="Arial" w:hAnsi="Arial" w:cs="Arial"/>
        </w:rPr>
        <w:t>Mrs</w:t>
      </w:r>
      <w:r w:rsidRPr="6B421CFC" w:rsidR="6B421CFC">
        <w:rPr>
          <w:rFonts w:ascii="Arial" w:hAnsi="Arial" w:cs="Arial"/>
        </w:rPr>
        <w:t xml:space="preserve"> Donoghue consumed a ginger beer bottle in a café and found a bottle in the decomposed snail (Khan and Fatima, 2020). She then suffered from gastroenteritis and shock. She charged the manufacturer with negligence. The House of Lords detained that the manufact</w:t>
      </w:r>
      <w:r w:rsidRPr="6B421CFC" w:rsidR="6B421CFC">
        <w:rPr>
          <w:rFonts w:ascii="Arial" w:hAnsi="Arial" w:cs="Arial"/>
        </w:rPr>
        <w:t>urers ow</w:t>
      </w:r>
      <w:r w:rsidRPr="6B421CFC" w:rsidR="6B421CFC">
        <w:rPr>
          <w:rFonts w:ascii="Arial" w:hAnsi="Arial" w:cs="Arial"/>
        </w:rPr>
        <w:t xml:space="preserve">ed accountability for a duty of care to customers and </w:t>
      </w:r>
      <w:r w:rsidRPr="6B421CFC" w:rsidR="6B421CFC">
        <w:rPr>
          <w:rFonts w:ascii="Arial" w:hAnsi="Arial" w:cs="Arial"/>
        </w:rPr>
        <w:t>established</w:t>
      </w:r>
      <w:r w:rsidRPr="6B421CFC" w:rsidR="6B421CFC">
        <w:rPr>
          <w:rFonts w:ascii="Arial" w:hAnsi="Arial" w:cs="Arial"/>
        </w:rPr>
        <w:t xml:space="preserve"> the negligence concept. This case developed the neighbour principle, which forms the negligence law foundation. Carlill v Carbolic Smoke Ball Company [1892] is a case in which the company ad</w:t>
      </w:r>
      <w:r w:rsidRPr="6B421CFC" w:rsidR="6B421CFC">
        <w:rPr>
          <w:rFonts w:ascii="Arial" w:hAnsi="Arial" w:cs="Arial"/>
        </w:rPr>
        <w:t>vertised a p</w:t>
      </w:r>
      <w:r w:rsidRPr="6B421CFC" w:rsidR="6B421CFC">
        <w:rPr>
          <w:rFonts w:ascii="Arial" w:hAnsi="Arial" w:cs="Arial"/>
        </w:rPr>
        <w:t xml:space="preserve">roduct and set a reward for individuals who had flu after using the ball (Agarwal, 2022). Mrs. Carlill bought and </w:t>
      </w:r>
      <w:r w:rsidRPr="6B421CFC" w:rsidR="6B421CFC">
        <w:rPr>
          <w:rFonts w:ascii="Arial" w:hAnsi="Arial" w:cs="Arial"/>
        </w:rPr>
        <w:t>utilized</w:t>
      </w:r>
      <w:r w:rsidRPr="6B421CFC" w:rsidR="6B421CFC">
        <w:rPr>
          <w:rFonts w:ascii="Arial" w:hAnsi="Arial" w:cs="Arial"/>
        </w:rPr>
        <w:t xml:space="preserve"> the products as directed and caught them. The court held that the advertisement consisted of a unilateral offer, and Mrs. Carlil</w:t>
      </w:r>
      <w:r w:rsidRPr="6B421CFC" w:rsidR="6B421CFC">
        <w:rPr>
          <w:rFonts w:ascii="Arial" w:hAnsi="Arial" w:cs="Arial"/>
        </w:rPr>
        <w:t>l used the produ</w:t>
      </w:r>
      <w:r w:rsidRPr="6B421CFC" w:rsidR="6B421CFC">
        <w:rPr>
          <w:rFonts w:ascii="Arial" w:hAnsi="Arial" w:cs="Arial"/>
        </w:rPr>
        <w:t xml:space="preserve">ct, which is an acceptance of the offer. This case developed the principle of the unilateral contract. </w:t>
      </w:r>
    </w:p>
    <w:p w:rsidRPr="00DF6654" w:rsidR="00416BFF" w:rsidP="00DF6654" w:rsidRDefault="00C1093D" w14:paraId="7D14FBFB" w14:textId="3E252499">
      <w:pPr>
        <w:spacing w:after="0"/>
        <w:rPr>
          <w:rFonts w:ascii="Arial" w:hAnsi="Arial" w:cs="Arial"/>
        </w:rPr>
      </w:pPr>
      <w:r w:rsidRPr="4F042E33">
        <w:rPr>
          <w:rFonts w:ascii="Arial" w:hAnsi="Arial" w:cs="Arial"/>
        </w:rPr>
        <w:t xml:space="preserve">The UK is regarded as a statutory monarchy. The state head is the sovereign whose functions, powers and duties are recruited by agreement. One convention is that the sovereign is </w:t>
      </w:r>
      <w:r w:rsidRPr="4F042E33" w:rsidR="00957246">
        <w:rPr>
          <w:rFonts w:ascii="Arial" w:hAnsi="Arial" w:cs="Arial"/>
        </w:rPr>
        <w:t>diplomatically</w:t>
      </w:r>
      <w:r w:rsidRPr="4F042E33">
        <w:rPr>
          <w:rFonts w:ascii="Arial" w:hAnsi="Arial" w:cs="Arial"/>
        </w:rPr>
        <w:t xml:space="preserve"> neutral. Wales and England </w:t>
      </w:r>
      <w:r w:rsidRPr="4F042E33" w:rsidR="00957246">
        <w:rPr>
          <w:rFonts w:ascii="Arial" w:hAnsi="Arial" w:cs="Arial"/>
        </w:rPr>
        <w:t>function</w:t>
      </w:r>
      <w:r w:rsidRPr="4F042E33">
        <w:rPr>
          <w:rFonts w:ascii="Arial" w:hAnsi="Arial" w:cs="Arial"/>
        </w:rPr>
        <w:t xml:space="preserve"> as a </w:t>
      </w:r>
      <w:r w:rsidRPr="4F042E33" w:rsidR="00957246">
        <w:rPr>
          <w:rFonts w:ascii="Arial" w:hAnsi="Arial" w:cs="Arial"/>
        </w:rPr>
        <w:t>method</w:t>
      </w:r>
      <w:r w:rsidRPr="4F042E33">
        <w:rPr>
          <w:rFonts w:ascii="Arial" w:hAnsi="Arial" w:cs="Arial"/>
        </w:rPr>
        <w:t xml:space="preserve"> of common law that syndicates the </w:t>
      </w:r>
      <w:r w:rsidRPr="4F042E33" w:rsidR="00957246">
        <w:rPr>
          <w:rFonts w:ascii="Arial" w:hAnsi="Arial" w:cs="Arial"/>
        </w:rPr>
        <w:t>acceptance</w:t>
      </w:r>
      <w:r w:rsidRPr="4F042E33">
        <w:rPr>
          <w:rFonts w:ascii="Arial" w:hAnsi="Arial" w:cs="Arial"/>
        </w:rPr>
        <w:t xml:space="preserve"> of regulations but also the development of standards through cases. The rules are developed by the acceptance of ordinances by the Assembly, which consists of the House of Commons, House of Lords</w:t>
      </w:r>
      <w:r w:rsidRPr="59B7FBC9" w:rsidR="59B7FBC9">
        <w:rPr>
          <w:rFonts w:ascii="Arial" w:hAnsi="Arial" w:cs="Arial"/>
        </w:rPr>
        <w:t>,</w:t>
      </w:r>
      <w:r w:rsidRPr="4F042E33">
        <w:rPr>
          <w:rFonts w:ascii="Arial" w:hAnsi="Arial" w:cs="Arial"/>
        </w:rPr>
        <w:t xml:space="preserve"> and Monarch.</w:t>
      </w:r>
      <w:r w:rsidRPr="4F042E33" w:rsidR="003775DC">
        <w:rPr>
          <w:rFonts w:ascii="Arial" w:hAnsi="Arial" w:cs="Arial"/>
        </w:rPr>
        <w:t xml:space="preserve"> </w:t>
      </w:r>
      <w:r w:rsidRPr="4F042E33" w:rsidR="00B705C1">
        <w:rPr>
          <w:rFonts w:ascii="Arial" w:hAnsi="Arial" w:cs="Arial"/>
        </w:rPr>
        <w:t xml:space="preserve">The House of Commons is </w:t>
      </w:r>
      <w:r w:rsidRPr="4F042E33">
        <w:rPr>
          <w:rFonts w:ascii="Arial" w:hAnsi="Arial" w:cs="Arial"/>
        </w:rPr>
        <w:t>chosen</w:t>
      </w:r>
      <w:r w:rsidRPr="4F042E33" w:rsidR="00B705C1">
        <w:rPr>
          <w:rFonts w:ascii="Arial" w:hAnsi="Arial" w:cs="Arial"/>
        </w:rPr>
        <w:t xml:space="preserve"> by the individual and Prime Minister, who is also considered a member of the House.</w:t>
      </w:r>
      <w:r w:rsidRPr="4F042E33" w:rsidR="00BD07CA">
        <w:rPr>
          <w:rFonts w:ascii="Arial" w:hAnsi="Arial" w:cs="Arial"/>
        </w:rPr>
        <w:t xml:space="preserve"> The case law and Court system are managed by the </w:t>
      </w:r>
      <w:r w:rsidRPr="4F042E33">
        <w:rPr>
          <w:rFonts w:ascii="Arial" w:hAnsi="Arial" w:cs="Arial"/>
        </w:rPr>
        <w:t>magistrates</w:t>
      </w:r>
      <w:r w:rsidRPr="4F042E33" w:rsidR="00BD07CA">
        <w:rPr>
          <w:rFonts w:ascii="Arial" w:hAnsi="Arial" w:cs="Arial"/>
        </w:rPr>
        <w:t xml:space="preserve">, which is </w:t>
      </w:r>
      <w:r w:rsidRPr="4F042E33">
        <w:rPr>
          <w:rFonts w:ascii="Arial" w:hAnsi="Arial" w:cs="Arial"/>
        </w:rPr>
        <w:t>distinct</w:t>
      </w:r>
      <w:r w:rsidRPr="4F042E33" w:rsidR="00BD07CA">
        <w:rPr>
          <w:rFonts w:ascii="Arial" w:hAnsi="Arial" w:cs="Arial"/>
        </w:rPr>
        <w:t xml:space="preserve"> from Parliament</w:t>
      </w:r>
      <w:r w:rsidRPr="4F042E33" w:rsidR="009F66BE">
        <w:rPr>
          <w:rFonts w:ascii="Arial" w:hAnsi="Arial" w:cs="Arial"/>
        </w:rPr>
        <w:t xml:space="preserve"> (</w:t>
      </w:r>
      <w:r w:rsidRPr="4F042E33" w:rsidR="009E3C06">
        <w:rPr>
          <w:rFonts w:ascii="Arial" w:hAnsi="Arial" w:cs="Arial"/>
        </w:rPr>
        <w:t>Bishop, 2018</w:t>
      </w:r>
      <w:r w:rsidRPr="4F042E33" w:rsidR="009F66BE">
        <w:rPr>
          <w:rFonts w:ascii="Arial" w:hAnsi="Arial" w:cs="Arial"/>
        </w:rPr>
        <w:t>)</w:t>
      </w:r>
      <w:r w:rsidRPr="4F042E33" w:rsidR="00BD07CA">
        <w:rPr>
          <w:rFonts w:ascii="Arial" w:hAnsi="Arial" w:cs="Arial"/>
        </w:rPr>
        <w:t xml:space="preserve">. </w:t>
      </w:r>
      <w:r w:rsidRPr="4F042E33" w:rsidR="00007C4F">
        <w:rPr>
          <w:rFonts w:ascii="Arial" w:hAnsi="Arial" w:cs="Arial"/>
        </w:rPr>
        <w:t xml:space="preserve">The English legal system is divided into three </w:t>
      </w:r>
      <w:r w:rsidRPr="0158BF1A" w:rsidR="0158BF1A">
        <w:rPr>
          <w:rFonts w:ascii="Arial" w:hAnsi="Arial" w:cs="Arial"/>
        </w:rPr>
        <w:t>areas</w:t>
      </w:r>
      <w:r w:rsidRPr="4F042E33" w:rsidR="00007C4F">
        <w:rPr>
          <w:rFonts w:ascii="Arial" w:hAnsi="Arial" w:cs="Arial"/>
        </w:rPr>
        <w:t xml:space="preserve"> in which principles of common law are </w:t>
      </w:r>
      <w:r w:rsidRPr="4F042E33" w:rsidR="4F042E33">
        <w:rPr>
          <w:rFonts w:ascii="Arial" w:hAnsi="Arial" w:cs="Arial"/>
        </w:rPr>
        <w:t>utilized.</w:t>
      </w:r>
      <w:r w:rsidRPr="4F042E33" w:rsidR="00007C4F">
        <w:rPr>
          <w:rFonts w:ascii="Arial" w:hAnsi="Arial" w:cs="Arial"/>
        </w:rPr>
        <w:t xml:space="preserve"> </w:t>
      </w:r>
      <w:r w:rsidRPr="4F042E33" w:rsidR="00654D46">
        <w:rPr>
          <w:rFonts w:ascii="Arial" w:hAnsi="Arial" w:cs="Arial"/>
        </w:rPr>
        <w:t>These legal systems are Scotland, Northern Ireland, England</w:t>
      </w:r>
      <w:r w:rsidRPr="59B7FBC9" w:rsidR="59B7FBC9">
        <w:rPr>
          <w:rFonts w:ascii="Arial" w:hAnsi="Arial" w:cs="Arial"/>
        </w:rPr>
        <w:t>,</w:t>
      </w:r>
      <w:r w:rsidRPr="4F042E33" w:rsidR="00654D46">
        <w:rPr>
          <w:rFonts w:ascii="Arial" w:hAnsi="Arial" w:cs="Arial"/>
        </w:rPr>
        <w:t xml:space="preserve"> and Wales, and they have their </w:t>
      </w:r>
      <w:r w:rsidRPr="4F042E33" w:rsidR="00654D46">
        <w:rPr>
          <w:rFonts w:ascii="Arial" w:hAnsi="Arial" w:cs="Arial"/>
        </w:rPr>
        <w:t xml:space="preserve">own </w:t>
      </w:r>
      <w:r w:rsidRPr="4F042E33" w:rsidR="00654D46">
        <w:rPr>
          <w:rFonts w:ascii="Arial" w:hAnsi="Arial" w:cs="Arial"/>
        </w:rPr>
        <w:t xml:space="preserve">lawyers, regulations, and court </w:t>
      </w:r>
      <w:r w:rsidRPr="64F2C0EA" w:rsidR="64F2C0EA">
        <w:rPr>
          <w:rFonts w:ascii="Arial" w:hAnsi="Arial" w:cs="Arial"/>
        </w:rPr>
        <w:t xml:space="preserve">systems. </w:t>
      </w:r>
    </w:p>
    <w:p w:rsidRPr="00DF6654" w:rsidR="005662CE" w:rsidP="00DF6654" w:rsidRDefault="00C1093D" w14:paraId="2913C532" w14:textId="5A1EF6DE">
      <w:pPr>
        <w:spacing w:after="0"/>
        <w:rPr>
          <w:rFonts w:ascii="Arial" w:hAnsi="Arial" w:cs="Arial"/>
        </w:rPr>
      </w:pPr>
      <w:r w:rsidRPr="6B421CFC" w:rsidR="6B421CFC">
        <w:rPr>
          <w:rFonts w:ascii="Arial" w:hAnsi="Arial" w:cs="Arial"/>
          <w:highlight w:val="yellow"/>
        </w:rPr>
        <w:t>As per the ruling of the House of Lords in the UK case R v. Brown from 1993, malice behaviours</w:t>
      </w:r>
      <w:r w:rsidRPr="6B421CFC" w:rsidR="6B421CFC">
        <w:rPr>
          <w:rFonts w:ascii="Arial" w:hAnsi="Arial" w:cs="Arial"/>
          <w:highlight w:val="yellow"/>
        </w:rPr>
        <w:t xml:space="preserve"> between consenting adults are legal under common law. This case </w:t>
      </w:r>
      <w:r w:rsidRPr="6B421CFC" w:rsidR="6B421CFC">
        <w:rPr>
          <w:rFonts w:ascii="Arial" w:hAnsi="Arial" w:cs="Arial"/>
          <w:highlight w:val="yellow"/>
        </w:rPr>
        <w:t>demonstrat</w:t>
      </w:r>
      <w:r w:rsidRPr="6B421CFC" w:rsidR="6B421CFC">
        <w:rPr>
          <w:rFonts w:ascii="Arial" w:hAnsi="Arial" w:cs="Arial"/>
          <w:highlight w:val="yellow"/>
        </w:rPr>
        <w:t>es</w:t>
      </w:r>
      <w:r w:rsidRPr="6B421CFC" w:rsidR="6B421CFC">
        <w:rPr>
          <w:rFonts w:ascii="Arial" w:hAnsi="Arial" w:cs="Arial"/>
          <w:highlight w:val="yellow"/>
        </w:rPr>
        <w:t xml:space="preserve"> the use of prec</w:t>
      </w:r>
      <w:r w:rsidRPr="6B421CFC" w:rsidR="6B421CFC">
        <w:rPr>
          <w:rFonts w:ascii="Arial" w:hAnsi="Arial" w:cs="Arial"/>
          <w:highlight w:val="yellow"/>
        </w:rPr>
        <w:t xml:space="preserve">edent in common law systems. In </w:t>
      </w:r>
      <w:r w:rsidRPr="6B421CFC" w:rsidR="6B421CFC">
        <w:rPr>
          <w:rFonts w:ascii="Arial" w:hAnsi="Arial" w:cs="Arial"/>
          <w:highlight w:val="yellow"/>
        </w:rPr>
        <w:t>determining</w:t>
      </w:r>
      <w:r w:rsidRPr="6B421CFC" w:rsidR="6B421CFC">
        <w:rPr>
          <w:rFonts w:ascii="Arial" w:hAnsi="Arial" w:cs="Arial"/>
          <w:highlight w:val="yellow"/>
        </w:rPr>
        <w:t xml:space="preserve"> whether these acts qua</w:t>
      </w:r>
      <w:r w:rsidRPr="6B421CFC" w:rsidR="6B421CFC">
        <w:rPr>
          <w:rFonts w:ascii="Arial" w:hAnsi="Arial" w:cs="Arial"/>
          <w:highlight w:val="yellow"/>
        </w:rPr>
        <w:t>lified as crimes, the House</w:t>
      </w:r>
      <w:r w:rsidRPr="6B421CFC" w:rsidR="6B421CFC">
        <w:rPr>
          <w:rFonts w:ascii="Arial" w:hAnsi="Arial" w:cs="Arial"/>
          <w:highlight w:val="yellow"/>
        </w:rPr>
        <w:t xml:space="preserve"> of Lords referred to earlier rulings and accepted legal </w:t>
      </w:r>
      <w:r w:rsidRPr="6B421CFC" w:rsidR="6B421CFC">
        <w:rPr>
          <w:rFonts w:ascii="Arial" w:hAnsi="Arial" w:cs="Arial"/>
          <w:highlight w:val="yellow"/>
        </w:rPr>
        <w:t xml:space="preserve">theories. The ruling </w:t>
      </w:r>
      <w:r w:rsidRPr="6B421CFC" w:rsidR="6B421CFC">
        <w:rPr>
          <w:rFonts w:ascii="Arial" w:hAnsi="Arial" w:cs="Arial"/>
          <w:highlight w:val="yellow"/>
        </w:rPr>
        <w:t>established</w:t>
      </w:r>
      <w:r w:rsidRPr="6B421CFC" w:rsidR="6B421CFC">
        <w:rPr>
          <w:rFonts w:ascii="Arial" w:hAnsi="Arial" w:cs="Arial"/>
          <w:highlight w:val="yellow"/>
        </w:rPr>
        <w:t xml:space="preserve"> a n</w:t>
      </w:r>
      <w:r w:rsidRPr="6B421CFC" w:rsidR="6B421CFC">
        <w:rPr>
          <w:rFonts w:ascii="Arial" w:hAnsi="Arial" w:cs="Arial"/>
          <w:highlight w:val="yellow"/>
        </w:rPr>
        <w:t>ew benchmark for how judges would handle cases i</w:t>
      </w:r>
      <w:r w:rsidRPr="6B421CFC" w:rsidR="6B421CFC">
        <w:rPr>
          <w:rFonts w:ascii="Arial" w:hAnsi="Arial" w:cs="Arial"/>
          <w:highlight w:val="yellow"/>
        </w:rPr>
        <w:t>nvolving individual liberty and free choice g</w:t>
      </w:r>
      <w:r w:rsidRPr="6B421CFC" w:rsidR="6B421CFC">
        <w:rPr>
          <w:rFonts w:ascii="Arial" w:hAnsi="Arial" w:cs="Arial"/>
          <w:highlight w:val="yellow"/>
        </w:rPr>
        <w:t xml:space="preserve">oing forward (UK Parliament, 2023). On </w:t>
      </w:r>
      <w:r w:rsidRPr="6B421CFC" w:rsidR="6B421CFC">
        <w:rPr>
          <w:rFonts w:ascii="Arial" w:hAnsi="Arial" w:cs="Arial"/>
          <w:highlight w:val="yellow"/>
        </w:rPr>
        <w:t>the other hand, the Cassation Civile, 17 Avril 1979 ca</w:t>
      </w:r>
      <w:r w:rsidRPr="6B421CFC" w:rsidR="6B421CFC">
        <w:rPr>
          <w:rFonts w:ascii="Arial" w:hAnsi="Arial" w:cs="Arial"/>
          <w:highlight w:val="yellow"/>
        </w:rPr>
        <w:t xml:space="preserve">se in French civil law looked </w:t>
      </w:r>
      <w:r w:rsidRPr="6B421CFC" w:rsidR="6B421CFC">
        <w:rPr>
          <w:rFonts w:ascii="Arial" w:hAnsi="Arial" w:cs="Arial"/>
          <w:highlight w:val="yellow"/>
        </w:rPr>
        <w:t>at the value of integrity in contracts. In this case, one party</w:t>
      </w:r>
      <w:r w:rsidRPr="6B421CFC" w:rsidR="6B421CFC">
        <w:rPr>
          <w:rFonts w:ascii="Arial" w:hAnsi="Arial" w:cs="Arial"/>
          <w:highlight w:val="yellow"/>
        </w:rPr>
        <w:t xml:space="preserve"> claimed the other ha</w:t>
      </w:r>
      <w:r w:rsidRPr="6B421CFC" w:rsidR="6B421CFC">
        <w:rPr>
          <w:rFonts w:ascii="Arial" w:hAnsi="Arial" w:cs="Arial"/>
          <w:highlight w:val="yellow"/>
        </w:rPr>
        <w:t>d not bargained in good faith; thus, they sought to withdraw from the ag</w:t>
      </w:r>
      <w:r w:rsidRPr="6B421CFC" w:rsidR="6B421CFC">
        <w:rPr>
          <w:rFonts w:ascii="Arial" w:hAnsi="Arial" w:cs="Arial"/>
          <w:highlight w:val="yellow"/>
        </w:rPr>
        <w:t>reement. The</w:t>
      </w:r>
      <w:r w:rsidRPr="6B421CFC" w:rsidR="6B421CFC">
        <w:rPr>
          <w:rFonts w:ascii="Arial" w:hAnsi="Arial" w:cs="Arial"/>
          <w:highlight w:val="yellow"/>
        </w:rPr>
        <w:t xml:space="preserve"> French Court of Cassation's ruling highlighted the need to abide by codified leg</w:t>
      </w:r>
      <w:r w:rsidRPr="6B421CFC" w:rsidR="6B421CFC">
        <w:rPr>
          <w:rFonts w:ascii="Arial" w:hAnsi="Arial" w:cs="Arial"/>
          <w:highlight w:val="yellow"/>
        </w:rPr>
        <w:t xml:space="preserve">al </w:t>
      </w:r>
      <w:r w:rsidRPr="6B421CFC" w:rsidR="6B421CFC">
        <w:rPr>
          <w:rFonts w:ascii="Arial" w:hAnsi="Arial" w:cs="Arial"/>
          <w:highlight w:val="yellow"/>
        </w:rPr>
        <w:t xml:space="preserve">ideas and </w:t>
      </w:r>
      <w:r w:rsidRPr="6B421CFC" w:rsidR="6B421CFC">
        <w:rPr>
          <w:rFonts w:ascii="Arial" w:hAnsi="Arial" w:cs="Arial"/>
          <w:highlight w:val="yellow"/>
        </w:rPr>
        <w:t>established</w:t>
      </w:r>
      <w:r w:rsidRPr="6B421CFC" w:rsidR="6B421CFC">
        <w:rPr>
          <w:rFonts w:ascii="Arial" w:hAnsi="Arial" w:cs="Arial"/>
          <w:highlight w:val="yellow"/>
        </w:rPr>
        <w:t xml:space="preserve"> civil laws (Ref World</w:t>
      </w:r>
      <w:r w:rsidRPr="6B421CFC" w:rsidR="6B421CFC">
        <w:rPr>
          <w:rFonts w:ascii="Arial" w:hAnsi="Arial" w:cs="Arial"/>
          <w:highlight w:val="yellow"/>
        </w:rPr>
        <w:t xml:space="preserve">, 2023). The court </w:t>
      </w:r>
      <w:r w:rsidRPr="6B421CFC" w:rsidR="6B421CFC">
        <w:rPr>
          <w:rFonts w:ascii="Arial" w:hAnsi="Arial" w:cs="Arial"/>
          <w:highlight w:val="yellow"/>
        </w:rPr>
        <w:t>was required</w:t>
      </w:r>
      <w:r w:rsidRPr="6B421CFC" w:rsidR="6B421CFC">
        <w:rPr>
          <w:rFonts w:ascii="Arial" w:hAnsi="Arial" w:cs="Arial"/>
          <w:highlight w:val="yellow"/>
        </w:rPr>
        <w:t xml:space="preserve"> to read a</w:t>
      </w:r>
      <w:r w:rsidRPr="6B421CFC" w:rsidR="6B421CFC">
        <w:rPr>
          <w:rFonts w:ascii="Arial" w:hAnsi="Arial" w:cs="Arial"/>
          <w:highlight w:val="yellow"/>
        </w:rPr>
        <w:t>nd app</w:t>
      </w:r>
      <w:r w:rsidRPr="6B421CFC" w:rsidR="6B421CFC">
        <w:rPr>
          <w:rFonts w:ascii="Arial" w:hAnsi="Arial" w:cs="Arial"/>
          <w:highlight w:val="yellow"/>
        </w:rPr>
        <w:t>ly the relevant portions of the civil code as written rather than consulting e</w:t>
      </w:r>
      <w:r w:rsidRPr="6B421CFC" w:rsidR="6B421CFC">
        <w:rPr>
          <w:rFonts w:ascii="Arial" w:hAnsi="Arial" w:cs="Arial"/>
          <w:highlight w:val="yellow"/>
        </w:rPr>
        <w:t>arlier instance</w:t>
      </w:r>
      <w:r w:rsidRPr="6B421CFC" w:rsidR="6B421CFC">
        <w:rPr>
          <w:rFonts w:ascii="Arial" w:hAnsi="Arial" w:cs="Arial"/>
          <w:highlight w:val="yellow"/>
        </w:rPr>
        <w:t xml:space="preserve">s for help. This case </w:t>
      </w:r>
      <w:r w:rsidRPr="6B421CFC" w:rsidR="6B421CFC">
        <w:rPr>
          <w:rFonts w:ascii="Arial" w:hAnsi="Arial" w:cs="Arial"/>
          <w:highlight w:val="yellow"/>
        </w:rPr>
        <w:t>demonstrates</w:t>
      </w:r>
      <w:r w:rsidRPr="6B421CFC" w:rsidR="6B421CFC">
        <w:rPr>
          <w:rFonts w:ascii="Arial" w:hAnsi="Arial" w:cs="Arial"/>
          <w:highlight w:val="yellow"/>
        </w:rPr>
        <w:t xml:space="preserve"> the significance of statutory inte</w:t>
      </w:r>
      <w:r w:rsidRPr="6B421CFC" w:rsidR="6B421CFC">
        <w:rPr>
          <w:rFonts w:ascii="Arial" w:hAnsi="Arial" w:cs="Arial"/>
          <w:highlight w:val="yellow"/>
        </w:rPr>
        <w:t xml:space="preserve">rpretation and codified </w:t>
      </w:r>
      <w:r w:rsidRPr="6B421CFC" w:rsidR="6B421CFC">
        <w:rPr>
          <w:rFonts w:ascii="Arial" w:hAnsi="Arial" w:cs="Arial"/>
          <w:highlight w:val="yellow"/>
        </w:rPr>
        <w:t>law compliance under the civil law system. Consequently, the</w:t>
      </w:r>
      <w:r w:rsidRPr="6B421CFC" w:rsidR="6B421CFC">
        <w:rPr>
          <w:rFonts w:ascii="Arial" w:hAnsi="Arial" w:cs="Arial"/>
          <w:highlight w:val="yellow"/>
        </w:rPr>
        <w:t xml:space="preserve"> basic difference between common </w:t>
      </w:r>
      <w:r w:rsidRPr="6B421CFC" w:rsidR="6B421CFC">
        <w:rPr>
          <w:rFonts w:ascii="Arial" w:hAnsi="Arial" w:cs="Arial"/>
          <w:highlight w:val="yellow"/>
        </w:rPr>
        <w:t xml:space="preserve">law and civil law is the reliance of the former on </w:t>
      </w:r>
      <w:r w:rsidRPr="6B421CFC" w:rsidR="6B421CFC">
        <w:rPr>
          <w:rFonts w:ascii="Arial" w:hAnsi="Arial" w:cs="Arial"/>
          <w:highlight w:val="yellow"/>
        </w:rPr>
        <w:t>precedent. While civil law is founded on c</w:t>
      </w:r>
      <w:r w:rsidRPr="6B421CFC" w:rsidR="6B421CFC">
        <w:rPr>
          <w:rFonts w:ascii="Arial" w:hAnsi="Arial" w:cs="Arial"/>
          <w:highlight w:val="yellow"/>
        </w:rPr>
        <w:t>omprehensive legal regulations, common law</w:t>
      </w:r>
      <w:r w:rsidRPr="6B421CFC" w:rsidR="6B421CFC">
        <w:rPr>
          <w:rFonts w:ascii="Arial" w:hAnsi="Arial" w:cs="Arial"/>
          <w:highlight w:val="yellow"/>
        </w:rPr>
        <w:t xml:space="preserve"> develops via court decisions. Both systems aim to </w:t>
      </w:r>
      <w:r w:rsidRPr="6B421CFC" w:rsidR="6B421CFC">
        <w:rPr>
          <w:rFonts w:ascii="Arial" w:hAnsi="Arial" w:cs="Arial"/>
          <w:highlight w:val="yellow"/>
        </w:rPr>
        <w:t>uphold justice, but they do it in</w:t>
      </w:r>
      <w:r w:rsidRPr="6B421CFC" w:rsidR="6B421CFC">
        <w:rPr>
          <w:rFonts w:ascii="Arial" w:hAnsi="Arial" w:cs="Arial"/>
          <w:highlight w:val="yellow"/>
        </w:rPr>
        <w:t xml:space="preserve"> diverse ways. These differences highlight the diverse varie</w:t>
      </w:r>
      <w:r w:rsidRPr="6B421CFC" w:rsidR="6B421CFC">
        <w:rPr>
          <w:rFonts w:ascii="Arial" w:hAnsi="Arial" w:cs="Arial"/>
          <w:highlight w:val="yellow"/>
        </w:rPr>
        <w:t>ty of legal perspectives</w:t>
      </w:r>
      <w:r w:rsidRPr="6B421CFC" w:rsidR="6B421CFC">
        <w:rPr>
          <w:rFonts w:ascii="Arial" w:hAnsi="Arial" w:cs="Arial"/>
          <w:highlight w:val="yellow"/>
        </w:rPr>
        <w:t xml:space="preserve"> that exist worldwide and have a significant impact on how each syste</w:t>
      </w:r>
      <w:r w:rsidRPr="6B421CFC" w:rsidR="6B421CFC">
        <w:rPr>
          <w:rFonts w:ascii="Arial" w:hAnsi="Arial" w:cs="Arial"/>
          <w:highlight w:val="yellow"/>
        </w:rPr>
        <w:t>m practices law</w:t>
      </w:r>
      <w:r w:rsidRPr="6B421CFC" w:rsidR="6B421CFC">
        <w:rPr>
          <w:rFonts w:ascii="Arial" w:hAnsi="Arial" w:cs="Arial"/>
          <w:highlight w:val="yellow"/>
        </w:rPr>
        <w:t xml:space="preserve"> and makes judgments.</w:t>
      </w:r>
      <w:r w:rsidRPr="6B421CFC" w:rsidR="6B421CFC">
        <w:rPr>
          <w:rFonts w:ascii="Arial" w:hAnsi="Arial" w:cs="Arial"/>
        </w:rPr>
        <w:t xml:space="preserve"> Based on the research of Jia (2016), the English law sys</w:t>
      </w:r>
      <w:r w:rsidRPr="6B421CFC" w:rsidR="6B421CFC">
        <w:rPr>
          <w:rFonts w:ascii="Arial" w:hAnsi="Arial" w:cs="Arial"/>
        </w:rPr>
        <w:t>tem is</w:t>
      </w:r>
      <w:r w:rsidRPr="6B421CFC" w:rsidR="6B421CFC">
        <w:rPr>
          <w:rFonts w:ascii="Arial" w:hAnsi="Arial" w:cs="Arial"/>
        </w:rPr>
        <w:t xml:space="preserve"> grounded on principles of common law, which means that lawful decisions are </w:t>
      </w:r>
      <w:r w:rsidRPr="6B421CFC" w:rsidR="6B421CFC">
        <w:rPr>
          <w:rFonts w:ascii="Arial" w:hAnsi="Arial" w:cs="Arial"/>
        </w:rPr>
        <w:t>derived</w:t>
      </w:r>
      <w:r w:rsidRPr="6B421CFC" w:rsidR="6B421CFC">
        <w:rPr>
          <w:rFonts w:ascii="Arial" w:hAnsi="Arial" w:cs="Arial"/>
        </w:rPr>
        <w:t xml:space="preserve"> fr</w:t>
      </w:r>
      <w:r w:rsidRPr="6B421CFC" w:rsidR="6B421CFC">
        <w:rPr>
          <w:rFonts w:ascii="Arial" w:hAnsi="Arial" w:cs="Arial"/>
        </w:rPr>
        <w:t>om judicial precedents rather than legislative statutes. The essence of the syste</w:t>
      </w:r>
      <w:r w:rsidRPr="6B421CFC" w:rsidR="6B421CFC">
        <w:rPr>
          <w:rFonts w:ascii="Arial" w:hAnsi="Arial" w:cs="Arial"/>
        </w:rPr>
        <w:t xml:space="preserve">m of common </w:t>
      </w:r>
      <w:r w:rsidRPr="6B421CFC" w:rsidR="6B421CFC">
        <w:rPr>
          <w:rFonts w:ascii="Arial" w:hAnsi="Arial" w:cs="Arial"/>
        </w:rPr>
        <w:t>law lies in the judicial precedent doctrine. Decisions that have been ma</w:t>
      </w:r>
      <w:r w:rsidRPr="6B421CFC" w:rsidR="6B421CFC">
        <w:rPr>
          <w:rFonts w:ascii="Arial" w:hAnsi="Arial" w:cs="Arial"/>
        </w:rPr>
        <w:t xml:space="preserve">de in </w:t>
      </w:r>
      <w:r w:rsidRPr="6B421CFC" w:rsidR="6B421CFC">
        <w:rPr>
          <w:rFonts w:ascii="Arial" w:hAnsi="Arial" w:cs="Arial"/>
        </w:rPr>
        <w:t>previous</w:t>
      </w:r>
      <w:r w:rsidRPr="6B421CFC" w:rsidR="6B421CFC">
        <w:rPr>
          <w:rFonts w:ascii="Arial" w:hAnsi="Arial" w:cs="Arial"/>
        </w:rPr>
        <w:t xml:space="preserve"> cases </w:t>
      </w:r>
      <w:r w:rsidRPr="6B421CFC" w:rsidR="6B421CFC">
        <w:rPr>
          <w:rFonts w:ascii="Arial" w:hAnsi="Arial" w:cs="Arial"/>
        </w:rPr>
        <w:t>become persuasive or binding authority in future matters that h</w:t>
      </w:r>
      <w:r w:rsidRPr="6B421CFC" w:rsidR="6B421CFC">
        <w:rPr>
          <w:rFonts w:ascii="Arial" w:hAnsi="Arial" w:cs="Arial"/>
        </w:rPr>
        <w:t>ave similar issues. Judges, wh</w:t>
      </w:r>
      <w:r w:rsidRPr="6B421CFC" w:rsidR="6B421CFC">
        <w:rPr>
          <w:rFonts w:ascii="Arial" w:hAnsi="Arial" w:cs="Arial"/>
        </w:rPr>
        <w:t>en they decide on new cases, consider the decisions th</w:t>
      </w:r>
      <w:r w:rsidRPr="6B421CFC" w:rsidR="6B421CFC">
        <w:rPr>
          <w:rFonts w:ascii="Arial" w:hAnsi="Arial" w:cs="Arial"/>
        </w:rPr>
        <w:t>at have been taken in past precedents a</w:t>
      </w:r>
      <w:r w:rsidRPr="6B421CFC" w:rsidR="6B421CFC">
        <w:rPr>
          <w:rFonts w:ascii="Arial" w:hAnsi="Arial" w:cs="Arial"/>
        </w:rPr>
        <w:t xml:space="preserve">nd strive to apply the principles to </w:t>
      </w:r>
      <w:r w:rsidRPr="6B421CFC" w:rsidR="6B421CFC">
        <w:rPr>
          <w:rFonts w:ascii="Arial" w:hAnsi="Arial" w:cs="Arial"/>
        </w:rPr>
        <w:t>maintain</w:t>
      </w:r>
      <w:r w:rsidRPr="6B421CFC" w:rsidR="6B421CFC">
        <w:rPr>
          <w:rFonts w:ascii="Arial" w:hAnsi="Arial" w:cs="Arial"/>
        </w:rPr>
        <w:t xml:space="preserve"> predictability and consistency in the regulatio</w:t>
      </w:r>
      <w:r w:rsidRPr="6B421CFC" w:rsidR="6B421CFC">
        <w:rPr>
          <w:rFonts w:ascii="Arial" w:hAnsi="Arial" w:cs="Arial"/>
        </w:rPr>
        <w:t>n. Moreover, principles of common la</w:t>
      </w:r>
      <w:r w:rsidRPr="6B421CFC" w:rsidR="6B421CFC">
        <w:rPr>
          <w:rFonts w:ascii="Arial" w:hAnsi="Arial" w:cs="Arial"/>
        </w:rPr>
        <w:t xml:space="preserve">w are based on notions that lawful rules need to develop </w:t>
      </w:r>
      <w:r w:rsidRPr="6B421CFC" w:rsidR="6B421CFC">
        <w:rPr>
          <w:rFonts w:ascii="Arial" w:hAnsi="Arial" w:cs="Arial"/>
        </w:rPr>
        <w:t>gradually through a procedu</w:t>
      </w:r>
      <w:r w:rsidRPr="6B421CFC" w:rsidR="6B421CFC">
        <w:rPr>
          <w:rFonts w:ascii="Arial" w:hAnsi="Arial" w:cs="Arial"/>
        </w:rPr>
        <w:t>re of interpretation and reasoning rather than imposed abruptly th</w:t>
      </w:r>
      <w:r w:rsidRPr="6B421CFC" w:rsidR="6B421CFC">
        <w:rPr>
          <w:rFonts w:ascii="Arial" w:hAnsi="Arial" w:cs="Arial"/>
        </w:rPr>
        <w:t>rough regulations.</w:t>
      </w:r>
      <w:r w:rsidRPr="6B421CFC" w:rsidR="6B421CFC">
        <w:rPr>
          <w:rFonts w:ascii="Arial" w:hAnsi="Arial" w:cs="Arial"/>
        </w:rPr>
        <w:t xml:space="preserve"> This allows for the legislation to adapt and evolve to changing technologi</w:t>
      </w:r>
      <w:r w:rsidRPr="6B421CFC" w:rsidR="6B421CFC">
        <w:rPr>
          <w:rFonts w:ascii="Arial" w:hAnsi="Arial" w:cs="Arial"/>
        </w:rPr>
        <w:t>cal and s</w:t>
      </w:r>
      <w:r w:rsidRPr="6B421CFC" w:rsidR="6B421CFC">
        <w:rPr>
          <w:rFonts w:ascii="Arial" w:hAnsi="Arial" w:cs="Arial"/>
        </w:rPr>
        <w:t xml:space="preserve">ocial situations. The systems of common law are considered the legal systems that </w:t>
      </w:r>
      <w:r w:rsidRPr="6B421CFC" w:rsidR="6B421CFC">
        <w:rPr>
          <w:rFonts w:ascii="Arial" w:hAnsi="Arial" w:cs="Arial"/>
        </w:rPr>
        <w:t>pr</w:t>
      </w:r>
      <w:r w:rsidRPr="6B421CFC" w:rsidR="6B421CFC">
        <w:rPr>
          <w:rFonts w:ascii="Arial" w:hAnsi="Arial" w:cs="Arial"/>
        </w:rPr>
        <w:t>ovide</w:t>
      </w:r>
      <w:r w:rsidRPr="6B421CFC" w:rsidR="6B421CFC">
        <w:rPr>
          <w:rFonts w:ascii="Arial" w:hAnsi="Arial" w:cs="Arial"/>
        </w:rPr>
        <w:t xml:space="preserve"> weight to judicial case la</w:t>
      </w:r>
      <w:r w:rsidRPr="6B421CFC" w:rsidR="6B421CFC">
        <w:rPr>
          <w:rFonts w:ascii="Arial" w:hAnsi="Arial" w:cs="Arial"/>
        </w:rPr>
        <w:t>ws as well as t</w:t>
      </w:r>
      <w:r w:rsidRPr="6B421CFC" w:rsidR="6B421CFC">
        <w:rPr>
          <w:rFonts w:ascii="Arial" w:hAnsi="Arial" w:cs="Arial"/>
        </w:rPr>
        <w:t>o the reasoning style, which is inher</w:t>
      </w:r>
      <w:r w:rsidRPr="6B421CFC" w:rsidR="6B421CFC">
        <w:rPr>
          <w:rFonts w:ascii="Arial" w:hAnsi="Arial" w:cs="Arial"/>
        </w:rPr>
        <w:t>ited from</w:t>
      </w:r>
      <w:r w:rsidRPr="6B421CFC" w:rsidR="6B421CFC">
        <w:rPr>
          <w:rFonts w:ascii="Arial" w:hAnsi="Arial" w:cs="Arial"/>
        </w:rPr>
        <w:t xml:space="preserve"> the English legal system (McCormick, 2018). </w:t>
      </w:r>
    </w:p>
    <w:p w:rsidRPr="00DF6654" w:rsidR="00C96F14" w:rsidP="00DF6654" w:rsidRDefault="00C1093D" w14:paraId="7680D020" w14:textId="77777777">
      <w:pPr>
        <w:pStyle w:val="Heading1"/>
        <w:spacing w:before="0"/>
        <w:rPr>
          <w:rFonts w:ascii="Arial" w:hAnsi="Arial" w:cs="Arial"/>
          <w:b/>
          <w:color w:val="auto"/>
          <w:sz w:val="24"/>
          <w:szCs w:val="24"/>
        </w:rPr>
      </w:pPr>
      <w:bookmarkStart w:name="_Toc146365118" w:id="2"/>
      <w:r w:rsidRPr="00DF6654">
        <w:rPr>
          <w:rFonts w:ascii="Arial" w:hAnsi="Arial" w:cs="Arial"/>
          <w:b/>
          <w:color w:val="auto"/>
          <w:sz w:val="24"/>
          <w:szCs w:val="24"/>
        </w:rPr>
        <w:t>Conclusion</w:t>
      </w:r>
      <w:bookmarkEnd w:id="2"/>
      <w:r w:rsidRPr="00DF6654">
        <w:rPr>
          <w:rFonts w:ascii="Arial" w:hAnsi="Arial" w:cs="Arial"/>
          <w:b/>
          <w:color w:val="auto"/>
          <w:sz w:val="24"/>
          <w:szCs w:val="24"/>
        </w:rPr>
        <w:t xml:space="preserve"> </w:t>
      </w:r>
    </w:p>
    <w:p w:rsidRPr="00DF6654" w:rsidR="00B67F29" w:rsidP="00DF6654" w:rsidRDefault="5F5E19FC" w14:paraId="46BD47F9" w14:textId="28303634">
      <w:pPr>
        <w:spacing w:after="0"/>
        <w:rPr>
          <w:rFonts w:ascii="Arial" w:hAnsi="Arial" w:cs="Arial"/>
        </w:rPr>
      </w:pPr>
      <w:r w:rsidRPr="5F5E19FC">
        <w:rPr>
          <w:rFonts w:ascii="Arial" w:hAnsi="Arial" w:cs="Arial"/>
        </w:rPr>
        <w:t>Briefly</w:t>
      </w:r>
      <w:r w:rsidRPr="17892192" w:rsidR="00C1093D">
        <w:rPr>
          <w:rFonts w:ascii="Arial" w:hAnsi="Arial" w:cs="Arial"/>
        </w:rPr>
        <w:t xml:space="preserve">, it can be summarized that </w:t>
      </w:r>
      <w:r w:rsidRPr="17892192" w:rsidR="00C9750B">
        <w:rPr>
          <w:rFonts w:ascii="Arial" w:hAnsi="Arial" w:cs="Arial"/>
        </w:rPr>
        <w:t xml:space="preserve">the English legal system is </w:t>
      </w:r>
      <w:r w:rsidRPr="17892192" w:rsidR="00C1093D">
        <w:rPr>
          <w:rFonts w:ascii="Arial" w:hAnsi="Arial" w:cs="Arial"/>
        </w:rPr>
        <w:t>grounded</w:t>
      </w:r>
      <w:r w:rsidRPr="17892192" w:rsidR="00C9750B">
        <w:rPr>
          <w:rFonts w:ascii="Arial" w:hAnsi="Arial" w:cs="Arial"/>
        </w:rPr>
        <w:t xml:space="preserve"> on principles of common law. The common law that has emerged in England is based on precedent and case law rather than on codified legislation. </w:t>
      </w:r>
      <w:r w:rsidRPr="002921AE" w:rsidR="002921AE">
        <w:rPr>
          <w:rFonts w:ascii="Arial" w:hAnsi="Arial" w:cs="Arial"/>
        </w:rPr>
        <w:t>Common</w:t>
      </w:r>
      <w:r w:rsidRPr="17892192" w:rsidR="00A54ECD">
        <w:rPr>
          <w:rFonts w:ascii="Arial" w:hAnsi="Arial" w:cs="Arial"/>
        </w:rPr>
        <w:t xml:space="preserve"> law has been develop</w:t>
      </w:r>
      <w:r w:rsidRPr="17892192" w:rsidR="00D37C21">
        <w:rPr>
          <w:rFonts w:ascii="Arial" w:hAnsi="Arial" w:cs="Arial"/>
        </w:rPr>
        <w:t>ed by magistrates through court</w:t>
      </w:r>
      <w:r w:rsidRPr="17892192" w:rsidR="00A54ECD">
        <w:rPr>
          <w:rFonts w:ascii="Arial" w:hAnsi="Arial" w:cs="Arial"/>
        </w:rPr>
        <w:t xml:space="preserve"> </w:t>
      </w:r>
      <w:r w:rsidRPr="002921AE" w:rsidR="002921AE">
        <w:rPr>
          <w:rFonts w:ascii="Arial" w:hAnsi="Arial" w:cs="Arial"/>
        </w:rPr>
        <w:t>decisions</w:t>
      </w:r>
      <w:r w:rsidRPr="17892192" w:rsidR="00A54ECD">
        <w:rPr>
          <w:rFonts w:ascii="Arial" w:hAnsi="Arial" w:cs="Arial"/>
        </w:rPr>
        <w:t xml:space="preserve"> that </w:t>
      </w:r>
      <w:r w:rsidRPr="002921AE" w:rsidR="002921AE">
        <w:rPr>
          <w:rFonts w:ascii="Arial" w:hAnsi="Arial" w:cs="Arial"/>
        </w:rPr>
        <w:t>have</w:t>
      </w:r>
      <w:r w:rsidRPr="17892192" w:rsidR="00A54ECD">
        <w:rPr>
          <w:rFonts w:ascii="Arial" w:hAnsi="Arial" w:cs="Arial"/>
        </w:rPr>
        <w:t xml:space="preserve"> been taken on case laws.</w:t>
      </w:r>
      <w:r w:rsidRPr="17892192" w:rsidR="00E3726A">
        <w:rPr>
          <w:rFonts w:ascii="Arial" w:hAnsi="Arial" w:cs="Arial"/>
        </w:rPr>
        <w:t xml:space="preserve"> </w:t>
      </w:r>
      <w:r w:rsidRPr="17892192" w:rsidR="00537E62">
        <w:rPr>
          <w:rFonts w:ascii="Arial" w:hAnsi="Arial" w:cs="Arial"/>
        </w:rPr>
        <w:t xml:space="preserve">It can further be concluded that common and civil laws are two legal systems. </w:t>
      </w:r>
      <w:r w:rsidRPr="17892192" w:rsidR="0047513C">
        <w:rPr>
          <w:rFonts w:ascii="Arial" w:hAnsi="Arial" w:cs="Arial"/>
        </w:rPr>
        <w:t xml:space="preserve">Common law </w:t>
      </w:r>
      <w:r w:rsidRPr="17892192" w:rsidR="17892192">
        <w:rPr>
          <w:rFonts w:ascii="Arial" w:hAnsi="Arial" w:cs="Arial"/>
        </w:rPr>
        <w:t>utilizes</w:t>
      </w:r>
      <w:r w:rsidRPr="17892192" w:rsidR="0047513C">
        <w:rPr>
          <w:rFonts w:ascii="Arial" w:hAnsi="Arial" w:cs="Arial"/>
        </w:rPr>
        <w:t xml:space="preserve"> </w:t>
      </w:r>
      <w:r w:rsidRPr="17892192" w:rsidR="00C1093D">
        <w:rPr>
          <w:rFonts w:ascii="Arial" w:hAnsi="Arial" w:cs="Arial"/>
        </w:rPr>
        <w:t>legal</w:t>
      </w:r>
      <w:r w:rsidRPr="17892192" w:rsidR="0047513C">
        <w:rPr>
          <w:rFonts w:ascii="Arial" w:hAnsi="Arial" w:cs="Arial"/>
        </w:rPr>
        <w:t xml:space="preserve"> rulings or </w:t>
      </w:r>
      <w:r w:rsidRPr="17892192" w:rsidR="00C1093D">
        <w:rPr>
          <w:rFonts w:ascii="Arial" w:hAnsi="Arial" w:cs="Arial"/>
        </w:rPr>
        <w:t>authorized</w:t>
      </w:r>
      <w:r w:rsidRPr="17892192" w:rsidR="0047513C">
        <w:rPr>
          <w:rFonts w:ascii="Arial" w:hAnsi="Arial" w:cs="Arial"/>
        </w:rPr>
        <w:t xml:space="preserve"> precedents that are </w:t>
      </w:r>
      <w:r w:rsidRPr="17892192" w:rsidR="17892192">
        <w:rPr>
          <w:rFonts w:ascii="Arial" w:hAnsi="Arial" w:cs="Arial"/>
        </w:rPr>
        <w:t>utilized</w:t>
      </w:r>
      <w:r w:rsidRPr="17892192" w:rsidR="0047513C">
        <w:rPr>
          <w:rFonts w:ascii="Arial" w:hAnsi="Arial" w:cs="Arial"/>
        </w:rPr>
        <w:t xml:space="preserve"> to decide </w:t>
      </w:r>
      <w:r w:rsidRPr="17892192" w:rsidR="00C1093D">
        <w:rPr>
          <w:rFonts w:ascii="Arial" w:hAnsi="Arial" w:cs="Arial"/>
        </w:rPr>
        <w:t>case laws</w:t>
      </w:r>
      <w:r w:rsidRPr="17892192" w:rsidR="0047513C">
        <w:rPr>
          <w:rFonts w:ascii="Arial" w:hAnsi="Arial" w:cs="Arial"/>
        </w:rPr>
        <w:t xml:space="preserve"> at hand, while civil law, </w:t>
      </w:r>
      <w:r w:rsidRPr="17892192" w:rsidR="00C1093D">
        <w:rPr>
          <w:rFonts w:ascii="Arial" w:hAnsi="Arial" w:cs="Arial"/>
        </w:rPr>
        <w:t>decrees</w:t>
      </w:r>
      <w:r w:rsidRPr="17892192" w:rsidR="0047513C">
        <w:rPr>
          <w:rFonts w:ascii="Arial" w:hAnsi="Arial" w:cs="Arial"/>
        </w:rPr>
        <w:t xml:space="preserve"> and codified </w:t>
      </w:r>
      <w:r w:rsidRPr="17892192" w:rsidR="00C1093D">
        <w:rPr>
          <w:rFonts w:ascii="Arial" w:hAnsi="Arial" w:cs="Arial"/>
        </w:rPr>
        <w:t>laws</w:t>
      </w:r>
      <w:r w:rsidRPr="17892192" w:rsidR="0047513C">
        <w:rPr>
          <w:rFonts w:ascii="Arial" w:hAnsi="Arial" w:cs="Arial"/>
        </w:rPr>
        <w:t xml:space="preserve"> rule the land.</w:t>
      </w:r>
      <w:r w:rsidRPr="17892192" w:rsidR="0070734C">
        <w:rPr>
          <w:rFonts w:ascii="Arial" w:hAnsi="Arial" w:cs="Arial"/>
        </w:rPr>
        <w:t xml:space="preserve"> </w:t>
      </w:r>
      <w:r w:rsidRPr="17892192" w:rsidR="00CA1736">
        <w:rPr>
          <w:rFonts w:ascii="Arial" w:hAnsi="Arial" w:cs="Arial"/>
        </w:rPr>
        <w:t xml:space="preserve">A system of civil law is more prescriptive than a system of common law. </w:t>
      </w:r>
    </w:p>
    <w:p w:rsidRPr="00DF6654" w:rsidR="00B67F29" w:rsidP="00DF6654" w:rsidRDefault="00C1093D" w14:paraId="667EE81B" w14:textId="77777777">
      <w:pPr>
        <w:spacing w:after="0"/>
        <w:rPr>
          <w:rFonts w:ascii="Arial" w:hAnsi="Arial" w:cs="Arial"/>
          <w:szCs w:val="24"/>
        </w:rPr>
      </w:pPr>
      <w:r w:rsidRPr="00DF6654">
        <w:rPr>
          <w:rFonts w:ascii="Arial" w:hAnsi="Arial" w:cs="Arial"/>
          <w:szCs w:val="24"/>
        </w:rPr>
        <w:br w:type="page"/>
      </w:r>
    </w:p>
    <w:p w:rsidRPr="00DF6654" w:rsidR="00E6294B" w:rsidP="00DF6654" w:rsidRDefault="00C1093D" w14:paraId="2D9B4D0B" w14:textId="77777777">
      <w:pPr>
        <w:pStyle w:val="Heading1"/>
        <w:spacing w:before="0"/>
        <w:rPr>
          <w:rFonts w:ascii="Arial" w:hAnsi="Arial" w:cs="Arial"/>
          <w:b/>
          <w:color w:val="auto"/>
          <w:sz w:val="24"/>
          <w:szCs w:val="24"/>
        </w:rPr>
      </w:pPr>
      <w:bookmarkStart w:name="_Toc146365119" w:id="3"/>
      <w:r w:rsidRPr="00DF6654">
        <w:rPr>
          <w:rFonts w:ascii="Arial" w:hAnsi="Arial" w:cs="Arial"/>
          <w:b/>
          <w:color w:val="auto"/>
          <w:sz w:val="24"/>
          <w:szCs w:val="24"/>
        </w:rPr>
        <w:lastRenderedPageBreak/>
        <w:t>References</w:t>
      </w:r>
      <w:bookmarkEnd w:id="3"/>
    </w:p>
    <w:p w:rsidRPr="00DF6654" w:rsidR="00DF6654" w:rsidP="00DF6654" w:rsidRDefault="00C1093D" w14:paraId="7F784265" w14:textId="77777777">
      <w:pPr>
        <w:spacing w:after="0"/>
        <w:ind w:left="720" w:hanging="720"/>
        <w:rPr>
          <w:rFonts w:ascii="Arial" w:hAnsi="Arial" w:cs="Arial"/>
          <w:szCs w:val="24"/>
        </w:rPr>
      </w:pPr>
      <w:r w:rsidRPr="00DF6654">
        <w:rPr>
          <w:rFonts w:ascii="Arial" w:hAnsi="Arial" w:cs="Arial"/>
          <w:szCs w:val="24"/>
        </w:rPr>
        <w:t>Agarwal, B., 2022. Carlill v Carbolic Smoke Ball Co. </w:t>
      </w:r>
      <w:r w:rsidRPr="00DF6654">
        <w:rPr>
          <w:rFonts w:ascii="Arial" w:hAnsi="Arial" w:cs="Arial"/>
          <w:i/>
          <w:iCs/>
          <w:szCs w:val="24"/>
        </w:rPr>
        <w:t>Jus Corpus LJ</w:t>
      </w:r>
      <w:r w:rsidRPr="00DF6654">
        <w:rPr>
          <w:rFonts w:ascii="Arial" w:hAnsi="Arial" w:cs="Arial"/>
          <w:szCs w:val="24"/>
        </w:rPr>
        <w:t>, </w:t>
      </w:r>
      <w:r w:rsidRPr="00DF6654">
        <w:rPr>
          <w:rFonts w:ascii="Arial" w:hAnsi="Arial" w:cs="Arial"/>
          <w:i/>
          <w:iCs/>
          <w:szCs w:val="24"/>
        </w:rPr>
        <w:t>3</w:t>
      </w:r>
      <w:r w:rsidRPr="00DF6654">
        <w:rPr>
          <w:rFonts w:ascii="Arial" w:hAnsi="Arial" w:cs="Arial"/>
          <w:szCs w:val="24"/>
        </w:rPr>
        <w:t>, p.11.</w:t>
      </w:r>
    </w:p>
    <w:p w:rsidRPr="00DF6654" w:rsidR="00DF6654" w:rsidP="00DF6654" w:rsidRDefault="00C1093D" w14:paraId="439814CD" w14:textId="77777777">
      <w:pPr>
        <w:spacing w:after="0"/>
        <w:ind w:left="720" w:hanging="720"/>
        <w:rPr>
          <w:rFonts w:ascii="Arial" w:hAnsi="Arial" w:cs="Arial"/>
          <w:szCs w:val="24"/>
        </w:rPr>
      </w:pPr>
      <w:r w:rsidRPr="00DF6654">
        <w:rPr>
          <w:rFonts w:ascii="Arial" w:hAnsi="Arial" w:cs="Arial"/>
          <w:szCs w:val="24"/>
        </w:rPr>
        <w:t>Bishop, W., 2018. A theory of administrative law. In </w:t>
      </w:r>
      <w:r w:rsidRPr="00DF6654">
        <w:rPr>
          <w:rFonts w:ascii="Arial" w:hAnsi="Arial" w:cs="Arial"/>
          <w:i/>
          <w:iCs/>
          <w:szCs w:val="24"/>
        </w:rPr>
        <w:t>Administrative Law</w:t>
      </w:r>
      <w:r w:rsidRPr="00DF6654">
        <w:rPr>
          <w:rFonts w:ascii="Arial" w:hAnsi="Arial" w:cs="Arial"/>
          <w:szCs w:val="24"/>
        </w:rPr>
        <w:t> (pp. 335-376). Routledge.</w:t>
      </w:r>
    </w:p>
    <w:p w:rsidRPr="00DF6654" w:rsidR="00DF6654" w:rsidP="00DF6654" w:rsidRDefault="00C1093D" w14:paraId="3C62DCE8" w14:textId="77777777">
      <w:pPr>
        <w:spacing w:after="0"/>
        <w:ind w:left="720" w:hanging="720"/>
        <w:rPr>
          <w:rFonts w:ascii="Arial" w:hAnsi="Arial" w:cs="Arial"/>
          <w:szCs w:val="24"/>
        </w:rPr>
      </w:pPr>
      <w:r w:rsidRPr="00DF6654">
        <w:rPr>
          <w:rFonts w:ascii="Arial" w:hAnsi="Arial" w:cs="Arial"/>
          <w:szCs w:val="24"/>
          <w:shd w:val="clear" w:color="auto" w:fill="FFFFFF"/>
        </w:rPr>
        <w:t>Carozza, G., 2023. Originalism and the Problem of General Law. </w:t>
      </w:r>
      <w:r w:rsidRPr="00DF6654">
        <w:rPr>
          <w:rFonts w:ascii="Arial" w:hAnsi="Arial" w:cs="Arial"/>
          <w:i/>
          <w:iCs/>
          <w:szCs w:val="24"/>
          <w:shd w:val="clear" w:color="auto" w:fill="FFFFFF"/>
        </w:rPr>
        <w:t>New York University Law Review</w:t>
      </w:r>
      <w:r w:rsidRPr="00DF6654">
        <w:rPr>
          <w:rFonts w:ascii="Arial" w:hAnsi="Arial" w:cs="Arial"/>
          <w:szCs w:val="24"/>
          <w:shd w:val="clear" w:color="auto" w:fill="FFFFFF"/>
        </w:rPr>
        <w:t>, </w:t>
      </w:r>
      <w:r w:rsidRPr="00DF6654">
        <w:rPr>
          <w:rFonts w:ascii="Arial" w:hAnsi="Arial" w:cs="Arial"/>
          <w:i/>
          <w:iCs/>
          <w:szCs w:val="24"/>
          <w:shd w:val="clear" w:color="auto" w:fill="FFFFFF"/>
        </w:rPr>
        <w:t>98</w:t>
      </w:r>
      <w:r w:rsidRPr="00DF6654">
        <w:rPr>
          <w:rFonts w:ascii="Arial" w:hAnsi="Arial" w:cs="Arial"/>
          <w:szCs w:val="24"/>
          <w:shd w:val="clear" w:color="auto" w:fill="FFFFFF"/>
        </w:rPr>
        <w:t>.</w:t>
      </w:r>
    </w:p>
    <w:p w:rsidRPr="00DF6654" w:rsidR="00DF6654" w:rsidP="00DF6654" w:rsidRDefault="00C1093D" w14:paraId="37C1815B" w14:textId="32B0B42B">
      <w:pPr>
        <w:spacing w:after="0"/>
        <w:ind w:left="720" w:hanging="720"/>
        <w:rPr>
          <w:rFonts w:ascii="Arial" w:hAnsi="Arial" w:cs="Arial"/>
        </w:rPr>
      </w:pPr>
      <w:r w:rsidRPr="2467A49A">
        <w:rPr>
          <w:rFonts w:ascii="Arial" w:hAnsi="Arial" w:cs="Arial"/>
          <w:highlight w:val="yellow"/>
          <w:shd w:val="clear" w:color="auto" w:fill="FFFFFF"/>
        </w:rPr>
        <w:t>Casey, C. and Vermelle, A., 2022. Myths of Common Good Constitutionalism. </w:t>
      </w:r>
      <w:r w:rsidRPr="2467A49A">
        <w:rPr>
          <w:rFonts w:ascii="Arial" w:hAnsi="Arial" w:cs="Arial"/>
          <w:i/>
          <w:highlight w:val="yellow"/>
          <w:shd w:val="clear" w:color="auto" w:fill="FFFFFF"/>
        </w:rPr>
        <w:t xml:space="preserve">Harv. JL &amp; Pub. </w:t>
      </w:r>
      <w:r w:rsidRPr="2467A49A">
        <w:rPr>
          <w:rFonts w:ascii="Arial" w:hAnsi="Arial" w:cs="Arial"/>
          <w:i/>
          <w:iCs/>
          <w:highlight w:val="yellow"/>
          <w:shd w:val="clear" w:color="auto" w:fill="FFFFFF"/>
        </w:rPr>
        <w:t>Poly</w:t>
      </w:r>
      <w:r w:rsidRPr="2467A49A">
        <w:rPr>
          <w:rFonts w:ascii="Arial" w:hAnsi="Arial" w:cs="Arial"/>
          <w:highlight w:val="yellow"/>
          <w:shd w:val="clear" w:color="auto" w:fill="FFFFFF"/>
        </w:rPr>
        <w:t>, </w:t>
      </w:r>
      <w:r w:rsidRPr="2467A49A">
        <w:rPr>
          <w:rFonts w:ascii="Arial" w:hAnsi="Arial" w:cs="Arial"/>
          <w:i/>
          <w:highlight w:val="yellow"/>
          <w:shd w:val="clear" w:color="auto" w:fill="FFFFFF"/>
        </w:rPr>
        <w:t>45</w:t>
      </w:r>
      <w:r w:rsidRPr="2467A49A">
        <w:rPr>
          <w:rFonts w:ascii="Arial" w:hAnsi="Arial" w:cs="Arial"/>
          <w:highlight w:val="yellow"/>
          <w:shd w:val="clear" w:color="auto" w:fill="FFFFFF"/>
        </w:rPr>
        <w:t>, p.103.</w:t>
      </w:r>
    </w:p>
    <w:p w:rsidRPr="00DF6654" w:rsidR="00DF6654" w:rsidP="00DF6654" w:rsidRDefault="00C1093D" w14:paraId="158C4811" w14:textId="77777777">
      <w:pPr>
        <w:spacing w:after="0"/>
        <w:ind w:left="720" w:hanging="720"/>
        <w:rPr>
          <w:rFonts w:ascii="Arial" w:hAnsi="Arial" w:cs="Arial"/>
          <w:szCs w:val="24"/>
        </w:rPr>
      </w:pPr>
      <w:r w:rsidRPr="00DF6654">
        <w:rPr>
          <w:rFonts w:ascii="Arial" w:hAnsi="Arial" w:cs="Arial"/>
          <w:szCs w:val="24"/>
        </w:rPr>
        <w:t>Christie, N., 2017. Conflicts as property. In </w:t>
      </w:r>
      <w:r w:rsidRPr="00DF6654">
        <w:rPr>
          <w:rFonts w:ascii="Arial" w:hAnsi="Arial" w:cs="Arial"/>
          <w:i/>
          <w:iCs/>
          <w:szCs w:val="24"/>
        </w:rPr>
        <w:t>Restorative Justice</w:t>
      </w:r>
      <w:r w:rsidRPr="00DF6654">
        <w:rPr>
          <w:rFonts w:ascii="Arial" w:hAnsi="Arial" w:cs="Arial"/>
          <w:szCs w:val="24"/>
        </w:rPr>
        <w:t> (pp. 37-51). Routledge.</w:t>
      </w:r>
    </w:p>
    <w:p w:rsidRPr="00DF6654" w:rsidR="00DF6654" w:rsidP="00DF6654" w:rsidRDefault="00C1093D" w14:paraId="41B57D02" w14:textId="77777777">
      <w:pPr>
        <w:spacing w:after="0"/>
        <w:ind w:left="720" w:hanging="720"/>
        <w:rPr>
          <w:rFonts w:ascii="Arial" w:hAnsi="Arial" w:cs="Arial"/>
          <w:szCs w:val="24"/>
        </w:rPr>
      </w:pPr>
      <w:r w:rsidRPr="00DF6654">
        <w:rPr>
          <w:rFonts w:ascii="Arial" w:hAnsi="Arial" w:cs="Arial"/>
          <w:szCs w:val="24"/>
        </w:rPr>
        <w:t xml:space="preserve">CPS 2022. Theft Act Offences. [Online] Available at </w:t>
      </w:r>
      <w:hyperlink w:history="1" r:id="rId6">
        <w:r w:rsidRPr="00DF6654">
          <w:rPr>
            <w:rStyle w:val="Hyperlink"/>
            <w:rFonts w:ascii="Arial" w:hAnsi="Arial" w:cs="Arial"/>
            <w:color w:val="auto"/>
            <w:szCs w:val="24"/>
          </w:rPr>
          <w:t>https://www.cps.gov.uk/legal-guidance/theft-act-offences</w:t>
        </w:r>
      </w:hyperlink>
      <w:r w:rsidRPr="00DF6654">
        <w:rPr>
          <w:rFonts w:ascii="Arial" w:hAnsi="Arial" w:cs="Arial"/>
          <w:szCs w:val="24"/>
        </w:rPr>
        <w:t xml:space="preserve"> [Accessed on 20 July 2023]</w:t>
      </w:r>
    </w:p>
    <w:p w:rsidRPr="00DF6654" w:rsidR="00DF6654" w:rsidP="00DF6654" w:rsidRDefault="00C1093D" w14:paraId="6A897E7B" w14:textId="3D873DA2">
      <w:pPr>
        <w:spacing w:after="0"/>
        <w:ind w:left="720" w:hanging="720"/>
        <w:rPr>
          <w:rFonts w:ascii="Arial" w:hAnsi="Arial" w:cs="Arial"/>
        </w:rPr>
      </w:pPr>
      <w:r w:rsidRPr="2467A49A">
        <w:rPr>
          <w:rFonts w:ascii="Arial" w:hAnsi="Arial" w:cs="Arial"/>
        </w:rPr>
        <w:t xml:space="preserve">Feeley, M.M., 2019. Two models of the criminal justice system: An </w:t>
      </w:r>
      <w:r w:rsidRPr="2467A49A" w:rsidR="2467A49A">
        <w:rPr>
          <w:rFonts w:ascii="Arial" w:hAnsi="Arial" w:cs="Arial"/>
        </w:rPr>
        <w:t>organizational</w:t>
      </w:r>
      <w:r w:rsidRPr="2467A49A">
        <w:rPr>
          <w:rFonts w:ascii="Arial" w:hAnsi="Arial" w:cs="Arial"/>
        </w:rPr>
        <w:t xml:space="preserve"> perspective. In </w:t>
      </w:r>
      <w:r w:rsidRPr="2467A49A">
        <w:rPr>
          <w:rFonts w:ascii="Arial" w:hAnsi="Arial" w:cs="Arial"/>
          <w:i/>
        </w:rPr>
        <w:t>Criminal Courts</w:t>
      </w:r>
      <w:r w:rsidRPr="2467A49A">
        <w:rPr>
          <w:rFonts w:ascii="Arial" w:hAnsi="Arial" w:cs="Arial"/>
        </w:rPr>
        <w:t> (pp. 201-220). Routledge.</w:t>
      </w:r>
    </w:p>
    <w:p w:rsidRPr="00DF6654" w:rsidR="00DF6654" w:rsidP="00DF6654" w:rsidRDefault="00C1093D" w14:paraId="37C61CD6" w14:textId="77777777">
      <w:pPr>
        <w:spacing w:after="0"/>
        <w:ind w:left="720" w:hanging="720"/>
        <w:rPr>
          <w:rFonts w:ascii="Arial" w:hAnsi="Arial" w:cs="Arial"/>
          <w:szCs w:val="24"/>
        </w:rPr>
      </w:pPr>
      <w:r w:rsidRPr="00DF6654">
        <w:rPr>
          <w:rFonts w:ascii="Arial" w:hAnsi="Arial" w:cs="Arial"/>
          <w:szCs w:val="24"/>
          <w:highlight w:val="yellow"/>
          <w:shd w:val="clear" w:color="auto" w:fill="FFFFFF"/>
        </w:rPr>
        <w:t>Franklin, C.N., 2023. A legal cultural “take” on the legal system of England and Wales. In </w:t>
      </w:r>
      <w:r w:rsidRPr="00DF6654">
        <w:rPr>
          <w:rFonts w:ascii="Arial" w:hAnsi="Arial" w:cs="Arial"/>
          <w:i/>
          <w:iCs/>
          <w:szCs w:val="24"/>
          <w:highlight w:val="yellow"/>
          <w:shd w:val="clear" w:color="auto" w:fill="FFFFFF"/>
        </w:rPr>
        <w:t>Handbook on Legal Cultures: A Selection of the World's Legal Cultures</w:t>
      </w:r>
      <w:r w:rsidRPr="00DF6654">
        <w:rPr>
          <w:rFonts w:ascii="Arial" w:hAnsi="Arial" w:cs="Arial"/>
          <w:szCs w:val="24"/>
          <w:highlight w:val="yellow"/>
          <w:shd w:val="clear" w:color="auto" w:fill="FFFFFF"/>
        </w:rPr>
        <w:t> (pp. 327-388). Cham: Springer International Publishing.</w:t>
      </w:r>
    </w:p>
    <w:p w:rsidRPr="00DF6654" w:rsidR="00DF6654" w:rsidP="00DF6654" w:rsidRDefault="00C1093D" w14:paraId="464D03A6" w14:textId="707447F5">
      <w:pPr>
        <w:spacing w:after="0"/>
        <w:ind w:left="720" w:hanging="720"/>
        <w:rPr>
          <w:rFonts w:ascii="Arial" w:hAnsi="Arial" w:cs="Arial"/>
        </w:rPr>
      </w:pPr>
      <w:r w:rsidRPr="59B7FBC9">
        <w:rPr>
          <w:rFonts w:ascii="Arial" w:hAnsi="Arial" w:cs="Arial"/>
        </w:rPr>
        <w:t xml:space="preserve">Heffner, J. and </w:t>
      </w:r>
      <w:r w:rsidRPr="2467A49A" w:rsidR="2467A49A">
        <w:rPr>
          <w:rFonts w:ascii="Arial" w:hAnsi="Arial" w:cs="Arial"/>
        </w:rPr>
        <w:t>Feldman Hall, O.,</w:t>
      </w:r>
      <w:r w:rsidRPr="59B7FBC9">
        <w:rPr>
          <w:rFonts w:ascii="Arial" w:hAnsi="Arial" w:cs="Arial"/>
        </w:rPr>
        <w:t xml:space="preserve"> 2019. Why we </w:t>
      </w:r>
      <w:r w:rsidRPr="59B7FBC9" w:rsidR="59B7FBC9">
        <w:rPr>
          <w:rFonts w:ascii="Arial" w:hAnsi="Arial" w:cs="Arial"/>
        </w:rPr>
        <w:t>do not</w:t>
      </w:r>
      <w:r w:rsidRPr="59B7FBC9">
        <w:rPr>
          <w:rFonts w:ascii="Arial" w:hAnsi="Arial" w:cs="Arial"/>
        </w:rPr>
        <w:t xml:space="preserve"> always punish: Preferences for non-punitive responses to moral violations. </w:t>
      </w:r>
      <w:r w:rsidRPr="59B7FBC9">
        <w:rPr>
          <w:rFonts w:ascii="Arial" w:hAnsi="Arial" w:cs="Arial"/>
          <w:i/>
        </w:rPr>
        <w:t>Scientific reports</w:t>
      </w:r>
      <w:r w:rsidRPr="59B7FBC9">
        <w:rPr>
          <w:rFonts w:ascii="Arial" w:hAnsi="Arial" w:cs="Arial"/>
        </w:rPr>
        <w:t>, </w:t>
      </w:r>
      <w:r w:rsidRPr="59B7FBC9">
        <w:rPr>
          <w:rFonts w:ascii="Arial" w:hAnsi="Arial" w:cs="Arial"/>
          <w:i/>
        </w:rPr>
        <w:t>9</w:t>
      </w:r>
      <w:r w:rsidRPr="59B7FBC9">
        <w:rPr>
          <w:rFonts w:ascii="Arial" w:hAnsi="Arial" w:cs="Arial"/>
        </w:rPr>
        <w:t>(1), p.13219.</w:t>
      </w:r>
    </w:p>
    <w:p w:rsidRPr="00DF6654" w:rsidR="00DF6654" w:rsidP="00DF6654" w:rsidRDefault="00C1093D" w14:paraId="1391E334" w14:textId="337259F1">
      <w:pPr>
        <w:spacing w:after="0"/>
        <w:ind w:left="720" w:hanging="720"/>
        <w:rPr>
          <w:rFonts w:ascii="Arial" w:hAnsi="Arial" w:cs="Arial"/>
        </w:rPr>
      </w:pPr>
      <w:r w:rsidRPr="2467A49A">
        <w:rPr>
          <w:rFonts w:ascii="Arial" w:hAnsi="Arial" w:cs="Arial"/>
          <w:highlight w:val="yellow"/>
          <w:shd w:val="clear" w:color="auto" w:fill="FFFFFF"/>
        </w:rPr>
        <w:t>Holste, L. and Sparmann, H., 2023. Experimental investigations of judicial decision-making. </w:t>
      </w:r>
      <w:r w:rsidRPr="2467A49A">
        <w:rPr>
          <w:rFonts w:ascii="Arial" w:hAnsi="Arial" w:cs="Arial"/>
          <w:i/>
          <w:highlight w:val="yellow"/>
          <w:shd w:val="clear" w:color="auto" w:fill="FFFFFF"/>
        </w:rPr>
        <w:t>The Cambridge Handbook of Experimental Jurisprudence (forthcoming 2023)</w:t>
      </w:r>
      <w:r w:rsidRPr="2467A49A">
        <w:rPr>
          <w:rFonts w:ascii="Arial" w:hAnsi="Arial" w:cs="Arial"/>
          <w:highlight w:val="yellow"/>
          <w:shd w:val="clear" w:color="auto" w:fill="FFFFFF"/>
        </w:rPr>
        <w:t>.</w:t>
      </w:r>
    </w:p>
    <w:p w:rsidRPr="00DF6654" w:rsidR="00DF6654" w:rsidP="00DF6654" w:rsidRDefault="00C1093D" w14:paraId="5EC60AF2" w14:textId="77777777">
      <w:pPr>
        <w:spacing w:after="0"/>
        <w:ind w:left="720" w:hanging="720"/>
        <w:rPr>
          <w:rFonts w:ascii="Arial" w:hAnsi="Arial" w:cs="Arial"/>
          <w:szCs w:val="24"/>
        </w:rPr>
      </w:pPr>
      <w:r w:rsidRPr="00DF6654">
        <w:rPr>
          <w:rFonts w:ascii="Arial" w:hAnsi="Arial" w:cs="Arial"/>
          <w:szCs w:val="24"/>
        </w:rPr>
        <w:t>Jia, M., 2016. Chinese common law? Guiding cases and judicial reform. </w:t>
      </w:r>
      <w:r w:rsidRPr="00DF6654">
        <w:rPr>
          <w:rFonts w:ascii="Arial" w:hAnsi="Arial" w:cs="Arial"/>
          <w:i/>
          <w:iCs/>
          <w:szCs w:val="24"/>
        </w:rPr>
        <w:t>Harvard Law Review</w:t>
      </w:r>
      <w:r w:rsidRPr="00DF6654">
        <w:rPr>
          <w:rFonts w:ascii="Arial" w:hAnsi="Arial" w:cs="Arial"/>
          <w:szCs w:val="24"/>
        </w:rPr>
        <w:t>, </w:t>
      </w:r>
      <w:r w:rsidRPr="00DF6654">
        <w:rPr>
          <w:rFonts w:ascii="Arial" w:hAnsi="Arial" w:cs="Arial"/>
          <w:i/>
          <w:iCs/>
          <w:szCs w:val="24"/>
        </w:rPr>
        <w:t>129</w:t>
      </w:r>
      <w:r w:rsidRPr="00DF6654">
        <w:rPr>
          <w:rFonts w:ascii="Arial" w:hAnsi="Arial" w:cs="Arial"/>
          <w:szCs w:val="24"/>
        </w:rPr>
        <w:t>(8), p.2213.</w:t>
      </w:r>
    </w:p>
    <w:p w:rsidRPr="00DF6654" w:rsidR="00DF6654" w:rsidP="00DF6654" w:rsidRDefault="00C1093D" w14:paraId="6E9EC392" w14:textId="77777777">
      <w:pPr>
        <w:spacing w:after="0"/>
        <w:ind w:left="720" w:hanging="720"/>
        <w:rPr>
          <w:rFonts w:ascii="Arial" w:hAnsi="Arial" w:cs="Arial"/>
          <w:szCs w:val="24"/>
        </w:rPr>
      </w:pPr>
      <w:r w:rsidRPr="00DF6654">
        <w:rPr>
          <w:rFonts w:ascii="Arial" w:hAnsi="Arial" w:cs="Arial"/>
          <w:szCs w:val="24"/>
        </w:rPr>
        <w:t>Khan, M.A. and Fatima, M., 2020. English Law of Torts and Product Liability. </w:t>
      </w:r>
      <w:r w:rsidRPr="00DF6654">
        <w:rPr>
          <w:rFonts w:ascii="Arial" w:hAnsi="Arial" w:cs="Arial"/>
          <w:i/>
          <w:iCs/>
          <w:szCs w:val="24"/>
        </w:rPr>
        <w:t>JL &amp; Soc. Polly</w:t>
      </w:r>
      <w:r w:rsidRPr="00DF6654">
        <w:rPr>
          <w:rFonts w:ascii="Arial" w:hAnsi="Arial" w:cs="Arial"/>
          <w:szCs w:val="24"/>
        </w:rPr>
        <w:t>, p.14.</w:t>
      </w:r>
    </w:p>
    <w:p w:rsidRPr="00DF6654" w:rsidR="00DF6654" w:rsidP="00DF6654" w:rsidRDefault="00C1093D" w14:paraId="5BC1BA30" w14:textId="7C9043A1">
      <w:pPr>
        <w:spacing w:after="0"/>
        <w:ind w:left="720" w:hanging="720"/>
        <w:rPr>
          <w:rFonts w:ascii="Arial" w:hAnsi="Arial" w:cs="Arial"/>
        </w:rPr>
      </w:pPr>
      <w:r w:rsidRPr="2467A49A">
        <w:rPr>
          <w:rFonts w:ascii="Arial" w:hAnsi="Arial" w:cs="Arial"/>
        </w:rPr>
        <w:t xml:space="preserve">Liang, H. and </w:t>
      </w:r>
      <w:r w:rsidRPr="2467A49A" w:rsidR="2467A49A">
        <w:rPr>
          <w:rFonts w:ascii="Arial" w:hAnsi="Arial" w:cs="Arial"/>
        </w:rPr>
        <w:t>Renneberg</w:t>
      </w:r>
      <w:r w:rsidRPr="2467A49A">
        <w:rPr>
          <w:rFonts w:ascii="Arial" w:hAnsi="Arial" w:cs="Arial"/>
        </w:rPr>
        <w:t>, L., 2017. On the foundations of corporate social responsibility. </w:t>
      </w:r>
      <w:r w:rsidRPr="2467A49A">
        <w:rPr>
          <w:rFonts w:ascii="Arial" w:hAnsi="Arial" w:cs="Arial"/>
          <w:i/>
        </w:rPr>
        <w:t>The Journal of Finance</w:t>
      </w:r>
      <w:r w:rsidRPr="2467A49A">
        <w:rPr>
          <w:rFonts w:ascii="Arial" w:hAnsi="Arial" w:cs="Arial"/>
        </w:rPr>
        <w:t>, </w:t>
      </w:r>
      <w:r w:rsidRPr="2467A49A">
        <w:rPr>
          <w:rFonts w:ascii="Arial" w:hAnsi="Arial" w:cs="Arial"/>
          <w:i/>
        </w:rPr>
        <w:t>72</w:t>
      </w:r>
      <w:r w:rsidRPr="2467A49A">
        <w:rPr>
          <w:rFonts w:ascii="Arial" w:hAnsi="Arial" w:cs="Arial"/>
        </w:rPr>
        <w:t>(2), pp.853-910.</w:t>
      </w:r>
    </w:p>
    <w:p w:rsidRPr="00DF6654" w:rsidR="00DF6654" w:rsidP="00DF6654" w:rsidRDefault="2467A49A" w14:paraId="3210B0E9" w14:textId="70042387">
      <w:pPr>
        <w:spacing w:after="0"/>
        <w:ind w:left="720" w:hanging="720"/>
        <w:rPr>
          <w:rFonts w:ascii="Arial" w:hAnsi="Arial" w:cs="Arial"/>
        </w:rPr>
      </w:pPr>
      <w:r w:rsidRPr="2467A49A">
        <w:rPr>
          <w:rFonts w:ascii="Arial" w:hAnsi="Arial" w:cs="Arial"/>
        </w:rPr>
        <w:t>McCormick</w:t>
      </w:r>
      <w:r w:rsidRPr="2467A49A" w:rsidR="00C1093D">
        <w:rPr>
          <w:rFonts w:ascii="Arial" w:hAnsi="Arial" w:cs="Arial"/>
        </w:rPr>
        <w:t>, N., 2018. Beyond the sovereign state. In </w:t>
      </w:r>
      <w:r w:rsidRPr="2467A49A" w:rsidR="00C1093D">
        <w:rPr>
          <w:rFonts w:ascii="Arial" w:hAnsi="Arial" w:cs="Arial"/>
          <w:i/>
        </w:rPr>
        <w:t>Relocating Sovereignty</w:t>
      </w:r>
      <w:r w:rsidRPr="2467A49A" w:rsidR="00C1093D">
        <w:rPr>
          <w:rFonts w:ascii="Arial" w:hAnsi="Arial" w:cs="Arial"/>
        </w:rPr>
        <w:t> (pp. 473-490). Routledge.</w:t>
      </w:r>
    </w:p>
    <w:p w:rsidRPr="00DF6654" w:rsidR="00DF6654" w:rsidP="00DF6654" w:rsidRDefault="00C1093D" w14:paraId="455F9C95" w14:textId="5D8F55BD">
      <w:pPr>
        <w:spacing w:after="0"/>
        <w:ind w:left="720" w:hanging="720"/>
        <w:rPr>
          <w:rFonts w:ascii="Arial" w:hAnsi="Arial" w:cs="Arial"/>
        </w:rPr>
      </w:pPr>
      <w:r w:rsidRPr="6B421CFC" w:rsidR="6B421CFC">
        <w:rPr>
          <w:rFonts w:ascii="Arial" w:hAnsi="Arial" w:cs="Arial"/>
        </w:rPr>
        <w:t>Myers, C., 2015. Public relations confidentiality: An analysis of pr practitioner–client</w:t>
      </w:r>
      <w:r w:rsidRPr="6B421CFC" w:rsidR="6B421CFC">
        <w:rPr>
          <w:rFonts w:ascii="Arial" w:hAnsi="Arial" w:cs="Arial"/>
        </w:rPr>
        <w:t xml:space="preserve"> privilege in high profile litigation. </w:t>
      </w:r>
      <w:r w:rsidRPr="6B421CFC" w:rsidR="6B421CFC">
        <w:rPr>
          <w:rFonts w:ascii="Arial" w:hAnsi="Arial" w:cs="Arial"/>
          <w:i w:val="1"/>
          <w:iCs w:val="1"/>
        </w:rPr>
        <w:t>Public Rela</w:t>
      </w:r>
      <w:r w:rsidRPr="6B421CFC" w:rsidR="6B421CFC">
        <w:rPr>
          <w:rFonts w:ascii="Arial" w:hAnsi="Arial" w:cs="Arial"/>
          <w:i w:val="1"/>
          <w:iCs w:val="1"/>
        </w:rPr>
        <w:t>tions Review</w:t>
      </w:r>
      <w:r w:rsidRPr="6B421CFC" w:rsidR="6B421CFC">
        <w:rPr>
          <w:rFonts w:ascii="Arial" w:hAnsi="Arial" w:cs="Arial"/>
        </w:rPr>
        <w:t>, </w:t>
      </w:r>
      <w:r w:rsidRPr="6B421CFC" w:rsidR="6B421CFC">
        <w:rPr>
          <w:rFonts w:ascii="Arial" w:hAnsi="Arial" w:cs="Arial"/>
          <w:i w:val="1"/>
          <w:iCs w:val="1"/>
        </w:rPr>
        <w:t>41</w:t>
      </w:r>
      <w:r w:rsidRPr="6B421CFC" w:rsidR="6B421CFC">
        <w:rPr>
          <w:rFonts w:ascii="Arial" w:hAnsi="Arial" w:cs="Arial"/>
        </w:rPr>
        <w:t>(1), pp.14-21.</w:t>
      </w:r>
    </w:p>
    <w:p w:rsidRPr="00DF6654" w:rsidR="00DF6654" w:rsidP="00DF6654" w:rsidRDefault="00C1093D" w14:paraId="0006D3FA" w14:textId="77777777">
      <w:pPr>
        <w:spacing w:after="0"/>
        <w:ind w:left="720" w:hanging="720"/>
        <w:rPr>
          <w:rFonts w:ascii="Arial" w:hAnsi="Arial" w:cs="Arial"/>
          <w:szCs w:val="24"/>
        </w:rPr>
      </w:pPr>
      <w:r w:rsidRPr="00DF6654">
        <w:rPr>
          <w:rFonts w:ascii="Arial" w:hAnsi="Arial" w:cs="Arial"/>
          <w:szCs w:val="24"/>
        </w:rPr>
        <w:lastRenderedPageBreak/>
        <w:t>Nelson, C., 2015. The Legitimacy of (Some) Federal Common Law. </w:t>
      </w:r>
      <w:r w:rsidRPr="00DF6654">
        <w:rPr>
          <w:rFonts w:ascii="Arial" w:hAnsi="Arial" w:cs="Arial"/>
          <w:i/>
          <w:iCs/>
          <w:szCs w:val="24"/>
        </w:rPr>
        <w:t>Virginia Law Review</w:t>
      </w:r>
      <w:r w:rsidRPr="00DF6654">
        <w:rPr>
          <w:rFonts w:ascii="Arial" w:hAnsi="Arial" w:cs="Arial"/>
          <w:szCs w:val="24"/>
        </w:rPr>
        <w:t>, pp.1-64.</w:t>
      </w:r>
    </w:p>
    <w:p w:rsidRPr="00DF6654" w:rsidR="00DF6654" w:rsidP="00DF6654" w:rsidRDefault="260374FB" w14:paraId="20FEDB1D" w14:textId="3A847859">
      <w:pPr>
        <w:spacing w:after="0"/>
        <w:ind w:left="720" w:hanging="720"/>
        <w:rPr>
          <w:rFonts w:ascii="Arial" w:hAnsi="Arial" w:cs="Arial"/>
        </w:rPr>
      </w:pPr>
      <w:r w:rsidRPr="260374FB">
        <w:rPr>
          <w:rFonts w:ascii="Arial" w:hAnsi="Arial" w:cs="Arial"/>
          <w:highlight w:val="yellow"/>
        </w:rPr>
        <w:t xml:space="preserve">Ref world, 2023. H.S. v. France. [Online] Available at </w:t>
      </w:r>
      <w:hyperlink r:id="rId7">
        <w:r w:rsidRPr="260374FB">
          <w:rPr>
            <w:rStyle w:val="Hyperlink"/>
            <w:rFonts w:ascii="Arial" w:hAnsi="Arial" w:cs="Arial"/>
            <w:color w:val="auto"/>
            <w:highlight w:val="yellow"/>
          </w:rPr>
          <w:t>https://www.refworld.org/cases,HRC,3ae6b6ab14.html</w:t>
        </w:r>
      </w:hyperlink>
      <w:r w:rsidRPr="260374FB">
        <w:rPr>
          <w:rFonts w:ascii="Arial" w:hAnsi="Arial" w:cs="Arial"/>
          <w:highlight w:val="yellow"/>
        </w:rPr>
        <w:t xml:space="preserve"> [Accessed on 23</w:t>
      </w:r>
      <w:r w:rsidRPr="260374FB">
        <w:rPr>
          <w:rFonts w:ascii="Arial" w:hAnsi="Arial" w:cs="Arial"/>
          <w:highlight w:val="yellow"/>
          <w:vertAlign w:val="superscript"/>
        </w:rPr>
        <w:t>rd</w:t>
      </w:r>
      <w:r w:rsidRPr="260374FB">
        <w:rPr>
          <w:rFonts w:ascii="Arial" w:hAnsi="Arial" w:cs="Arial"/>
          <w:highlight w:val="yellow"/>
        </w:rPr>
        <w:t xml:space="preserve"> September 2023].</w:t>
      </w:r>
    </w:p>
    <w:p w:rsidRPr="00DF6654" w:rsidR="00DF6654" w:rsidP="00DF6654" w:rsidRDefault="00C1093D" w14:paraId="6C28B157" w14:textId="77777777">
      <w:pPr>
        <w:spacing w:after="0"/>
        <w:ind w:left="720" w:hanging="720"/>
        <w:rPr>
          <w:rFonts w:ascii="Arial" w:hAnsi="Arial" w:cs="Arial"/>
          <w:szCs w:val="24"/>
        </w:rPr>
      </w:pPr>
      <w:r w:rsidRPr="00DF6654">
        <w:rPr>
          <w:rFonts w:ascii="Arial" w:hAnsi="Arial" w:cs="Arial"/>
          <w:szCs w:val="24"/>
          <w:highlight w:val="yellow"/>
        </w:rPr>
        <w:t xml:space="preserve">Scottish Council of Law Reporting, 2023. Donoghue v. Stevenson, Case Report. [Online] Available at &lt; </w:t>
      </w:r>
      <w:hyperlink w:history="1" r:id="rId8">
        <w:r w:rsidRPr="00DF6654">
          <w:rPr>
            <w:rStyle w:val="Hyperlink"/>
            <w:rFonts w:ascii="Arial" w:hAnsi="Arial" w:cs="Arial"/>
            <w:color w:val="auto"/>
            <w:szCs w:val="24"/>
            <w:highlight w:val="yellow"/>
          </w:rPr>
          <w:t>https://www.scottishlawreports.org.uk/resources/donoghue-v-stevenson/case-report/</w:t>
        </w:r>
      </w:hyperlink>
      <w:r w:rsidRPr="00DF6654">
        <w:rPr>
          <w:rFonts w:ascii="Arial" w:hAnsi="Arial" w:cs="Arial"/>
          <w:szCs w:val="24"/>
          <w:highlight w:val="yellow"/>
        </w:rPr>
        <w:t>&gt; [Accessed on 23</w:t>
      </w:r>
      <w:r w:rsidRPr="00DF6654">
        <w:rPr>
          <w:rFonts w:ascii="Arial" w:hAnsi="Arial" w:cs="Arial"/>
          <w:szCs w:val="24"/>
          <w:highlight w:val="yellow"/>
          <w:vertAlign w:val="superscript"/>
        </w:rPr>
        <w:t>rd</w:t>
      </w:r>
      <w:r w:rsidRPr="00DF6654">
        <w:rPr>
          <w:rFonts w:ascii="Arial" w:hAnsi="Arial" w:cs="Arial"/>
          <w:szCs w:val="24"/>
          <w:highlight w:val="yellow"/>
        </w:rPr>
        <w:t xml:space="preserve"> September 2023].</w:t>
      </w:r>
    </w:p>
    <w:p w:rsidRPr="00DF6654" w:rsidR="00DF6654" w:rsidP="00DF6654" w:rsidRDefault="00C1093D" w14:paraId="70283ADB" w14:textId="77777777">
      <w:pPr>
        <w:spacing w:after="0"/>
        <w:ind w:left="720" w:hanging="720"/>
        <w:rPr>
          <w:rFonts w:ascii="Arial" w:hAnsi="Arial" w:cs="Arial"/>
          <w:szCs w:val="24"/>
        </w:rPr>
      </w:pPr>
      <w:r w:rsidRPr="00DF6654">
        <w:rPr>
          <w:rFonts w:ascii="Arial" w:hAnsi="Arial" w:cs="Arial"/>
          <w:szCs w:val="24"/>
          <w:highlight w:val="yellow"/>
        </w:rPr>
        <w:t xml:space="preserve">UK Parliament, 2023. Judgments -- Regina v. Brown. [Online] Available at &lt; </w:t>
      </w:r>
      <w:hyperlink w:history="1" r:id="rId9">
        <w:r w:rsidRPr="00DF6654">
          <w:rPr>
            <w:rStyle w:val="Hyperlink"/>
            <w:rFonts w:ascii="Arial" w:hAnsi="Arial" w:cs="Arial"/>
            <w:color w:val="auto"/>
            <w:szCs w:val="24"/>
            <w:highlight w:val="yellow"/>
          </w:rPr>
          <w:t>https://publications.parliament.uk/pa/ld199798/ldjudgmt/jd970724/brown01.htm</w:t>
        </w:r>
      </w:hyperlink>
      <w:r w:rsidRPr="00DF6654">
        <w:rPr>
          <w:rFonts w:ascii="Arial" w:hAnsi="Arial" w:cs="Arial"/>
          <w:szCs w:val="24"/>
          <w:highlight w:val="yellow"/>
        </w:rPr>
        <w:t>&gt; [Accessed on 23</w:t>
      </w:r>
      <w:r w:rsidRPr="00DF6654">
        <w:rPr>
          <w:rFonts w:ascii="Arial" w:hAnsi="Arial" w:cs="Arial"/>
          <w:szCs w:val="24"/>
          <w:highlight w:val="yellow"/>
          <w:vertAlign w:val="superscript"/>
        </w:rPr>
        <w:t>rd</w:t>
      </w:r>
      <w:r w:rsidRPr="00DF6654">
        <w:rPr>
          <w:rFonts w:ascii="Arial" w:hAnsi="Arial" w:cs="Arial"/>
          <w:szCs w:val="24"/>
          <w:highlight w:val="yellow"/>
        </w:rPr>
        <w:t xml:space="preserve"> September 2023].</w:t>
      </w:r>
    </w:p>
    <w:p w:rsidRPr="00DF6654" w:rsidR="00DF6654" w:rsidP="00DF6654" w:rsidRDefault="00C1093D" w14:paraId="5266E542" w14:textId="6F637701">
      <w:pPr>
        <w:spacing w:after="0"/>
        <w:ind w:left="720" w:hanging="720"/>
        <w:rPr>
          <w:rFonts w:ascii="Arial" w:hAnsi="Arial" w:cs="Arial"/>
          <w:shd w:val="clear" w:color="auto" w:fill="FFFFFF"/>
        </w:rPr>
      </w:pPr>
      <w:r w:rsidRPr="260374FB">
        <w:rPr>
          <w:rFonts w:ascii="Arial" w:hAnsi="Arial" w:cs="Arial"/>
          <w:highlight w:val="yellow"/>
          <w:shd w:val="clear" w:color="auto" w:fill="FFFFFF"/>
        </w:rPr>
        <w:t>V Penny, B., v Stuart, C., v Stevenson, D., v Cleve, G., v Gilbert, G., v Wrights, H., Rhodesia, R.S., v Gould, S., v Stewart, S., v Jensen, S.P.C. and v Menlove, V., 2023. Cases Cited. </w:t>
      </w:r>
      <w:r w:rsidRPr="260374FB">
        <w:rPr>
          <w:rFonts w:ascii="Arial" w:hAnsi="Arial" w:cs="Arial"/>
          <w:i/>
          <w:iCs/>
          <w:highlight w:val="yellow"/>
          <w:shd w:val="clear" w:color="auto" w:fill="FFFFFF"/>
        </w:rPr>
        <w:t>Decolonization</w:t>
      </w:r>
      <w:r w:rsidRPr="260374FB">
        <w:rPr>
          <w:rFonts w:ascii="Arial" w:hAnsi="Arial" w:cs="Arial"/>
          <w:i/>
          <w:highlight w:val="yellow"/>
          <w:shd w:val="clear" w:color="auto" w:fill="FFFFFF"/>
        </w:rPr>
        <w:t xml:space="preserve"> and Legal Knowledge: Reflections on Power and Possibility</w:t>
      </w:r>
      <w:r w:rsidRPr="260374FB">
        <w:rPr>
          <w:rFonts w:ascii="Arial" w:hAnsi="Arial" w:cs="Arial"/>
          <w:highlight w:val="yellow"/>
          <w:shd w:val="clear" w:color="auto" w:fill="FFFFFF"/>
        </w:rPr>
        <w:t>, p.190.</w:t>
      </w:r>
    </w:p>
    <w:sectPr w:rsidRPr="00DF6654" w:rsidR="00DF6654">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g7fVjTcHf7DbjV" int2:id="vqmUDQRI">
      <int2:state int2:type="AugLoop_Text_Critique" int2:value="Rejected"/>
    </int2:textHash>
    <int2:entireDocument int2:id="01tqrb11">
      <int2:extLst>
        <oel:ext uri="E302BA01-7950-474C-9AD3-286E660C40A8">
          <int2:similaritySummary int2:version="1" int2:runId="1700989758039" int2:tilesCheckedInThisRun="43" int2:totalNumOfTiles="43"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54CE062-77777777 5148F5A8-77777777 770507A4-77777777 17032813-77777777 6F25205D-77777777 7E578A37-77777777 7F5E58B0-77777777 617D49C0-77777777 1E8347A8-77777777 2D60CA01-77777777 75325743-77777777 274A8972-77777777 7187A7AA-77777777 7C380902-77777777 0CBE936E-77777777 41325902-3B6B62C5 438D7892-77777777 2D46FC6D-25574086 174EB333-5C30E3A8 413D5796-0E9888A9 6955E7D6-6F116FA2 1FABEE7C-2180D0E4 21E8DA8C-06C20C07 7D14FBFB-3E252499 2913C532-29EFE995 7680D020-77777777 46BD47F9-28303634 667EE81B-77777777 2D9B4D0B-77777777 7F784265-77777777 439814CD-77777777 3C62DCE8-77777777 37C1815B-32B0B42B 158C4811-77777777 41B57D02-77777777 6A897E7B-3D873DA2 37C61CD6-77777777 464D03A6-707447F5 1391E334-337259F1 5EC60AF2-77777777 6E9EC392-77777777 5BC1BA30-7C9043A1 3210B0E9-70042387 455F9C95-72F572A0 0006D3FA-77777777 20FEDB1D-3A847859 6C28B157-77777777 70283ADB-77777777 5266E542-6F63770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81D5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24021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ocumentProtection w:edit="trackedChanges"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AEB"/>
    <w:rsid w:val="00007C4F"/>
    <w:rsid w:val="00016567"/>
    <w:rsid w:val="00033762"/>
    <w:rsid w:val="00071B41"/>
    <w:rsid w:val="00083EE5"/>
    <w:rsid w:val="00091177"/>
    <w:rsid w:val="000E64CA"/>
    <w:rsid w:val="00106DB5"/>
    <w:rsid w:val="00111E9A"/>
    <w:rsid w:val="00122E49"/>
    <w:rsid w:val="001454BF"/>
    <w:rsid w:val="00184AE1"/>
    <w:rsid w:val="00187F97"/>
    <w:rsid w:val="00193DDD"/>
    <w:rsid w:val="001955E9"/>
    <w:rsid w:val="00197FF8"/>
    <w:rsid w:val="001C1B40"/>
    <w:rsid w:val="001D6719"/>
    <w:rsid w:val="001E7484"/>
    <w:rsid w:val="001F79D8"/>
    <w:rsid w:val="00237A9B"/>
    <w:rsid w:val="00243F08"/>
    <w:rsid w:val="002727F9"/>
    <w:rsid w:val="00285B1F"/>
    <w:rsid w:val="002921AE"/>
    <w:rsid w:val="0029281C"/>
    <w:rsid w:val="002947AC"/>
    <w:rsid w:val="002A432C"/>
    <w:rsid w:val="002B5FD3"/>
    <w:rsid w:val="002B7DC7"/>
    <w:rsid w:val="002C6C63"/>
    <w:rsid w:val="002E4387"/>
    <w:rsid w:val="002F3FEA"/>
    <w:rsid w:val="00316151"/>
    <w:rsid w:val="00323B63"/>
    <w:rsid w:val="00353AE4"/>
    <w:rsid w:val="00355C77"/>
    <w:rsid w:val="00373A60"/>
    <w:rsid w:val="003747BC"/>
    <w:rsid w:val="003775DC"/>
    <w:rsid w:val="00380B1D"/>
    <w:rsid w:val="0039207A"/>
    <w:rsid w:val="00394A3C"/>
    <w:rsid w:val="003C10A5"/>
    <w:rsid w:val="003C1216"/>
    <w:rsid w:val="003F2634"/>
    <w:rsid w:val="00416BFF"/>
    <w:rsid w:val="00430F24"/>
    <w:rsid w:val="00433174"/>
    <w:rsid w:val="00433B3F"/>
    <w:rsid w:val="00437904"/>
    <w:rsid w:val="00440E5B"/>
    <w:rsid w:val="004543F5"/>
    <w:rsid w:val="00466D22"/>
    <w:rsid w:val="0047513C"/>
    <w:rsid w:val="0049360A"/>
    <w:rsid w:val="004C4EB3"/>
    <w:rsid w:val="004E6256"/>
    <w:rsid w:val="004F680D"/>
    <w:rsid w:val="00506CEF"/>
    <w:rsid w:val="00537E62"/>
    <w:rsid w:val="00542645"/>
    <w:rsid w:val="00554A48"/>
    <w:rsid w:val="00564CCF"/>
    <w:rsid w:val="00565059"/>
    <w:rsid w:val="005662CE"/>
    <w:rsid w:val="005A14D5"/>
    <w:rsid w:val="005A5845"/>
    <w:rsid w:val="005A76E5"/>
    <w:rsid w:val="005B7277"/>
    <w:rsid w:val="005B7C77"/>
    <w:rsid w:val="005C441E"/>
    <w:rsid w:val="005D45DC"/>
    <w:rsid w:val="005E33E2"/>
    <w:rsid w:val="005E358F"/>
    <w:rsid w:val="005F43B6"/>
    <w:rsid w:val="0062659E"/>
    <w:rsid w:val="00635E62"/>
    <w:rsid w:val="00654D46"/>
    <w:rsid w:val="00661267"/>
    <w:rsid w:val="00667765"/>
    <w:rsid w:val="006765FE"/>
    <w:rsid w:val="006A21A0"/>
    <w:rsid w:val="006A228F"/>
    <w:rsid w:val="006B4BF0"/>
    <w:rsid w:val="006D4FAD"/>
    <w:rsid w:val="006E009F"/>
    <w:rsid w:val="006F0427"/>
    <w:rsid w:val="006F12DD"/>
    <w:rsid w:val="006F4277"/>
    <w:rsid w:val="0070734C"/>
    <w:rsid w:val="00721037"/>
    <w:rsid w:val="00754102"/>
    <w:rsid w:val="00762B92"/>
    <w:rsid w:val="0078260C"/>
    <w:rsid w:val="007933BF"/>
    <w:rsid w:val="007D03CD"/>
    <w:rsid w:val="00813059"/>
    <w:rsid w:val="00832DB8"/>
    <w:rsid w:val="00842971"/>
    <w:rsid w:val="008A5199"/>
    <w:rsid w:val="008B29F7"/>
    <w:rsid w:val="008B6FF8"/>
    <w:rsid w:val="008D000F"/>
    <w:rsid w:val="008E35CC"/>
    <w:rsid w:val="008F01D5"/>
    <w:rsid w:val="008F63ED"/>
    <w:rsid w:val="00920683"/>
    <w:rsid w:val="009276D5"/>
    <w:rsid w:val="00944A0A"/>
    <w:rsid w:val="00947DA5"/>
    <w:rsid w:val="00957246"/>
    <w:rsid w:val="009766F6"/>
    <w:rsid w:val="00987A88"/>
    <w:rsid w:val="00995EAB"/>
    <w:rsid w:val="009A1E72"/>
    <w:rsid w:val="009A1F46"/>
    <w:rsid w:val="009A6288"/>
    <w:rsid w:val="009B13BA"/>
    <w:rsid w:val="009B658D"/>
    <w:rsid w:val="009C11CF"/>
    <w:rsid w:val="009C1317"/>
    <w:rsid w:val="009C6C31"/>
    <w:rsid w:val="009D629E"/>
    <w:rsid w:val="009E3073"/>
    <w:rsid w:val="009E3C06"/>
    <w:rsid w:val="009F66BE"/>
    <w:rsid w:val="00A34E0C"/>
    <w:rsid w:val="00A37144"/>
    <w:rsid w:val="00A47B92"/>
    <w:rsid w:val="00A54ECD"/>
    <w:rsid w:val="00A673ED"/>
    <w:rsid w:val="00A746D5"/>
    <w:rsid w:val="00A8561F"/>
    <w:rsid w:val="00AA48C6"/>
    <w:rsid w:val="00AB75B4"/>
    <w:rsid w:val="00AC78E5"/>
    <w:rsid w:val="00AD5F15"/>
    <w:rsid w:val="00AF3C17"/>
    <w:rsid w:val="00B20C1F"/>
    <w:rsid w:val="00B31B27"/>
    <w:rsid w:val="00B3472E"/>
    <w:rsid w:val="00B50FE0"/>
    <w:rsid w:val="00B55C71"/>
    <w:rsid w:val="00B61D49"/>
    <w:rsid w:val="00B66A97"/>
    <w:rsid w:val="00B67F29"/>
    <w:rsid w:val="00B705C1"/>
    <w:rsid w:val="00B82D87"/>
    <w:rsid w:val="00B85181"/>
    <w:rsid w:val="00B872B4"/>
    <w:rsid w:val="00B87ECC"/>
    <w:rsid w:val="00BA618B"/>
    <w:rsid w:val="00BC1015"/>
    <w:rsid w:val="00BC6FA7"/>
    <w:rsid w:val="00BD07CA"/>
    <w:rsid w:val="00BD64FE"/>
    <w:rsid w:val="00BF0F1F"/>
    <w:rsid w:val="00C02B3E"/>
    <w:rsid w:val="00C02E82"/>
    <w:rsid w:val="00C1093D"/>
    <w:rsid w:val="00C36AC2"/>
    <w:rsid w:val="00C65B66"/>
    <w:rsid w:val="00C73A3B"/>
    <w:rsid w:val="00C80912"/>
    <w:rsid w:val="00C91729"/>
    <w:rsid w:val="00C96F14"/>
    <w:rsid w:val="00C9750B"/>
    <w:rsid w:val="00CA1736"/>
    <w:rsid w:val="00CA577E"/>
    <w:rsid w:val="00CB15CE"/>
    <w:rsid w:val="00CB533B"/>
    <w:rsid w:val="00CD0D45"/>
    <w:rsid w:val="00CD5A96"/>
    <w:rsid w:val="00CE39B7"/>
    <w:rsid w:val="00D01778"/>
    <w:rsid w:val="00D25841"/>
    <w:rsid w:val="00D30C90"/>
    <w:rsid w:val="00D37C21"/>
    <w:rsid w:val="00D40718"/>
    <w:rsid w:val="00D5001B"/>
    <w:rsid w:val="00D5477C"/>
    <w:rsid w:val="00D814B3"/>
    <w:rsid w:val="00D90AD7"/>
    <w:rsid w:val="00D90C95"/>
    <w:rsid w:val="00DB4C90"/>
    <w:rsid w:val="00DC44EF"/>
    <w:rsid w:val="00DC719B"/>
    <w:rsid w:val="00DC7385"/>
    <w:rsid w:val="00DE3C3F"/>
    <w:rsid w:val="00DE6D3B"/>
    <w:rsid w:val="00DF4EAB"/>
    <w:rsid w:val="00DF6654"/>
    <w:rsid w:val="00E05EA4"/>
    <w:rsid w:val="00E07526"/>
    <w:rsid w:val="00E12C3B"/>
    <w:rsid w:val="00E166D4"/>
    <w:rsid w:val="00E26D70"/>
    <w:rsid w:val="00E3726A"/>
    <w:rsid w:val="00E45433"/>
    <w:rsid w:val="00E50B89"/>
    <w:rsid w:val="00E57A66"/>
    <w:rsid w:val="00E6294B"/>
    <w:rsid w:val="00E645D1"/>
    <w:rsid w:val="00E7744B"/>
    <w:rsid w:val="00EA1518"/>
    <w:rsid w:val="00EA5632"/>
    <w:rsid w:val="00EE0EC9"/>
    <w:rsid w:val="00F010D3"/>
    <w:rsid w:val="00F10F32"/>
    <w:rsid w:val="00F16315"/>
    <w:rsid w:val="00F43B06"/>
    <w:rsid w:val="00F52870"/>
    <w:rsid w:val="00F52AEB"/>
    <w:rsid w:val="00F52F64"/>
    <w:rsid w:val="00F67BC7"/>
    <w:rsid w:val="00F70023"/>
    <w:rsid w:val="00F73390"/>
    <w:rsid w:val="00F74E5F"/>
    <w:rsid w:val="00F93F3E"/>
    <w:rsid w:val="00F960B6"/>
    <w:rsid w:val="00FC25FB"/>
    <w:rsid w:val="00FE48B1"/>
    <w:rsid w:val="0158BF1A"/>
    <w:rsid w:val="0371FD47"/>
    <w:rsid w:val="17892192"/>
    <w:rsid w:val="2467A49A"/>
    <w:rsid w:val="260374FB"/>
    <w:rsid w:val="28A44326"/>
    <w:rsid w:val="345E07D2"/>
    <w:rsid w:val="39513987"/>
    <w:rsid w:val="432AA8F5"/>
    <w:rsid w:val="4BCC8D71"/>
    <w:rsid w:val="4F042E33"/>
    <w:rsid w:val="58BC4B50"/>
    <w:rsid w:val="59B7FBC9"/>
    <w:rsid w:val="5D00D762"/>
    <w:rsid w:val="5F5E19FC"/>
    <w:rsid w:val="64F2C0EA"/>
    <w:rsid w:val="65A2BBDE"/>
    <w:rsid w:val="6A4BC9CD"/>
    <w:rsid w:val="6B421CFC"/>
    <w:rsid w:val="7B55B08A"/>
    <w:rsid w:val="7FA389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47DA9"/>
  <w15:chartTrackingRefBased/>
  <w15:docId w15:val="{8D38C16A-DAC5-474E-A990-81D00028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96F14"/>
    <w:pPr>
      <w:keepNext/>
      <w:keepLines/>
      <w:numPr>
        <w:numId w:val="1"/>
      </w:numPr>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96F14"/>
    <w:pPr>
      <w:keepNext/>
      <w:keepLines/>
      <w:numPr>
        <w:ilvl w:val="1"/>
        <w:numId w:val="1"/>
      </w:numPr>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96F14"/>
    <w:pPr>
      <w:keepNext/>
      <w:keepLines/>
      <w:numPr>
        <w:ilvl w:val="2"/>
        <w:numId w:val="1"/>
      </w:numPr>
      <w:spacing w:before="40" w:after="0"/>
      <w:outlineLvl w:val="2"/>
    </w:pPr>
    <w:rPr>
      <w:rFonts w:asciiTheme="majorHAnsi" w:hAnsiTheme="majorHAnsi"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96F14"/>
    <w:pPr>
      <w:keepNext/>
      <w:keepLines/>
      <w:numPr>
        <w:ilvl w:val="3"/>
        <w:numId w:val="1"/>
      </w:numPr>
      <w:spacing w:before="40" w:after="0"/>
      <w:outlineLvl w:val="3"/>
    </w:pPr>
    <w:rPr>
      <w:rFonts w:asciiTheme="majorHAnsi" w:hAnsiTheme="majorHAnsi"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96F14"/>
    <w:pPr>
      <w:keepNext/>
      <w:keepLines/>
      <w:numPr>
        <w:ilvl w:val="4"/>
        <w:numId w:val="1"/>
      </w:numPr>
      <w:spacing w:before="40" w:after="0"/>
      <w:outlineLvl w:val="4"/>
    </w:pPr>
    <w:rPr>
      <w:rFonts w:asciiTheme="majorHAnsi" w:hAnsiTheme="majorHAnsi"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96F14"/>
    <w:pPr>
      <w:keepNext/>
      <w:keepLines/>
      <w:numPr>
        <w:ilvl w:val="5"/>
        <w:numId w:val="1"/>
      </w:numPr>
      <w:spacing w:before="40" w:after="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C96F14"/>
    <w:pPr>
      <w:keepNext/>
      <w:keepLines/>
      <w:numPr>
        <w:ilvl w:val="6"/>
        <w:numId w:val="1"/>
      </w:numPr>
      <w:spacing w:before="40" w:after="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C96F14"/>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96F14"/>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96F14"/>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semiHidden/>
    <w:rsid w:val="00C96F14"/>
    <w:rPr>
      <w:rFonts w:asciiTheme="majorHAnsi" w:hAnsiTheme="majorHAnsi" w:eastAsiaTheme="majorEastAsia" w:cstheme="majorBidi"/>
      <w:color w:val="2E74B5" w:themeColor="accent1" w:themeShade="BF"/>
      <w:sz w:val="26"/>
      <w:szCs w:val="26"/>
    </w:rPr>
  </w:style>
  <w:style w:type="character" w:styleId="Heading3Char" w:customStyle="1">
    <w:name w:val="Heading 3 Char"/>
    <w:basedOn w:val="DefaultParagraphFont"/>
    <w:link w:val="Heading3"/>
    <w:uiPriority w:val="9"/>
    <w:semiHidden/>
    <w:rsid w:val="00C96F14"/>
    <w:rPr>
      <w:rFonts w:asciiTheme="majorHAnsi" w:hAnsiTheme="majorHAnsi" w:eastAsiaTheme="majorEastAsia" w:cstheme="majorBidi"/>
      <w:color w:val="1F4D78" w:themeColor="accent1" w:themeShade="7F"/>
      <w:szCs w:val="24"/>
    </w:rPr>
  </w:style>
  <w:style w:type="character" w:styleId="Heading4Char" w:customStyle="1">
    <w:name w:val="Heading 4 Char"/>
    <w:basedOn w:val="DefaultParagraphFont"/>
    <w:link w:val="Heading4"/>
    <w:uiPriority w:val="9"/>
    <w:semiHidden/>
    <w:rsid w:val="00C96F14"/>
    <w:rPr>
      <w:rFonts w:asciiTheme="majorHAnsi" w:hAnsiTheme="majorHAnsi" w:eastAsiaTheme="majorEastAsia" w:cstheme="majorBidi"/>
      <w:i/>
      <w:iCs/>
      <w:color w:val="2E74B5" w:themeColor="accent1" w:themeShade="BF"/>
    </w:rPr>
  </w:style>
  <w:style w:type="character" w:styleId="Heading5Char" w:customStyle="1">
    <w:name w:val="Heading 5 Char"/>
    <w:basedOn w:val="DefaultParagraphFont"/>
    <w:link w:val="Heading5"/>
    <w:uiPriority w:val="9"/>
    <w:semiHidden/>
    <w:rsid w:val="00C96F14"/>
    <w:rPr>
      <w:rFonts w:asciiTheme="majorHAnsi" w:hAnsiTheme="majorHAnsi" w:eastAsiaTheme="majorEastAsia" w:cstheme="majorBidi"/>
      <w:color w:val="2E74B5" w:themeColor="accent1" w:themeShade="BF"/>
    </w:rPr>
  </w:style>
  <w:style w:type="character" w:styleId="Heading6Char" w:customStyle="1">
    <w:name w:val="Heading 6 Char"/>
    <w:basedOn w:val="DefaultParagraphFont"/>
    <w:link w:val="Heading6"/>
    <w:uiPriority w:val="9"/>
    <w:semiHidden/>
    <w:rsid w:val="00C96F14"/>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semiHidden/>
    <w:rsid w:val="00C96F14"/>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semiHidden/>
    <w:rsid w:val="00C96F14"/>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C96F14"/>
    <w:rPr>
      <w:rFonts w:asciiTheme="majorHAnsi" w:hAnsiTheme="majorHAnsi" w:eastAsiaTheme="majorEastAsia" w:cstheme="majorBidi"/>
      <w:i/>
      <w:iCs/>
      <w:color w:val="272727" w:themeColor="text1" w:themeTint="D8"/>
      <w:sz w:val="21"/>
      <w:szCs w:val="21"/>
    </w:rPr>
  </w:style>
  <w:style w:type="character" w:styleId="Hyperlink">
    <w:name w:val="Hyperlink"/>
    <w:basedOn w:val="DefaultParagraphFont"/>
    <w:uiPriority w:val="99"/>
    <w:unhideWhenUsed/>
    <w:rsid w:val="00E50B89"/>
    <w:rPr>
      <w:color w:val="0563C1" w:themeColor="hyperlink"/>
      <w:u w:val="single"/>
    </w:rPr>
  </w:style>
  <w:style w:type="paragraph" w:styleId="TOCHeading">
    <w:name w:val="TOC Heading"/>
    <w:basedOn w:val="Heading1"/>
    <w:next w:val="Normal"/>
    <w:uiPriority w:val="39"/>
    <w:unhideWhenUsed/>
    <w:qFormat/>
    <w:rsid w:val="003F2634"/>
    <w:pPr>
      <w:numPr>
        <w:numId w:val="0"/>
      </w:numPr>
      <w:spacing w:line="259" w:lineRule="auto"/>
      <w:jc w:val="left"/>
      <w:outlineLvl w:val="9"/>
    </w:pPr>
  </w:style>
  <w:style w:type="paragraph" w:styleId="TOC1">
    <w:name w:val="toc 1"/>
    <w:basedOn w:val="Normal"/>
    <w:next w:val="Normal"/>
    <w:autoRedefine/>
    <w:uiPriority w:val="39"/>
    <w:unhideWhenUsed/>
    <w:rsid w:val="003F263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scottishlawreports.org.uk/resources/donoghue-v-stevenson/case-report/" TargetMode="External" Id="rId8" /><Relationship Type="http://schemas.openxmlformats.org/officeDocument/2006/relationships/styles" Target="styles.xml" Id="rId3" /><Relationship Type="http://schemas.openxmlformats.org/officeDocument/2006/relationships/hyperlink" Target="https://www.refworld.org/cases,HRC,3ae6b6ab14.html" TargetMode="External" Id="rId7" /><Relationship Type="http://schemas.microsoft.com/office/2020/10/relationships/intelligence" Target="intelligence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cps.gov.uk/legal-guidance/theft-act-offences" TargetMode="Externa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publications.parliament.uk/pa/ld199798/ldjudgmt/jd970724/brown01.htm"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 dockstate="right" visibility="0" width="525"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75D02DB-3255-415D-AC70-384085F973C6}">
  <we:reference id="wa104381727" version="1.0.0.9" store="en-GB" storeType="OMEX"/>
  <we:alternateReferences>
    <we:reference id="wa104381727" version="1.0.0.9" store="wa104381727"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E59CA191-834F-46BF-A8EE-7736A75ABE5A}">
  <we:reference id="wa104381714" version="4.2.0.0" store="en-GB" storeType="OMEX"/>
  <we:alternateReferences>
    <we:reference id="wa104381714" version="4.2.0.0" store="wa104381714" storeType="OMEX"/>
  </we:alternateReferences>
  <we:properties>
    <we:property name="production_outwrite_document" value="&quot;{\&quot;documentId\&quot;:\&quot;3fb5409199f10429\&quot;,\&quot;documentAccessToken\&quot;:\&quot;b4bea2a9f6f796c76cff4a1bb704b198\&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02785-0A54-435C-95D1-B96912E6C56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abc</dc:creator>
  <keywords/>
  <lastModifiedBy>Maria Madalina Feier</lastModifiedBy>
  <revision>37</revision>
  <dcterms:created xsi:type="dcterms:W3CDTF">2023-11-07T22:37:00.0000000Z</dcterms:created>
  <dcterms:modified xsi:type="dcterms:W3CDTF">2023-11-26T09:23:52.4624888Z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documentId_4641</vt:lpwstr>
  </property>
  <property fmtid="{D5CDD505-2E9C-101B-9397-08002B2CF9AE}" pid="3" name="grammarly_documentContext">
    <vt:lpwstr xmlns:vt="http://schemas.openxmlformats.org/officeDocument/2006/docPropsVTypes">{"goals":[],"domain":"general","emotions":[],"dialect":"british"}</vt:lpwstr>
  </property>
</Properties>
</file>