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B475F" w:rsidRPr="002E4FC6" w:rsidRDefault="00074402" w:rsidP="002E4FC6">
      <w:pPr>
        <w:spacing w:line="360" w:lineRule="auto"/>
        <w:jc w:val="both"/>
        <w:rPr>
          <w:rFonts w:cs="Times New Roman"/>
          <w:szCs w:val="24"/>
        </w:rPr>
      </w:pPr>
      <w:r w:rsidRPr="002E4FC6">
        <w:rPr>
          <w:rFonts w:cs="Times New Roman"/>
          <w:noProof/>
          <w:szCs w:val="24"/>
          <w:lang w:val="en-US"/>
        </w:rP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074402" w:rsidRPr="002E4FC6" w:rsidRDefault="00074402" w:rsidP="002E4FC6">
      <w:pPr>
        <w:spacing w:line="360" w:lineRule="auto"/>
        <w:jc w:val="both"/>
        <w:rPr>
          <w:rFonts w:cs="Times New Roman"/>
          <w:szCs w:val="24"/>
        </w:rPr>
      </w:pPr>
    </w:p>
    <w:p w:rsidR="00074402" w:rsidRPr="002E4FC6" w:rsidRDefault="00074402" w:rsidP="002E4FC6">
      <w:pPr>
        <w:spacing w:line="360" w:lineRule="auto"/>
        <w:jc w:val="both"/>
        <w:rPr>
          <w:rFonts w:cs="Times New Roman"/>
          <w:szCs w:val="24"/>
        </w:rPr>
      </w:pPr>
    </w:p>
    <w:p w:rsidR="00074402" w:rsidRPr="002E4FC6" w:rsidRDefault="00074402" w:rsidP="002E4FC6">
      <w:pPr>
        <w:spacing w:line="360" w:lineRule="auto"/>
        <w:jc w:val="both"/>
        <w:rPr>
          <w:rFonts w:cs="Times New Roman"/>
          <w:szCs w:val="24"/>
        </w:rPr>
      </w:pPr>
    </w:p>
    <w:p w:rsidR="00074402" w:rsidRPr="002E4FC6" w:rsidRDefault="00074402" w:rsidP="002E4FC6">
      <w:pPr>
        <w:tabs>
          <w:tab w:val="left" w:pos="6540"/>
        </w:tabs>
        <w:spacing w:line="360" w:lineRule="auto"/>
        <w:jc w:val="both"/>
        <w:rPr>
          <w:rFonts w:cs="Times New Roman"/>
          <w:szCs w:val="24"/>
        </w:rPr>
      </w:pPr>
    </w:p>
    <w:p w:rsidR="00074402" w:rsidRPr="002E4FC6" w:rsidRDefault="00074402" w:rsidP="002E4FC6">
      <w:pPr>
        <w:tabs>
          <w:tab w:val="left" w:pos="6540"/>
        </w:tabs>
        <w:spacing w:line="360" w:lineRule="auto"/>
        <w:jc w:val="both"/>
        <w:rPr>
          <w:rFonts w:cs="Times New Roman"/>
          <w:szCs w:val="24"/>
        </w:rPr>
      </w:pPr>
      <w:r w:rsidRPr="002E4FC6">
        <w:rPr>
          <w:rFonts w:cs="Times New Roman"/>
          <w:b/>
          <w:bCs/>
          <w:szCs w:val="24"/>
        </w:rPr>
        <w:t>Student name</w:t>
      </w:r>
      <w:r w:rsidRPr="002E4FC6">
        <w:rPr>
          <w:rFonts w:cs="Times New Roman"/>
          <w:szCs w:val="24"/>
        </w:rPr>
        <w:t>:</w:t>
      </w:r>
      <w:r w:rsidR="00476E6C">
        <w:rPr>
          <w:rFonts w:cs="Times New Roman"/>
          <w:szCs w:val="24"/>
        </w:rPr>
        <w:t xml:space="preserve">Shekinah Mala </w:t>
      </w:r>
      <w:proofErr w:type="spellStart"/>
      <w:r w:rsidR="00476E6C">
        <w:rPr>
          <w:rFonts w:cs="Times New Roman"/>
          <w:szCs w:val="24"/>
        </w:rPr>
        <w:t>Biasala</w:t>
      </w:r>
      <w:proofErr w:type="spellEnd"/>
      <w:r w:rsidR="00476E6C">
        <w:rPr>
          <w:rFonts w:cs="Times New Roman"/>
          <w:szCs w:val="24"/>
        </w:rPr>
        <w:t xml:space="preserve"> </w:t>
      </w:r>
    </w:p>
    <w:p w:rsidR="00074402" w:rsidRPr="002E4FC6" w:rsidRDefault="00074402" w:rsidP="002E4FC6">
      <w:pPr>
        <w:tabs>
          <w:tab w:val="left" w:pos="6540"/>
        </w:tabs>
        <w:spacing w:line="360" w:lineRule="auto"/>
        <w:jc w:val="both"/>
        <w:rPr>
          <w:rFonts w:cs="Times New Roman"/>
          <w:szCs w:val="24"/>
        </w:rPr>
      </w:pPr>
      <w:r w:rsidRPr="002E4FC6">
        <w:rPr>
          <w:rFonts w:cs="Times New Roman"/>
          <w:b/>
          <w:bCs/>
          <w:szCs w:val="24"/>
        </w:rPr>
        <w:t>Student ID</w:t>
      </w:r>
      <w:r w:rsidRPr="002E4FC6">
        <w:rPr>
          <w:rFonts w:cs="Times New Roman"/>
          <w:szCs w:val="24"/>
        </w:rPr>
        <w:t>:</w:t>
      </w:r>
      <w:r w:rsidR="00476E6C">
        <w:rPr>
          <w:rFonts w:cs="Times New Roman"/>
          <w:szCs w:val="24"/>
        </w:rPr>
        <w:t>1914922</w:t>
      </w:r>
    </w:p>
    <w:p w:rsidR="00074402" w:rsidRPr="002E2483" w:rsidRDefault="00074402" w:rsidP="002E4FC6">
      <w:pPr>
        <w:tabs>
          <w:tab w:val="left" w:pos="6540"/>
        </w:tabs>
        <w:spacing w:line="360" w:lineRule="auto"/>
        <w:jc w:val="both"/>
        <w:rPr>
          <w:rFonts w:cs="Times New Roman"/>
          <w:b/>
          <w:szCs w:val="24"/>
        </w:rPr>
      </w:pPr>
    </w:p>
    <w:p w:rsidR="00074402" w:rsidRPr="002E2483" w:rsidRDefault="00074402" w:rsidP="002E4FC6">
      <w:pPr>
        <w:tabs>
          <w:tab w:val="left" w:pos="6540"/>
        </w:tabs>
        <w:spacing w:line="360" w:lineRule="auto"/>
        <w:jc w:val="both"/>
        <w:rPr>
          <w:rFonts w:cs="Times New Roman"/>
          <w:b/>
          <w:szCs w:val="24"/>
        </w:rPr>
      </w:pPr>
      <w:r w:rsidRPr="002E2483">
        <w:rPr>
          <w:rFonts w:cs="Times New Roman"/>
          <w:b/>
          <w:bCs/>
          <w:szCs w:val="24"/>
        </w:rPr>
        <w:t>Module name</w:t>
      </w:r>
      <w:r w:rsidRPr="002E2483">
        <w:rPr>
          <w:rFonts w:cs="Times New Roman"/>
          <w:b/>
          <w:szCs w:val="24"/>
        </w:rPr>
        <w:t xml:space="preserve">: </w:t>
      </w:r>
      <w:r w:rsidR="002E2483" w:rsidRPr="002E2483">
        <w:rPr>
          <w:rFonts w:cs="Times New Roman"/>
          <w:b/>
          <w:szCs w:val="24"/>
        </w:rPr>
        <w:t>Public Health Policy</w:t>
      </w:r>
    </w:p>
    <w:p w:rsidR="00074402" w:rsidRPr="002E2483" w:rsidRDefault="00074402" w:rsidP="002E4FC6">
      <w:pPr>
        <w:tabs>
          <w:tab w:val="left" w:pos="6540"/>
        </w:tabs>
        <w:spacing w:line="360" w:lineRule="auto"/>
        <w:jc w:val="both"/>
        <w:rPr>
          <w:rFonts w:cs="Times New Roman"/>
          <w:b/>
          <w:szCs w:val="24"/>
        </w:rPr>
      </w:pPr>
      <w:r w:rsidRPr="002E2483">
        <w:rPr>
          <w:rFonts w:cs="Times New Roman"/>
          <w:b/>
          <w:bCs/>
          <w:szCs w:val="24"/>
        </w:rPr>
        <w:t>Module code</w:t>
      </w:r>
      <w:r w:rsidRPr="002E2483">
        <w:rPr>
          <w:rFonts w:cs="Times New Roman"/>
          <w:b/>
          <w:szCs w:val="24"/>
        </w:rPr>
        <w:t>:</w:t>
      </w:r>
      <w:r w:rsidR="002E2483" w:rsidRPr="002E2483">
        <w:rPr>
          <w:rFonts w:cs="Times New Roman"/>
          <w:b/>
          <w:szCs w:val="24"/>
        </w:rPr>
        <w:t xml:space="preserve"> BMHP5013 </w:t>
      </w:r>
    </w:p>
    <w:p w:rsidR="00074402" w:rsidRPr="00476E6C" w:rsidRDefault="00074402" w:rsidP="002E4FC6">
      <w:pPr>
        <w:tabs>
          <w:tab w:val="left" w:pos="6540"/>
        </w:tabs>
        <w:spacing w:line="360" w:lineRule="auto"/>
        <w:jc w:val="both"/>
        <w:rPr>
          <w:rFonts w:cs="Times New Roman"/>
          <w:szCs w:val="24"/>
        </w:rPr>
      </w:pPr>
      <w:r w:rsidRPr="002E4FC6">
        <w:rPr>
          <w:rFonts w:cs="Times New Roman"/>
          <w:b/>
          <w:bCs/>
          <w:szCs w:val="24"/>
        </w:rPr>
        <w:t>Lecturer name</w:t>
      </w:r>
      <w:r w:rsidRPr="002E4FC6">
        <w:rPr>
          <w:rFonts w:cs="Times New Roman"/>
          <w:szCs w:val="24"/>
        </w:rPr>
        <w:t>:</w:t>
      </w:r>
      <w:r w:rsidR="00C2634D">
        <w:rPr>
          <w:rFonts w:cs="Times New Roman"/>
          <w:szCs w:val="24"/>
          <w:lang w:val="x-none"/>
        </w:rPr>
        <w:t xml:space="preserve">  Evelyn</w:t>
      </w:r>
      <w:r w:rsidR="00476E6C">
        <w:rPr>
          <w:rFonts w:cs="Times New Roman"/>
          <w:szCs w:val="24"/>
        </w:rPr>
        <w:t xml:space="preserve"> </w:t>
      </w:r>
    </w:p>
    <w:p w:rsidR="00074402" w:rsidRPr="002E4FC6" w:rsidRDefault="00074402" w:rsidP="002E4FC6">
      <w:pPr>
        <w:tabs>
          <w:tab w:val="left" w:pos="6540"/>
        </w:tabs>
        <w:spacing w:line="360" w:lineRule="auto"/>
        <w:jc w:val="both"/>
        <w:rPr>
          <w:rFonts w:cs="Times New Roman"/>
          <w:szCs w:val="24"/>
        </w:rPr>
      </w:pPr>
    </w:p>
    <w:p w:rsidR="00074402" w:rsidRPr="002E4FC6" w:rsidRDefault="00074402" w:rsidP="002E4FC6">
      <w:pPr>
        <w:tabs>
          <w:tab w:val="left" w:pos="6540"/>
        </w:tabs>
        <w:spacing w:line="360" w:lineRule="auto"/>
        <w:jc w:val="both"/>
        <w:rPr>
          <w:rFonts w:cs="Times New Roman"/>
          <w:szCs w:val="24"/>
        </w:rPr>
      </w:pPr>
    </w:p>
    <w:p w:rsidR="00074402" w:rsidRPr="002E4FC6" w:rsidRDefault="002C6E13" w:rsidP="002E4FC6">
      <w:pPr>
        <w:tabs>
          <w:tab w:val="left" w:pos="6540"/>
        </w:tabs>
        <w:spacing w:line="360" w:lineRule="auto"/>
        <w:jc w:val="both"/>
        <w:rPr>
          <w:rFonts w:cs="Times New Roman"/>
          <w:szCs w:val="24"/>
        </w:rPr>
      </w:pPr>
      <w:r>
        <w:rPr>
          <w:noProof/>
        </w:rPr>
        <w:drawing>
          <wp:anchor distT="0" distB="0" distL="114300" distR="114300" simplePos="0" relativeHeight="251661312" behindDoc="0" locked="0" layoutInCell="1" allowOverlap="1" wp14:anchorId="5F7AADFF" wp14:editId="31105136">
            <wp:simplePos x="0" y="0"/>
            <wp:positionH relativeFrom="column">
              <wp:posOffset>-603885</wp:posOffset>
            </wp:positionH>
            <wp:positionV relativeFrom="paragraph">
              <wp:posOffset>271145</wp:posOffset>
            </wp:positionV>
            <wp:extent cx="4559300" cy="3022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9300" cy="3022600"/>
                    </a:xfrm>
                    <a:prstGeom prst="rect">
                      <a:avLst/>
                    </a:prstGeom>
                  </pic:spPr>
                </pic:pic>
              </a:graphicData>
            </a:graphic>
          </wp:anchor>
        </w:drawing>
      </w:r>
    </w:p>
    <w:p w:rsidR="00B87E75" w:rsidRPr="002E4FC6" w:rsidRDefault="00B87E75" w:rsidP="002E4FC6">
      <w:pPr>
        <w:tabs>
          <w:tab w:val="left" w:pos="6540"/>
        </w:tabs>
        <w:spacing w:line="360" w:lineRule="auto"/>
        <w:jc w:val="both"/>
        <w:rPr>
          <w:rFonts w:cs="Times New Roman"/>
          <w:szCs w:val="24"/>
        </w:rPr>
      </w:pPr>
    </w:p>
    <w:p w:rsidR="00B87E75" w:rsidRPr="002E4FC6" w:rsidRDefault="00B87E75" w:rsidP="002E4FC6">
      <w:pPr>
        <w:spacing w:line="360" w:lineRule="auto"/>
        <w:jc w:val="both"/>
        <w:rPr>
          <w:rFonts w:cs="Times New Roman"/>
          <w:szCs w:val="24"/>
        </w:rPr>
      </w:pPr>
      <w:r w:rsidRPr="002E4FC6">
        <w:rPr>
          <w:rFonts w:cs="Times New Roman"/>
          <w:szCs w:val="24"/>
        </w:rPr>
        <w:br w:type="page"/>
      </w:r>
    </w:p>
    <w:sdt>
      <w:sdtPr>
        <w:rPr>
          <w:rFonts w:ascii="Times New Roman" w:eastAsiaTheme="minorHAnsi" w:hAnsi="Times New Roman" w:cstheme="minorBidi"/>
          <w:b w:val="0"/>
          <w:bCs w:val="0"/>
          <w:color w:val="auto"/>
          <w:sz w:val="24"/>
          <w:szCs w:val="22"/>
          <w:lang w:val="en-GB"/>
        </w:rPr>
        <w:id w:val="1456419172"/>
        <w:docPartObj>
          <w:docPartGallery w:val="Table of Contents"/>
          <w:docPartUnique/>
        </w:docPartObj>
      </w:sdtPr>
      <w:sdtEndPr/>
      <w:sdtContent>
        <w:p w:rsidR="002E4FC6" w:rsidRDefault="002E4FC6" w:rsidP="002E4FC6">
          <w:pPr>
            <w:pStyle w:val="TOCHeading"/>
            <w:jc w:val="center"/>
          </w:pPr>
          <w:r w:rsidRPr="002E4FC6">
            <w:rPr>
              <w:rFonts w:ascii="Times New Roman" w:hAnsi="Times New Roman" w:cs="Times New Roman"/>
              <w:color w:val="000000" w:themeColor="text1"/>
            </w:rPr>
            <w:t>Table of Contents</w:t>
          </w:r>
        </w:p>
        <w:p w:rsidR="002E4FC6" w:rsidRPr="002E4FC6" w:rsidRDefault="002E4FC6" w:rsidP="002E4FC6">
          <w:pPr>
            <w:pStyle w:val="TOC1"/>
            <w:tabs>
              <w:tab w:val="right" w:leader="dot" w:pos="9016"/>
            </w:tabs>
            <w:spacing w:line="360" w:lineRule="auto"/>
            <w:jc w:val="both"/>
            <w:rPr>
              <w:b/>
              <w:noProof/>
            </w:rPr>
          </w:pPr>
          <w:r w:rsidRPr="002E4FC6">
            <w:rPr>
              <w:b/>
            </w:rPr>
            <w:fldChar w:fldCharType="begin"/>
          </w:r>
          <w:r w:rsidRPr="002E4FC6">
            <w:rPr>
              <w:b/>
            </w:rPr>
            <w:instrText xml:space="preserve"> TOC \o "1-3" \h \z \u </w:instrText>
          </w:r>
          <w:r w:rsidRPr="002E4FC6">
            <w:rPr>
              <w:b/>
            </w:rPr>
            <w:fldChar w:fldCharType="separate"/>
          </w:r>
          <w:hyperlink w:anchor="_Toc92122018" w:history="1">
            <w:r w:rsidRPr="002E4FC6">
              <w:rPr>
                <w:rStyle w:val="Hyperlink"/>
                <w:rFonts w:cs="Times New Roman"/>
                <w:b/>
                <w:noProof/>
              </w:rPr>
              <w:t>1. Introduction/ Background</w:t>
            </w:r>
            <w:r w:rsidRPr="002E4FC6">
              <w:rPr>
                <w:b/>
                <w:noProof/>
                <w:webHidden/>
              </w:rPr>
              <w:tab/>
            </w:r>
            <w:r w:rsidRPr="002E4FC6">
              <w:rPr>
                <w:b/>
                <w:noProof/>
                <w:webHidden/>
              </w:rPr>
              <w:fldChar w:fldCharType="begin"/>
            </w:r>
            <w:r w:rsidRPr="002E4FC6">
              <w:rPr>
                <w:b/>
                <w:noProof/>
                <w:webHidden/>
              </w:rPr>
              <w:instrText xml:space="preserve"> PAGEREF _Toc92122018 \h </w:instrText>
            </w:r>
            <w:r w:rsidRPr="002E4FC6">
              <w:rPr>
                <w:b/>
                <w:noProof/>
                <w:webHidden/>
              </w:rPr>
            </w:r>
            <w:r w:rsidRPr="002E4FC6">
              <w:rPr>
                <w:b/>
                <w:noProof/>
                <w:webHidden/>
              </w:rPr>
              <w:fldChar w:fldCharType="separate"/>
            </w:r>
            <w:r w:rsidRPr="002E4FC6">
              <w:rPr>
                <w:b/>
                <w:noProof/>
                <w:webHidden/>
              </w:rPr>
              <w:t>3</w:t>
            </w:r>
            <w:r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19" w:history="1">
            <w:r w:rsidR="002E4FC6" w:rsidRPr="002E4FC6">
              <w:rPr>
                <w:rStyle w:val="Hyperlink"/>
                <w:rFonts w:cs="Times New Roman"/>
                <w:b/>
                <w:noProof/>
              </w:rPr>
              <w:t>2. Strategies</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_Toc92122019 \h </w:instrText>
            </w:r>
            <w:r w:rsidR="002E4FC6" w:rsidRPr="002E4FC6">
              <w:rPr>
                <w:b/>
                <w:noProof/>
                <w:webHidden/>
              </w:rPr>
            </w:r>
            <w:r w:rsidR="002E4FC6" w:rsidRPr="002E4FC6">
              <w:rPr>
                <w:b/>
                <w:noProof/>
                <w:webHidden/>
              </w:rPr>
              <w:fldChar w:fldCharType="separate"/>
            </w:r>
            <w:r w:rsidR="002E4FC6" w:rsidRPr="002E4FC6">
              <w:rPr>
                <w:b/>
                <w:noProof/>
                <w:webHidden/>
              </w:rPr>
              <w:t>4</w:t>
            </w:r>
            <w:r w:rsidR="002E4FC6"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20" w:history="1">
            <w:r w:rsidR="002E4FC6" w:rsidRPr="002E4FC6">
              <w:rPr>
                <w:rStyle w:val="Hyperlink"/>
                <w:rFonts w:cs="Times New Roman"/>
                <w:b/>
                <w:noProof/>
              </w:rPr>
              <w:t>3. Public health policy</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_Toc92122020 \h </w:instrText>
            </w:r>
            <w:r w:rsidR="002E4FC6" w:rsidRPr="002E4FC6">
              <w:rPr>
                <w:b/>
                <w:noProof/>
                <w:webHidden/>
              </w:rPr>
            </w:r>
            <w:r w:rsidR="002E4FC6" w:rsidRPr="002E4FC6">
              <w:rPr>
                <w:b/>
                <w:noProof/>
                <w:webHidden/>
              </w:rPr>
              <w:fldChar w:fldCharType="separate"/>
            </w:r>
            <w:r w:rsidR="002E4FC6" w:rsidRPr="002E4FC6">
              <w:rPr>
                <w:b/>
                <w:noProof/>
                <w:webHidden/>
              </w:rPr>
              <w:t>5</w:t>
            </w:r>
            <w:r w:rsidR="002E4FC6"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21" w:history="1">
            <w:r w:rsidR="002E4FC6" w:rsidRPr="002E4FC6">
              <w:rPr>
                <w:rStyle w:val="Hyperlink"/>
                <w:rFonts w:cs="Times New Roman"/>
                <w:b/>
                <w:noProof/>
              </w:rPr>
              <w:t>4. Theories</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_Toc92122021 \h </w:instrText>
            </w:r>
            <w:r w:rsidR="002E4FC6" w:rsidRPr="002E4FC6">
              <w:rPr>
                <w:b/>
                <w:noProof/>
                <w:webHidden/>
              </w:rPr>
            </w:r>
            <w:r w:rsidR="002E4FC6" w:rsidRPr="002E4FC6">
              <w:rPr>
                <w:b/>
                <w:noProof/>
                <w:webHidden/>
              </w:rPr>
              <w:fldChar w:fldCharType="separate"/>
            </w:r>
            <w:r w:rsidR="002E4FC6" w:rsidRPr="002E4FC6">
              <w:rPr>
                <w:b/>
                <w:noProof/>
                <w:webHidden/>
              </w:rPr>
              <w:t>6</w:t>
            </w:r>
            <w:r w:rsidR="002E4FC6"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22" w:history="1">
            <w:r w:rsidR="002E4FC6" w:rsidRPr="002E4FC6">
              <w:rPr>
                <w:rStyle w:val="Hyperlink"/>
                <w:rFonts w:cs="Times New Roman"/>
                <w:b/>
                <w:noProof/>
              </w:rPr>
              <w:t>6. Ethical considerations</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_Toc92122022 \h </w:instrText>
            </w:r>
            <w:r w:rsidR="002E4FC6" w:rsidRPr="002E4FC6">
              <w:rPr>
                <w:b/>
                <w:noProof/>
                <w:webHidden/>
              </w:rPr>
            </w:r>
            <w:r w:rsidR="002E4FC6" w:rsidRPr="002E4FC6">
              <w:rPr>
                <w:b/>
                <w:noProof/>
                <w:webHidden/>
              </w:rPr>
              <w:fldChar w:fldCharType="separate"/>
            </w:r>
            <w:r w:rsidR="002E4FC6" w:rsidRPr="002E4FC6">
              <w:rPr>
                <w:b/>
                <w:noProof/>
                <w:webHidden/>
              </w:rPr>
              <w:t>8</w:t>
            </w:r>
            <w:r w:rsidR="002E4FC6"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23" w:history="1">
            <w:r w:rsidR="002E4FC6" w:rsidRPr="002E4FC6">
              <w:rPr>
                <w:rStyle w:val="Hyperlink"/>
                <w:rFonts w:cs="Times New Roman"/>
                <w:b/>
                <w:noProof/>
              </w:rPr>
              <w:t>7. Recommendations</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_Toc92122023 \h </w:instrText>
            </w:r>
            <w:r w:rsidR="002E4FC6" w:rsidRPr="002E4FC6">
              <w:rPr>
                <w:b/>
                <w:noProof/>
                <w:webHidden/>
              </w:rPr>
            </w:r>
            <w:r w:rsidR="002E4FC6" w:rsidRPr="002E4FC6">
              <w:rPr>
                <w:b/>
                <w:noProof/>
                <w:webHidden/>
              </w:rPr>
              <w:fldChar w:fldCharType="separate"/>
            </w:r>
            <w:r w:rsidR="002E4FC6" w:rsidRPr="002E4FC6">
              <w:rPr>
                <w:b/>
                <w:noProof/>
                <w:webHidden/>
              </w:rPr>
              <w:t>8</w:t>
            </w:r>
            <w:r w:rsidR="002E4FC6" w:rsidRPr="002E4FC6">
              <w:rPr>
                <w:b/>
                <w:noProof/>
                <w:webHidden/>
              </w:rPr>
              <w:fldChar w:fldCharType="end"/>
            </w:r>
          </w:hyperlink>
        </w:p>
        <w:p w:rsidR="002E4FC6" w:rsidRPr="002E4FC6" w:rsidRDefault="002E0E61" w:rsidP="002E4FC6">
          <w:pPr>
            <w:pStyle w:val="TOC1"/>
            <w:tabs>
              <w:tab w:val="right" w:leader="dot" w:pos="9016"/>
            </w:tabs>
            <w:spacing w:line="360" w:lineRule="auto"/>
            <w:jc w:val="both"/>
            <w:rPr>
              <w:b/>
              <w:noProof/>
            </w:rPr>
          </w:pPr>
          <w:hyperlink w:anchor="_Toc92122024" w:history="1">
            <w:r w:rsidR="002E4FC6" w:rsidRPr="002E4FC6">
              <w:rPr>
                <w:rStyle w:val="Hyperlink"/>
                <w:rFonts w:cs="Times New Roman"/>
                <w:b/>
                <w:noProof/>
              </w:rPr>
              <w:t>References</w:t>
            </w:r>
            <w:r w:rsidR="002E4FC6" w:rsidRPr="002E4FC6">
              <w:rPr>
                <w:b/>
                <w:noProof/>
                <w:webHidden/>
              </w:rPr>
              <w:tab/>
            </w:r>
            <w:r w:rsidR="002E4FC6" w:rsidRPr="002E4FC6">
              <w:rPr>
                <w:b/>
                <w:noProof/>
                <w:webHidden/>
              </w:rPr>
              <w:fldChar w:fldCharType="begin"/>
            </w:r>
            <w:r w:rsidR="002E4FC6" w:rsidRPr="002E4FC6">
              <w:rPr>
                <w:b/>
                <w:noProof/>
                <w:webHidden/>
              </w:rPr>
              <w:instrText xml:space="preserve"> PAGEREF _Toc92122024 \h </w:instrText>
            </w:r>
            <w:r w:rsidR="002E4FC6" w:rsidRPr="002E4FC6">
              <w:rPr>
                <w:b/>
                <w:noProof/>
                <w:webHidden/>
              </w:rPr>
            </w:r>
            <w:r w:rsidR="002E4FC6" w:rsidRPr="002E4FC6">
              <w:rPr>
                <w:b/>
                <w:noProof/>
                <w:webHidden/>
              </w:rPr>
              <w:fldChar w:fldCharType="separate"/>
            </w:r>
            <w:r w:rsidR="002E4FC6" w:rsidRPr="002E4FC6">
              <w:rPr>
                <w:b/>
                <w:noProof/>
                <w:webHidden/>
              </w:rPr>
              <w:t>10</w:t>
            </w:r>
            <w:r w:rsidR="002E4FC6" w:rsidRPr="002E4FC6">
              <w:rPr>
                <w:b/>
                <w:noProof/>
                <w:webHidden/>
              </w:rPr>
              <w:fldChar w:fldCharType="end"/>
            </w:r>
          </w:hyperlink>
        </w:p>
        <w:p w:rsidR="002E4FC6" w:rsidRDefault="002E4FC6" w:rsidP="002E4FC6">
          <w:pPr>
            <w:spacing w:line="360" w:lineRule="auto"/>
            <w:jc w:val="both"/>
          </w:pPr>
          <w:r w:rsidRPr="002E4FC6">
            <w:rPr>
              <w:b/>
            </w:rPr>
            <w:fldChar w:fldCharType="end"/>
          </w:r>
        </w:p>
      </w:sdtContent>
    </w:sdt>
    <w:p w:rsidR="00B87E75" w:rsidRPr="002E4FC6" w:rsidRDefault="00B87E75" w:rsidP="002E4FC6">
      <w:pPr>
        <w:spacing w:line="360" w:lineRule="auto"/>
        <w:jc w:val="both"/>
        <w:rPr>
          <w:rFonts w:cs="Times New Roman"/>
          <w:szCs w:val="24"/>
        </w:rPr>
      </w:pPr>
    </w:p>
    <w:p w:rsidR="00B87E75" w:rsidRPr="002E4FC6" w:rsidRDefault="008D14CD" w:rsidP="002E4FC6">
      <w:pPr>
        <w:spacing w:line="360" w:lineRule="auto"/>
        <w:jc w:val="both"/>
        <w:rPr>
          <w:rFonts w:cs="Times New Roman"/>
          <w:szCs w:val="24"/>
        </w:rPr>
      </w:pPr>
      <w:r>
        <w:rPr>
          <w:noProof/>
        </w:rPr>
        <w:drawing>
          <wp:anchor distT="0" distB="0" distL="114300" distR="114300" simplePos="0" relativeHeight="251663360" behindDoc="0" locked="0" layoutInCell="1" allowOverlap="1" wp14:anchorId="1D98BA1B" wp14:editId="313909E4">
            <wp:simplePos x="0" y="0"/>
            <wp:positionH relativeFrom="column">
              <wp:posOffset>-530860</wp:posOffset>
            </wp:positionH>
            <wp:positionV relativeFrom="paragraph">
              <wp:posOffset>243840</wp:posOffset>
            </wp:positionV>
            <wp:extent cx="6872605" cy="45897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872605" cy="4589780"/>
                    </a:xfrm>
                    <a:prstGeom prst="rect">
                      <a:avLst/>
                    </a:prstGeom>
                  </pic:spPr>
                </pic:pic>
              </a:graphicData>
            </a:graphic>
            <wp14:sizeRelH relativeFrom="margin">
              <wp14:pctWidth>0</wp14:pctWidth>
            </wp14:sizeRelH>
            <wp14:sizeRelV relativeFrom="margin">
              <wp14:pctHeight>0</wp14:pctHeight>
            </wp14:sizeRelV>
          </wp:anchor>
        </w:drawing>
      </w:r>
    </w:p>
    <w:p w:rsidR="00B87E75" w:rsidRPr="002E4FC6" w:rsidRDefault="00B87E75" w:rsidP="002E4FC6">
      <w:pPr>
        <w:spacing w:line="360" w:lineRule="auto"/>
        <w:jc w:val="both"/>
        <w:rPr>
          <w:rFonts w:cs="Times New Roman"/>
          <w:szCs w:val="24"/>
        </w:rPr>
      </w:pPr>
    </w:p>
    <w:p w:rsidR="00B87E75" w:rsidRPr="002E4FC6" w:rsidRDefault="00B87E75" w:rsidP="002E4FC6">
      <w:pPr>
        <w:spacing w:line="360" w:lineRule="auto"/>
        <w:jc w:val="both"/>
        <w:rPr>
          <w:rFonts w:cs="Times New Roman"/>
          <w:szCs w:val="24"/>
        </w:rPr>
      </w:pPr>
      <w:r w:rsidRPr="002E4FC6">
        <w:rPr>
          <w:rFonts w:cs="Times New Roman"/>
          <w:szCs w:val="24"/>
        </w:rPr>
        <w:br w:type="page"/>
      </w:r>
    </w:p>
    <w:p w:rsidR="008852A2" w:rsidRPr="002E4FC6" w:rsidRDefault="008852A2" w:rsidP="002E4FC6">
      <w:pPr>
        <w:pStyle w:val="Heading1"/>
        <w:spacing w:line="360" w:lineRule="auto"/>
        <w:jc w:val="both"/>
        <w:rPr>
          <w:rFonts w:ascii="Times New Roman" w:hAnsi="Times New Roman" w:cs="Times New Roman"/>
          <w:sz w:val="24"/>
          <w:szCs w:val="24"/>
        </w:rPr>
      </w:pPr>
    </w:p>
    <w:p w:rsidR="00B87E75" w:rsidRPr="002E4FC6" w:rsidRDefault="00B87E75" w:rsidP="002E4FC6">
      <w:pPr>
        <w:pStyle w:val="Heading1"/>
        <w:spacing w:line="360" w:lineRule="auto"/>
        <w:jc w:val="both"/>
        <w:rPr>
          <w:rFonts w:ascii="Times New Roman" w:hAnsi="Times New Roman" w:cs="Times New Roman"/>
          <w:sz w:val="24"/>
          <w:szCs w:val="24"/>
        </w:rPr>
      </w:pPr>
      <w:bookmarkStart w:id="0" w:name="_Toc92122018"/>
      <w:r w:rsidRPr="002E4FC6">
        <w:rPr>
          <w:rFonts w:ascii="Times New Roman" w:hAnsi="Times New Roman" w:cs="Times New Roman"/>
          <w:sz w:val="24"/>
          <w:szCs w:val="24"/>
        </w:rPr>
        <w:t>1. Introduction</w:t>
      </w:r>
      <w:r w:rsidR="008852A2" w:rsidRPr="002E4FC6">
        <w:rPr>
          <w:rFonts w:ascii="Times New Roman" w:hAnsi="Times New Roman" w:cs="Times New Roman"/>
          <w:sz w:val="24"/>
          <w:szCs w:val="24"/>
        </w:rPr>
        <w:t>/ Background</w:t>
      </w:r>
      <w:bookmarkEnd w:id="0"/>
    </w:p>
    <w:p w:rsidR="003E4ECF" w:rsidRPr="002E4FC6" w:rsidRDefault="002E4FC6" w:rsidP="002E4FC6">
      <w:pPr>
        <w:pStyle w:val="Normal1"/>
        <w:spacing w:before="240" w:after="240" w:line="360" w:lineRule="auto"/>
        <w:jc w:val="both"/>
        <w:rPr>
          <w:rFonts w:ascii="Times New Roman" w:eastAsia="Times New Roman" w:hAnsi="Times New Roman" w:cs="Times New Roman"/>
          <w:sz w:val="24"/>
          <w:szCs w:val="24"/>
        </w:rPr>
      </w:pPr>
      <w:r w:rsidRPr="002E4FC6">
        <w:rPr>
          <w:rFonts w:ascii="Times New Roman" w:eastAsia="Times New Roman" w:hAnsi="Times New Roman" w:cs="Times New Roman"/>
          <w:sz w:val="24"/>
          <w:szCs w:val="24"/>
        </w:rPr>
        <w:t xml:space="preserve">Covid-19 or the coronavirus is the disease induced by the novel virus </w:t>
      </w:r>
      <w:r w:rsidRPr="002E4FC6">
        <w:rPr>
          <w:rFonts w:ascii="Times New Roman" w:eastAsia="Times New Roman" w:hAnsi="Times New Roman" w:cs="Times New Roman"/>
          <w:sz w:val="24"/>
          <w:szCs w:val="24"/>
          <w:highlight w:val="white"/>
        </w:rPr>
        <w:t xml:space="preserve">Severe Acute Respiratory Syndrome Coronavirus 2 or </w:t>
      </w:r>
      <w:r w:rsidRPr="002E4FC6">
        <w:rPr>
          <w:rFonts w:ascii="Times New Roman" w:eastAsia="Times New Roman" w:hAnsi="Times New Roman" w:cs="Times New Roman"/>
          <w:sz w:val="24"/>
          <w:szCs w:val="24"/>
        </w:rPr>
        <w:t xml:space="preserve">SARS-CoV-2. The name came from the word corona which means crown which resembles the spike proteins sticking out of the virus. There are also some antibodies within the body that can protect by targeting these spikes of the virus. The </w:t>
      </w:r>
      <w:proofErr w:type="spellStart"/>
      <w:r w:rsidRPr="002E4FC6">
        <w:rPr>
          <w:rFonts w:ascii="Times New Roman" w:eastAsia="Times New Roman" w:hAnsi="Times New Roman" w:cs="Times New Roman"/>
          <w:sz w:val="24"/>
          <w:szCs w:val="24"/>
        </w:rPr>
        <w:t>epicenter</w:t>
      </w:r>
      <w:proofErr w:type="spellEnd"/>
      <w:r w:rsidRPr="002E4FC6">
        <w:rPr>
          <w:rFonts w:ascii="Times New Roman" w:eastAsia="Times New Roman" w:hAnsi="Times New Roman" w:cs="Times New Roman"/>
          <w:sz w:val="24"/>
          <w:szCs w:val="24"/>
        </w:rPr>
        <w:t xml:space="preserve"> of this disease was found to be in Wuhan, China in the late month of December of 2019 (</w:t>
      </w:r>
      <w:proofErr w:type="spellStart"/>
      <w:r w:rsidRPr="002E4FC6">
        <w:rPr>
          <w:rFonts w:ascii="Times New Roman" w:hAnsi="Times New Roman" w:cs="Times New Roman"/>
          <w:color w:val="222222"/>
          <w:sz w:val="24"/>
          <w:szCs w:val="24"/>
          <w:highlight w:val="white"/>
        </w:rPr>
        <w:t>Yesudhas</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2021)</w:t>
      </w:r>
      <w:r w:rsidRPr="002E4FC6">
        <w:rPr>
          <w:rFonts w:ascii="Times New Roman" w:eastAsia="Times New Roman" w:hAnsi="Times New Roman" w:cs="Times New Roman"/>
          <w:sz w:val="24"/>
          <w:szCs w:val="24"/>
        </w:rPr>
        <w:t>. In March 2020, the World Health Organisation declared it to be a pandemic due to the security of the transmission of the disease. In line with other respiratory diseases, this disease also spreads through droplets projected from the mouth or nose of the individuals during spelling, sneezing, or coughing. SARS-CoV-2 also undergoes some changes that depend on the severity of the virus, its rate of transmission or the effectiveness of the treatment which later came to be known as the variants. In the UK, the first case of Covid-19 concerns one individual who has come from the Hubei province of China and another case came across the National Health Service (</w:t>
      </w:r>
      <w:r w:rsidRPr="002E4FC6">
        <w:rPr>
          <w:rFonts w:ascii="Times New Roman" w:hAnsi="Times New Roman" w:cs="Times New Roman"/>
          <w:color w:val="222222"/>
          <w:sz w:val="24"/>
          <w:szCs w:val="24"/>
          <w:highlight w:val="white"/>
        </w:rPr>
        <w:t xml:space="preserve">Lillie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2020)</w:t>
      </w:r>
      <w:r w:rsidRPr="002E4FC6">
        <w:rPr>
          <w:rFonts w:ascii="Times New Roman" w:eastAsia="Times New Roman" w:hAnsi="Times New Roman" w:cs="Times New Roman"/>
          <w:sz w:val="24"/>
          <w:szCs w:val="24"/>
        </w:rPr>
        <w:t>. The Public Health England (PHE) confirmed these two cases on 31st January 2020 (</w:t>
      </w:r>
      <w:r w:rsidRPr="002E4FC6">
        <w:rPr>
          <w:rFonts w:ascii="Times New Roman" w:hAnsi="Times New Roman" w:cs="Times New Roman"/>
          <w:sz w:val="24"/>
          <w:szCs w:val="24"/>
          <w:highlight w:val="white"/>
        </w:rPr>
        <w:t>Wright, 2021)</w:t>
      </w:r>
      <w:r w:rsidRPr="002E4FC6">
        <w:rPr>
          <w:rFonts w:ascii="Times New Roman" w:eastAsia="Times New Roman" w:hAnsi="Times New Roman" w:cs="Times New Roman"/>
          <w:sz w:val="24"/>
          <w:szCs w:val="24"/>
        </w:rPr>
        <w:t xml:space="preserve">. The severity of this disease in the UK can be observed from the present confirmed cases that are 12,338,680 with 148,021 deaths (as of 3rd January 2022) </w:t>
      </w:r>
      <w:r w:rsidRPr="002E4FC6">
        <w:rPr>
          <w:rFonts w:ascii="Times New Roman" w:hAnsi="Times New Roman" w:cs="Times New Roman"/>
          <w:sz w:val="24"/>
          <w:szCs w:val="24"/>
          <w:highlight w:val="white"/>
        </w:rPr>
        <w:t>(WHO, 2022c)</w:t>
      </w:r>
      <w:r w:rsidRPr="002E4FC6">
        <w:rPr>
          <w:rFonts w:ascii="Times New Roman" w:eastAsia="Times New Roman" w:hAnsi="Times New Roman" w:cs="Times New Roman"/>
          <w:sz w:val="24"/>
          <w:szCs w:val="24"/>
        </w:rPr>
        <w:t>. Another country that was hugely impacted by the Covid-19 outbreak in India belongs to the continent of Asia with a population of 1.38 billion. The first confirmed case of Covid-19 was reported in Kerala, India on January 27, 2020, when the individual came from the Wuhan city of China (</w:t>
      </w:r>
      <w:r w:rsidRPr="002E4FC6">
        <w:rPr>
          <w:rFonts w:ascii="Times New Roman" w:hAnsi="Times New Roman" w:cs="Times New Roman"/>
          <w:color w:val="222222"/>
          <w:sz w:val="24"/>
          <w:szCs w:val="24"/>
          <w:highlight w:val="white"/>
        </w:rPr>
        <w:t xml:space="preserve">Andrews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2020)</w:t>
      </w:r>
      <w:r w:rsidRPr="002E4FC6">
        <w:rPr>
          <w:rFonts w:ascii="Times New Roman" w:eastAsia="Times New Roman" w:hAnsi="Times New Roman" w:cs="Times New Roman"/>
          <w:sz w:val="24"/>
          <w:szCs w:val="24"/>
        </w:rPr>
        <w:t xml:space="preserve">. At present, India has 34,808,886 confirmed cases of Covid-19 with 480,592 deaths (as of 3rd January 2022) </w:t>
      </w:r>
      <w:r w:rsidRPr="002E4FC6">
        <w:rPr>
          <w:rFonts w:ascii="Times New Roman" w:hAnsi="Times New Roman" w:cs="Times New Roman"/>
          <w:sz w:val="24"/>
          <w:szCs w:val="24"/>
          <w:highlight w:val="white"/>
        </w:rPr>
        <w:t>(WHO, 2022b)</w:t>
      </w:r>
      <w:r w:rsidRPr="002E4FC6">
        <w:rPr>
          <w:rFonts w:ascii="Times New Roman" w:eastAsia="Times New Roman" w:hAnsi="Times New Roman" w:cs="Times New Roman"/>
          <w:sz w:val="24"/>
          <w:szCs w:val="24"/>
        </w:rPr>
        <w:t xml:space="preserve">. The search strategies in order to effectively measure, monitor, and control the diseases are similar in nature with some differences in terms of the reported cases and vaccination drives. In this regard, this report is going to comparatively analyse the search strategies implemented within these countries, public health policies, associated theories, and the implications of the legislation and the policies on the healthcare professionals. The ethical considerations related to coronavirus will also be included in this report in addition to some justifiable and valid recommendations. </w:t>
      </w:r>
    </w:p>
    <w:p w:rsidR="00B87E75" w:rsidRPr="002E4FC6" w:rsidRDefault="008852A2" w:rsidP="002E4FC6">
      <w:pPr>
        <w:pStyle w:val="Heading1"/>
        <w:spacing w:line="360" w:lineRule="auto"/>
        <w:jc w:val="both"/>
        <w:rPr>
          <w:rFonts w:ascii="Times New Roman" w:hAnsi="Times New Roman" w:cs="Times New Roman"/>
          <w:sz w:val="24"/>
          <w:szCs w:val="24"/>
        </w:rPr>
      </w:pPr>
      <w:bookmarkStart w:id="1" w:name="_Toc92122019"/>
      <w:r w:rsidRPr="002E4FC6">
        <w:rPr>
          <w:rFonts w:ascii="Times New Roman" w:hAnsi="Times New Roman" w:cs="Times New Roman"/>
          <w:sz w:val="24"/>
          <w:szCs w:val="24"/>
        </w:rPr>
        <w:lastRenderedPageBreak/>
        <w:t>2</w:t>
      </w:r>
      <w:r w:rsidR="00B87E75" w:rsidRPr="002E4FC6">
        <w:rPr>
          <w:rFonts w:ascii="Times New Roman" w:hAnsi="Times New Roman" w:cs="Times New Roman"/>
          <w:sz w:val="24"/>
          <w:szCs w:val="24"/>
        </w:rPr>
        <w:t xml:space="preserve">. </w:t>
      </w:r>
      <w:r w:rsidRPr="002E4FC6">
        <w:rPr>
          <w:rFonts w:ascii="Times New Roman" w:hAnsi="Times New Roman" w:cs="Times New Roman"/>
          <w:sz w:val="24"/>
          <w:szCs w:val="24"/>
        </w:rPr>
        <w:t>Strategies</w:t>
      </w:r>
      <w:bookmarkEnd w:id="1"/>
    </w:p>
    <w:p w:rsidR="002E4FC6" w:rsidRPr="002E4FC6" w:rsidRDefault="002E4FC6" w:rsidP="002E4FC6">
      <w:pPr>
        <w:pStyle w:val="Normal1"/>
        <w:spacing w:before="240" w:after="240" w:line="360" w:lineRule="auto"/>
        <w:jc w:val="both"/>
        <w:rPr>
          <w:rFonts w:ascii="Times New Roman" w:eastAsia="Times New Roman" w:hAnsi="Times New Roman" w:cs="Times New Roman"/>
          <w:b/>
          <w:sz w:val="24"/>
          <w:szCs w:val="24"/>
        </w:rPr>
      </w:pPr>
      <w:r w:rsidRPr="002E4FC6">
        <w:rPr>
          <w:rFonts w:ascii="Times New Roman" w:eastAsia="Times New Roman" w:hAnsi="Times New Roman" w:cs="Times New Roman"/>
          <w:sz w:val="24"/>
          <w:szCs w:val="24"/>
        </w:rPr>
        <w:t xml:space="preserve">There are various search strategies that were implemented within the UK to measure, monitor, as well as control the transmission of this disease. In terms of measuring and testing this disease, the government of the UK, recommends a </w:t>
      </w:r>
      <w:r w:rsidRPr="002E4FC6">
        <w:rPr>
          <w:rFonts w:ascii="Times New Roman" w:eastAsia="Times New Roman" w:hAnsi="Times New Roman" w:cs="Times New Roman"/>
          <w:sz w:val="24"/>
          <w:szCs w:val="24"/>
          <w:highlight w:val="white"/>
        </w:rPr>
        <w:t xml:space="preserve">polymerase chain reaction (PCR) </w:t>
      </w:r>
      <w:r w:rsidRPr="002E4FC6">
        <w:rPr>
          <w:rFonts w:ascii="Times New Roman" w:eastAsia="Times New Roman" w:hAnsi="Times New Roman" w:cs="Times New Roman"/>
          <w:sz w:val="24"/>
          <w:szCs w:val="24"/>
        </w:rPr>
        <w:t xml:space="preserve">test for the individuals who show Covid-19 symptoms such as high temperature, continuous cough, and loss of sense of smell or taste </w:t>
      </w:r>
      <w:r w:rsidRPr="002E4FC6">
        <w:rPr>
          <w:rFonts w:ascii="Times New Roman" w:hAnsi="Times New Roman" w:cs="Times New Roman"/>
          <w:sz w:val="24"/>
          <w:szCs w:val="24"/>
          <w:highlight w:val="white"/>
        </w:rPr>
        <w:t>(GOV.UK, 2022b)</w:t>
      </w:r>
      <w:r w:rsidRPr="002E4FC6">
        <w:rPr>
          <w:rFonts w:ascii="Times New Roman" w:eastAsia="Times New Roman" w:hAnsi="Times New Roman" w:cs="Times New Roman"/>
          <w:sz w:val="24"/>
          <w:szCs w:val="24"/>
        </w:rPr>
        <w:t>. Even if the individuals do not have any symptoms they can also get the rapid lateral flow test that can also be sent to the home. Such Covid-19 tests can also be availed from the local council as well as from the NHS Test and Trace group (</w:t>
      </w:r>
      <w:r w:rsidRPr="002E4FC6">
        <w:rPr>
          <w:rFonts w:ascii="Times New Roman" w:hAnsi="Times New Roman" w:cs="Times New Roman"/>
          <w:color w:val="222222"/>
          <w:sz w:val="24"/>
          <w:szCs w:val="24"/>
          <w:highlight w:val="white"/>
        </w:rPr>
        <w:t xml:space="preserve">Smith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2021)</w:t>
      </w:r>
      <w:r w:rsidRPr="002E4FC6">
        <w:rPr>
          <w:rFonts w:ascii="Times New Roman" w:eastAsia="Times New Roman" w:hAnsi="Times New Roman" w:cs="Times New Roman"/>
          <w:sz w:val="24"/>
          <w:szCs w:val="24"/>
        </w:rPr>
        <w:t xml:space="preserve">.  In terms of monitoring the government of the UK is also keeping a close watch on the individuals in the UK to stop the transmission of Covid as well as its new variants. In this regard, the government has developed a multidisciplinary team to keep a close watch on the gathered data related to Covid-19. The government officials discuss the data with the scientists as well as the health advisors on an hourly basis for a regular and close review of the situation </w:t>
      </w:r>
      <w:r w:rsidRPr="002E4FC6">
        <w:rPr>
          <w:rFonts w:ascii="Times New Roman" w:hAnsi="Times New Roman" w:cs="Times New Roman"/>
          <w:sz w:val="24"/>
          <w:szCs w:val="24"/>
          <w:highlight w:val="white"/>
        </w:rPr>
        <w:t>(Reuters, 2021)</w:t>
      </w:r>
      <w:r w:rsidRPr="002E4FC6">
        <w:rPr>
          <w:rFonts w:ascii="Times New Roman" w:eastAsia="Times New Roman" w:hAnsi="Times New Roman" w:cs="Times New Roman"/>
          <w:sz w:val="24"/>
          <w:szCs w:val="24"/>
        </w:rPr>
        <w:t xml:space="preserve">. Another national monitoring tool in the UK is the </w:t>
      </w:r>
      <w:r w:rsidRPr="002E4FC6">
        <w:rPr>
          <w:rFonts w:ascii="Times New Roman" w:eastAsia="Times New Roman" w:hAnsi="Times New Roman" w:cs="Times New Roman"/>
          <w:b/>
          <w:i/>
          <w:sz w:val="24"/>
          <w:szCs w:val="24"/>
        </w:rPr>
        <w:t>Wider Impacts of COVID-19 on Health (WICH)</w:t>
      </w:r>
      <w:r w:rsidRPr="002E4FC6">
        <w:rPr>
          <w:rFonts w:ascii="Times New Roman" w:eastAsia="Times New Roman" w:hAnsi="Times New Roman" w:cs="Times New Roman"/>
          <w:sz w:val="24"/>
          <w:szCs w:val="24"/>
        </w:rPr>
        <w:t xml:space="preserve"> monitoring tool published in July 2020. Various metrics were included in this tool like access to care, behavioural risk factors, hospital activity, dementia, community delivered healthcare, and others to analyse the impact of Covid-19 on population health and wellbeing </w:t>
      </w:r>
      <w:r w:rsidRPr="002E4FC6">
        <w:rPr>
          <w:rFonts w:ascii="Times New Roman" w:hAnsi="Times New Roman" w:cs="Times New Roman"/>
          <w:sz w:val="24"/>
          <w:szCs w:val="24"/>
          <w:highlight w:val="white"/>
        </w:rPr>
        <w:t>(GOV.UK, 2021c)</w:t>
      </w:r>
      <w:r w:rsidRPr="002E4FC6">
        <w:rPr>
          <w:rFonts w:ascii="Times New Roman" w:eastAsia="Times New Roman" w:hAnsi="Times New Roman" w:cs="Times New Roman"/>
          <w:sz w:val="24"/>
          <w:szCs w:val="24"/>
        </w:rPr>
        <w:t xml:space="preserve">. In order to control the transmission and severity of this disease, the government of the UK has also suggested guidance outlined in the Covid-19: Infection Prevention and Control (IPC) </w:t>
      </w:r>
      <w:r w:rsidRPr="002E4FC6">
        <w:rPr>
          <w:rFonts w:ascii="Times New Roman" w:hAnsi="Times New Roman" w:cs="Times New Roman"/>
          <w:sz w:val="24"/>
          <w:szCs w:val="24"/>
          <w:highlight w:val="white"/>
        </w:rPr>
        <w:t>(GOV.UK, 2021b)</w:t>
      </w:r>
      <w:r w:rsidRPr="002E4FC6">
        <w:rPr>
          <w:rFonts w:ascii="Times New Roman" w:eastAsia="Times New Roman" w:hAnsi="Times New Roman" w:cs="Times New Roman"/>
          <w:sz w:val="24"/>
          <w:szCs w:val="24"/>
        </w:rPr>
        <w:t xml:space="preserve">. It was developed through a collective effort by the UK Health Security Agency, NHS England, Public Health Wales and the Public Health Agency of Northern Ireland. The IPC principles are also applicable across different settings of UK health and care. These measures are applicable till March 2022 with recommendations such as physical distancing of a minimum of 1 meter, continuous testing, screening, and triaging of SARS-CoV-2, regular risk assessment within the healthcare setting, use of </w:t>
      </w:r>
      <w:r w:rsidRPr="002E4FC6">
        <w:rPr>
          <w:rFonts w:ascii="Times New Roman" w:eastAsia="Times New Roman" w:hAnsi="Times New Roman" w:cs="Times New Roman"/>
          <w:color w:val="0B0C0C"/>
          <w:sz w:val="24"/>
          <w:szCs w:val="24"/>
          <w:highlight w:val="white"/>
        </w:rPr>
        <w:t xml:space="preserve">respiratory protective equipment (RPE), vaccination drive in a clinical setting, and others </w:t>
      </w:r>
      <w:r w:rsidRPr="002E4FC6">
        <w:rPr>
          <w:rFonts w:ascii="Times New Roman" w:hAnsi="Times New Roman" w:cs="Times New Roman"/>
          <w:color w:val="0B0C0C"/>
          <w:sz w:val="24"/>
          <w:szCs w:val="24"/>
          <w:highlight w:val="white"/>
        </w:rPr>
        <w:t>(GOV.UK, 2021b)</w:t>
      </w:r>
      <w:r w:rsidRPr="002E4FC6">
        <w:rPr>
          <w:rFonts w:ascii="Times New Roman" w:eastAsia="Times New Roman" w:hAnsi="Times New Roman" w:cs="Times New Roman"/>
          <w:color w:val="0B0C0C"/>
          <w:sz w:val="24"/>
          <w:szCs w:val="24"/>
          <w:highlight w:val="white"/>
        </w:rPr>
        <w:t xml:space="preserve">. </w:t>
      </w:r>
    </w:p>
    <w:p w:rsidR="00B87E75" w:rsidRPr="002E4FC6" w:rsidRDefault="002E4FC6" w:rsidP="002E4FC6">
      <w:pPr>
        <w:pStyle w:val="Normal1"/>
        <w:spacing w:before="240" w:after="240" w:line="360" w:lineRule="auto"/>
        <w:jc w:val="both"/>
        <w:rPr>
          <w:rFonts w:ascii="Times New Roman" w:eastAsia="Times New Roman" w:hAnsi="Times New Roman" w:cs="Times New Roman"/>
          <w:b/>
          <w:sz w:val="24"/>
          <w:szCs w:val="24"/>
        </w:rPr>
      </w:pPr>
      <w:r w:rsidRPr="002E4FC6">
        <w:rPr>
          <w:rFonts w:ascii="Times New Roman" w:eastAsia="Times New Roman" w:hAnsi="Times New Roman" w:cs="Times New Roman"/>
          <w:sz w:val="24"/>
          <w:szCs w:val="24"/>
        </w:rPr>
        <w:t>In terms of the measurement of the Covid-19 cases in India, the Indian Council of Medical Research, New Delhi undertakes the primary responsibility of testing, measuring, and monitoring all the Covid-19 cases in India. The testing strategy implemented by ICMR is categorised into three types that are RT PCR/</w:t>
      </w:r>
      <w:proofErr w:type="spellStart"/>
      <w:r w:rsidRPr="002E4FC6">
        <w:rPr>
          <w:rFonts w:ascii="Times New Roman" w:eastAsia="Times New Roman" w:hAnsi="Times New Roman" w:cs="Times New Roman"/>
          <w:sz w:val="24"/>
          <w:szCs w:val="24"/>
        </w:rPr>
        <w:t>TruNat</w:t>
      </w:r>
      <w:proofErr w:type="spellEnd"/>
      <w:r w:rsidRPr="002E4FC6">
        <w:rPr>
          <w:rFonts w:ascii="Times New Roman" w:eastAsia="Times New Roman" w:hAnsi="Times New Roman" w:cs="Times New Roman"/>
          <w:sz w:val="24"/>
          <w:szCs w:val="24"/>
        </w:rPr>
        <w:t xml:space="preserve">/CBNAAT in terms of the molecular-based tests. In addition to this, there is also a Rapid Antigen Detection test and Rapid Antibody Blood </w:t>
      </w:r>
      <w:r w:rsidRPr="002E4FC6">
        <w:rPr>
          <w:rFonts w:ascii="Times New Roman" w:eastAsia="Times New Roman" w:hAnsi="Times New Roman" w:cs="Times New Roman"/>
          <w:sz w:val="24"/>
          <w:szCs w:val="24"/>
        </w:rPr>
        <w:lastRenderedPageBreak/>
        <w:t>test (</w:t>
      </w:r>
      <w:proofErr w:type="spellStart"/>
      <w:r w:rsidRPr="002E4FC6">
        <w:rPr>
          <w:rFonts w:ascii="Times New Roman" w:eastAsia="Times New Roman" w:hAnsi="Times New Roman" w:cs="Times New Roman"/>
          <w:sz w:val="24"/>
          <w:szCs w:val="24"/>
        </w:rPr>
        <w:t>Bilolikar</w:t>
      </w:r>
      <w:proofErr w:type="spellEnd"/>
      <w:r w:rsidRPr="002E4FC6">
        <w:rPr>
          <w:rFonts w:ascii="Times New Roman" w:eastAsia="Times New Roman" w:hAnsi="Times New Roman" w:cs="Times New Roman"/>
          <w:sz w:val="24"/>
          <w:szCs w:val="24"/>
        </w:rPr>
        <w:t xml:space="preserve"> </w:t>
      </w:r>
      <w:r w:rsidRPr="002E4FC6">
        <w:rPr>
          <w:rFonts w:ascii="Times New Roman" w:eastAsia="Times New Roman" w:hAnsi="Times New Roman" w:cs="Times New Roman"/>
          <w:i/>
          <w:sz w:val="24"/>
          <w:szCs w:val="24"/>
        </w:rPr>
        <w:t>et al</w:t>
      </w:r>
      <w:r w:rsidRPr="002E4FC6">
        <w:rPr>
          <w:rFonts w:ascii="Times New Roman" w:eastAsia="Times New Roman" w:hAnsi="Times New Roman" w:cs="Times New Roman"/>
          <w:sz w:val="24"/>
          <w:szCs w:val="24"/>
        </w:rPr>
        <w:t xml:space="preserve">., 2020). In the hospital setting all the aforementioned tests are available for vulnerable individuals like patients suffering from Severe Acute Respiratory Infection (SARI) as well as other asymptomatic high-risk patients. Further tests can also be availed by the individuals’ on-demand basis. In terms of measuring the outcome of the result, the tracking and contact tracing systems will be ensured by the testing laboratories to inform the public health authorities. The public health authorities further monitor the cases with the help of local healthcare officials </w:t>
      </w:r>
      <w:r w:rsidRPr="002E4FC6">
        <w:rPr>
          <w:rFonts w:ascii="Times New Roman" w:hAnsi="Times New Roman" w:cs="Times New Roman"/>
          <w:sz w:val="24"/>
          <w:szCs w:val="24"/>
          <w:highlight w:val="white"/>
        </w:rPr>
        <w:t>(ICMR, 2020)</w:t>
      </w:r>
      <w:r w:rsidRPr="002E4FC6">
        <w:rPr>
          <w:rFonts w:ascii="Times New Roman" w:eastAsia="Times New Roman" w:hAnsi="Times New Roman" w:cs="Times New Roman"/>
          <w:sz w:val="24"/>
          <w:szCs w:val="24"/>
        </w:rPr>
        <w:t xml:space="preserve">. The control and mitigation strategies by the government of India includes similar approaches by the UK government in terms of social distancing protocols, closure of non-essential organisation, regular usage of PPE kits across the healthcare setting, continuous testing, vaccination drive and others. In line with the economic condition of India where the majority of its population cannot afford costly vaccines, affordable low-cost vaccines were distributed to curb the transmission. The three authorised vaccines available in India are </w:t>
      </w:r>
      <w:proofErr w:type="spellStart"/>
      <w:r w:rsidRPr="002E4FC6">
        <w:rPr>
          <w:rFonts w:ascii="Times New Roman" w:eastAsia="Times New Roman" w:hAnsi="Times New Roman" w:cs="Times New Roman"/>
          <w:sz w:val="24"/>
          <w:szCs w:val="24"/>
        </w:rPr>
        <w:t>Covishield</w:t>
      </w:r>
      <w:proofErr w:type="spellEnd"/>
      <w:r w:rsidRPr="002E4FC6">
        <w:rPr>
          <w:rFonts w:ascii="Times New Roman" w:eastAsia="Times New Roman" w:hAnsi="Times New Roman" w:cs="Times New Roman"/>
          <w:sz w:val="24"/>
          <w:szCs w:val="24"/>
        </w:rPr>
        <w:t xml:space="preserve">, </w:t>
      </w:r>
      <w:proofErr w:type="spellStart"/>
      <w:r w:rsidRPr="002E4FC6">
        <w:rPr>
          <w:rFonts w:ascii="Times New Roman" w:eastAsia="Times New Roman" w:hAnsi="Times New Roman" w:cs="Times New Roman"/>
          <w:sz w:val="24"/>
          <w:szCs w:val="24"/>
        </w:rPr>
        <w:t>Covaxin</w:t>
      </w:r>
      <w:proofErr w:type="spellEnd"/>
      <w:r w:rsidRPr="002E4FC6">
        <w:rPr>
          <w:rFonts w:ascii="Times New Roman" w:eastAsia="Times New Roman" w:hAnsi="Times New Roman" w:cs="Times New Roman"/>
          <w:sz w:val="24"/>
          <w:szCs w:val="24"/>
        </w:rPr>
        <w:t xml:space="preserve"> by Bharat Biotech, and Sputnik-V, among which </w:t>
      </w:r>
      <w:proofErr w:type="spellStart"/>
      <w:r w:rsidRPr="002E4FC6">
        <w:rPr>
          <w:rFonts w:ascii="Times New Roman" w:eastAsia="Times New Roman" w:hAnsi="Times New Roman" w:cs="Times New Roman"/>
          <w:sz w:val="24"/>
          <w:szCs w:val="24"/>
        </w:rPr>
        <w:t>Covishield</w:t>
      </w:r>
      <w:proofErr w:type="spellEnd"/>
      <w:r w:rsidRPr="002E4FC6">
        <w:rPr>
          <w:rFonts w:ascii="Times New Roman" w:eastAsia="Times New Roman" w:hAnsi="Times New Roman" w:cs="Times New Roman"/>
          <w:sz w:val="24"/>
          <w:szCs w:val="24"/>
        </w:rPr>
        <w:t xml:space="preserve"> amounted to 90% of all these doses. However, the government's objective to complete the vaccination for all before the end of 2021 fell short as only 62% of the eligible adults were fully vaccinated and 90% among them received a single dose of vaccine </w:t>
      </w:r>
      <w:r w:rsidRPr="002E4FC6">
        <w:rPr>
          <w:rFonts w:ascii="Times New Roman" w:hAnsi="Times New Roman" w:cs="Times New Roman"/>
          <w:sz w:val="24"/>
          <w:szCs w:val="24"/>
          <w:highlight w:val="white"/>
        </w:rPr>
        <w:t>(BBC, 2021)</w:t>
      </w:r>
      <w:r w:rsidRPr="002E4FC6">
        <w:rPr>
          <w:rFonts w:ascii="Times New Roman" w:eastAsia="Times New Roman" w:hAnsi="Times New Roman" w:cs="Times New Roman"/>
          <w:sz w:val="24"/>
          <w:szCs w:val="24"/>
        </w:rPr>
        <w:t xml:space="preserve">. On the other hand in the UK, 82.4% of the population has received the second dose and 59% of them have received the third or booster dose </w:t>
      </w:r>
      <w:r w:rsidRPr="002E4FC6">
        <w:rPr>
          <w:rFonts w:ascii="Times New Roman" w:hAnsi="Times New Roman" w:cs="Times New Roman"/>
          <w:sz w:val="24"/>
          <w:szCs w:val="24"/>
          <w:highlight w:val="white"/>
        </w:rPr>
        <w:t>(GOV.UK, 2022a)</w:t>
      </w:r>
      <w:r w:rsidRPr="002E4FC6">
        <w:rPr>
          <w:rFonts w:ascii="Times New Roman" w:eastAsia="Times New Roman" w:hAnsi="Times New Roman" w:cs="Times New Roman"/>
          <w:sz w:val="24"/>
          <w:szCs w:val="24"/>
        </w:rPr>
        <w:t xml:space="preserve">. Hence, the vaccination drive was more effective in the UK in comparison to India. </w:t>
      </w:r>
    </w:p>
    <w:p w:rsidR="00B87E75" w:rsidRPr="002E4FC6" w:rsidRDefault="008852A2" w:rsidP="002E4FC6">
      <w:pPr>
        <w:pStyle w:val="Heading1"/>
        <w:spacing w:line="360" w:lineRule="auto"/>
        <w:jc w:val="both"/>
        <w:rPr>
          <w:rFonts w:ascii="Times New Roman" w:hAnsi="Times New Roman" w:cs="Times New Roman"/>
          <w:sz w:val="24"/>
          <w:szCs w:val="24"/>
        </w:rPr>
      </w:pPr>
      <w:bookmarkStart w:id="2" w:name="_Toc92122020"/>
      <w:r w:rsidRPr="002E4FC6">
        <w:rPr>
          <w:rFonts w:ascii="Times New Roman" w:hAnsi="Times New Roman" w:cs="Times New Roman"/>
          <w:sz w:val="24"/>
          <w:szCs w:val="24"/>
        </w:rPr>
        <w:t>3</w:t>
      </w:r>
      <w:r w:rsidR="00B87E75" w:rsidRPr="002E4FC6">
        <w:rPr>
          <w:rFonts w:ascii="Times New Roman" w:hAnsi="Times New Roman" w:cs="Times New Roman"/>
          <w:sz w:val="24"/>
          <w:szCs w:val="24"/>
        </w:rPr>
        <w:t xml:space="preserve">. </w:t>
      </w:r>
      <w:r w:rsidRPr="002E4FC6">
        <w:rPr>
          <w:rFonts w:ascii="Times New Roman" w:hAnsi="Times New Roman" w:cs="Times New Roman"/>
          <w:sz w:val="24"/>
          <w:szCs w:val="24"/>
        </w:rPr>
        <w:t>Public health policy</w:t>
      </w:r>
      <w:bookmarkEnd w:id="2"/>
    </w:p>
    <w:p w:rsidR="002E4FC6" w:rsidRPr="002E4FC6" w:rsidRDefault="002E4FC6" w:rsidP="002E4FC6">
      <w:pPr>
        <w:pStyle w:val="Normal1"/>
        <w:spacing w:before="240" w:after="240" w:line="360" w:lineRule="auto"/>
        <w:jc w:val="both"/>
        <w:rPr>
          <w:rFonts w:ascii="Times New Roman" w:eastAsia="Times New Roman" w:hAnsi="Times New Roman" w:cs="Times New Roman"/>
          <w:b/>
          <w:sz w:val="24"/>
          <w:szCs w:val="24"/>
        </w:rPr>
      </w:pPr>
      <w:r w:rsidRPr="002E4FC6">
        <w:rPr>
          <w:rFonts w:ascii="Times New Roman" w:eastAsia="Times New Roman" w:hAnsi="Times New Roman" w:cs="Times New Roman"/>
          <w:sz w:val="24"/>
          <w:szCs w:val="24"/>
        </w:rPr>
        <w:t>The government of the UK adopted and implemented public health policies in order to control and reduce the transmission and severity of the disease. It was carried forward in three phases that are containment through contact tracing, hand</w:t>
      </w:r>
      <w:r>
        <w:rPr>
          <w:rFonts w:ascii="Times New Roman" w:eastAsia="Times New Roman" w:hAnsi="Times New Roman" w:cs="Times New Roman"/>
          <w:sz w:val="24"/>
          <w:szCs w:val="24"/>
        </w:rPr>
        <w:t xml:space="preserve"> </w:t>
      </w:r>
      <w:r w:rsidRPr="002E4FC6">
        <w:rPr>
          <w:rFonts w:ascii="Times New Roman" w:eastAsia="Times New Roman" w:hAnsi="Times New Roman" w:cs="Times New Roman"/>
          <w:sz w:val="24"/>
          <w:szCs w:val="24"/>
        </w:rPr>
        <w:t>washing practices, and others; delay through investment in research and development to develop tests, treatments, and vaccines; and mitigation through the culture of herd immunity. The government of the UK also moved to the policy of suppression of the transmission by allowing the schools to remain open with certain advice on social distancing, encouraging work from home, and allowing individual/household isolation for 7-14 days for people with symptoms. However, later the legislatures became more stringent as they undertook measures to shut down schools, restrict social gatherings for more than two people, and others (</w:t>
      </w:r>
      <w:r w:rsidRPr="002E4FC6">
        <w:rPr>
          <w:rFonts w:ascii="Times New Roman" w:hAnsi="Times New Roman" w:cs="Times New Roman"/>
          <w:color w:val="222222"/>
          <w:sz w:val="24"/>
          <w:szCs w:val="24"/>
          <w:highlight w:val="white"/>
        </w:rPr>
        <w:t>Sian and Smyth, 2021)</w:t>
      </w:r>
      <w:r w:rsidRPr="002E4FC6">
        <w:rPr>
          <w:rFonts w:ascii="Times New Roman" w:eastAsia="Times New Roman" w:hAnsi="Times New Roman" w:cs="Times New Roman"/>
          <w:sz w:val="24"/>
          <w:szCs w:val="24"/>
        </w:rPr>
        <w:t xml:space="preserve">. Emergency legal power was reinforced in the healthcare, food supply, travel, and education sectors through the </w:t>
      </w:r>
      <w:r w:rsidRPr="002E4FC6">
        <w:rPr>
          <w:rFonts w:ascii="Times New Roman" w:eastAsia="Times New Roman" w:hAnsi="Times New Roman" w:cs="Times New Roman"/>
          <w:b/>
          <w:i/>
          <w:sz w:val="24"/>
          <w:szCs w:val="24"/>
        </w:rPr>
        <w:t xml:space="preserve">Coronavirus Act 2020 </w:t>
      </w:r>
      <w:r w:rsidRPr="002E4FC6">
        <w:rPr>
          <w:rFonts w:ascii="Times New Roman" w:eastAsia="Times New Roman" w:hAnsi="Times New Roman" w:cs="Times New Roman"/>
          <w:sz w:val="24"/>
          <w:szCs w:val="24"/>
        </w:rPr>
        <w:t>(</w:t>
      </w:r>
      <w:r w:rsidRPr="002E4FC6">
        <w:rPr>
          <w:rFonts w:ascii="Times New Roman" w:hAnsi="Times New Roman" w:cs="Times New Roman"/>
          <w:color w:val="222222"/>
          <w:sz w:val="24"/>
          <w:szCs w:val="24"/>
          <w:highlight w:val="white"/>
        </w:rPr>
        <w:t>Pugh, 2020)</w:t>
      </w:r>
      <w:r w:rsidRPr="002E4FC6">
        <w:rPr>
          <w:rFonts w:ascii="Times New Roman" w:eastAsia="Times New Roman" w:hAnsi="Times New Roman" w:cs="Times New Roman"/>
          <w:sz w:val="24"/>
          <w:szCs w:val="24"/>
        </w:rPr>
        <w:t xml:space="preserve">. However, as per various ministers in the UK, the public health policies were </w:t>
      </w:r>
      <w:r w:rsidRPr="002E4FC6">
        <w:rPr>
          <w:rFonts w:ascii="Times New Roman" w:eastAsia="Times New Roman" w:hAnsi="Times New Roman" w:cs="Times New Roman"/>
          <w:sz w:val="24"/>
          <w:szCs w:val="24"/>
        </w:rPr>
        <w:lastRenderedPageBreak/>
        <w:t xml:space="preserve">categorised as "fatalistic" and "significantly worse" which exposed the deficiencies in government machinery and induced an unimaginable setback </w:t>
      </w:r>
      <w:r w:rsidRPr="002E4FC6">
        <w:rPr>
          <w:rFonts w:ascii="Times New Roman" w:hAnsi="Times New Roman" w:cs="Times New Roman"/>
          <w:sz w:val="24"/>
          <w:szCs w:val="24"/>
          <w:highlight w:val="white"/>
        </w:rPr>
        <w:t>(Sample and Walker, 2021)</w:t>
      </w:r>
      <w:r w:rsidRPr="002E4FC6">
        <w:rPr>
          <w:rFonts w:ascii="Times New Roman" w:eastAsia="Times New Roman" w:hAnsi="Times New Roman" w:cs="Times New Roman"/>
          <w:sz w:val="24"/>
          <w:szCs w:val="24"/>
        </w:rPr>
        <w:t>. It is also evidentiary support where the newly developed Nightingale Hospital remained empty, "Test and Track App" was not fully deployed, and there was also a mid-use of public spending (</w:t>
      </w:r>
      <w:r w:rsidRPr="002E4FC6">
        <w:rPr>
          <w:rFonts w:ascii="Times New Roman" w:hAnsi="Times New Roman" w:cs="Times New Roman"/>
          <w:color w:val="222222"/>
          <w:sz w:val="24"/>
          <w:szCs w:val="24"/>
          <w:highlight w:val="white"/>
        </w:rPr>
        <w:t>Sian and Smyth, 2021)</w:t>
      </w:r>
      <w:r w:rsidRPr="002E4FC6">
        <w:rPr>
          <w:rFonts w:ascii="Times New Roman" w:eastAsia="Times New Roman" w:hAnsi="Times New Roman" w:cs="Times New Roman"/>
          <w:sz w:val="24"/>
          <w:szCs w:val="24"/>
        </w:rPr>
        <w:t xml:space="preserve">. </w:t>
      </w:r>
    </w:p>
    <w:p w:rsidR="002E4FC6" w:rsidRPr="002E4FC6" w:rsidRDefault="002E4FC6" w:rsidP="002E4FC6">
      <w:pPr>
        <w:pStyle w:val="Normal1"/>
        <w:spacing w:before="240" w:after="240" w:line="360" w:lineRule="auto"/>
        <w:jc w:val="both"/>
        <w:rPr>
          <w:rFonts w:ascii="Times New Roman" w:eastAsia="Times New Roman" w:hAnsi="Times New Roman" w:cs="Times New Roman"/>
          <w:sz w:val="24"/>
          <w:szCs w:val="24"/>
        </w:rPr>
      </w:pPr>
      <w:r w:rsidRPr="002E4FC6">
        <w:rPr>
          <w:rFonts w:ascii="Times New Roman" w:eastAsia="Times New Roman" w:hAnsi="Times New Roman" w:cs="Times New Roman"/>
          <w:sz w:val="24"/>
          <w:szCs w:val="24"/>
        </w:rPr>
        <w:t xml:space="preserve">On the other hand, in India, the core policy that concerns the Covid-19 scenario is the National Health Policy (NHP) 2017 is in line with WHO's "Health in All" approach. This policy was also supported by the flagship scheme of the Government of India (GOI) that is the </w:t>
      </w:r>
      <w:proofErr w:type="spellStart"/>
      <w:r w:rsidRPr="002E4FC6">
        <w:rPr>
          <w:rFonts w:ascii="Times New Roman" w:eastAsia="Times New Roman" w:hAnsi="Times New Roman" w:cs="Times New Roman"/>
          <w:sz w:val="24"/>
          <w:szCs w:val="24"/>
        </w:rPr>
        <w:t>Ayushman</w:t>
      </w:r>
      <w:proofErr w:type="spellEnd"/>
      <w:r w:rsidRPr="002E4FC6">
        <w:rPr>
          <w:rFonts w:ascii="Times New Roman" w:eastAsia="Times New Roman" w:hAnsi="Times New Roman" w:cs="Times New Roman"/>
          <w:sz w:val="24"/>
          <w:szCs w:val="24"/>
        </w:rPr>
        <w:t xml:space="preserve"> Bharat scheme. The different states in India implemented different regional models like Agra Model in Uttar Pradesh and the </w:t>
      </w:r>
      <w:proofErr w:type="spellStart"/>
      <w:r w:rsidRPr="002E4FC6">
        <w:rPr>
          <w:rFonts w:ascii="Times New Roman" w:eastAsia="Times New Roman" w:hAnsi="Times New Roman" w:cs="Times New Roman"/>
          <w:sz w:val="24"/>
          <w:szCs w:val="24"/>
        </w:rPr>
        <w:t>Pathanamthitta</w:t>
      </w:r>
      <w:proofErr w:type="spellEnd"/>
      <w:r w:rsidRPr="002E4FC6">
        <w:rPr>
          <w:rFonts w:ascii="Times New Roman" w:eastAsia="Times New Roman" w:hAnsi="Times New Roman" w:cs="Times New Roman"/>
          <w:sz w:val="24"/>
          <w:szCs w:val="24"/>
        </w:rPr>
        <w:t xml:space="preserve"> model in Kerala in order to contain the rate of transmission and infection. There were also additional curfews, house-to-house surveys, screening, monitoring, tracing of positive cases, delivery of essential services which were further provided through such models (</w:t>
      </w:r>
      <w:proofErr w:type="spellStart"/>
      <w:r w:rsidRPr="002E4FC6">
        <w:rPr>
          <w:rFonts w:ascii="Times New Roman" w:hAnsi="Times New Roman" w:cs="Times New Roman"/>
          <w:color w:val="222222"/>
          <w:sz w:val="24"/>
          <w:szCs w:val="24"/>
          <w:highlight w:val="white"/>
        </w:rPr>
        <w:t>Gauttam</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2021)</w:t>
      </w:r>
      <w:r w:rsidRPr="002E4FC6">
        <w:rPr>
          <w:rFonts w:ascii="Times New Roman" w:eastAsia="Times New Roman" w:hAnsi="Times New Roman" w:cs="Times New Roman"/>
          <w:sz w:val="24"/>
          <w:szCs w:val="24"/>
        </w:rPr>
        <w:t xml:space="preserve">. However, the public health policies in India, in the long run, were inadequate to effectively mitigate and reduce the transmission and severity of the pandemic. There was evidence of low health budgets, shortage of medical professionals, inadequate healthcare coverage, lack of trust in private hospitals, lack of PPE kits, ventilators, and others. </w:t>
      </w:r>
    </w:p>
    <w:p w:rsidR="008852A2" w:rsidRPr="002E4FC6" w:rsidRDefault="008852A2" w:rsidP="002E4FC6">
      <w:pPr>
        <w:pStyle w:val="Heading1"/>
        <w:spacing w:line="360" w:lineRule="auto"/>
        <w:jc w:val="both"/>
        <w:rPr>
          <w:rFonts w:ascii="Times New Roman" w:hAnsi="Times New Roman" w:cs="Times New Roman"/>
          <w:sz w:val="24"/>
          <w:szCs w:val="24"/>
        </w:rPr>
      </w:pPr>
      <w:bookmarkStart w:id="3" w:name="_Toc92122021"/>
      <w:r w:rsidRPr="002E4FC6">
        <w:rPr>
          <w:rFonts w:ascii="Times New Roman" w:hAnsi="Times New Roman" w:cs="Times New Roman"/>
          <w:sz w:val="24"/>
          <w:szCs w:val="24"/>
        </w:rPr>
        <w:t>4</w:t>
      </w:r>
      <w:r w:rsidR="00B87E75" w:rsidRPr="002E4FC6">
        <w:rPr>
          <w:rFonts w:ascii="Times New Roman" w:hAnsi="Times New Roman" w:cs="Times New Roman"/>
          <w:sz w:val="24"/>
          <w:szCs w:val="24"/>
        </w:rPr>
        <w:t xml:space="preserve">. </w:t>
      </w:r>
      <w:r w:rsidRPr="002E4FC6">
        <w:rPr>
          <w:rFonts w:ascii="Times New Roman" w:hAnsi="Times New Roman" w:cs="Times New Roman"/>
          <w:sz w:val="24"/>
          <w:szCs w:val="24"/>
        </w:rPr>
        <w:t>Theories</w:t>
      </w:r>
      <w:bookmarkEnd w:id="3"/>
    </w:p>
    <w:p w:rsidR="008852A2" w:rsidRPr="002E4FC6" w:rsidRDefault="002E4FC6" w:rsidP="002E4FC6">
      <w:pPr>
        <w:pStyle w:val="Normal1"/>
        <w:spacing w:before="240" w:after="240" w:line="360" w:lineRule="auto"/>
        <w:jc w:val="both"/>
        <w:rPr>
          <w:rFonts w:ascii="Times New Roman" w:eastAsia="Times New Roman" w:hAnsi="Times New Roman" w:cs="Times New Roman"/>
          <w:sz w:val="24"/>
          <w:szCs w:val="24"/>
        </w:rPr>
      </w:pPr>
      <w:r w:rsidRPr="002E4FC6">
        <w:rPr>
          <w:rFonts w:ascii="Times New Roman" w:eastAsia="Times New Roman" w:hAnsi="Times New Roman" w:cs="Times New Roman"/>
          <w:sz w:val="24"/>
          <w:szCs w:val="24"/>
        </w:rPr>
        <w:t xml:space="preserve">There are various theories and models that are associated with health behaviour change. The </w:t>
      </w:r>
      <w:r w:rsidRPr="002E4FC6">
        <w:rPr>
          <w:rFonts w:ascii="Times New Roman" w:eastAsia="Times New Roman" w:hAnsi="Times New Roman" w:cs="Times New Roman"/>
          <w:b/>
          <w:i/>
          <w:sz w:val="24"/>
          <w:szCs w:val="24"/>
        </w:rPr>
        <w:t>Health Belief System model</w:t>
      </w:r>
      <w:r w:rsidRPr="002E4FC6">
        <w:rPr>
          <w:rFonts w:ascii="Times New Roman" w:eastAsia="Times New Roman" w:hAnsi="Times New Roman" w:cs="Times New Roman"/>
          <w:sz w:val="24"/>
          <w:szCs w:val="24"/>
        </w:rPr>
        <w:t xml:space="preserve"> was designed to analyse the failure of people to adopt the prevention strategies and screening tests that hinders the early detection of the disease. As per this theory, individuals tend to exhibit health-related behaviours because of their ability to avoid illness or due to their perception that the specific health action will effectively prevent the disease. For example, the UK-based study by </w:t>
      </w:r>
      <w:r w:rsidRPr="002E4FC6">
        <w:rPr>
          <w:rFonts w:ascii="Times New Roman" w:eastAsia="Times New Roman" w:hAnsi="Times New Roman" w:cs="Times New Roman"/>
          <w:sz w:val="24"/>
          <w:szCs w:val="24"/>
          <w:highlight w:val="white"/>
        </w:rPr>
        <w:t xml:space="preserve">Bacon and </w:t>
      </w:r>
      <w:proofErr w:type="spellStart"/>
      <w:r w:rsidRPr="002E4FC6">
        <w:rPr>
          <w:rFonts w:ascii="Times New Roman" w:eastAsia="Times New Roman" w:hAnsi="Times New Roman" w:cs="Times New Roman"/>
          <w:sz w:val="24"/>
          <w:szCs w:val="24"/>
          <w:highlight w:val="white"/>
        </w:rPr>
        <w:t>Corr</w:t>
      </w:r>
      <w:proofErr w:type="spellEnd"/>
      <w:r w:rsidRPr="002E4FC6">
        <w:rPr>
          <w:rFonts w:ascii="Times New Roman" w:eastAsia="Times New Roman" w:hAnsi="Times New Roman" w:cs="Times New Roman"/>
          <w:sz w:val="24"/>
          <w:szCs w:val="24"/>
          <w:highlight w:val="white"/>
        </w:rPr>
        <w:t>, (2020) have found that the older individuals exhibited more negative illness attitudes but also showed high reward reactivity. Safety concerns were also highest among people with negative illness attitudes and others also experienced negative psychological conflict between the urge to stay safe and to maintain a normally pleasurable life.</w:t>
      </w:r>
      <w:r w:rsidRPr="002E4FC6">
        <w:rPr>
          <w:rFonts w:ascii="Times New Roman" w:eastAsia="Times New Roman" w:hAnsi="Times New Roman" w:cs="Times New Roman"/>
          <w:sz w:val="24"/>
          <w:szCs w:val="24"/>
        </w:rPr>
        <w:t xml:space="preserve"> The </w:t>
      </w:r>
      <w:r w:rsidRPr="002E4FC6">
        <w:rPr>
          <w:rFonts w:ascii="Times New Roman" w:eastAsia="Times New Roman" w:hAnsi="Times New Roman" w:cs="Times New Roman"/>
          <w:b/>
          <w:i/>
          <w:sz w:val="24"/>
          <w:szCs w:val="24"/>
        </w:rPr>
        <w:t>Theory of Planned Behaviour</w:t>
      </w:r>
      <w:r w:rsidRPr="002E4FC6">
        <w:rPr>
          <w:rFonts w:ascii="Times New Roman" w:eastAsia="Times New Roman" w:hAnsi="Times New Roman" w:cs="Times New Roman"/>
          <w:sz w:val="24"/>
          <w:szCs w:val="24"/>
        </w:rPr>
        <w:t xml:space="preserve"> also suggests the individual's ability to engage in behaviour at a specific time and place. As per the study by the authors </w:t>
      </w:r>
      <w:proofErr w:type="spellStart"/>
      <w:r w:rsidRPr="002E4FC6">
        <w:rPr>
          <w:rFonts w:ascii="Times New Roman" w:eastAsia="Times New Roman" w:hAnsi="Times New Roman" w:cs="Times New Roman"/>
          <w:sz w:val="24"/>
          <w:szCs w:val="24"/>
          <w:highlight w:val="white"/>
        </w:rPr>
        <w:t>Naughton</w:t>
      </w:r>
      <w:proofErr w:type="spellEnd"/>
      <w:r w:rsidRPr="002E4FC6">
        <w:rPr>
          <w:rFonts w:ascii="Times New Roman" w:eastAsia="Times New Roman" w:hAnsi="Times New Roman" w:cs="Times New Roman"/>
          <w:sz w:val="24"/>
          <w:szCs w:val="24"/>
          <w:highlight w:val="white"/>
        </w:rPr>
        <w:t xml:space="preserve"> </w:t>
      </w:r>
      <w:r w:rsidRPr="002E4FC6">
        <w:rPr>
          <w:rFonts w:ascii="Times New Roman" w:eastAsia="Times New Roman" w:hAnsi="Times New Roman" w:cs="Times New Roman"/>
          <w:i/>
          <w:sz w:val="24"/>
          <w:szCs w:val="24"/>
          <w:highlight w:val="white"/>
        </w:rPr>
        <w:t>et al</w:t>
      </w:r>
      <w:r w:rsidRPr="002E4FC6">
        <w:rPr>
          <w:rFonts w:ascii="Times New Roman" w:eastAsia="Times New Roman" w:hAnsi="Times New Roman" w:cs="Times New Roman"/>
          <w:sz w:val="24"/>
          <w:szCs w:val="24"/>
          <w:highlight w:val="white"/>
        </w:rPr>
        <w:t>., (2021)</w:t>
      </w:r>
      <w:r w:rsidRPr="002E4FC6">
        <w:rPr>
          <w:rFonts w:ascii="Times New Roman" w:eastAsia="Times New Roman" w:hAnsi="Times New Roman" w:cs="Times New Roman"/>
          <w:sz w:val="24"/>
          <w:szCs w:val="24"/>
        </w:rPr>
        <w:t xml:space="preserve">, the health behaviour change observed among the participants was that their cardiovascular activities have decreased, alcohol consumption has increased, and the worsening health behaviours were also found to have been associated with young people, </w:t>
      </w:r>
      <w:r w:rsidRPr="002E4FC6">
        <w:rPr>
          <w:rFonts w:ascii="Times New Roman" w:eastAsia="Times New Roman" w:hAnsi="Times New Roman" w:cs="Times New Roman"/>
          <w:sz w:val="24"/>
          <w:szCs w:val="24"/>
        </w:rPr>
        <w:lastRenderedPageBreak/>
        <w:t xml:space="preserve">women, and people with high BMI. The study by the authors </w:t>
      </w:r>
      <w:r w:rsidRPr="002E4FC6">
        <w:rPr>
          <w:rFonts w:ascii="Times New Roman" w:eastAsia="Times New Roman" w:hAnsi="Times New Roman" w:cs="Times New Roman"/>
          <w:sz w:val="24"/>
          <w:szCs w:val="24"/>
          <w:highlight w:val="white"/>
        </w:rPr>
        <w:t xml:space="preserve">Chopra </w:t>
      </w:r>
      <w:r w:rsidRPr="002E4FC6">
        <w:rPr>
          <w:rFonts w:ascii="Times New Roman" w:eastAsia="Times New Roman" w:hAnsi="Times New Roman" w:cs="Times New Roman"/>
          <w:i/>
          <w:sz w:val="24"/>
          <w:szCs w:val="24"/>
          <w:highlight w:val="white"/>
        </w:rPr>
        <w:t>et al</w:t>
      </w:r>
      <w:r w:rsidRPr="002E4FC6">
        <w:rPr>
          <w:rFonts w:ascii="Times New Roman" w:eastAsia="Times New Roman" w:hAnsi="Times New Roman" w:cs="Times New Roman"/>
          <w:sz w:val="24"/>
          <w:szCs w:val="24"/>
          <w:highlight w:val="white"/>
        </w:rPr>
        <w:t xml:space="preserve">., (2020) based on the participants of India has also found similar evidence where there is the prevalence of reduction in physical activities. However, here healthy meal consumption rates and restrictions of unhealthy food items were also observed. In terms of population behaviour related to vaccination, 50% of respondents in the study by </w:t>
      </w:r>
      <w:proofErr w:type="spellStart"/>
      <w:r w:rsidRPr="002E4FC6">
        <w:rPr>
          <w:rFonts w:ascii="Times New Roman" w:eastAsia="Times New Roman" w:hAnsi="Times New Roman" w:cs="Times New Roman"/>
          <w:sz w:val="24"/>
          <w:szCs w:val="24"/>
          <w:highlight w:val="white"/>
        </w:rPr>
        <w:t>Danabal</w:t>
      </w:r>
      <w:proofErr w:type="spellEnd"/>
      <w:r w:rsidRPr="002E4FC6">
        <w:rPr>
          <w:rFonts w:ascii="Times New Roman" w:eastAsia="Times New Roman" w:hAnsi="Times New Roman" w:cs="Times New Roman"/>
          <w:sz w:val="24"/>
          <w:szCs w:val="24"/>
          <w:highlight w:val="white"/>
        </w:rPr>
        <w:t xml:space="preserve"> </w:t>
      </w:r>
      <w:r w:rsidRPr="002E4FC6">
        <w:rPr>
          <w:rFonts w:ascii="Times New Roman" w:eastAsia="Times New Roman" w:hAnsi="Times New Roman" w:cs="Times New Roman"/>
          <w:i/>
          <w:sz w:val="24"/>
          <w:szCs w:val="24"/>
          <w:highlight w:val="white"/>
        </w:rPr>
        <w:t>et al</w:t>
      </w:r>
      <w:r w:rsidRPr="002E4FC6">
        <w:rPr>
          <w:rFonts w:ascii="Times New Roman" w:eastAsia="Times New Roman" w:hAnsi="Times New Roman" w:cs="Times New Roman"/>
          <w:sz w:val="24"/>
          <w:szCs w:val="24"/>
          <w:highlight w:val="white"/>
        </w:rPr>
        <w:t>., 2021 of India displayed a positive attitude towards the Covid-19 vaccines. In this regard, the older people exhibited high trust in vaccines and younger people, women, rural people and others from the low-income labour class displayed a lack of trust in vaccines.</w:t>
      </w:r>
      <w:r w:rsidRPr="002E4FC6">
        <w:rPr>
          <w:rFonts w:ascii="Times New Roman" w:eastAsia="Times New Roman" w:hAnsi="Times New Roman" w:cs="Times New Roman"/>
          <w:color w:val="222222"/>
          <w:sz w:val="24"/>
          <w:szCs w:val="24"/>
          <w:highlight w:val="white"/>
        </w:rPr>
        <w:t xml:space="preserve"> </w:t>
      </w:r>
    </w:p>
    <w:p w:rsidR="008852A2" w:rsidRPr="002E4FC6" w:rsidRDefault="008852A2" w:rsidP="002E4FC6">
      <w:pPr>
        <w:tabs>
          <w:tab w:val="left" w:pos="6540"/>
        </w:tabs>
        <w:spacing w:line="360" w:lineRule="auto"/>
        <w:jc w:val="both"/>
        <w:rPr>
          <w:rFonts w:cs="Times New Roman"/>
          <w:szCs w:val="24"/>
        </w:rPr>
      </w:pPr>
      <w:r w:rsidRPr="002E4FC6">
        <w:rPr>
          <w:rFonts w:cs="Times New Roman"/>
          <w:b/>
          <w:bCs/>
          <w:szCs w:val="24"/>
        </w:rPr>
        <w:t>5. Impact of legislation and policies</w:t>
      </w:r>
    </w:p>
    <w:p w:rsidR="002E4FC6" w:rsidRPr="002E4FC6" w:rsidRDefault="002E4FC6" w:rsidP="002E4FC6">
      <w:pPr>
        <w:pStyle w:val="Normal1"/>
        <w:spacing w:before="240" w:after="240" w:line="360" w:lineRule="auto"/>
        <w:jc w:val="both"/>
        <w:rPr>
          <w:rFonts w:ascii="Times New Roman" w:eastAsia="Times New Roman" w:hAnsi="Times New Roman" w:cs="Times New Roman"/>
          <w:sz w:val="24"/>
          <w:szCs w:val="24"/>
        </w:rPr>
      </w:pPr>
      <w:r w:rsidRPr="002E4FC6">
        <w:rPr>
          <w:rFonts w:ascii="Times New Roman" w:eastAsia="Times New Roman" w:hAnsi="Times New Roman" w:cs="Times New Roman"/>
          <w:sz w:val="24"/>
          <w:szCs w:val="24"/>
        </w:rPr>
        <w:t xml:space="preserve">The core legislation in the UK is the </w:t>
      </w:r>
      <w:r w:rsidRPr="002E4FC6">
        <w:rPr>
          <w:rFonts w:ascii="Times New Roman" w:eastAsia="Times New Roman" w:hAnsi="Times New Roman" w:cs="Times New Roman"/>
          <w:b/>
          <w:i/>
          <w:sz w:val="24"/>
          <w:szCs w:val="24"/>
        </w:rPr>
        <w:t>Health and Safety at Work Act 1974</w:t>
      </w:r>
      <w:r w:rsidRPr="002E4FC6">
        <w:rPr>
          <w:rFonts w:ascii="Times New Roman" w:eastAsia="Times New Roman" w:hAnsi="Times New Roman" w:cs="Times New Roman"/>
          <w:sz w:val="24"/>
          <w:szCs w:val="24"/>
        </w:rPr>
        <w:t xml:space="preserve">, which protects the health and wellbeing of the staff within the workplace setting </w:t>
      </w:r>
      <w:r w:rsidRPr="002E4FC6">
        <w:rPr>
          <w:rFonts w:ascii="Times New Roman" w:hAnsi="Times New Roman" w:cs="Times New Roman"/>
          <w:sz w:val="24"/>
          <w:szCs w:val="24"/>
          <w:highlight w:val="white"/>
        </w:rPr>
        <w:t>(GOV.UK, 2021a)</w:t>
      </w:r>
      <w:r w:rsidRPr="002E4FC6">
        <w:rPr>
          <w:rFonts w:ascii="Times New Roman" w:eastAsia="Times New Roman" w:hAnsi="Times New Roman" w:cs="Times New Roman"/>
          <w:sz w:val="24"/>
          <w:szCs w:val="24"/>
        </w:rPr>
        <w:t>. As per this legislation, the health and social care staff are protected by the legislative power which encompasses the staff who has either come in contact with Covid-19 cases or others. The services offered to them include staying at home guidance for healthcare staff who have symptoms, PCR tests at the workplace, and NHS Test and Trace Service. The staff who have tested positive will need to undergo a self-isolation period of 10 days and they can also take two LFD tests from the sixth day and the next day of their isolation period (GOV.UK, 2021a). However, there was also evidence of increasing concern over the mental wellbeing of the service providers where they are more at risk of moral injury and mental health problems (</w:t>
      </w:r>
      <w:r w:rsidRPr="002E4FC6">
        <w:rPr>
          <w:rFonts w:ascii="Times New Roman" w:hAnsi="Times New Roman" w:cs="Times New Roman"/>
          <w:color w:val="222222"/>
          <w:sz w:val="24"/>
          <w:szCs w:val="24"/>
          <w:highlight w:val="white"/>
        </w:rPr>
        <w:t xml:space="preserve">Greenberg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2020)</w:t>
      </w:r>
      <w:r w:rsidRPr="002E4FC6">
        <w:rPr>
          <w:rFonts w:ascii="Times New Roman" w:eastAsia="Times New Roman" w:hAnsi="Times New Roman" w:cs="Times New Roman"/>
          <w:sz w:val="24"/>
          <w:szCs w:val="24"/>
        </w:rPr>
        <w:t xml:space="preserve">. </w:t>
      </w:r>
    </w:p>
    <w:p w:rsidR="003E4ECF" w:rsidRPr="002E4FC6" w:rsidRDefault="002E4FC6" w:rsidP="002E4FC6">
      <w:pPr>
        <w:tabs>
          <w:tab w:val="left" w:pos="6540"/>
        </w:tabs>
        <w:spacing w:line="360" w:lineRule="auto"/>
        <w:jc w:val="both"/>
        <w:rPr>
          <w:rFonts w:cs="Times New Roman"/>
          <w:szCs w:val="24"/>
        </w:rPr>
      </w:pPr>
      <w:r w:rsidRPr="002E4FC6">
        <w:rPr>
          <w:rFonts w:eastAsia="Times New Roman" w:cs="Times New Roman"/>
          <w:szCs w:val="24"/>
        </w:rPr>
        <w:t>In order to ensure the protection of health and wellbeing of the healthcare workers during the pandemic, the</w:t>
      </w:r>
      <w:r w:rsidRPr="002E4FC6">
        <w:rPr>
          <w:rFonts w:eastAsia="Times New Roman" w:cs="Times New Roman"/>
          <w:b/>
          <w:i/>
          <w:szCs w:val="24"/>
        </w:rPr>
        <w:t xml:space="preserve"> </w:t>
      </w:r>
      <w:r w:rsidRPr="002E4FC6">
        <w:rPr>
          <w:rFonts w:eastAsia="Times New Roman" w:cs="Times New Roman"/>
          <w:b/>
          <w:i/>
          <w:szCs w:val="24"/>
          <w:highlight w:val="white"/>
        </w:rPr>
        <w:t xml:space="preserve">Epidemic Diseases Act, 1897 </w:t>
      </w:r>
      <w:r w:rsidRPr="002E4FC6">
        <w:rPr>
          <w:rFonts w:eastAsia="Times New Roman" w:cs="Times New Roman"/>
          <w:szCs w:val="24"/>
          <w:highlight w:val="white"/>
        </w:rPr>
        <w:t>was amended and made into the Epidemic Diseases (Amendment) Ordinance, 2020 (</w:t>
      </w:r>
      <w:proofErr w:type="spellStart"/>
      <w:r w:rsidRPr="002E4FC6">
        <w:rPr>
          <w:rFonts w:cs="Times New Roman"/>
          <w:color w:val="222222"/>
          <w:szCs w:val="24"/>
          <w:highlight w:val="white"/>
        </w:rPr>
        <w:t>Nomani</w:t>
      </w:r>
      <w:proofErr w:type="spellEnd"/>
      <w:r w:rsidRPr="002E4FC6">
        <w:rPr>
          <w:rFonts w:cs="Times New Roman"/>
          <w:color w:val="222222"/>
          <w:szCs w:val="24"/>
          <w:highlight w:val="white"/>
        </w:rPr>
        <w:t xml:space="preserve"> and </w:t>
      </w:r>
      <w:proofErr w:type="spellStart"/>
      <w:r w:rsidRPr="002E4FC6">
        <w:rPr>
          <w:rFonts w:cs="Times New Roman"/>
          <w:color w:val="222222"/>
          <w:szCs w:val="24"/>
          <w:highlight w:val="white"/>
        </w:rPr>
        <w:t>Parveen</w:t>
      </w:r>
      <w:proofErr w:type="spellEnd"/>
      <w:r w:rsidRPr="002E4FC6">
        <w:rPr>
          <w:rFonts w:cs="Times New Roman"/>
          <w:color w:val="222222"/>
          <w:szCs w:val="24"/>
          <w:highlight w:val="white"/>
        </w:rPr>
        <w:t>, 2020)</w:t>
      </w:r>
      <w:r w:rsidRPr="002E4FC6">
        <w:rPr>
          <w:rFonts w:eastAsia="Times New Roman" w:cs="Times New Roman"/>
          <w:szCs w:val="24"/>
          <w:highlight w:val="white"/>
        </w:rPr>
        <w:t xml:space="preserve">. Under this legislation, the public and clinical healthcare providers like doctors and nurses will be protected. Measures like imprisonment up to three to five years and fines can be taken for offences against healthcare professionals. In addition to this as per the Indian Penal Code, 1860, voluntary hurt on the healthcare professionals was also punishable with imprisonment and fines. As per the Ministry of Health and Family Welfare in India, almost 5.11 lakh of PPEs were provided in the state and central hospitals and the healthcare professionals who tested positive for Covid-19 were also provided adequate protection. However, the policies and legislation were inadequate in safeguarding the mental wellbeing of the healthcare professionals in India. It is supported by the evidentiary support where a majority of the professionals exhibited mental health </w:t>
      </w:r>
      <w:r w:rsidRPr="002E4FC6">
        <w:rPr>
          <w:rFonts w:eastAsia="Times New Roman" w:cs="Times New Roman"/>
          <w:szCs w:val="24"/>
          <w:highlight w:val="white"/>
        </w:rPr>
        <w:lastRenderedPageBreak/>
        <w:t>conditions like depression, anxiety, and low quality of life. The work environment also acted as a stressor that directly and negatively impacted the mental health of the professionals (</w:t>
      </w:r>
      <w:proofErr w:type="spellStart"/>
      <w:r w:rsidRPr="002E4FC6">
        <w:rPr>
          <w:rFonts w:cs="Times New Roman"/>
          <w:color w:val="222222"/>
          <w:szCs w:val="24"/>
          <w:highlight w:val="white"/>
        </w:rPr>
        <w:t>Suryavanshi</w:t>
      </w:r>
      <w:proofErr w:type="spellEnd"/>
      <w:r w:rsidRPr="002E4FC6">
        <w:rPr>
          <w:rFonts w:cs="Times New Roman"/>
          <w:color w:val="222222"/>
          <w:szCs w:val="24"/>
          <w:highlight w:val="white"/>
        </w:rPr>
        <w:t xml:space="preserve"> </w:t>
      </w:r>
      <w:r w:rsidRPr="002E4FC6">
        <w:rPr>
          <w:rFonts w:cs="Times New Roman"/>
          <w:i/>
          <w:color w:val="222222"/>
          <w:szCs w:val="24"/>
          <w:highlight w:val="white"/>
        </w:rPr>
        <w:t>et al</w:t>
      </w:r>
      <w:r w:rsidRPr="002E4FC6">
        <w:rPr>
          <w:rFonts w:cs="Times New Roman"/>
          <w:color w:val="222222"/>
          <w:szCs w:val="24"/>
          <w:highlight w:val="white"/>
        </w:rPr>
        <w:t>., 2020)</w:t>
      </w:r>
      <w:r w:rsidRPr="002E4FC6">
        <w:rPr>
          <w:rFonts w:eastAsia="Times New Roman" w:cs="Times New Roman"/>
          <w:szCs w:val="24"/>
          <w:highlight w:val="white"/>
        </w:rPr>
        <w:t>.</w:t>
      </w:r>
    </w:p>
    <w:p w:rsidR="008852A2" w:rsidRPr="002E4FC6" w:rsidRDefault="004A736E" w:rsidP="002E4FC6">
      <w:pPr>
        <w:pStyle w:val="Heading1"/>
        <w:spacing w:line="360" w:lineRule="auto"/>
        <w:jc w:val="both"/>
        <w:rPr>
          <w:rFonts w:ascii="Times New Roman" w:hAnsi="Times New Roman" w:cs="Times New Roman"/>
          <w:sz w:val="24"/>
          <w:szCs w:val="24"/>
        </w:rPr>
      </w:pPr>
      <w:bookmarkStart w:id="4" w:name="_Toc92122022"/>
      <w:r w:rsidRPr="002E4FC6">
        <w:rPr>
          <w:rFonts w:ascii="Times New Roman" w:hAnsi="Times New Roman" w:cs="Times New Roman"/>
          <w:sz w:val="24"/>
          <w:szCs w:val="24"/>
        </w:rPr>
        <w:t>6</w:t>
      </w:r>
      <w:r w:rsidR="00B87E75" w:rsidRPr="002E4FC6">
        <w:rPr>
          <w:rFonts w:ascii="Times New Roman" w:hAnsi="Times New Roman" w:cs="Times New Roman"/>
          <w:sz w:val="24"/>
          <w:szCs w:val="24"/>
        </w:rPr>
        <w:t xml:space="preserve">. </w:t>
      </w:r>
      <w:r w:rsidR="008852A2" w:rsidRPr="002E4FC6">
        <w:rPr>
          <w:rFonts w:ascii="Times New Roman" w:hAnsi="Times New Roman" w:cs="Times New Roman"/>
          <w:sz w:val="24"/>
          <w:szCs w:val="24"/>
        </w:rPr>
        <w:t>Ethical considerations</w:t>
      </w:r>
      <w:bookmarkEnd w:id="4"/>
      <w:r w:rsidR="008852A2" w:rsidRPr="002E4FC6">
        <w:rPr>
          <w:rFonts w:ascii="Times New Roman" w:hAnsi="Times New Roman" w:cs="Times New Roman"/>
          <w:sz w:val="24"/>
          <w:szCs w:val="24"/>
        </w:rPr>
        <w:t xml:space="preserve"> </w:t>
      </w:r>
    </w:p>
    <w:p w:rsidR="008852A2" w:rsidRPr="002E4FC6" w:rsidRDefault="002E4FC6" w:rsidP="002E4FC6">
      <w:pPr>
        <w:pStyle w:val="Normal1"/>
        <w:spacing w:before="240" w:after="240" w:line="360" w:lineRule="auto"/>
        <w:jc w:val="both"/>
        <w:rPr>
          <w:rFonts w:ascii="Times New Roman" w:eastAsia="Times New Roman" w:hAnsi="Times New Roman" w:cs="Times New Roman"/>
          <w:sz w:val="24"/>
          <w:szCs w:val="24"/>
        </w:rPr>
      </w:pPr>
      <w:r w:rsidRPr="002E4FC6">
        <w:rPr>
          <w:rFonts w:ascii="Times New Roman" w:eastAsia="Times New Roman" w:hAnsi="Times New Roman" w:cs="Times New Roman"/>
          <w:sz w:val="24"/>
          <w:szCs w:val="24"/>
        </w:rPr>
        <w:t xml:space="preserve">In terms of the ethical considerations related to Covid-19, the World Health Organisation developed the Working Group on Ethics and Covid-19 to encourage the member states to address the ethical questions </w:t>
      </w:r>
      <w:r w:rsidRPr="002E4FC6">
        <w:rPr>
          <w:rFonts w:ascii="Times New Roman" w:hAnsi="Times New Roman" w:cs="Times New Roman"/>
          <w:sz w:val="24"/>
          <w:szCs w:val="24"/>
          <w:highlight w:val="white"/>
        </w:rPr>
        <w:t>(WHO, 2022a)</w:t>
      </w:r>
      <w:r w:rsidRPr="002E4FC6">
        <w:rPr>
          <w:rFonts w:ascii="Times New Roman" w:eastAsia="Times New Roman" w:hAnsi="Times New Roman" w:cs="Times New Roman"/>
          <w:sz w:val="24"/>
          <w:szCs w:val="24"/>
        </w:rPr>
        <w:t>. In addition to this, there were also considerations related to decision making and resource allocation. As the resources became restricted and the demand increased which increased the ethical dilemmas among the healthcare professionals over decisions related to critical care services. As healthcare professionals work under immense pressure their decisions also need to be immediate in nature. Hence, there are certain considerations that need to be undertaken by the authorities like healthcare institutions, local authorities as well as government officials to increase the clinical resources like ventilators, PPE kits, medicines and such (</w:t>
      </w:r>
      <w:proofErr w:type="spellStart"/>
      <w:r w:rsidRPr="002E4FC6">
        <w:rPr>
          <w:rFonts w:ascii="Times New Roman" w:hAnsi="Times New Roman" w:cs="Times New Roman"/>
          <w:color w:val="222222"/>
          <w:sz w:val="24"/>
          <w:szCs w:val="24"/>
          <w:highlight w:val="white"/>
        </w:rPr>
        <w:t>Xafis</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2020)</w:t>
      </w:r>
      <w:r w:rsidRPr="002E4FC6">
        <w:rPr>
          <w:rFonts w:ascii="Times New Roman" w:eastAsia="Times New Roman" w:hAnsi="Times New Roman" w:cs="Times New Roman"/>
          <w:sz w:val="24"/>
          <w:szCs w:val="24"/>
        </w:rPr>
        <w:t>. It is also essential that despite the extent of outcomes, the patients need to be provided with equal, compassionate, and dedicated healthcare services like symptom management and other treatments in ensuring equality and wellbeing for all. Ethical considerations are also associated with the cultural differences among the individuals as they shape the health behavioural changes (</w:t>
      </w:r>
      <w:r w:rsidRPr="002E4FC6">
        <w:rPr>
          <w:rFonts w:ascii="Times New Roman" w:hAnsi="Times New Roman" w:cs="Times New Roman"/>
          <w:color w:val="222222"/>
          <w:sz w:val="24"/>
          <w:szCs w:val="24"/>
          <w:highlight w:val="white"/>
        </w:rPr>
        <w:t xml:space="preserve">Steed </w:t>
      </w:r>
      <w:r w:rsidRPr="002E4FC6">
        <w:rPr>
          <w:rFonts w:ascii="Times New Roman" w:hAnsi="Times New Roman" w:cs="Times New Roman"/>
          <w:i/>
          <w:color w:val="222222"/>
          <w:sz w:val="24"/>
          <w:szCs w:val="24"/>
          <w:highlight w:val="white"/>
        </w:rPr>
        <w:t>et al</w:t>
      </w:r>
      <w:r w:rsidRPr="002E4FC6">
        <w:rPr>
          <w:rFonts w:ascii="Times New Roman" w:hAnsi="Times New Roman" w:cs="Times New Roman"/>
          <w:color w:val="222222"/>
          <w:sz w:val="24"/>
          <w:szCs w:val="24"/>
          <w:highlight w:val="white"/>
        </w:rPr>
        <w:t>., 2020)</w:t>
      </w:r>
      <w:r w:rsidRPr="002E4FC6">
        <w:rPr>
          <w:rFonts w:ascii="Times New Roman" w:eastAsia="Times New Roman" w:hAnsi="Times New Roman" w:cs="Times New Roman"/>
          <w:sz w:val="24"/>
          <w:szCs w:val="24"/>
        </w:rPr>
        <w:t xml:space="preserve">. There were also different perceptions surrounding the Covid-19 vaccination which differs on the basis of geography or demographic changes.  </w:t>
      </w:r>
    </w:p>
    <w:p w:rsidR="00B87E75" w:rsidRPr="002E4FC6" w:rsidRDefault="008852A2" w:rsidP="002E4FC6">
      <w:pPr>
        <w:pStyle w:val="Heading1"/>
        <w:spacing w:line="360" w:lineRule="auto"/>
        <w:jc w:val="both"/>
        <w:rPr>
          <w:rFonts w:ascii="Times New Roman" w:hAnsi="Times New Roman" w:cs="Times New Roman"/>
          <w:sz w:val="24"/>
          <w:szCs w:val="24"/>
        </w:rPr>
      </w:pPr>
      <w:bookmarkStart w:id="5" w:name="_Toc92122023"/>
      <w:r w:rsidRPr="002E4FC6">
        <w:rPr>
          <w:rFonts w:ascii="Times New Roman" w:hAnsi="Times New Roman" w:cs="Times New Roman"/>
          <w:sz w:val="24"/>
          <w:szCs w:val="24"/>
        </w:rPr>
        <w:t>7. Recommendations</w:t>
      </w:r>
      <w:bookmarkEnd w:id="5"/>
      <w:r w:rsidRPr="002E4FC6">
        <w:rPr>
          <w:rFonts w:ascii="Times New Roman" w:hAnsi="Times New Roman" w:cs="Times New Roman"/>
          <w:sz w:val="24"/>
          <w:szCs w:val="24"/>
        </w:rPr>
        <w:t xml:space="preserve"> </w:t>
      </w:r>
    </w:p>
    <w:p w:rsidR="0090040D" w:rsidRPr="002E4FC6" w:rsidRDefault="002E4FC6" w:rsidP="002E4FC6">
      <w:pPr>
        <w:tabs>
          <w:tab w:val="left" w:pos="6540"/>
        </w:tabs>
        <w:spacing w:line="360" w:lineRule="auto"/>
        <w:jc w:val="both"/>
        <w:rPr>
          <w:rFonts w:cs="Times New Roman"/>
          <w:szCs w:val="24"/>
        </w:rPr>
      </w:pPr>
      <w:r w:rsidRPr="002E4FC6">
        <w:rPr>
          <w:rFonts w:eastAsia="Times New Roman" w:cs="Times New Roman"/>
          <w:szCs w:val="24"/>
        </w:rPr>
        <w:t xml:space="preserve">In conclusion, the severity and transmission rate of Covid-19 was huge in both these countries, India and the UK. The government and healthcare officials within these countries took necessary steps to measure, monitor and control the pandemic. The monitoring tools and vaccination rates differ in these countries. The respective government officials also implemented necessary public health policies which were also inadequate in nature. The Health Belief System Model and the Theory of Planned Behaviour were also analysed to identify the health behaviour changes among these populations. The impact of the legislation and policies were also discussed in the context of India and the UK. Finally, the essential ethical considerations were also discussed. From the above analyses, it can be posited that there are gaps in the public health policies and strategies for controlling the transmission of the disease. In this regard, government officials need to undertake strict measures to monitor and control </w:t>
      </w:r>
      <w:r w:rsidRPr="002E4FC6">
        <w:rPr>
          <w:rFonts w:eastAsia="Times New Roman" w:cs="Times New Roman"/>
          <w:szCs w:val="24"/>
        </w:rPr>
        <w:lastRenderedPageBreak/>
        <w:t>the disease. Covid-19 related data need to be exchanged among the officials for the implementation of an early intervention strategy. Regular and cost-effective testing kits need to be provided to the local authorities for monitoring and controlling the transmission of the disease. The existing public health policies need to be amended that are in line with existing public health issues.</w:t>
      </w:r>
    </w:p>
    <w:p w:rsidR="00F66E1B" w:rsidRPr="002E4FC6" w:rsidRDefault="00F66E1B" w:rsidP="002E4FC6">
      <w:pPr>
        <w:tabs>
          <w:tab w:val="left" w:pos="6540"/>
        </w:tabs>
        <w:spacing w:line="360" w:lineRule="auto"/>
        <w:jc w:val="both"/>
        <w:rPr>
          <w:rFonts w:cs="Times New Roman"/>
          <w:szCs w:val="24"/>
        </w:rPr>
      </w:pPr>
    </w:p>
    <w:p w:rsidR="00F66E1B" w:rsidRPr="002E4FC6" w:rsidRDefault="00F66E1B" w:rsidP="002E4FC6">
      <w:pPr>
        <w:tabs>
          <w:tab w:val="left" w:pos="6540"/>
        </w:tabs>
        <w:spacing w:line="360" w:lineRule="auto"/>
        <w:jc w:val="both"/>
        <w:rPr>
          <w:rFonts w:cs="Times New Roman"/>
          <w:szCs w:val="24"/>
        </w:rPr>
      </w:pPr>
    </w:p>
    <w:p w:rsidR="002E4FC6" w:rsidRPr="002E4FC6" w:rsidRDefault="002E4FC6" w:rsidP="002E4FC6">
      <w:pPr>
        <w:tabs>
          <w:tab w:val="left" w:pos="6540"/>
        </w:tabs>
        <w:spacing w:line="360" w:lineRule="auto"/>
        <w:jc w:val="both"/>
        <w:rPr>
          <w:rFonts w:cs="Times New Roman"/>
          <w:szCs w:val="24"/>
        </w:rPr>
      </w:pPr>
    </w:p>
    <w:p w:rsidR="002E4FC6" w:rsidRPr="002E4FC6" w:rsidRDefault="002E4FC6" w:rsidP="002E4FC6">
      <w:pPr>
        <w:spacing w:line="360" w:lineRule="auto"/>
        <w:jc w:val="both"/>
        <w:rPr>
          <w:rFonts w:cs="Times New Roman"/>
          <w:szCs w:val="24"/>
        </w:rPr>
      </w:pPr>
      <w:r w:rsidRPr="002E4FC6">
        <w:rPr>
          <w:rFonts w:cs="Times New Roman"/>
          <w:szCs w:val="24"/>
        </w:rPr>
        <w:br w:type="page"/>
      </w:r>
    </w:p>
    <w:p w:rsidR="00B87E75" w:rsidRPr="002E4FC6" w:rsidRDefault="00B87E75" w:rsidP="002E4FC6">
      <w:pPr>
        <w:pStyle w:val="Heading1"/>
        <w:spacing w:line="360" w:lineRule="auto"/>
        <w:jc w:val="both"/>
        <w:rPr>
          <w:rFonts w:ascii="Times New Roman" w:hAnsi="Times New Roman" w:cs="Times New Roman"/>
          <w:sz w:val="24"/>
          <w:szCs w:val="24"/>
        </w:rPr>
      </w:pPr>
      <w:bookmarkStart w:id="6" w:name="_Toc92122024"/>
      <w:r w:rsidRPr="002E4FC6">
        <w:rPr>
          <w:rFonts w:ascii="Times New Roman" w:hAnsi="Times New Roman" w:cs="Times New Roman"/>
          <w:sz w:val="24"/>
          <w:szCs w:val="24"/>
        </w:rPr>
        <w:lastRenderedPageBreak/>
        <w:t>References</w:t>
      </w:r>
      <w:bookmarkEnd w:id="6"/>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Andrews, M.A., </w:t>
      </w:r>
      <w:proofErr w:type="spellStart"/>
      <w:r w:rsidRPr="002E4FC6">
        <w:rPr>
          <w:rFonts w:ascii="Times New Roman" w:hAnsi="Times New Roman" w:cs="Times New Roman"/>
          <w:color w:val="222222"/>
          <w:sz w:val="24"/>
          <w:szCs w:val="24"/>
          <w:highlight w:val="white"/>
        </w:rPr>
        <w:t>Areekal</w:t>
      </w:r>
      <w:proofErr w:type="spellEnd"/>
      <w:r w:rsidRPr="002E4FC6">
        <w:rPr>
          <w:rFonts w:ascii="Times New Roman" w:hAnsi="Times New Roman" w:cs="Times New Roman"/>
          <w:color w:val="222222"/>
          <w:sz w:val="24"/>
          <w:szCs w:val="24"/>
          <w:highlight w:val="white"/>
        </w:rPr>
        <w:t xml:space="preserve">, B., Rajesh, K.R., </w:t>
      </w:r>
      <w:proofErr w:type="spellStart"/>
      <w:r w:rsidRPr="002E4FC6">
        <w:rPr>
          <w:rFonts w:ascii="Times New Roman" w:hAnsi="Times New Roman" w:cs="Times New Roman"/>
          <w:color w:val="222222"/>
          <w:sz w:val="24"/>
          <w:szCs w:val="24"/>
          <w:highlight w:val="white"/>
        </w:rPr>
        <w:t>Krishnan</w:t>
      </w:r>
      <w:proofErr w:type="spellEnd"/>
      <w:r w:rsidRPr="002E4FC6">
        <w:rPr>
          <w:rFonts w:ascii="Times New Roman" w:hAnsi="Times New Roman" w:cs="Times New Roman"/>
          <w:color w:val="222222"/>
          <w:sz w:val="24"/>
          <w:szCs w:val="24"/>
          <w:highlight w:val="white"/>
        </w:rPr>
        <w:t xml:space="preserve">, J., </w:t>
      </w:r>
      <w:proofErr w:type="spellStart"/>
      <w:r w:rsidRPr="002E4FC6">
        <w:rPr>
          <w:rFonts w:ascii="Times New Roman" w:hAnsi="Times New Roman" w:cs="Times New Roman"/>
          <w:color w:val="222222"/>
          <w:sz w:val="24"/>
          <w:szCs w:val="24"/>
          <w:highlight w:val="white"/>
        </w:rPr>
        <w:t>Suryakala</w:t>
      </w:r>
      <w:proofErr w:type="spellEnd"/>
      <w:r w:rsidRPr="002E4FC6">
        <w:rPr>
          <w:rFonts w:ascii="Times New Roman" w:hAnsi="Times New Roman" w:cs="Times New Roman"/>
          <w:color w:val="222222"/>
          <w:sz w:val="24"/>
          <w:szCs w:val="24"/>
          <w:highlight w:val="white"/>
        </w:rPr>
        <w:t xml:space="preserve">, R., </w:t>
      </w:r>
      <w:proofErr w:type="spellStart"/>
      <w:r w:rsidRPr="002E4FC6">
        <w:rPr>
          <w:rFonts w:ascii="Times New Roman" w:hAnsi="Times New Roman" w:cs="Times New Roman"/>
          <w:color w:val="222222"/>
          <w:sz w:val="24"/>
          <w:szCs w:val="24"/>
          <w:highlight w:val="white"/>
        </w:rPr>
        <w:t>Krishnan</w:t>
      </w:r>
      <w:proofErr w:type="spellEnd"/>
      <w:r w:rsidRPr="002E4FC6">
        <w:rPr>
          <w:rFonts w:ascii="Times New Roman" w:hAnsi="Times New Roman" w:cs="Times New Roman"/>
          <w:color w:val="222222"/>
          <w:sz w:val="24"/>
          <w:szCs w:val="24"/>
          <w:highlight w:val="white"/>
        </w:rPr>
        <w:t xml:space="preserve">, B., </w:t>
      </w:r>
      <w:proofErr w:type="spellStart"/>
      <w:r w:rsidRPr="002E4FC6">
        <w:rPr>
          <w:rFonts w:ascii="Times New Roman" w:hAnsi="Times New Roman" w:cs="Times New Roman"/>
          <w:color w:val="222222"/>
          <w:sz w:val="24"/>
          <w:szCs w:val="24"/>
          <w:highlight w:val="white"/>
        </w:rPr>
        <w:t>Muraly</w:t>
      </w:r>
      <w:proofErr w:type="spellEnd"/>
      <w:r w:rsidRPr="002E4FC6">
        <w:rPr>
          <w:rFonts w:ascii="Times New Roman" w:hAnsi="Times New Roman" w:cs="Times New Roman"/>
          <w:color w:val="222222"/>
          <w:sz w:val="24"/>
          <w:szCs w:val="24"/>
          <w:highlight w:val="white"/>
        </w:rPr>
        <w:t xml:space="preserve">, C.P. and </w:t>
      </w:r>
      <w:proofErr w:type="spellStart"/>
      <w:r w:rsidRPr="002E4FC6">
        <w:rPr>
          <w:rFonts w:ascii="Times New Roman" w:hAnsi="Times New Roman" w:cs="Times New Roman"/>
          <w:color w:val="222222"/>
          <w:sz w:val="24"/>
          <w:szCs w:val="24"/>
          <w:highlight w:val="white"/>
        </w:rPr>
        <w:t>Santhosh</w:t>
      </w:r>
      <w:proofErr w:type="spellEnd"/>
      <w:r w:rsidRPr="002E4FC6">
        <w:rPr>
          <w:rFonts w:ascii="Times New Roman" w:hAnsi="Times New Roman" w:cs="Times New Roman"/>
          <w:color w:val="222222"/>
          <w:sz w:val="24"/>
          <w:szCs w:val="24"/>
          <w:highlight w:val="white"/>
        </w:rPr>
        <w:t xml:space="preserve">, P.V., (2020). First confirmed case of COVID-19 infection in India: A case report. </w:t>
      </w:r>
      <w:r w:rsidRPr="002E4FC6">
        <w:rPr>
          <w:rFonts w:ascii="Times New Roman" w:hAnsi="Times New Roman" w:cs="Times New Roman"/>
          <w:i/>
          <w:color w:val="222222"/>
          <w:sz w:val="24"/>
          <w:szCs w:val="24"/>
          <w:highlight w:val="white"/>
        </w:rPr>
        <w:t>The Indian journal of medical research</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151</w:t>
      </w:r>
      <w:r w:rsidRPr="002E4FC6">
        <w:rPr>
          <w:rFonts w:ascii="Times New Roman" w:hAnsi="Times New Roman" w:cs="Times New Roman"/>
          <w:color w:val="222222"/>
          <w:sz w:val="24"/>
          <w:szCs w:val="24"/>
          <w:highlight w:val="white"/>
        </w:rPr>
        <w:t>(5), p.490.</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Bacon, A.M. and </w:t>
      </w:r>
      <w:proofErr w:type="spellStart"/>
      <w:r w:rsidRPr="002E4FC6">
        <w:rPr>
          <w:rFonts w:ascii="Times New Roman" w:hAnsi="Times New Roman" w:cs="Times New Roman"/>
          <w:color w:val="222222"/>
          <w:sz w:val="24"/>
          <w:szCs w:val="24"/>
          <w:highlight w:val="white"/>
        </w:rPr>
        <w:t>Corr</w:t>
      </w:r>
      <w:proofErr w:type="spellEnd"/>
      <w:r w:rsidRPr="002E4FC6">
        <w:rPr>
          <w:rFonts w:ascii="Times New Roman" w:hAnsi="Times New Roman" w:cs="Times New Roman"/>
          <w:color w:val="222222"/>
          <w:sz w:val="24"/>
          <w:szCs w:val="24"/>
          <w:highlight w:val="white"/>
        </w:rPr>
        <w:t xml:space="preserve">, P.J., (2020). Coronavirus (COVID‐19) in the United Kingdom: A personality‐based perspective on concerns and intention to self‐isolate. </w:t>
      </w:r>
      <w:r w:rsidRPr="002E4FC6">
        <w:rPr>
          <w:rFonts w:ascii="Times New Roman" w:hAnsi="Times New Roman" w:cs="Times New Roman"/>
          <w:i/>
          <w:color w:val="222222"/>
          <w:sz w:val="24"/>
          <w:szCs w:val="24"/>
          <w:highlight w:val="white"/>
        </w:rPr>
        <w:t>British Journal of Health Psychology</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25</w:t>
      </w:r>
      <w:r w:rsidRPr="002E4FC6">
        <w:rPr>
          <w:rFonts w:ascii="Times New Roman" w:hAnsi="Times New Roman" w:cs="Times New Roman"/>
          <w:color w:val="222222"/>
          <w:sz w:val="24"/>
          <w:szCs w:val="24"/>
          <w:highlight w:val="white"/>
        </w:rPr>
        <w:t>(4), pp.839-848.</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BBC, (2021). </w:t>
      </w:r>
      <w:proofErr w:type="spellStart"/>
      <w:r w:rsidRPr="002E4FC6">
        <w:rPr>
          <w:rFonts w:ascii="Times New Roman" w:hAnsi="Times New Roman" w:cs="Times New Roman"/>
          <w:i/>
          <w:color w:val="222222"/>
          <w:sz w:val="24"/>
          <w:szCs w:val="24"/>
          <w:highlight w:val="white"/>
        </w:rPr>
        <w:t>Covovax</w:t>
      </w:r>
      <w:proofErr w:type="spellEnd"/>
      <w:r w:rsidRPr="002E4FC6">
        <w:rPr>
          <w:rFonts w:ascii="Times New Roman" w:hAnsi="Times New Roman" w:cs="Times New Roman"/>
          <w:i/>
          <w:color w:val="222222"/>
          <w:sz w:val="24"/>
          <w:szCs w:val="24"/>
          <w:highlight w:val="white"/>
        </w:rPr>
        <w:t xml:space="preserve"> and </w:t>
      </w:r>
      <w:proofErr w:type="spellStart"/>
      <w:r w:rsidRPr="002E4FC6">
        <w:rPr>
          <w:rFonts w:ascii="Times New Roman" w:hAnsi="Times New Roman" w:cs="Times New Roman"/>
          <w:i/>
          <w:color w:val="222222"/>
          <w:sz w:val="24"/>
          <w:szCs w:val="24"/>
          <w:highlight w:val="white"/>
        </w:rPr>
        <w:t>Corbevax</w:t>
      </w:r>
      <w:proofErr w:type="spellEnd"/>
      <w:r w:rsidRPr="002E4FC6">
        <w:rPr>
          <w:rFonts w:ascii="Times New Roman" w:hAnsi="Times New Roman" w:cs="Times New Roman"/>
          <w:i/>
          <w:color w:val="222222"/>
          <w:sz w:val="24"/>
          <w:szCs w:val="24"/>
          <w:highlight w:val="white"/>
        </w:rPr>
        <w:t>: What we know about India's new Covid vaccines</w:t>
      </w:r>
      <w:r w:rsidRPr="002E4FC6">
        <w:rPr>
          <w:rFonts w:ascii="Times New Roman" w:hAnsi="Times New Roman" w:cs="Times New Roman"/>
          <w:color w:val="222222"/>
          <w:sz w:val="24"/>
          <w:szCs w:val="24"/>
          <w:highlight w:val="white"/>
        </w:rPr>
        <w:t>. [online] BBC News. Available at: &lt;https://www.bbc.com/news/world-asia-india-55748124&gt;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Bilolikar</w:t>
      </w:r>
      <w:proofErr w:type="spellEnd"/>
      <w:r w:rsidRPr="002E4FC6">
        <w:rPr>
          <w:rFonts w:ascii="Times New Roman" w:hAnsi="Times New Roman" w:cs="Times New Roman"/>
          <w:color w:val="222222"/>
          <w:sz w:val="24"/>
          <w:szCs w:val="24"/>
          <w:highlight w:val="white"/>
        </w:rPr>
        <w:t xml:space="preserve">, A.K., Reddy, S.G., Banerjee, J., Fatima, R. and </w:t>
      </w:r>
      <w:proofErr w:type="spellStart"/>
      <w:r w:rsidRPr="002E4FC6">
        <w:rPr>
          <w:rFonts w:ascii="Times New Roman" w:hAnsi="Times New Roman" w:cs="Times New Roman"/>
          <w:color w:val="222222"/>
          <w:sz w:val="24"/>
          <w:szCs w:val="24"/>
          <w:highlight w:val="white"/>
        </w:rPr>
        <w:t>Poonam</w:t>
      </w:r>
      <w:proofErr w:type="spellEnd"/>
      <w:r w:rsidRPr="002E4FC6">
        <w:rPr>
          <w:rFonts w:ascii="Times New Roman" w:hAnsi="Times New Roman" w:cs="Times New Roman"/>
          <w:color w:val="222222"/>
          <w:sz w:val="24"/>
          <w:szCs w:val="24"/>
          <w:highlight w:val="white"/>
        </w:rPr>
        <w:t xml:space="preserve">, A.R., (2020). Overview of coronavirus-Understanding origin, pathogenesis, clinical features &amp; diagnostic approach to COVID-19 in Indian scenario. </w:t>
      </w:r>
      <w:r w:rsidRPr="002E4FC6">
        <w:rPr>
          <w:rFonts w:ascii="Times New Roman" w:hAnsi="Times New Roman" w:cs="Times New Roman"/>
          <w:i/>
          <w:color w:val="222222"/>
          <w:sz w:val="24"/>
          <w:szCs w:val="24"/>
          <w:highlight w:val="white"/>
        </w:rPr>
        <w:t>J Med Sci Res</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8</w:t>
      </w:r>
      <w:r w:rsidRPr="002E4FC6">
        <w:rPr>
          <w:rFonts w:ascii="Times New Roman" w:hAnsi="Times New Roman" w:cs="Times New Roman"/>
          <w:color w:val="222222"/>
          <w:sz w:val="24"/>
          <w:szCs w:val="24"/>
          <w:highlight w:val="white"/>
        </w:rPr>
        <w:t>(S1), pp.41-52.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Chopra, S., </w:t>
      </w:r>
      <w:proofErr w:type="spellStart"/>
      <w:r w:rsidRPr="002E4FC6">
        <w:rPr>
          <w:rFonts w:ascii="Times New Roman" w:hAnsi="Times New Roman" w:cs="Times New Roman"/>
          <w:color w:val="222222"/>
          <w:sz w:val="24"/>
          <w:szCs w:val="24"/>
          <w:highlight w:val="white"/>
        </w:rPr>
        <w:t>Ranjan</w:t>
      </w:r>
      <w:proofErr w:type="spellEnd"/>
      <w:r w:rsidRPr="002E4FC6">
        <w:rPr>
          <w:rFonts w:ascii="Times New Roman" w:hAnsi="Times New Roman" w:cs="Times New Roman"/>
          <w:color w:val="222222"/>
          <w:sz w:val="24"/>
          <w:szCs w:val="24"/>
          <w:highlight w:val="white"/>
        </w:rPr>
        <w:t xml:space="preserve">, P., Singh, V., Kumar, S., </w:t>
      </w:r>
      <w:proofErr w:type="spellStart"/>
      <w:r w:rsidRPr="002E4FC6">
        <w:rPr>
          <w:rFonts w:ascii="Times New Roman" w:hAnsi="Times New Roman" w:cs="Times New Roman"/>
          <w:color w:val="222222"/>
          <w:sz w:val="24"/>
          <w:szCs w:val="24"/>
          <w:highlight w:val="white"/>
        </w:rPr>
        <w:t>Arora</w:t>
      </w:r>
      <w:proofErr w:type="spellEnd"/>
      <w:r w:rsidRPr="002E4FC6">
        <w:rPr>
          <w:rFonts w:ascii="Times New Roman" w:hAnsi="Times New Roman" w:cs="Times New Roman"/>
          <w:color w:val="222222"/>
          <w:sz w:val="24"/>
          <w:szCs w:val="24"/>
          <w:highlight w:val="white"/>
        </w:rPr>
        <w:t xml:space="preserve">, M., Hasan, M.S., </w:t>
      </w:r>
      <w:proofErr w:type="spellStart"/>
      <w:r w:rsidRPr="002E4FC6">
        <w:rPr>
          <w:rFonts w:ascii="Times New Roman" w:hAnsi="Times New Roman" w:cs="Times New Roman"/>
          <w:color w:val="222222"/>
          <w:sz w:val="24"/>
          <w:szCs w:val="24"/>
          <w:highlight w:val="white"/>
        </w:rPr>
        <w:t>Kasiraj</w:t>
      </w:r>
      <w:proofErr w:type="spellEnd"/>
      <w:r w:rsidRPr="002E4FC6">
        <w:rPr>
          <w:rFonts w:ascii="Times New Roman" w:hAnsi="Times New Roman" w:cs="Times New Roman"/>
          <w:color w:val="222222"/>
          <w:sz w:val="24"/>
          <w:szCs w:val="24"/>
          <w:highlight w:val="white"/>
        </w:rPr>
        <w:t xml:space="preserve">, R., Kaur, D., Vikram, N.K., </w:t>
      </w:r>
      <w:proofErr w:type="spellStart"/>
      <w:r w:rsidRPr="002E4FC6">
        <w:rPr>
          <w:rFonts w:ascii="Times New Roman" w:hAnsi="Times New Roman" w:cs="Times New Roman"/>
          <w:color w:val="222222"/>
          <w:sz w:val="24"/>
          <w:szCs w:val="24"/>
          <w:highlight w:val="white"/>
        </w:rPr>
        <w:t>Malhotra</w:t>
      </w:r>
      <w:proofErr w:type="spellEnd"/>
      <w:r w:rsidRPr="002E4FC6">
        <w:rPr>
          <w:rFonts w:ascii="Times New Roman" w:hAnsi="Times New Roman" w:cs="Times New Roman"/>
          <w:color w:val="222222"/>
          <w:sz w:val="24"/>
          <w:szCs w:val="24"/>
          <w:highlight w:val="white"/>
        </w:rPr>
        <w:t xml:space="preserve">, A. and Kumari, A., (2020). Impact of COVID-19 on lifestyle-related behaviours-a cross-sectional audit of responses from nine hundred and ninety-five participants from India. </w:t>
      </w:r>
      <w:r w:rsidRPr="002E4FC6">
        <w:rPr>
          <w:rFonts w:ascii="Times New Roman" w:hAnsi="Times New Roman" w:cs="Times New Roman"/>
          <w:i/>
          <w:color w:val="222222"/>
          <w:sz w:val="24"/>
          <w:szCs w:val="24"/>
          <w:highlight w:val="white"/>
        </w:rPr>
        <w:t>Diabetes &amp; Metabolic Syndrome: Clinical Research &amp; Reviews</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14</w:t>
      </w:r>
      <w:r w:rsidRPr="002E4FC6">
        <w:rPr>
          <w:rFonts w:ascii="Times New Roman" w:hAnsi="Times New Roman" w:cs="Times New Roman"/>
          <w:color w:val="222222"/>
          <w:sz w:val="24"/>
          <w:szCs w:val="24"/>
          <w:highlight w:val="white"/>
        </w:rPr>
        <w:t>(6), pp.2021-2030.</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Danabal</w:t>
      </w:r>
      <w:proofErr w:type="spellEnd"/>
      <w:r w:rsidRPr="002E4FC6">
        <w:rPr>
          <w:rFonts w:ascii="Times New Roman" w:hAnsi="Times New Roman" w:cs="Times New Roman"/>
          <w:color w:val="222222"/>
          <w:sz w:val="24"/>
          <w:szCs w:val="24"/>
          <w:highlight w:val="white"/>
        </w:rPr>
        <w:t xml:space="preserve">, K.G.M., </w:t>
      </w:r>
      <w:proofErr w:type="spellStart"/>
      <w:r w:rsidRPr="002E4FC6">
        <w:rPr>
          <w:rFonts w:ascii="Times New Roman" w:hAnsi="Times New Roman" w:cs="Times New Roman"/>
          <w:color w:val="222222"/>
          <w:sz w:val="24"/>
          <w:szCs w:val="24"/>
          <w:highlight w:val="white"/>
        </w:rPr>
        <w:t>Magesh</w:t>
      </w:r>
      <w:proofErr w:type="spellEnd"/>
      <w:r w:rsidRPr="002E4FC6">
        <w:rPr>
          <w:rFonts w:ascii="Times New Roman" w:hAnsi="Times New Roman" w:cs="Times New Roman"/>
          <w:color w:val="222222"/>
          <w:sz w:val="24"/>
          <w:szCs w:val="24"/>
          <w:highlight w:val="white"/>
        </w:rPr>
        <w:t xml:space="preserve">, S.S., </w:t>
      </w:r>
      <w:proofErr w:type="spellStart"/>
      <w:r w:rsidRPr="002E4FC6">
        <w:rPr>
          <w:rFonts w:ascii="Times New Roman" w:hAnsi="Times New Roman" w:cs="Times New Roman"/>
          <w:color w:val="222222"/>
          <w:sz w:val="24"/>
          <w:szCs w:val="24"/>
          <w:highlight w:val="white"/>
        </w:rPr>
        <w:t>Saravanan</w:t>
      </w:r>
      <w:proofErr w:type="spellEnd"/>
      <w:r w:rsidRPr="002E4FC6">
        <w:rPr>
          <w:rFonts w:ascii="Times New Roman" w:hAnsi="Times New Roman" w:cs="Times New Roman"/>
          <w:color w:val="222222"/>
          <w:sz w:val="24"/>
          <w:szCs w:val="24"/>
          <w:highlight w:val="white"/>
        </w:rPr>
        <w:t xml:space="preserve">, S. and </w:t>
      </w:r>
      <w:proofErr w:type="spellStart"/>
      <w:r w:rsidRPr="002E4FC6">
        <w:rPr>
          <w:rFonts w:ascii="Times New Roman" w:hAnsi="Times New Roman" w:cs="Times New Roman"/>
          <w:color w:val="222222"/>
          <w:sz w:val="24"/>
          <w:szCs w:val="24"/>
          <w:highlight w:val="white"/>
        </w:rPr>
        <w:t>Gopichandran</w:t>
      </w:r>
      <w:proofErr w:type="spellEnd"/>
      <w:r w:rsidRPr="002E4FC6">
        <w:rPr>
          <w:rFonts w:ascii="Times New Roman" w:hAnsi="Times New Roman" w:cs="Times New Roman"/>
          <w:color w:val="222222"/>
          <w:sz w:val="24"/>
          <w:szCs w:val="24"/>
          <w:highlight w:val="white"/>
        </w:rPr>
        <w:t xml:space="preserve">, V., (2021). Attitude towards COVID 19 vaccines and vaccine hesitancy in urban and rural communities in Tamil Nadu, India–a community based survey. </w:t>
      </w:r>
      <w:r w:rsidRPr="002E4FC6">
        <w:rPr>
          <w:rFonts w:ascii="Times New Roman" w:hAnsi="Times New Roman" w:cs="Times New Roman"/>
          <w:i/>
          <w:color w:val="222222"/>
          <w:sz w:val="24"/>
          <w:szCs w:val="24"/>
          <w:highlight w:val="white"/>
        </w:rPr>
        <w:t>BMC Health Services Research</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21</w:t>
      </w:r>
      <w:r w:rsidRPr="002E4FC6">
        <w:rPr>
          <w:rFonts w:ascii="Times New Roman" w:hAnsi="Times New Roman" w:cs="Times New Roman"/>
          <w:color w:val="222222"/>
          <w:sz w:val="24"/>
          <w:szCs w:val="24"/>
          <w:highlight w:val="white"/>
        </w:rPr>
        <w:t>(1), pp.1-10.</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Gauttam</w:t>
      </w:r>
      <w:proofErr w:type="spellEnd"/>
      <w:r w:rsidRPr="002E4FC6">
        <w:rPr>
          <w:rFonts w:ascii="Times New Roman" w:hAnsi="Times New Roman" w:cs="Times New Roman"/>
          <w:color w:val="222222"/>
          <w:sz w:val="24"/>
          <w:szCs w:val="24"/>
          <w:highlight w:val="white"/>
        </w:rPr>
        <w:t xml:space="preserve">, P., Patel, N., Singh, B., Kaur, J., </w:t>
      </w:r>
      <w:proofErr w:type="spellStart"/>
      <w:r w:rsidRPr="002E4FC6">
        <w:rPr>
          <w:rFonts w:ascii="Times New Roman" w:hAnsi="Times New Roman" w:cs="Times New Roman"/>
          <w:color w:val="222222"/>
          <w:sz w:val="24"/>
          <w:szCs w:val="24"/>
          <w:highlight w:val="white"/>
        </w:rPr>
        <w:t>Chattu</w:t>
      </w:r>
      <w:proofErr w:type="spellEnd"/>
      <w:r w:rsidRPr="002E4FC6">
        <w:rPr>
          <w:rFonts w:ascii="Times New Roman" w:hAnsi="Times New Roman" w:cs="Times New Roman"/>
          <w:color w:val="222222"/>
          <w:sz w:val="24"/>
          <w:szCs w:val="24"/>
          <w:highlight w:val="white"/>
        </w:rPr>
        <w:t xml:space="preserve">, V.K. and </w:t>
      </w:r>
      <w:proofErr w:type="spellStart"/>
      <w:r w:rsidRPr="002E4FC6">
        <w:rPr>
          <w:rFonts w:ascii="Times New Roman" w:hAnsi="Times New Roman" w:cs="Times New Roman"/>
          <w:color w:val="222222"/>
          <w:sz w:val="24"/>
          <w:szCs w:val="24"/>
          <w:highlight w:val="white"/>
        </w:rPr>
        <w:t>Jakovljevic</w:t>
      </w:r>
      <w:proofErr w:type="spellEnd"/>
      <w:r w:rsidRPr="002E4FC6">
        <w:rPr>
          <w:rFonts w:ascii="Times New Roman" w:hAnsi="Times New Roman" w:cs="Times New Roman"/>
          <w:color w:val="222222"/>
          <w:sz w:val="24"/>
          <w:szCs w:val="24"/>
          <w:highlight w:val="white"/>
        </w:rPr>
        <w:t xml:space="preserve">, M., (2021). Public health policy of India and COVID-19: Diagnosis and prognosis of the combating response. </w:t>
      </w:r>
      <w:r w:rsidRPr="002E4FC6">
        <w:rPr>
          <w:rFonts w:ascii="Times New Roman" w:hAnsi="Times New Roman" w:cs="Times New Roman"/>
          <w:i/>
          <w:color w:val="222222"/>
          <w:sz w:val="24"/>
          <w:szCs w:val="24"/>
          <w:highlight w:val="white"/>
        </w:rPr>
        <w:t>Sustainability</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13</w:t>
      </w:r>
      <w:r w:rsidRPr="002E4FC6">
        <w:rPr>
          <w:rFonts w:ascii="Times New Roman" w:hAnsi="Times New Roman" w:cs="Times New Roman"/>
          <w:color w:val="222222"/>
          <w:sz w:val="24"/>
          <w:szCs w:val="24"/>
          <w:highlight w:val="white"/>
        </w:rPr>
        <w:t>(6), p.3415.</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GOV.UK, (2021). </w:t>
      </w:r>
      <w:r w:rsidRPr="002E4FC6">
        <w:rPr>
          <w:rFonts w:ascii="Times New Roman" w:hAnsi="Times New Roman" w:cs="Times New Roman"/>
          <w:i/>
          <w:color w:val="222222"/>
          <w:sz w:val="24"/>
          <w:szCs w:val="24"/>
          <w:highlight w:val="white"/>
        </w:rPr>
        <w:t>Wider Impacts of COVID-19</w:t>
      </w:r>
      <w:r w:rsidRPr="002E4FC6">
        <w:rPr>
          <w:rFonts w:ascii="Times New Roman" w:hAnsi="Times New Roman" w:cs="Times New Roman"/>
          <w:color w:val="222222"/>
          <w:sz w:val="24"/>
          <w:szCs w:val="24"/>
          <w:highlight w:val="white"/>
        </w:rPr>
        <w:t>. [online] Analytics.phe.gov.uk. Available at: &lt;https://analytics.phe.gov.uk/apps/covid-19-indirect-effects/&gt;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GOV.UK, (2021a). </w:t>
      </w:r>
      <w:r w:rsidRPr="002E4FC6">
        <w:rPr>
          <w:rFonts w:ascii="Times New Roman" w:hAnsi="Times New Roman" w:cs="Times New Roman"/>
          <w:i/>
          <w:color w:val="222222"/>
          <w:sz w:val="24"/>
          <w:szCs w:val="24"/>
          <w:highlight w:val="white"/>
        </w:rPr>
        <w:t>COVID-19: management of staff and exposed patients or residents in health and social care settings</w:t>
      </w:r>
      <w:r w:rsidRPr="002E4FC6">
        <w:rPr>
          <w:rFonts w:ascii="Times New Roman" w:hAnsi="Times New Roman" w:cs="Times New Roman"/>
          <w:color w:val="222222"/>
          <w:sz w:val="24"/>
          <w:szCs w:val="24"/>
          <w:highlight w:val="white"/>
        </w:rPr>
        <w:t>. [online] GOV.UK. Available at: &lt;https://www.gov.uk/government/publications/covid-19-management-of-exposed-healthcare-workers-and-patients-in-hospital-settings/covid-19-management-of-exposed-healthcare-workers-and-patients-in-hospital-settings&gt;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GOV.UK, (2021b). </w:t>
      </w:r>
      <w:r w:rsidRPr="002E4FC6">
        <w:rPr>
          <w:rFonts w:ascii="Times New Roman" w:hAnsi="Times New Roman" w:cs="Times New Roman"/>
          <w:i/>
          <w:color w:val="222222"/>
          <w:sz w:val="24"/>
          <w:szCs w:val="24"/>
          <w:highlight w:val="white"/>
        </w:rPr>
        <w:t>Infection prevention and control for seasonal respiratory infections in health and care settings (including SARS-CoV-2) for winter 2021 to 2022</w:t>
      </w:r>
      <w:r w:rsidRPr="002E4FC6">
        <w:rPr>
          <w:rFonts w:ascii="Times New Roman" w:hAnsi="Times New Roman" w:cs="Times New Roman"/>
          <w:color w:val="222222"/>
          <w:sz w:val="24"/>
          <w:szCs w:val="24"/>
          <w:highlight w:val="white"/>
        </w:rPr>
        <w:t>. [online] GOV.UK. Available at: &lt;https://www.gov.uk/government/publications/wuhan-novel-coronavirus-</w:t>
      </w:r>
      <w:r w:rsidRPr="002E4FC6">
        <w:rPr>
          <w:rFonts w:ascii="Times New Roman" w:hAnsi="Times New Roman" w:cs="Times New Roman"/>
          <w:color w:val="222222"/>
          <w:sz w:val="24"/>
          <w:szCs w:val="24"/>
          <w:highlight w:val="white"/>
        </w:rPr>
        <w:lastRenderedPageBreak/>
        <w:t>infection-prevention-and-control/covid-19-guidance-for-maintaining-services-within-health-and-care-settings-infection-prevention-and-control-recommendations&gt;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GOV.UK, (2022a). [online] Coronavirus.data.gov.uk. Available at: &lt;https://coronavirus.data.gov.uk/details/vaccinations&gt;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GOV.UK, (2022b). </w:t>
      </w:r>
      <w:r w:rsidRPr="002E4FC6">
        <w:rPr>
          <w:rFonts w:ascii="Times New Roman" w:hAnsi="Times New Roman" w:cs="Times New Roman"/>
          <w:i/>
          <w:color w:val="222222"/>
          <w:sz w:val="24"/>
          <w:szCs w:val="24"/>
          <w:highlight w:val="white"/>
        </w:rPr>
        <w:t>Get a free PCR test to check if you have coronavirus (COVID-19)</w:t>
      </w:r>
      <w:r w:rsidRPr="002E4FC6">
        <w:rPr>
          <w:rFonts w:ascii="Times New Roman" w:hAnsi="Times New Roman" w:cs="Times New Roman"/>
          <w:color w:val="222222"/>
          <w:sz w:val="24"/>
          <w:szCs w:val="24"/>
          <w:highlight w:val="white"/>
        </w:rPr>
        <w:t>. [online] GOV.UK. Available at: &lt;https://www.gov.uk/get-coronavirus-test&gt;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Greenberg, N., </w:t>
      </w:r>
      <w:proofErr w:type="spellStart"/>
      <w:r w:rsidRPr="002E4FC6">
        <w:rPr>
          <w:rFonts w:ascii="Times New Roman" w:hAnsi="Times New Roman" w:cs="Times New Roman"/>
          <w:color w:val="222222"/>
          <w:sz w:val="24"/>
          <w:szCs w:val="24"/>
          <w:highlight w:val="white"/>
        </w:rPr>
        <w:t>Docherty</w:t>
      </w:r>
      <w:proofErr w:type="spellEnd"/>
      <w:r w:rsidRPr="002E4FC6">
        <w:rPr>
          <w:rFonts w:ascii="Times New Roman" w:hAnsi="Times New Roman" w:cs="Times New Roman"/>
          <w:color w:val="222222"/>
          <w:sz w:val="24"/>
          <w:szCs w:val="24"/>
          <w:highlight w:val="white"/>
        </w:rPr>
        <w:t xml:space="preserve">, M., </w:t>
      </w:r>
      <w:proofErr w:type="spellStart"/>
      <w:r w:rsidRPr="002E4FC6">
        <w:rPr>
          <w:rFonts w:ascii="Times New Roman" w:hAnsi="Times New Roman" w:cs="Times New Roman"/>
          <w:color w:val="222222"/>
          <w:sz w:val="24"/>
          <w:szCs w:val="24"/>
          <w:highlight w:val="white"/>
        </w:rPr>
        <w:t>Gnanapragasam</w:t>
      </w:r>
      <w:proofErr w:type="spellEnd"/>
      <w:r w:rsidRPr="002E4FC6">
        <w:rPr>
          <w:rFonts w:ascii="Times New Roman" w:hAnsi="Times New Roman" w:cs="Times New Roman"/>
          <w:color w:val="222222"/>
          <w:sz w:val="24"/>
          <w:szCs w:val="24"/>
          <w:highlight w:val="white"/>
        </w:rPr>
        <w:t xml:space="preserve">, S. and </w:t>
      </w:r>
      <w:proofErr w:type="spellStart"/>
      <w:r w:rsidRPr="002E4FC6">
        <w:rPr>
          <w:rFonts w:ascii="Times New Roman" w:hAnsi="Times New Roman" w:cs="Times New Roman"/>
          <w:color w:val="222222"/>
          <w:sz w:val="24"/>
          <w:szCs w:val="24"/>
          <w:highlight w:val="white"/>
        </w:rPr>
        <w:t>Wessely</w:t>
      </w:r>
      <w:proofErr w:type="spellEnd"/>
      <w:r w:rsidRPr="002E4FC6">
        <w:rPr>
          <w:rFonts w:ascii="Times New Roman" w:hAnsi="Times New Roman" w:cs="Times New Roman"/>
          <w:color w:val="222222"/>
          <w:sz w:val="24"/>
          <w:szCs w:val="24"/>
          <w:highlight w:val="white"/>
        </w:rPr>
        <w:t xml:space="preserve">, S., (2020). Managing mental health challenges faced by healthcare workers during covid-19 pandemic. </w:t>
      </w:r>
      <w:proofErr w:type="spellStart"/>
      <w:r w:rsidRPr="002E4FC6">
        <w:rPr>
          <w:rFonts w:ascii="Times New Roman" w:hAnsi="Times New Roman" w:cs="Times New Roman"/>
          <w:i/>
          <w:color w:val="222222"/>
          <w:sz w:val="24"/>
          <w:szCs w:val="24"/>
          <w:highlight w:val="white"/>
        </w:rPr>
        <w:t>bmj</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368</w:t>
      </w:r>
      <w:r w:rsidRPr="002E4FC6">
        <w:rPr>
          <w:rFonts w:ascii="Times New Roman" w:hAnsi="Times New Roman" w:cs="Times New Roman"/>
          <w:color w:val="222222"/>
          <w:sz w:val="24"/>
          <w:szCs w:val="24"/>
          <w:highlight w:val="white"/>
        </w:rPr>
        <w:t>.</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ICMR, (2020). [online] </w:t>
      </w:r>
      <w:proofErr w:type="spellStart"/>
      <w:r w:rsidRPr="002E4FC6">
        <w:rPr>
          <w:rFonts w:ascii="Times New Roman" w:hAnsi="Times New Roman" w:cs="Times New Roman"/>
          <w:color w:val="222222"/>
          <w:sz w:val="24"/>
          <w:szCs w:val="24"/>
          <w:highlight w:val="white"/>
        </w:rPr>
        <w:t>Icmr.gov.in</w:t>
      </w:r>
      <w:proofErr w:type="spellEnd"/>
      <w:r w:rsidRPr="002E4FC6">
        <w:rPr>
          <w:rFonts w:ascii="Times New Roman" w:hAnsi="Times New Roman" w:cs="Times New Roman"/>
          <w:color w:val="222222"/>
          <w:sz w:val="24"/>
          <w:szCs w:val="24"/>
          <w:highlight w:val="white"/>
        </w:rPr>
        <w:t>. Available at: &lt;https://www.icmr.gov.in/pdf/covid/strategy/Testing_Strategy_v6_04092020.pdf&gt;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Lillie, P.J., Samson, A., Li, A., Adams, K., </w:t>
      </w:r>
      <w:proofErr w:type="spellStart"/>
      <w:r w:rsidRPr="002E4FC6">
        <w:rPr>
          <w:rFonts w:ascii="Times New Roman" w:hAnsi="Times New Roman" w:cs="Times New Roman"/>
          <w:color w:val="222222"/>
          <w:sz w:val="24"/>
          <w:szCs w:val="24"/>
          <w:highlight w:val="white"/>
        </w:rPr>
        <w:t>Capstick</w:t>
      </w:r>
      <w:proofErr w:type="spellEnd"/>
      <w:r w:rsidRPr="002E4FC6">
        <w:rPr>
          <w:rFonts w:ascii="Times New Roman" w:hAnsi="Times New Roman" w:cs="Times New Roman"/>
          <w:color w:val="222222"/>
          <w:sz w:val="24"/>
          <w:szCs w:val="24"/>
          <w:highlight w:val="white"/>
        </w:rPr>
        <w:t xml:space="preserve">, R., Barlow, G.D., </w:t>
      </w:r>
      <w:proofErr w:type="spellStart"/>
      <w:r w:rsidRPr="002E4FC6">
        <w:rPr>
          <w:rFonts w:ascii="Times New Roman" w:hAnsi="Times New Roman" w:cs="Times New Roman"/>
          <w:color w:val="222222"/>
          <w:sz w:val="24"/>
          <w:szCs w:val="24"/>
          <w:highlight w:val="white"/>
        </w:rPr>
        <w:t>Easom</w:t>
      </w:r>
      <w:proofErr w:type="spellEnd"/>
      <w:r w:rsidRPr="002E4FC6">
        <w:rPr>
          <w:rFonts w:ascii="Times New Roman" w:hAnsi="Times New Roman" w:cs="Times New Roman"/>
          <w:color w:val="222222"/>
          <w:sz w:val="24"/>
          <w:szCs w:val="24"/>
          <w:highlight w:val="white"/>
        </w:rPr>
        <w:t xml:space="preserve">, N., Hamilton, E., Moss, P.J., Evans, A. and Ivan, M., (2020). Novel coronavirus disease (Covid-19): the first two patients in the UK with person to person transmission. </w:t>
      </w:r>
      <w:r w:rsidRPr="002E4FC6">
        <w:rPr>
          <w:rFonts w:ascii="Times New Roman" w:hAnsi="Times New Roman" w:cs="Times New Roman"/>
          <w:i/>
          <w:color w:val="222222"/>
          <w:sz w:val="24"/>
          <w:szCs w:val="24"/>
          <w:highlight w:val="white"/>
        </w:rPr>
        <w:t>The Journal of infection</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80</w:t>
      </w:r>
      <w:r w:rsidRPr="002E4FC6">
        <w:rPr>
          <w:rFonts w:ascii="Times New Roman" w:hAnsi="Times New Roman" w:cs="Times New Roman"/>
          <w:color w:val="222222"/>
          <w:sz w:val="24"/>
          <w:szCs w:val="24"/>
          <w:highlight w:val="white"/>
        </w:rPr>
        <w:t>(5), p.578.</w:t>
      </w:r>
    </w:p>
    <w:p w:rsidR="002E4FC6" w:rsidRPr="002E4FC6" w:rsidRDefault="002E4FC6" w:rsidP="002E4FC6">
      <w:pPr>
        <w:pStyle w:val="Normal1"/>
        <w:spacing w:line="360" w:lineRule="auto"/>
        <w:jc w:val="both"/>
        <w:rPr>
          <w:rFonts w:ascii="Times New Roman" w:eastAsia="Times New Roman" w:hAnsi="Times New Roman" w:cs="Times New Roman"/>
          <w:sz w:val="24"/>
          <w:szCs w:val="24"/>
        </w:rPr>
      </w:pPr>
      <w:proofErr w:type="spellStart"/>
      <w:r w:rsidRPr="002E4FC6">
        <w:rPr>
          <w:rFonts w:ascii="Times New Roman" w:eastAsia="Times New Roman" w:hAnsi="Times New Roman" w:cs="Times New Roman"/>
          <w:color w:val="222222"/>
          <w:sz w:val="24"/>
          <w:szCs w:val="24"/>
          <w:highlight w:val="white"/>
        </w:rPr>
        <w:t>Naughton</w:t>
      </w:r>
      <w:proofErr w:type="spellEnd"/>
      <w:r w:rsidRPr="002E4FC6">
        <w:rPr>
          <w:rFonts w:ascii="Times New Roman" w:eastAsia="Times New Roman" w:hAnsi="Times New Roman" w:cs="Times New Roman"/>
          <w:color w:val="222222"/>
          <w:sz w:val="24"/>
          <w:szCs w:val="24"/>
          <w:highlight w:val="white"/>
        </w:rPr>
        <w:t xml:space="preserve">, F., Ward, E., </w:t>
      </w:r>
      <w:proofErr w:type="spellStart"/>
      <w:r w:rsidRPr="002E4FC6">
        <w:rPr>
          <w:rFonts w:ascii="Times New Roman" w:eastAsia="Times New Roman" w:hAnsi="Times New Roman" w:cs="Times New Roman"/>
          <w:color w:val="222222"/>
          <w:sz w:val="24"/>
          <w:szCs w:val="24"/>
          <w:highlight w:val="white"/>
        </w:rPr>
        <w:t>Khondoker</w:t>
      </w:r>
      <w:proofErr w:type="spellEnd"/>
      <w:r w:rsidRPr="002E4FC6">
        <w:rPr>
          <w:rFonts w:ascii="Times New Roman" w:eastAsia="Times New Roman" w:hAnsi="Times New Roman" w:cs="Times New Roman"/>
          <w:color w:val="222222"/>
          <w:sz w:val="24"/>
          <w:szCs w:val="24"/>
          <w:highlight w:val="white"/>
        </w:rPr>
        <w:t xml:space="preserve">, M., </w:t>
      </w:r>
      <w:proofErr w:type="spellStart"/>
      <w:r w:rsidRPr="002E4FC6">
        <w:rPr>
          <w:rFonts w:ascii="Times New Roman" w:eastAsia="Times New Roman" w:hAnsi="Times New Roman" w:cs="Times New Roman"/>
          <w:color w:val="222222"/>
          <w:sz w:val="24"/>
          <w:szCs w:val="24"/>
          <w:highlight w:val="white"/>
        </w:rPr>
        <w:t>Belderson</w:t>
      </w:r>
      <w:proofErr w:type="spellEnd"/>
      <w:r w:rsidRPr="002E4FC6">
        <w:rPr>
          <w:rFonts w:ascii="Times New Roman" w:eastAsia="Times New Roman" w:hAnsi="Times New Roman" w:cs="Times New Roman"/>
          <w:color w:val="222222"/>
          <w:sz w:val="24"/>
          <w:szCs w:val="24"/>
          <w:highlight w:val="white"/>
        </w:rPr>
        <w:t xml:space="preserve">, P., Marie </w:t>
      </w:r>
      <w:proofErr w:type="spellStart"/>
      <w:r w:rsidRPr="002E4FC6">
        <w:rPr>
          <w:rFonts w:ascii="Times New Roman" w:eastAsia="Times New Roman" w:hAnsi="Times New Roman" w:cs="Times New Roman"/>
          <w:color w:val="222222"/>
          <w:sz w:val="24"/>
          <w:szCs w:val="24"/>
          <w:highlight w:val="white"/>
        </w:rPr>
        <w:t>Minihane</w:t>
      </w:r>
      <w:proofErr w:type="spellEnd"/>
      <w:r w:rsidRPr="002E4FC6">
        <w:rPr>
          <w:rFonts w:ascii="Times New Roman" w:eastAsia="Times New Roman" w:hAnsi="Times New Roman" w:cs="Times New Roman"/>
          <w:color w:val="222222"/>
          <w:sz w:val="24"/>
          <w:szCs w:val="24"/>
          <w:highlight w:val="white"/>
        </w:rPr>
        <w:t xml:space="preserve">, A., Dainty, J., Hanson, S., Holland, R., Brown, T. and </w:t>
      </w:r>
      <w:proofErr w:type="spellStart"/>
      <w:r w:rsidRPr="002E4FC6">
        <w:rPr>
          <w:rFonts w:ascii="Times New Roman" w:eastAsia="Times New Roman" w:hAnsi="Times New Roman" w:cs="Times New Roman"/>
          <w:color w:val="222222"/>
          <w:sz w:val="24"/>
          <w:szCs w:val="24"/>
          <w:highlight w:val="white"/>
        </w:rPr>
        <w:t>Notley</w:t>
      </w:r>
      <w:proofErr w:type="spellEnd"/>
      <w:r w:rsidRPr="002E4FC6">
        <w:rPr>
          <w:rFonts w:ascii="Times New Roman" w:eastAsia="Times New Roman" w:hAnsi="Times New Roman" w:cs="Times New Roman"/>
          <w:color w:val="222222"/>
          <w:sz w:val="24"/>
          <w:szCs w:val="24"/>
          <w:highlight w:val="white"/>
        </w:rPr>
        <w:t xml:space="preserve">, C., (2021). Health behaviour change during the UK COVID‐19 lockdown: Findings from the first wave of the C‐19 health behaviour and well‐being daily tracker study. </w:t>
      </w:r>
      <w:r w:rsidRPr="002E4FC6">
        <w:rPr>
          <w:rFonts w:ascii="Times New Roman" w:eastAsia="Times New Roman" w:hAnsi="Times New Roman" w:cs="Times New Roman"/>
          <w:i/>
          <w:color w:val="222222"/>
          <w:sz w:val="24"/>
          <w:szCs w:val="24"/>
          <w:highlight w:val="white"/>
        </w:rPr>
        <w:t>British Journal of Health Psychology</w:t>
      </w:r>
      <w:r w:rsidRPr="002E4FC6">
        <w:rPr>
          <w:rFonts w:ascii="Times New Roman" w:eastAsia="Times New Roman" w:hAnsi="Times New Roman" w:cs="Times New Roman"/>
          <w:color w:val="222222"/>
          <w:sz w:val="24"/>
          <w:szCs w:val="24"/>
          <w:highlight w:val="white"/>
        </w:rPr>
        <w:t xml:space="preserve">, </w:t>
      </w:r>
      <w:r w:rsidRPr="002E4FC6">
        <w:rPr>
          <w:rFonts w:ascii="Times New Roman" w:eastAsia="Times New Roman" w:hAnsi="Times New Roman" w:cs="Times New Roman"/>
          <w:i/>
          <w:color w:val="222222"/>
          <w:sz w:val="24"/>
          <w:szCs w:val="24"/>
          <w:highlight w:val="white"/>
        </w:rPr>
        <w:t>26</w:t>
      </w:r>
      <w:r w:rsidRPr="002E4FC6">
        <w:rPr>
          <w:rFonts w:ascii="Times New Roman" w:eastAsia="Times New Roman" w:hAnsi="Times New Roman" w:cs="Times New Roman"/>
          <w:color w:val="222222"/>
          <w:sz w:val="24"/>
          <w:szCs w:val="24"/>
          <w:highlight w:val="white"/>
        </w:rPr>
        <w:t>(2), pp.624-643.</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Nomani</w:t>
      </w:r>
      <w:proofErr w:type="spellEnd"/>
      <w:r w:rsidRPr="002E4FC6">
        <w:rPr>
          <w:rFonts w:ascii="Times New Roman" w:hAnsi="Times New Roman" w:cs="Times New Roman"/>
          <w:color w:val="222222"/>
          <w:sz w:val="24"/>
          <w:szCs w:val="24"/>
          <w:highlight w:val="white"/>
        </w:rPr>
        <w:t xml:space="preserve">, M.Z.M. and </w:t>
      </w:r>
      <w:proofErr w:type="spellStart"/>
      <w:r w:rsidRPr="002E4FC6">
        <w:rPr>
          <w:rFonts w:ascii="Times New Roman" w:hAnsi="Times New Roman" w:cs="Times New Roman"/>
          <w:color w:val="222222"/>
          <w:sz w:val="24"/>
          <w:szCs w:val="24"/>
          <w:highlight w:val="white"/>
        </w:rPr>
        <w:t>Parveen</w:t>
      </w:r>
      <w:proofErr w:type="spellEnd"/>
      <w:r w:rsidRPr="002E4FC6">
        <w:rPr>
          <w:rFonts w:ascii="Times New Roman" w:hAnsi="Times New Roman" w:cs="Times New Roman"/>
          <w:color w:val="222222"/>
          <w:sz w:val="24"/>
          <w:szCs w:val="24"/>
          <w:highlight w:val="white"/>
        </w:rPr>
        <w:t xml:space="preserve">, R., (2020). Medico-legal insights into COVID-19 pandemic and the platter of health law reform in India. </w:t>
      </w:r>
      <w:r w:rsidRPr="002E4FC6">
        <w:rPr>
          <w:rFonts w:ascii="Times New Roman" w:hAnsi="Times New Roman" w:cs="Times New Roman"/>
          <w:i/>
          <w:color w:val="222222"/>
          <w:sz w:val="24"/>
          <w:szCs w:val="24"/>
          <w:highlight w:val="white"/>
        </w:rPr>
        <w:t>International Journal of Pharmaceutical Research</w:t>
      </w:r>
      <w:r w:rsidRPr="002E4FC6">
        <w:rPr>
          <w:rFonts w:ascii="Times New Roman" w:hAnsi="Times New Roman" w:cs="Times New Roman"/>
          <w:color w:val="222222"/>
          <w:sz w:val="24"/>
          <w:szCs w:val="24"/>
          <w:highlight w:val="white"/>
        </w:rPr>
        <w:t>, pp.2328-2332.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Pugh, J., (2020). The United Kingdom’s Coronavirus Act, deprivations of liberty, and the right to liberty and security of the person. </w:t>
      </w:r>
      <w:r w:rsidRPr="002E4FC6">
        <w:rPr>
          <w:rFonts w:ascii="Times New Roman" w:hAnsi="Times New Roman" w:cs="Times New Roman"/>
          <w:i/>
          <w:color w:val="222222"/>
          <w:sz w:val="24"/>
          <w:szCs w:val="24"/>
          <w:highlight w:val="white"/>
        </w:rPr>
        <w:t>Journal of Law and the Biosciences</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7</w:t>
      </w:r>
      <w:r w:rsidRPr="002E4FC6">
        <w:rPr>
          <w:rFonts w:ascii="Times New Roman" w:hAnsi="Times New Roman" w:cs="Times New Roman"/>
          <w:color w:val="222222"/>
          <w:sz w:val="24"/>
          <w:szCs w:val="24"/>
          <w:highlight w:val="white"/>
        </w:rPr>
        <w:t xml:space="preserve">(1), </w:t>
      </w:r>
      <w:proofErr w:type="spellStart"/>
      <w:r w:rsidRPr="002E4FC6">
        <w:rPr>
          <w:rFonts w:ascii="Times New Roman" w:hAnsi="Times New Roman" w:cs="Times New Roman"/>
          <w:color w:val="222222"/>
          <w:sz w:val="24"/>
          <w:szCs w:val="24"/>
          <w:highlight w:val="white"/>
        </w:rPr>
        <w:t>p.lsaa011</w:t>
      </w:r>
      <w:proofErr w:type="spellEnd"/>
      <w:r w:rsidRPr="002E4FC6">
        <w:rPr>
          <w:rFonts w:ascii="Times New Roman" w:hAnsi="Times New Roman" w:cs="Times New Roman"/>
          <w:color w:val="222222"/>
          <w:sz w:val="24"/>
          <w:szCs w:val="24"/>
          <w:highlight w:val="white"/>
        </w:rPr>
        <w:t>.</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Reuters, (2021). [online] Available at: &lt;https://www.reuters.com/world/uk/uk-is-monitoring-covid-19-data-closely-act-if-necessary-health-minister-2021-12-19/&gt;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Sample, I. and Walker, P., (2021). </w:t>
      </w:r>
      <w:r w:rsidRPr="002E4FC6">
        <w:rPr>
          <w:rFonts w:ascii="Times New Roman" w:hAnsi="Times New Roman" w:cs="Times New Roman"/>
          <w:i/>
          <w:color w:val="222222"/>
          <w:sz w:val="24"/>
          <w:szCs w:val="24"/>
          <w:highlight w:val="white"/>
        </w:rPr>
        <w:t>Covid response ‘one of UK’s worst ever public health failures’</w:t>
      </w:r>
      <w:r w:rsidRPr="002E4FC6">
        <w:rPr>
          <w:rFonts w:ascii="Times New Roman" w:hAnsi="Times New Roman" w:cs="Times New Roman"/>
          <w:color w:val="222222"/>
          <w:sz w:val="24"/>
          <w:szCs w:val="24"/>
          <w:highlight w:val="white"/>
        </w:rPr>
        <w:t>. [online] the Guardian. Available at: &lt;https://www.theguardian.com/politics/2021/oct/12/covid-response-one-of-uks-worst-ever-public-health-failures&gt;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lastRenderedPageBreak/>
        <w:t xml:space="preserve">Sian, S. and Smyth, S., (2021). Supreme emergencies and public accountability: the case of procurement in the UK during the Covid-19 pandemic. </w:t>
      </w:r>
      <w:r w:rsidRPr="002E4FC6">
        <w:rPr>
          <w:rFonts w:ascii="Times New Roman" w:hAnsi="Times New Roman" w:cs="Times New Roman"/>
          <w:i/>
          <w:color w:val="222222"/>
          <w:sz w:val="24"/>
          <w:szCs w:val="24"/>
          <w:highlight w:val="white"/>
        </w:rPr>
        <w:t>Accounting, Auditing &amp; Accountability Journal</w:t>
      </w:r>
      <w:r w:rsidRPr="002E4FC6">
        <w:rPr>
          <w:rFonts w:ascii="Times New Roman" w:hAnsi="Times New Roman" w:cs="Times New Roman"/>
          <w:color w:val="222222"/>
          <w:sz w:val="24"/>
          <w:szCs w:val="24"/>
          <w:highlight w:val="white"/>
        </w:rPr>
        <w:t>.</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Smith, L.E., Potts, H.W., </w:t>
      </w:r>
      <w:proofErr w:type="spellStart"/>
      <w:r w:rsidRPr="002E4FC6">
        <w:rPr>
          <w:rFonts w:ascii="Times New Roman" w:hAnsi="Times New Roman" w:cs="Times New Roman"/>
          <w:color w:val="222222"/>
          <w:sz w:val="24"/>
          <w:szCs w:val="24"/>
          <w:highlight w:val="white"/>
        </w:rPr>
        <w:t>Amlot</w:t>
      </w:r>
      <w:proofErr w:type="spellEnd"/>
      <w:r w:rsidRPr="002E4FC6">
        <w:rPr>
          <w:rFonts w:ascii="Times New Roman" w:hAnsi="Times New Roman" w:cs="Times New Roman"/>
          <w:color w:val="222222"/>
          <w:sz w:val="24"/>
          <w:szCs w:val="24"/>
          <w:highlight w:val="white"/>
        </w:rPr>
        <w:t xml:space="preserve">, R., Fear, N.T., </w:t>
      </w:r>
      <w:proofErr w:type="spellStart"/>
      <w:r w:rsidRPr="002E4FC6">
        <w:rPr>
          <w:rFonts w:ascii="Times New Roman" w:hAnsi="Times New Roman" w:cs="Times New Roman"/>
          <w:color w:val="222222"/>
          <w:sz w:val="24"/>
          <w:szCs w:val="24"/>
          <w:highlight w:val="white"/>
        </w:rPr>
        <w:t>Michie</w:t>
      </w:r>
      <w:proofErr w:type="spellEnd"/>
      <w:r w:rsidRPr="002E4FC6">
        <w:rPr>
          <w:rFonts w:ascii="Times New Roman" w:hAnsi="Times New Roman" w:cs="Times New Roman"/>
          <w:color w:val="222222"/>
          <w:sz w:val="24"/>
          <w:szCs w:val="24"/>
          <w:highlight w:val="white"/>
        </w:rPr>
        <w:t xml:space="preserve">, S. and Rubin, G.J., (2021). Adherence to the test, trace, and isolate system in the UK: results from 37 nationally representative surveys. </w:t>
      </w:r>
      <w:proofErr w:type="spellStart"/>
      <w:r w:rsidRPr="002E4FC6">
        <w:rPr>
          <w:rFonts w:ascii="Times New Roman" w:hAnsi="Times New Roman" w:cs="Times New Roman"/>
          <w:i/>
          <w:color w:val="222222"/>
          <w:sz w:val="24"/>
          <w:szCs w:val="24"/>
          <w:highlight w:val="white"/>
        </w:rPr>
        <w:t>bmj</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372</w:t>
      </w:r>
      <w:r w:rsidRPr="002E4FC6">
        <w:rPr>
          <w:rFonts w:ascii="Times New Roman" w:hAnsi="Times New Roman" w:cs="Times New Roman"/>
          <w:color w:val="222222"/>
          <w:sz w:val="24"/>
          <w:szCs w:val="24"/>
          <w:highlight w:val="white"/>
        </w:rPr>
        <w:t>.</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Steed, A., Ortega, F.R., Williams, A.S., </w:t>
      </w:r>
      <w:proofErr w:type="spellStart"/>
      <w:r w:rsidRPr="002E4FC6">
        <w:rPr>
          <w:rFonts w:ascii="Times New Roman" w:hAnsi="Times New Roman" w:cs="Times New Roman"/>
          <w:color w:val="222222"/>
          <w:sz w:val="24"/>
          <w:szCs w:val="24"/>
          <w:highlight w:val="white"/>
        </w:rPr>
        <w:t>Kruijff</w:t>
      </w:r>
      <w:proofErr w:type="spellEnd"/>
      <w:r w:rsidRPr="002E4FC6">
        <w:rPr>
          <w:rFonts w:ascii="Times New Roman" w:hAnsi="Times New Roman" w:cs="Times New Roman"/>
          <w:color w:val="222222"/>
          <w:sz w:val="24"/>
          <w:szCs w:val="24"/>
          <w:highlight w:val="white"/>
        </w:rPr>
        <w:t xml:space="preserve">, E., </w:t>
      </w:r>
      <w:proofErr w:type="spellStart"/>
      <w:r w:rsidRPr="002E4FC6">
        <w:rPr>
          <w:rFonts w:ascii="Times New Roman" w:hAnsi="Times New Roman" w:cs="Times New Roman"/>
          <w:color w:val="222222"/>
          <w:sz w:val="24"/>
          <w:szCs w:val="24"/>
          <w:highlight w:val="white"/>
        </w:rPr>
        <w:t>Stuerzlinger</w:t>
      </w:r>
      <w:proofErr w:type="spellEnd"/>
      <w:r w:rsidRPr="002E4FC6">
        <w:rPr>
          <w:rFonts w:ascii="Times New Roman" w:hAnsi="Times New Roman" w:cs="Times New Roman"/>
          <w:color w:val="222222"/>
          <w:sz w:val="24"/>
          <w:szCs w:val="24"/>
          <w:highlight w:val="white"/>
        </w:rPr>
        <w:t xml:space="preserve">, W., </w:t>
      </w:r>
      <w:proofErr w:type="spellStart"/>
      <w:r w:rsidRPr="002E4FC6">
        <w:rPr>
          <w:rFonts w:ascii="Times New Roman" w:hAnsi="Times New Roman" w:cs="Times New Roman"/>
          <w:color w:val="222222"/>
          <w:sz w:val="24"/>
          <w:szCs w:val="24"/>
          <w:highlight w:val="white"/>
        </w:rPr>
        <w:t>Batmaz</w:t>
      </w:r>
      <w:proofErr w:type="spellEnd"/>
      <w:r w:rsidRPr="002E4FC6">
        <w:rPr>
          <w:rFonts w:ascii="Times New Roman" w:hAnsi="Times New Roman" w:cs="Times New Roman"/>
          <w:color w:val="222222"/>
          <w:sz w:val="24"/>
          <w:szCs w:val="24"/>
          <w:highlight w:val="white"/>
        </w:rPr>
        <w:t xml:space="preserve">, A.U., Won, A.S., Rosenberg, E.S., </w:t>
      </w:r>
      <w:proofErr w:type="spellStart"/>
      <w:r w:rsidRPr="002E4FC6">
        <w:rPr>
          <w:rFonts w:ascii="Times New Roman" w:hAnsi="Times New Roman" w:cs="Times New Roman"/>
          <w:color w:val="222222"/>
          <w:sz w:val="24"/>
          <w:szCs w:val="24"/>
          <w:highlight w:val="white"/>
        </w:rPr>
        <w:t>Simeone</w:t>
      </w:r>
      <w:proofErr w:type="spellEnd"/>
      <w:r w:rsidRPr="002E4FC6">
        <w:rPr>
          <w:rFonts w:ascii="Times New Roman" w:hAnsi="Times New Roman" w:cs="Times New Roman"/>
          <w:color w:val="222222"/>
          <w:sz w:val="24"/>
          <w:szCs w:val="24"/>
          <w:highlight w:val="white"/>
        </w:rPr>
        <w:t xml:space="preserve">, A.L. and Hayes, A., (2020). Evaluating immersive experiences during Covid-19 and beyond. </w:t>
      </w:r>
      <w:r w:rsidRPr="002E4FC6">
        <w:rPr>
          <w:rFonts w:ascii="Times New Roman" w:hAnsi="Times New Roman" w:cs="Times New Roman"/>
          <w:i/>
          <w:color w:val="222222"/>
          <w:sz w:val="24"/>
          <w:szCs w:val="24"/>
          <w:highlight w:val="white"/>
        </w:rPr>
        <w:t>interactions</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27</w:t>
      </w:r>
      <w:r w:rsidRPr="002E4FC6">
        <w:rPr>
          <w:rFonts w:ascii="Times New Roman" w:hAnsi="Times New Roman" w:cs="Times New Roman"/>
          <w:color w:val="222222"/>
          <w:sz w:val="24"/>
          <w:szCs w:val="24"/>
          <w:highlight w:val="white"/>
        </w:rPr>
        <w:t>(4), pp.62-67.</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Suryavanshi</w:t>
      </w:r>
      <w:proofErr w:type="spellEnd"/>
      <w:r w:rsidRPr="002E4FC6">
        <w:rPr>
          <w:rFonts w:ascii="Times New Roman" w:hAnsi="Times New Roman" w:cs="Times New Roman"/>
          <w:color w:val="222222"/>
          <w:sz w:val="24"/>
          <w:szCs w:val="24"/>
          <w:highlight w:val="white"/>
        </w:rPr>
        <w:t xml:space="preserve">, N., </w:t>
      </w:r>
      <w:proofErr w:type="spellStart"/>
      <w:r w:rsidRPr="002E4FC6">
        <w:rPr>
          <w:rFonts w:ascii="Times New Roman" w:hAnsi="Times New Roman" w:cs="Times New Roman"/>
          <w:color w:val="222222"/>
          <w:sz w:val="24"/>
          <w:szCs w:val="24"/>
          <w:highlight w:val="white"/>
        </w:rPr>
        <w:t>Kadam</w:t>
      </w:r>
      <w:proofErr w:type="spellEnd"/>
      <w:r w:rsidRPr="002E4FC6">
        <w:rPr>
          <w:rFonts w:ascii="Times New Roman" w:hAnsi="Times New Roman" w:cs="Times New Roman"/>
          <w:color w:val="222222"/>
          <w:sz w:val="24"/>
          <w:szCs w:val="24"/>
          <w:highlight w:val="white"/>
        </w:rPr>
        <w:t xml:space="preserve">, A., </w:t>
      </w:r>
      <w:proofErr w:type="spellStart"/>
      <w:r w:rsidRPr="002E4FC6">
        <w:rPr>
          <w:rFonts w:ascii="Times New Roman" w:hAnsi="Times New Roman" w:cs="Times New Roman"/>
          <w:color w:val="222222"/>
          <w:sz w:val="24"/>
          <w:szCs w:val="24"/>
          <w:highlight w:val="white"/>
        </w:rPr>
        <w:t>Dhumal</w:t>
      </w:r>
      <w:proofErr w:type="spellEnd"/>
      <w:r w:rsidRPr="002E4FC6">
        <w:rPr>
          <w:rFonts w:ascii="Times New Roman" w:hAnsi="Times New Roman" w:cs="Times New Roman"/>
          <w:color w:val="222222"/>
          <w:sz w:val="24"/>
          <w:szCs w:val="24"/>
          <w:highlight w:val="white"/>
        </w:rPr>
        <w:t xml:space="preserve">, G., </w:t>
      </w:r>
      <w:proofErr w:type="spellStart"/>
      <w:r w:rsidRPr="002E4FC6">
        <w:rPr>
          <w:rFonts w:ascii="Times New Roman" w:hAnsi="Times New Roman" w:cs="Times New Roman"/>
          <w:color w:val="222222"/>
          <w:sz w:val="24"/>
          <w:szCs w:val="24"/>
          <w:highlight w:val="white"/>
        </w:rPr>
        <w:t>Nimkar</w:t>
      </w:r>
      <w:proofErr w:type="spellEnd"/>
      <w:r w:rsidRPr="002E4FC6">
        <w:rPr>
          <w:rFonts w:ascii="Times New Roman" w:hAnsi="Times New Roman" w:cs="Times New Roman"/>
          <w:color w:val="222222"/>
          <w:sz w:val="24"/>
          <w:szCs w:val="24"/>
          <w:highlight w:val="white"/>
        </w:rPr>
        <w:t xml:space="preserve">, S., </w:t>
      </w:r>
      <w:proofErr w:type="spellStart"/>
      <w:r w:rsidRPr="002E4FC6">
        <w:rPr>
          <w:rFonts w:ascii="Times New Roman" w:hAnsi="Times New Roman" w:cs="Times New Roman"/>
          <w:color w:val="222222"/>
          <w:sz w:val="24"/>
          <w:szCs w:val="24"/>
          <w:highlight w:val="white"/>
        </w:rPr>
        <w:t>Mave</w:t>
      </w:r>
      <w:proofErr w:type="spellEnd"/>
      <w:r w:rsidRPr="002E4FC6">
        <w:rPr>
          <w:rFonts w:ascii="Times New Roman" w:hAnsi="Times New Roman" w:cs="Times New Roman"/>
          <w:color w:val="222222"/>
          <w:sz w:val="24"/>
          <w:szCs w:val="24"/>
          <w:highlight w:val="white"/>
        </w:rPr>
        <w:t xml:space="preserve">, V., Gupta, A., Cox, S.R. and </w:t>
      </w:r>
      <w:proofErr w:type="spellStart"/>
      <w:r w:rsidRPr="002E4FC6">
        <w:rPr>
          <w:rFonts w:ascii="Times New Roman" w:hAnsi="Times New Roman" w:cs="Times New Roman"/>
          <w:color w:val="222222"/>
          <w:sz w:val="24"/>
          <w:szCs w:val="24"/>
          <w:highlight w:val="white"/>
        </w:rPr>
        <w:t>Gupte</w:t>
      </w:r>
      <w:proofErr w:type="spellEnd"/>
      <w:r w:rsidRPr="002E4FC6">
        <w:rPr>
          <w:rFonts w:ascii="Times New Roman" w:hAnsi="Times New Roman" w:cs="Times New Roman"/>
          <w:color w:val="222222"/>
          <w:sz w:val="24"/>
          <w:szCs w:val="24"/>
          <w:highlight w:val="white"/>
        </w:rPr>
        <w:t xml:space="preserve">, N., (2020). Mental health and quality of life among healthcare professionals during the COVID‐19 pandemic in India. </w:t>
      </w:r>
      <w:r w:rsidRPr="002E4FC6">
        <w:rPr>
          <w:rFonts w:ascii="Times New Roman" w:hAnsi="Times New Roman" w:cs="Times New Roman"/>
          <w:i/>
          <w:color w:val="222222"/>
          <w:sz w:val="24"/>
          <w:szCs w:val="24"/>
          <w:highlight w:val="white"/>
        </w:rPr>
        <w:t xml:space="preserve">Brain and </w:t>
      </w:r>
      <w:proofErr w:type="spellStart"/>
      <w:r w:rsidRPr="002E4FC6">
        <w:rPr>
          <w:rFonts w:ascii="Times New Roman" w:hAnsi="Times New Roman" w:cs="Times New Roman"/>
          <w:i/>
          <w:color w:val="222222"/>
          <w:sz w:val="24"/>
          <w:szCs w:val="24"/>
          <w:highlight w:val="white"/>
        </w:rPr>
        <w:t>behavior</w:t>
      </w:r>
      <w:proofErr w:type="spellEnd"/>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10</w:t>
      </w:r>
      <w:r w:rsidRPr="002E4FC6">
        <w:rPr>
          <w:rFonts w:ascii="Times New Roman" w:hAnsi="Times New Roman" w:cs="Times New Roman"/>
          <w:color w:val="222222"/>
          <w:sz w:val="24"/>
          <w:szCs w:val="24"/>
          <w:highlight w:val="white"/>
        </w:rPr>
        <w:t>(11), p.e01837.</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WHO, (2022a). </w:t>
      </w:r>
      <w:r w:rsidRPr="002E4FC6">
        <w:rPr>
          <w:rFonts w:ascii="Times New Roman" w:hAnsi="Times New Roman" w:cs="Times New Roman"/>
          <w:i/>
          <w:color w:val="222222"/>
          <w:sz w:val="24"/>
          <w:szCs w:val="24"/>
          <w:highlight w:val="white"/>
        </w:rPr>
        <w:t>Ethics and COVID-19</w:t>
      </w:r>
      <w:r w:rsidRPr="002E4FC6">
        <w:rPr>
          <w:rFonts w:ascii="Times New Roman" w:hAnsi="Times New Roman" w:cs="Times New Roman"/>
          <w:color w:val="222222"/>
          <w:sz w:val="24"/>
          <w:szCs w:val="24"/>
          <w:highlight w:val="white"/>
        </w:rPr>
        <w:t>. [online] Who.int. Available at: &lt;https://www.who.int/teams/health-ethics-governance/diseases/covid-19&gt;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WHO, (2022b). </w:t>
      </w:r>
      <w:r w:rsidRPr="002E4FC6">
        <w:rPr>
          <w:rFonts w:ascii="Times New Roman" w:hAnsi="Times New Roman" w:cs="Times New Roman"/>
          <w:i/>
          <w:color w:val="222222"/>
          <w:sz w:val="24"/>
          <w:szCs w:val="24"/>
          <w:highlight w:val="white"/>
        </w:rPr>
        <w:t>India: WHO Coronavirus Disease (COVID-19) Dashboard With Vaccination Data</w:t>
      </w:r>
      <w:r w:rsidRPr="002E4FC6">
        <w:rPr>
          <w:rFonts w:ascii="Times New Roman" w:hAnsi="Times New Roman" w:cs="Times New Roman"/>
          <w:color w:val="222222"/>
          <w:sz w:val="24"/>
          <w:szCs w:val="24"/>
          <w:highlight w:val="white"/>
        </w:rPr>
        <w:t>. [online] Covid19.who.int. Available at: &lt;https://covid19.who.int/region/</w:t>
      </w:r>
      <w:proofErr w:type="spellStart"/>
      <w:r w:rsidRPr="002E4FC6">
        <w:rPr>
          <w:rFonts w:ascii="Times New Roman" w:hAnsi="Times New Roman" w:cs="Times New Roman"/>
          <w:color w:val="222222"/>
          <w:sz w:val="24"/>
          <w:szCs w:val="24"/>
          <w:highlight w:val="white"/>
        </w:rPr>
        <w:t>searo</w:t>
      </w:r>
      <w:proofErr w:type="spellEnd"/>
      <w:r w:rsidRPr="002E4FC6">
        <w:rPr>
          <w:rFonts w:ascii="Times New Roman" w:hAnsi="Times New Roman" w:cs="Times New Roman"/>
          <w:color w:val="222222"/>
          <w:sz w:val="24"/>
          <w:szCs w:val="24"/>
          <w:highlight w:val="white"/>
        </w:rPr>
        <w:t>/country/in&gt;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WHO, (2022c). </w:t>
      </w:r>
      <w:r w:rsidRPr="002E4FC6">
        <w:rPr>
          <w:rFonts w:ascii="Times New Roman" w:hAnsi="Times New Roman" w:cs="Times New Roman"/>
          <w:i/>
          <w:color w:val="222222"/>
          <w:sz w:val="24"/>
          <w:szCs w:val="24"/>
          <w:highlight w:val="white"/>
        </w:rPr>
        <w:t>The United Kingdom: WHO Coronavirus Disease (COVID-19) Dashboard With Vaccination Data</w:t>
      </w:r>
      <w:r w:rsidRPr="002E4FC6">
        <w:rPr>
          <w:rFonts w:ascii="Times New Roman" w:hAnsi="Times New Roman" w:cs="Times New Roman"/>
          <w:color w:val="222222"/>
          <w:sz w:val="24"/>
          <w:szCs w:val="24"/>
          <w:highlight w:val="white"/>
        </w:rPr>
        <w:t>. [online] Covid19.who.int. Available at: &lt;https://covid19.who.int/region/euro/country/gb&gt;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r w:rsidRPr="002E4FC6">
        <w:rPr>
          <w:rFonts w:ascii="Times New Roman" w:hAnsi="Times New Roman" w:cs="Times New Roman"/>
          <w:color w:val="222222"/>
          <w:sz w:val="24"/>
          <w:szCs w:val="24"/>
          <w:highlight w:val="white"/>
        </w:rPr>
        <w:t xml:space="preserve">Wright, O., (2021). </w:t>
      </w:r>
      <w:r w:rsidRPr="002E4FC6">
        <w:rPr>
          <w:rFonts w:ascii="Times New Roman" w:hAnsi="Times New Roman" w:cs="Times New Roman"/>
          <w:i/>
          <w:color w:val="222222"/>
          <w:sz w:val="24"/>
          <w:szCs w:val="24"/>
          <w:highlight w:val="white"/>
        </w:rPr>
        <w:t>Coronavirus: How the UK dealt with its first Covid case</w:t>
      </w:r>
      <w:r w:rsidRPr="002E4FC6">
        <w:rPr>
          <w:rFonts w:ascii="Times New Roman" w:hAnsi="Times New Roman" w:cs="Times New Roman"/>
          <w:color w:val="222222"/>
          <w:sz w:val="24"/>
          <w:szCs w:val="24"/>
          <w:highlight w:val="white"/>
        </w:rPr>
        <w:t>. [online] BBC News. Available at: &lt;https://www.bbc.com/news/uk-england-55622386&gt; [Accessed 3 January 2022].</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Xafis</w:t>
      </w:r>
      <w:proofErr w:type="spellEnd"/>
      <w:r w:rsidRPr="002E4FC6">
        <w:rPr>
          <w:rFonts w:ascii="Times New Roman" w:hAnsi="Times New Roman" w:cs="Times New Roman"/>
          <w:color w:val="222222"/>
          <w:sz w:val="24"/>
          <w:szCs w:val="24"/>
          <w:highlight w:val="white"/>
        </w:rPr>
        <w:t xml:space="preserve">, V., Schaefer, G.O., </w:t>
      </w:r>
      <w:proofErr w:type="spellStart"/>
      <w:r w:rsidRPr="002E4FC6">
        <w:rPr>
          <w:rFonts w:ascii="Times New Roman" w:hAnsi="Times New Roman" w:cs="Times New Roman"/>
          <w:color w:val="222222"/>
          <w:sz w:val="24"/>
          <w:szCs w:val="24"/>
          <w:highlight w:val="white"/>
        </w:rPr>
        <w:t>Labude</w:t>
      </w:r>
      <w:proofErr w:type="spellEnd"/>
      <w:r w:rsidRPr="002E4FC6">
        <w:rPr>
          <w:rFonts w:ascii="Times New Roman" w:hAnsi="Times New Roman" w:cs="Times New Roman"/>
          <w:color w:val="222222"/>
          <w:sz w:val="24"/>
          <w:szCs w:val="24"/>
          <w:highlight w:val="white"/>
        </w:rPr>
        <w:t xml:space="preserve">, M.K., Zhu, Y. and </w:t>
      </w:r>
      <w:proofErr w:type="spellStart"/>
      <w:r w:rsidRPr="002E4FC6">
        <w:rPr>
          <w:rFonts w:ascii="Times New Roman" w:hAnsi="Times New Roman" w:cs="Times New Roman"/>
          <w:color w:val="222222"/>
          <w:sz w:val="24"/>
          <w:szCs w:val="24"/>
          <w:highlight w:val="white"/>
        </w:rPr>
        <w:t>Hsu</w:t>
      </w:r>
      <w:proofErr w:type="spellEnd"/>
      <w:r w:rsidRPr="002E4FC6">
        <w:rPr>
          <w:rFonts w:ascii="Times New Roman" w:hAnsi="Times New Roman" w:cs="Times New Roman"/>
          <w:color w:val="222222"/>
          <w:sz w:val="24"/>
          <w:szCs w:val="24"/>
          <w:highlight w:val="white"/>
        </w:rPr>
        <w:t xml:space="preserve">, L.Y., (2020). The perfect moral storm: Diverse ethical considerations in the COVID-19 pandemic. </w:t>
      </w:r>
      <w:r w:rsidRPr="002E4FC6">
        <w:rPr>
          <w:rFonts w:ascii="Times New Roman" w:hAnsi="Times New Roman" w:cs="Times New Roman"/>
          <w:i/>
          <w:color w:val="222222"/>
          <w:sz w:val="24"/>
          <w:szCs w:val="24"/>
          <w:highlight w:val="white"/>
        </w:rPr>
        <w:t>Asian Bioethics Review</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12</w:t>
      </w:r>
      <w:r w:rsidRPr="002E4FC6">
        <w:rPr>
          <w:rFonts w:ascii="Times New Roman" w:hAnsi="Times New Roman" w:cs="Times New Roman"/>
          <w:color w:val="222222"/>
          <w:sz w:val="24"/>
          <w:szCs w:val="24"/>
          <w:highlight w:val="white"/>
        </w:rPr>
        <w:t>, pp.65-83.</w:t>
      </w:r>
    </w:p>
    <w:p w:rsidR="002E4FC6" w:rsidRPr="002E4FC6" w:rsidRDefault="002E4FC6" w:rsidP="002E4FC6">
      <w:pPr>
        <w:pStyle w:val="Normal1"/>
        <w:spacing w:line="360" w:lineRule="auto"/>
        <w:jc w:val="both"/>
        <w:rPr>
          <w:rFonts w:ascii="Times New Roman" w:hAnsi="Times New Roman" w:cs="Times New Roman"/>
          <w:color w:val="222222"/>
          <w:sz w:val="24"/>
          <w:szCs w:val="24"/>
          <w:highlight w:val="white"/>
        </w:rPr>
      </w:pPr>
      <w:proofErr w:type="spellStart"/>
      <w:r w:rsidRPr="002E4FC6">
        <w:rPr>
          <w:rFonts w:ascii="Times New Roman" w:hAnsi="Times New Roman" w:cs="Times New Roman"/>
          <w:color w:val="222222"/>
          <w:sz w:val="24"/>
          <w:szCs w:val="24"/>
          <w:highlight w:val="white"/>
        </w:rPr>
        <w:t>Yesudhas</w:t>
      </w:r>
      <w:proofErr w:type="spellEnd"/>
      <w:r w:rsidRPr="002E4FC6">
        <w:rPr>
          <w:rFonts w:ascii="Times New Roman" w:hAnsi="Times New Roman" w:cs="Times New Roman"/>
          <w:color w:val="222222"/>
          <w:sz w:val="24"/>
          <w:szCs w:val="24"/>
          <w:highlight w:val="white"/>
        </w:rPr>
        <w:t xml:space="preserve">, D., </w:t>
      </w:r>
      <w:proofErr w:type="spellStart"/>
      <w:r w:rsidRPr="002E4FC6">
        <w:rPr>
          <w:rFonts w:ascii="Times New Roman" w:hAnsi="Times New Roman" w:cs="Times New Roman"/>
          <w:color w:val="222222"/>
          <w:sz w:val="24"/>
          <w:szCs w:val="24"/>
          <w:highlight w:val="white"/>
        </w:rPr>
        <w:t>Srivastava</w:t>
      </w:r>
      <w:proofErr w:type="spellEnd"/>
      <w:r w:rsidRPr="002E4FC6">
        <w:rPr>
          <w:rFonts w:ascii="Times New Roman" w:hAnsi="Times New Roman" w:cs="Times New Roman"/>
          <w:color w:val="222222"/>
          <w:sz w:val="24"/>
          <w:szCs w:val="24"/>
          <w:highlight w:val="white"/>
        </w:rPr>
        <w:t xml:space="preserve">, A. and </w:t>
      </w:r>
      <w:proofErr w:type="spellStart"/>
      <w:r w:rsidRPr="002E4FC6">
        <w:rPr>
          <w:rFonts w:ascii="Times New Roman" w:hAnsi="Times New Roman" w:cs="Times New Roman"/>
          <w:color w:val="222222"/>
          <w:sz w:val="24"/>
          <w:szCs w:val="24"/>
          <w:highlight w:val="white"/>
        </w:rPr>
        <w:t>Gromiha</w:t>
      </w:r>
      <w:proofErr w:type="spellEnd"/>
      <w:r w:rsidRPr="002E4FC6">
        <w:rPr>
          <w:rFonts w:ascii="Times New Roman" w:hAnsi="Times New Roman" w:cs="Times New Roman"/>
          <w:color w:val="222222"/>
          <w:sz w:val="24"/>
          <w:szCs w:val="24"/>
          <w:highlight w:val="white"/>
        </w:rPr>
        <w:t xml:space="preserve">, M.M., (2021). COVID-19 outbreak: history, mechanism, transmission, structural studies and therapeutics. </w:t>
      </w:r>
      <w:r w:rsidRPr="002E4FC6">
        <w:rPr>
          <w:rFonts w:ascii="Times New Roman" w:hAnsi="Times New Roman" w:cs="Times New Roman"/>
          <w:i/>
          <w:color w:val="222222"/>
          <w:sz w:val="24"/>
          <w:szCs w:val="24"/>
          <w:highlight w:val="white"/>
        </w:rPr>
        <w:t>Infection</w:t>
      </w:r>
      <w:r w:rsidRPr="002E4FC6">
        <w:rPr>
          <w:rFonts w:ascii="Times New Roman" w:hAnsi="Times New Roman" w:cs="Times New Roman"/>
          <w:color w:val="222222"/>
          <w:sz w:val="24"/>
          <w:szCs w:val="24"/>
          <w:highlight w:val="white"/>
        </w:rPr>
        <w:t xml:space="preserve">, </w:t>
      </w:r>
      <w:r w:rsidRPr="002E4FC6">
        <w:rPr>
          <w:rFonts w:ascii="Times New Roman" w:hAnsi="Times New Roman" w:cs="Times New Roman"/>
          <w:i/>
          <w:color w:val="222222"/>
          <w:sz w:val="24"/>
          <w:szCs w:val="24"/>
          <w:highlight w:val="white"/>
        </w:rPr>
        <w:t>49</w:t>
      </w:r>
      <w:r w:rsidRPr="002E4FC6">
        <w:rPr>
          <w:rFonts w:ascii="Times New Roman" w:hAnsi="Times New Roman" w:cs="Times New Roman"/>
          <w:color w:val="222222"/>
          <w:sz w:val="24"/>
          <w:szCs w:val="24"/>
          <w:highlight w:val="white"/>
        </w:rPr>
        <w:t>(2), pp.199-213.</w:t>
      </w:r>
    </w:p>
    <w:sectPr w:rsidR="002E4FC6" w:rsidRPr="002E4FC6" w:rsidSect="00E15C7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0E61" w:rsidRDefault="002E0E61" w:rsidP="003E4ECF">
      <w:pPr>
        <w:spacing w:after="0" w:line="240" w:lineRule="auto"/>
      </w:pPr>
      <w:r>
        <w:separator/>
      </w:r>
    </w:p>
  </w:endnote>
  <w:endnote w:type="continuationSeparator" w:id="0">
    <w:p w:rsidR="002E0E61" w:rsidRDefault="002E0E6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419178"/>
      <w:docPartObj>
        <w:docPartGallery w:val="Page Numbers (Bottom of Page)"/>
        <w:docPartUnique/>
      </w:docPartObj>
    </w:sdtPr>
    <w:sdtEndPr/>
    <w:sdtContent>
      <w:p w:rsidR="00E15C71" w:rsidRDefault="002E0E61">
        <w:pPr>
          <w:pStyle w:val="Footer"/>
          <w:jc w:val="right"/>
        </w:pPr>
        <w:r>
          <w:fldChar w:fldCharType="begin"/>
        </w:r>
        <w:r>
          <w:instrText xml:space="preserve"> PAGE   \* MERGEFORMAT </w:instrText>
        </w:r>
        <w:r>
          <w:fldChar w:fldCharType="separate"/>
        </w:r>
        <w:r w:rsidR="00E15C71">
          <w:rPr>
            <w:noProof/>
          </w:rPr>
          <w:t>2</w:t>
        </w:r>
        <w:r>
          <w:rPr>
            <w:noProof/>
          </w:rPr>
          <w:fldChar w:fldCharType="end"/>
        </w:r>
      </w:p>
    </w:sdtContent>
  </w:sdt>
  <w:p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0E61" w:rsidRDefault="002E0E61" w:rsidP="003E4ECF">
      <w:pPr>
        <w:spacing w:after="0" w:line="240" w:lineRule="auto"/>
      </w:pPr>
      <w:r>
        <w:separator/>
      </w:r>
    </w:p>
  </w:footnote>
  <w:footnote w:type="continuationSeparator" w:id="0">
    <w:p w:rsidR="002E0E61" w:rsidRDefault="002E0E61"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A479D"/>
    <w:rsid w:val="001124C4"/>
    <w:rsid w:val="00122FB1"/>
    <w:rsid w:val="001D7C03"/>
    <w:rsid w:val="00216C85"/>
    <w:rsid w:val="002444BE"/>
    <w:rsid w:val="0026393A"/>
    <w:rsid w:val="00273EDD"/>
    <w:rsid w:val="002C3965"/>
    <w:rsid w:val="002C6E13"/>
    <w:rsid w:val="002E0E61"/>
    <w:rsid w:val="002E2483"/>
    <w:rsid w:val="002E4FC6"/>
    <w:rsid w:val="00321C4C"/>
    <w:rsid w:val="00392BBC"/>
    <w:rsid w:val="003E4ECF"/>
    <w:rsid w:val="00476E6C"/>
    <w:rsid w:val="004A736E"/>
    <w:rsid w:val="006925AA"/>
    <w:rsid w:val="006A2144"/>
    <w:rsid w:val="008852A2"/>
    <w:rsid w:val="008D14CD"/>
    <w:rsid w:val="0090040D"/>
    <w:rsid w:val="009C0914"/>
    <w:rsid w:val="009D052C"/>
    <w:rsid w:val="009D1D1E"/>
    <w:rsid w:val="00A035FD"/>
    <w:rsid w:val="00A77BA9"/>
    <w:rsid w:val="00B45985"/>
    <w:rsid w:val="00B87E75"/>
    <w:rsid w:val="00C2634D"/>
    <w:rsid w:val="00E15C71"/>
    <w:rsid w:val="00E81468"/>
    <w:rsid w:val="00F66E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0D232"/>
  <w15:docId w15:val="{E133B62A-DC0F-D04A-969D-9CCE4ADDC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79D"/>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Default">
    <w:name w:val="Default"/>
    <w:rsid w:val="008852A2"/>
    <w:pPr>
      <w:autoSpaceDE w:val="0"/>
      <w:autoSpaceDN w:val="0"/>
      <w:adjustRightInd w:val="0"/>
      <w:spacing w:after="0" w:line="240" w:lineRule="auto"/>
    </w:pPr>
    <w:rPr>
      <w:rFonts w:ascii="Arial" w:hAnsi="Arial" w:cs="Arial"/>
      <w:color w:val="000000"/>
      <w:szCs w:val="24"/>
    </w:rPr>
  </w:style>
  <w:style w:type="paragraph" w:customStyle="1" w:styleId="Normal1">
    <w:name w:val="Normal1"/>
    <w:rsid w:val="002E4FC6"/>
    <w:pPr>
      <w:spacing w:after="0" w:line="276" w:lineRule="auto"/>
    </w:pPr>
    <w:rPr>
      <w:rFonts w:ascii="Arial" w:eastAsia="Arial" w:hAnsi="Arial" w:cs="Arial"/>
      <w:sz w:val="22"/>
    </w:rPr>
  </w:style>
  <w:style w:type="paragraph" w:styleId="TOCHeading">
    <w:name w:val="TOC Heading"/>
    <w:basedOn w:val="Heading1"/>
    <w:next w:val="Normal"/>
    <w:uiPriority w:val="39"/>
    <w:semiHidden/>
    <w:unhideWhenUsed/>
    <w:qFormat/>
    <w:rsid w:val="002E4FC6"/>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2E4FC6"/>
    <w:pPr>
      <w:spacing w:after="100"/>
    </w:pPr>
  </w:style>
  <w:style w:type="character" w:styleId="Hyperlink">
    <w:name w:val="Hyperlink"/>
    <w:basedOn w:val="DefaultParagraphFont"/>
    <w:uiPriority w:val="99"/>
    <w:unhideWhenUsed/>
    <w:rsid w:val="002E4FC6"/>
    <w:rPr>
      <w:color w:val="0563C1" w:themeColor="hyperlink"/>
      <w:u w:val="single"/>
    </w:rPr>
  </w:style>
  <w:style w:type="paragraph" w:styleId="BalloonText">
    <w:name w:val="Balloon Text"/>
    <w:basedOn w:val="Normal"/>
    <w:link w:val="BalloonTextChar"/>
    <w:uiPriority w:val="99"/>
    <w:semiHidden/>
    <w:unhideWhenUsed/>
    <w:rsid w:val="002E4F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F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FB463B-739C-47A4-896E-5600C0D090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Eleni Koutsogeorgou</dc:creator>
  <cp:lastModifiedBy>shekinah Mala</cp:lastModifiedBy>
  <cp:revision>6</cp:revision>
  <dcterms:created xsi:type="dcterms:W3CDTF">2022-01-10T20:10:00Z</dcterms:created>
  <dcterms:modified xsi:type="dcterms:W3CDTF">2022-01-10T20:12:00Z</dcterms:modified>
</cp:coreProperties>
</file>