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C94AA1" w:rsidP="001E57C1">
            <w:pPr>
              <w:spacing w:before="120" w:after="120"/>
              <w:jc w:val="both"/>
              <w:rPr>
                <w:rFonts w:ascii="Arial" w:hAnsi="Arial" w:cs="Arial"/>
                <w:b/>
                <w:sz w:val="22"/>
                <w:szCs w:val="22"/>
              </w:rPr>
            </w:pPr>
            <w:r>
              <w:rPr>
                <w:rFonts w:ascii="Arial" w:hAnsi="Arial" w:cs="Arial"/>
                <w:b/>
                <w:sz w:val="22"/>
                <w:szCs w:val="22"/>
              </w:rPr>
              <w:t>Thomas Howells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1D3C73" w:rsidP="001E57C1">
            <w:pPr>
              <w:spacing w:before="120" w:after="120"/>
              <w:jc w:val="both"/>
              <w:rPr>
                <w:rFonts w:ascii="Arial" w:hAnsi="Arial" w:cs="Arial"/>
                <w:b/>
                <w:sz w:val="22"/>
                <w:szCs w:val="22"/>
              </w:rPr>
            </w:pPr>
            <w:r>
              <w:rPr>
                <w:rFonts w:ascii="Arial" w:hAnsi="Arial" w:cs="Arial"/>
                <w:b/>
                <w:sz w:val="22"/>
                <w:szCs w:val="22"/>
              </w:rPr>
              <w:t>1910793</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r w:rsidRPr="0075714E">
              <w:rPr>
                <w:rFonts w:ascii="Arial" w:hAnsi="Arial" w:cs="Arial"/>
                <w:b/>
                <w:sz w:val="22"/>
                <w:szCs w:val="22"/>
              </w:rPr>
              <w:t>Kapilan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2</w:t>
            </w:r>
            <w:r>
              <w:rPr>
                <w:rFonts w:ascii="Arial" w:hAnsi="Arial" w:cs="Arial"/>
                <w:b/>
                <w:sz w:val="22"/>
                <w:szCs w:val="22"/>
              </w:rPr>
              <w:t>/</w:t>
            </w:r>
            <w:r w:rsidR="00F678EE">
              <w:rPr>
                <w:rFonts w:ascii="Arial" w:hAnsi="Arial" w:cs="Arial"/>
                <w:b/>
                <w:sz w:val="22"/>
                <w:szCs w:val="22"/>
              </w:rPr>
              <w:t>12</w:t>
            </w:r>
            <w:r>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7</w:t>
            </w:r>
            <w:r>
              <w:rPr>
                <w:rFonts w:ascii="Arial" w:hAnsi="Arial" w:cs="Arial"/>
                <w:b/>
                <w:sz w:val="22"/>
                <w:szCs w:val="22"/>
              </w:rPr>
              <w:t>/0</w:t>
            </w:r>
            <w:r w:rsidR="00F678EE">
              <w:rPr>
                <w:rFonts w:ascii="Arial" w:hAnsi="Arial" w:cs="Arial"/>
                <w:b/>
                <w:sz w:val="22"/>
                <w:szCs w:val="22"/>
              </w:rPr>
              <w:t>1</w:t>
            </w:r>
            <w:r>
              <w:rPr>
                <w:rFonts w:ascii="Arial" w:hAnsi="Arial" w:cs="Arial"/>
                <w:b/>
                <w:sz w:val="22"/>
                <w:szCs w:val="22"/>
              </w:rPr>
              <w:t>/20</w:t>
            </w:r>
            <w:r w:rsidR="00F678EE">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 xml:space="preserve">0% of the overall mark for this module. </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0B0641" w:rsidRDefault="000B0641" w:rsidP="00A67FB1">
      <w:pPr>
        <w:ind w:left="720"/>
        <w:rPr>
          <w:rFonts w:ascii="Arial" w:hAnsi="Arial" w:cs="Arial"/>
          <w:sz w:val="24"/>
          <w:szCs w:val="24"/>
        </w:rPr>
      </w:pPr>
    </w:p>
    <w:p w:rsidR="005A7681" w:rsidRPr="004A636E" w:rsidRDefault="005A7681" w:rsidP="005A7681">
      <w:pPr>
        <w:ind w:left="709"/>
        <w:rPr>
          <w:rFonts w:ascii="Arial" w:hAnsi="Arial" w:cs="Arial"/>
          <w:i/>
          <w:iCs/>
          <w:color w:val="0070C0"/>
        </w:rPr>
      </w:pPr>
      <w:r w:rsidRPr="005A7681">
        <w:rPr>
          <w:rFonts w:ascii="Arial" w:hAnsi="Arial" w:cs="Arial"/>
          <w:i/>
          <w:iCs/>
          <w:color w:val="0070C0"/>
        </w:rPr>
        <w:t>Knowledge of the basic underlying concepts and principles is accurate</w:t>
      </w:r>
      <w:r w:rsidRPr="004A636E">
        <w:rPr>
          <w:rFonts w:ascii="Arial" w:hAnsi="Arial" w:cs="Arial"/>
          <w:i/>
          <w:iCs/>
          <w:color w:val="0070C0"/>
        </w:rPr>
        <w:t>.  An advanced application of a range of taught, basic methods, materials, tools and/or techniques.</w:t>
      </w:r>
      <w:r>
        <w:rPr>
          <w:rFonts w:ascii="Arial" w:hAnsi="Arial" w:cs="Arial"/>
          <w:i/>
          <w:iCs/>
          <w:color w:val="0070C0"/>
        </w:rPr>
        <w:t xml:space="preserve"> – 65%</w:t>
      </w:r>
    </w:p>
    <w:p w:rsidR="000B0641" w:rsidRDefault="000B0641"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0B0641" w:rsidRDefault="000B0641" w:rsidP="00A67FB1">
      <w:pPr>
        <w:ind w:left="720"/>
        <w:rPr>
          <w:rFonts w:ascii="Arial" w:hAnsi="Arial" w:cs="Arial"/>
          <w:sz w:val="24"/>
          <w:szCs w:val="24"/>
        </w:rPr>
      </w:pPr>
    </w:p>
    <w:p w:rsidR="003F5462" w:rsidRPr="004A636E" w:rsidRDefault="003F5462" w:rsidP="003F5462">
      <w:pPr>
        <w:ind w:left="709"/>
        <w:rPr>
          <w:rFonts w:ascii="Arial" w:hAnsi="Arial" w:cs="Arial"/>
          <w:i/>
          <w:iCs/>
          <w:color w:val="0070C0"/>
        </w:rPr>
      </w:pPr>
      <w:r w:rsidRPr="004A636E">
        <w:rPr>
          <w:rFonts w:ascii="Arial" w:hAnsi="Arial" w:cs="Arial"/>
          <w:i/>
          <w:iCs/>
          <w:color w:val="0070C0"/>
        </w:rPr>
        <w:t>Competent knowledge of the basic underlying concepts and principles.  An advanced application of a range of taught, basic methods, materials, tools and/or techniques.</w:t>
      </w:r>
      <w:r>
        <w:rPr>
          <w:rFonts w:ascii="Arial" w:hAnsi="Arial" w:cs="Arial"/>
          <w:i/>
          <w:iCs/>
          <w:color w:val="0070C0"/>
        </w:rPr>
        <w:t xml:space="preserve"> – 75%</w:t>
      </w:r>
    </w:p>
    <w:p w:rsidR="003F5462" w:rsidRDefault="003F5462"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0B0641" w:rsidRDefault="000B0641" w:rsidP="00A67FB1">
      <w:pPr>
        <w:ind w:left="720"/>
        <w:rPr>
          <w:rFonts w:ascii="Arial" w:hAnsi="Arial" w:cs="Arial"/>
          <w:sz w:val="24"/>
          <w:szCs w:val="24"/>
        </w:rPr>
      </w:pPr>
    </w:p>
    <w:p w:rsidR="00D86A8C" w:rsidRDefault="00D86A8C" w:rsidP="00D86A8C">
      <w:pPr>
        <w:ind w:left="709"/>
        <w:rPr>
          <w:rFonts w:ascii="Arial" w:hAnsi="Arial" w:cs="Arial"/>
          <w:i/>
          <w:iCs/>
          <w:color w:val="0070C0"/>
        </w:rPr>
      </w:pPr>
      <w:r>
        <w:rPr>
          <w:rFonts w:ascii="Arial" w:hAnsi="Arial" w:cs="Arial"/>
          <w:i/>
          <w:iCs/>
          <w:color w:val="0070C0"/>
        </w:rPr>
        <w:t>No evidence of e</w:t>
      </w:r>
      <w:r w:rsidRPr="008D1084">
        <w:rPr>
          <w:rFonts w:ascii="Arial" w:hAnsi="Arial" w:cs="Arial"/>
          <w:i/>
          <w:iCs/>
          <w:color w:val="0070C0"/>
        </w:rPr>
        <w:t>ngagement with sources</w:t>
      </w:r>
      <w:r>
        <w:rPr>
          <w:rFonts w:ascii="Arial" w:hAnsi="Arial" w:cs="Arial"/>
          <w:i/>
          <w:iCs/>
          <w:color w:val="0070C0"/>
        </w:rPr>
        <w:t xml:space="preserve"> or </w:t>
      </w:r>
      <w:r w:rsidRPr="008D1084">
        <w:rPr>
          <w:rFonts w:ascii="Arial" w:hAnsi="Arial" w:cs="Arial"/>
          <w:i/>
          <w:iCs/>
          <w:color w:val="0070C0"/>
        </w:rPr>
        <w:t>use of referencing</w:t>
      </w:r>
      <w:r>
        <w:rPr>
          <w:rFonts w:ascii="Arial" w:hAnsi="Arial" w:cs="Arial"/>
          <w:i/>
          <w:iCs/>
          <w:color w:val="0070C0"/>
        </w:rPr>
        <w:t>.</w:t>
      </w:r>
      <w:r w:rsidRPr="004D1508">
        <w:rPr>
          <w:rFonts w:ascii="Arial" w:hAnsi="Arial" w:cs="Arial"/>
          <w:i/>
          <w:iCs/>
          <w:color w:val="0070C0"/>
        </w:rPr>
        <w:t xml:space="preserve"> </w:t>
      </w:r>
      <w:r w:rsidR="006E1DE9" w:rsidRPr="006E1DE9">
        <w:rPr>
          <w:rFonts w:ascii="Arial" w:hAnsi="Arial" w:cs="Arial"/>
          <w:i/>
          <w:iCs/>
          <w:color w:val="0070C0"/>
        </w:rPr>
        <w:t xml:space="preserve">Major gaps in knowledge and understanding of the basic underlying concepts and principles of the subject matter. Inclusion of irrelevant </w:t>
      </w:r>
      <w:proofErr w:type="gramStart"/>
      <w:r w:rsidR="006E1DE9" w:rsidRPr="006E1DE9">
        <w:rPr>
          <w:rFonts w:ascii="Arial" w:hAnsi="Arial" w:cs="Arial"/>
          <w:i/>
          <w:iCs/>
          <w:color w:val="0070C0"/>
        </w:rPr>
        <w:t>material</w:t>
      </w:r>
      <w:r w:rsidR="006E1DE9" w:rsidRPr="008D1084">
        <w:rPr>
          <w:rFonts w:ascii="Arial" w:hAnsi="Arial" w:cs="Arial"/>
          <w:i/>
          <w:iCs/>
          <w:color w:val="0070C0"/>
        </w:rPr>
        <w:t xml:space="preserve"> </w:t>
      </w:r>
      <w:r w:rsidRPr="006E1DE9">
        <w:rPr>
          <w:rFonts w:ascii="Arial" w:hAnsi="Arial" w:cs="Arial"/>
          <w:i/>
          <w:iCs/>
          <w:color w:val="0070C0"/>
        </w:rPr>
        <w:t xml:space="preserve"> </w:t>
      </w:r>
      <w:r w:rsidRPr="000B0641">
        <w:rPr>
          <w:rFonts w:ascii="Arial" w:hAnsi="Arial" w:cs="Arial"/>
          <w:i/>
          <w:iCs/>
          <w:color w:val="0070C0"/>
        </w:rPr>
        <w:t>–</w:t>
      </w:r>
      <w:proofErr w:type="gramEnd"/>
      <w:r w:rsidRPr="000B0641">
        <w:rPr>
          <w:rFonts w:ascii="Arial" w:hAnsi="Arial" w:cs="Arial"/>
          <w:i/>
          <w:iCs/>
          <w:color w:val="0070C0"/>
        </w:rPr>
        <w:t xml:space="preserve"> </w:t>
      </w:r>
      <w:r w:rsidR="006E1DE9">
        <w:rPr>
          <w:rFonts w:ascii="Arial" w:hAnsi="Arial" w:cs="Arial"/>
          <w:i/>
          <w:iCs/>
          <w:color w:val="0070C0"/>
        </w:rPr>
        <w:t>1</w:t>
      </w:r>
      <w:r>
        <w:rPr>
          <w:rFonts w:ascii="Arial" w:hAnsi="Arial" w:cs="Arial"/>
          <w:i/>
          <w:iCs/>
          <w:color w:val="0070C0"/>
        </w:rPr>
        <w:t>0</w:t>
      </w:r>
      <w:r w:rsidRPr="000B0641">
        <w:rPr>
          <w:rFonts w:ascii="Arial" w:hAnsi="Arial" w:cs="Arial"/>
          <w:i/>
          <w:iCs/>
          <w:color w:val="0070C0"/>
        </w:rPr>
        <w:t>%</w:t>
      </w:r>
    </w:p>
    <w:p w:rsidR="00D86A8C" w:rsidRDefault="00D86A8C" w:rsidP="00A67FB1">
      <w:pPr>
        <w:ind w:left="720"/>
        <w:rPr>
          <w:rFonts w:ascii="Arial" w:hAnsi="Arial" w:cs="Arial"/>
          <w:sz w:val="24"/>
          <w:szCs w:val="24"/>
        </w:rPr>
      </w:pPr>
    </w:p>
    <w:p w:rsidR="006E1DE9" w:rsidRDefault="006E1DE9" w:rsidP="006E1DE9">
      <w:pPr>
        <w:ind w:left="720"/>
        <w:rPr>
          <w:rFonts w:ascii="Arial" w:hAnsi="Arial" w:cs="Arial"/>
          <w:i/>
          <w:iCs/>
          <w:color w:val="0070C0"/>
        </w:rPr>
      </w:pPr>
      <w:r w:rsidRPr="00882A8F">
        <w:rPr>
          <w:rFonts w:ascii="Arial" w:hAnsi="Arial" w:cs="Arial"/>
          <w:i/>
          <w:iCs/>
          <w:color w:val="0070C0"/>
        </w:rPr>
        <w:t>Exceptional levels of application and deployment skills in particular practical contexts.</w:t>
      </w:r>
      <w:r>
        <w:rPr>
          <w:rFonts w:ascii="Arial" w:hAnsi="Arial" w:cs="Arial"/>
          <w:i/>
          <w:iCs/>
          <w:color w:val="0070C0"/>
        </w:rPr>
        <w:t xml:space="preserve"> – 100%</w:t>
      </w:r>
    </w:p>
    <w:p w:rsidR="006E1DE9" w:rsidRPr="006E1DE9" w:rsidRDefault="006E1DE9" w:rsidP="006E1DE9">
      <w:pPr>
        <w:ind w:left="720"/>
        <w:rPr>
          <w:rFonts w:ascii="Arial" w:hAnsi="Arial" w:cs="Arial"/>
          <w:b/>
          <w:i/>
          <w:iCs/>
          <w:color w:val="0070C0"/>
          <w:u w:val="single"/>
        </w:rPr>
      </w:pPr>
      <w:r w:rsidRPr="006E1DE9">
        <w:rPr>
          <w:rFonts w:ascii="Arial" w:hAnsi="Arial" w:cs="Arial"/>
          <w:b/>
          <w:i/>
          <w:iCs/>
          <w:color w:val="0070C0"/>
          <w:u w:val="single"/>
        </w:rPr>
        <w:t>55%</w:t>
      </w:r>
    </w:p>
    <w:p w:rsidR="006E1DE9" w:rsidRDefault="006E1DE9"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0B0641" w:rsidRDefault="000B0641" w:rsidP="00A67FB1">
      <w:pPr>
        <w:ind w:left="720"/>
        <w:rPr>
          <w:rFonts w:ascii="Arial" w:hAnsi="Arial" w:cs="Arial"/>
          <w:sz w:val="24"/>
          <w:szCs w:val="24"/>
        </w:rPr>
      </w:pPr>
    </w:p>
    <w:p w:rsidR="00F4343D" w:rsidRPr="000B0641" w:rsidRDefault="00F4343D" w:rsidP="00F4343D">
      <w:pPr>
        <w:ind w:left="851" w:hanging="142"/>
        <w:rPr>
          <w:rFonts w:ascii="Arial" w:hAnsi="Arial" w:cs="Arial"/>
          <w:i/>
          <w:iCs/>
          <w:color w:val="0070C0"/>
        </w:rPr>
      </w:pPr>
      <w:bookmarkStart w:id="1" w:name="_Hlk41390544"/>
      <w:r w:rsidRPr="000B0641">
        <w:rPr>
          <w:rFonts w:ascii="Arial" w:hAnsi="Arial" w:cs="Arial"/>
          <w:i/>
          <w:iCs/>
          <w:color w:val="0070C0"/>
        </w:rPr>
        <w:t>Engagement with an appropriate range of literature, including sources retrieved independently.</w:t>
      </w:r>
    </w:p>
    <w:p w:rsidR="00F4343D" w:rsidRPr="00F4343D" w:rsidRDefault="009C524D" w:rsidP="00F4343D">
      <w:pPr>
        <w:ind w:left="720"/>
        <w:rPr>
          <w:rFonts w:ascii="Arial" w:hAnsi="Arial" w:cs="Arial"/>
          <w:i/>
          <w:iCs/>
          <w:color w:val="0070C0"/>
        </w:rPr>
      </w:pPr>
      <w:r w:rsidRPr="009C524D">
        <w:rPr>
          <w:rFonts w:ascii="Arial" w:hAnsi="Arial" w:cs="Arial"/>
          <w:i/>
          <w:iCs/>
          <w:color w:val="0070C0"/>
        </w:rPr>
        <w:t>Referencing conventions used incoherently or largely absent</w:t>
      </w:r>
      <w:r w:rsidR="00F4343D" w:rsidRPr="000B0641">
        <w:rPr>
          <w:rFonts w:ascii="Arial" w:hAnsi="Arial" w:cs="Arial"/>
          <w:i/>
          <w:iCs/>
          <w:color w:val="0070C0"/>
        </w:rPr>
        <w:t xml:space="preserve"> – </w:t>
      </w:r>
      <w:r w:rsidR="00F4343D">
        <w:rPr>
          <w:rFonts w:ascii="Arial" w:hAnsi="Arial" w:cs="Arial"/>
          <w:i/>
          <w:iCs/>
          <w:color w:val="0070C0"/>
        </w:rPr>
        <w:t>5</w:t>
      </w:r>
      <w:r w:rsidR="00F4343D" w:rsidRPr="000B0641">
        <w:rPr>
          <w:rFonts w:ascii="Arial" w:hAnsi="Arial" w:cs="Arial"/>
          <w:i/>
          <w:iCs/>
          <w:color w:val="0070C0"/>
        </w:rPr>
        <w:t>5%</w:t>
      </w:r>
    </w:p>
    <w:p w:rsidR="00F4343D" w:rsidRPr="000B0641" w:rsidRDefault="00F4343D" w:rsidP="00F4343D">
      <w:pPr>
        <w:ind w:left="720"/>
        <w:rPr>
          <w:rFonts w:ascii="Arial" w:hAnsi="Arial" w:cs="Arial"/>
          <w:i/>
          <w:iCs/>
          <w:color w:val="0070C0"/>
          <w:sz w:val="24"/>
          <w:szCs w:val="24"/>
        </w:rPr>
      </w:pPr>
    </w:p>
    <w:p w:rsidR="00F4343D" w:rsidRDefault="00F4343D" w:rsidP="00F4343D">
      <w:pPr>
        <w:ind w:left="720"/>
        <w:rPr>
          <w:rFonts w:ascii="Arial" w:hAnsi="Arial" w:cs="Arial"/>
          <w:i/>
          <w:iCs/>
          <w:color w:val="0070C0"/>
        </w:rPr>
      </w:pPr>
      <w:r w:rsidRPr="000B0641">
        <w:rPr>
          <w:rFonts w:ascii="Arial" w:hAnsi="Arial" w:cs="Arial"/>
          <w:i/>
          <w:iCs/>
          <w:color w:val="0070C0"/>
        </w:rPr>
        <w:t>Exceptional levels of application and deployment skills in particular practical contexts. – 100%</w:t>
      </w:r>
    </w:p>
    <w:p w:rsidR="006E1DE9" w:rsidRPr="006E1DE9" w:rsidRDefault="006E1DE9" w:rsidP="00F4343D">
      <w:pPr>
        <w:ind w:left="720"/>
        <w:rPr>
          <w:rFonts w:ascii="Arial" w:hAnsi="Arial" w:cs="Arial"/>
          <w:b/>
          <w:i/>
          <w:iCs/>
          <w:color w:val="0070C0"/>
          <w:sz w:val="24"/>
          <w:szCs w:val="24"/>
          <w:u w:val="single"/>
        </w:rPr>
      </w:pPr>
      <w:r w:rsidRPr="006E1DE9">
        <w:rPr>
          <w:rFonts w:ascii="Arial" w:hAnsi="Arial" w:cs="Arial"/>
          <w:b/>
          <w:i/>
          <w:iCs/>
          <w:color w:val="0070C0"/>
          <w:sz w:val="24"/>
          <w:szCs w:val="24"/>
          <w:u w:val="single"/>
        </w:rPr>
        <w:t>77.5%</w:t>
      </w:r>
    </w:p>
    <w:bookmarkEnd w:id="1"/>
    <w:p w:rsidR="00F4343D" w:rsidRDefault="00F4343D" w:rsidP="00A67FB1">
      <w:pPr>
        <w:ind w:left="720"/>
        <w:rPr>
          <w:rFonts w:ascii="Arial" w:hAnsi="Arial" w:cs="Arial"/>
          <w:sz w:val="24"/>
          <w:szCs w:val="24"/>
        </w:rPr>
      </w:pPr>
    </w:p>
    <w:p w:rsidR="00F4343D" w:rsidRDefault="00F4343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9C524D" w:rsidRDefault="009C524D" w:rsidP="009C524D">
      <w:pPr>
        <w:ind w:left="709"/>
        <w:rPr>
          <w:rFonts w:ascii="Arial" w:hAnsi="Arial" w:cs="Arial"/>
          <w:i/>
          <w:iCs/>
          <w:color w:val="0070C0"/>
        </w:rPr>
      </w:pPr>
      <w:r w:rsidRPr="008D1084">
        <w:rPr>
          <w:rFonts w:ascii="Arial" w:hAnsi="Arial" w:cs="Arial"/>
          <w:i/>
          <w:iCs/>
          <w:color w:val="0070C0"/>
        </w:rPr>
        <w:t>Engagement with a limited range of mostly relevant and credible sources</w:t>
      </w:r>
      <w:r w:rsidRPr="004D1508">
        <w:rPr>
          <w:rFonts w:ascii="Arial" w:hAnsi="Arial" w:cs="Arial"/>
          <w:i/>
          <w:iCs/>
          <w:color w:val="0070C0"/>
        </w:rPr>
        <w:t>.</w:t>
      </w:r>
      <w:r>
        <w:rPr>
          <w:rFonts w:ascii="Arial" w:hAnsi="Arial" w:cs="Arial"/>
          <w:i/>
          <w:iCs/>
          <w:color w:val="0070C0"/>
        </w:rPr>
        <w:t xml:space="preserve">  </w:t>
      </w:r>
      <w:r w:rsidR="008D1084" w:rsidRPr="008D1084">
        <w:rPr>
          <w:rFonts w:ascii="Arial" w:hAnsi="Arial" w:cs="Arial"/>
          <w:i/>
          <w:iCs/>
          <w:color w:val="0070C0"/>
        </w:rPr>
        <w:t>Inconsistent and weak use of referencing</w:t>
      </w:r>
      <w:r>
        <w:rPr>
          <w:rFonts w:ascii="Arial" w:hAnsi="Arial" w:cs="Arial"/>
          <w:i/>
          <w:iCs/>
          <w:color w:val="0070C0"/>
        </w:rPr>
        <w:t>.</w:t>
      </w:r>
      <w:r w:rsidRPr="004D1508">
        <w:rPr>
          <w:rFonts w:ascii="Arial" w:hAnsi="Arial" w:cs="Arial"/>
          <w:i/>
          <w:iCs/>
          <w:color w:val="0070C0"/>
        </w:rPr>
        <w:t xml:space="preserve"> </w:t>
      </w:r>
      <w:r w:rsidR="008D1084" w:rsidRPr="008D1084">
        <w:rPr>
          <w:rFonts w:ascii="Arial" w:hAnsi="Arial" w:cs="Arial"/>
          <w:i/>
          <w:iCs/>
          <w:color w:val="0070C0"/>
        </w:rPr>
        <w:t>Knowledge of the basic underlying concepts and principles is accurate</w:t>
      </w:r>
      <w:r w:rsidR="008D1084" w:rsidRPr="00B669B1">
        <w:rPr>
          <w:rFonts w:ascii="Arial" w:hAnsi="Arial" w:cs="Arial"/>
        </w:rPr>
        <w:t xml:space="preserve"> </w:t>
      </w:r>
      <w:r w:rsidRPr="000B0641">
        <w:rPr>
          <w:rFonts w:ascii="Arial" w:hAnsi="Arial" w:cs="Arial"/>
          <w:i/>
          <w:iCs/>
          <w:color w:val="0070C0"/>
        </w:rPr>
        <w:t xml:space="preserve">– </w:t>
      </w:r>
      <w:r w:rsidR="008D1084">
        <w:rPr>
          <w:rFonts w:ascii="Arial" w:hAnsi="Arial" w:cs="Arial"/>
          <w:i/>
          <w:iCs/>
          <w:color w:val="0070C0"/>
        </w:rPr>
        <w:t>40</w:t>
      </w:r>
      <w:r w:rsidRPr="000B0641">
        <w:rPr>
          <w:rFonts w:ascii="Arial" w:hAnsi="Arial" w:cs="Arial"/>
          <w:i/>
          <w:iCs/>
          <w:color w:val="0070C0"/>
        </w:rPr>
        <w:t>%</w:t>
      </w:r>
    </w:p>
    <w:p w:rsidR="009C524D" w:rsidRDefault="009C524D" w:rsidP="009C524D">
      <w:pPr>
        <w:ind w:left="851" w:hanging="142"/>
        <w:rPr>
          <w:rFonts w:ascii="Arial" w:hAnsi="Arial" w:cs="Arial"/>
          <w:i/>
          <w:iCs/>
          <w:color w:val="0070C0"/>
        </w:rPr>
      </w:pPr>
    </w:p>
    <w:p w:rsidR="009C524D" w:rsidRDefault="009C524D" w:rsidP="009C524D">
      <w:pPr>
        <w:ind w:left="720"/>
        <w:rPr>
          <w:rFonts w:ascii="Arial" w:hAnsi="Arial" w:cs="Arial"/>
          <w:i/>
          <w:iCs/>
          <w:color w:val="0070C0"/>
        </w:rPr>
      </w:pPr>
      <w:r w:rsidRPr="00037B54">
        <w:rPr>
          <w:rFonts w:ascii="Arial" w:hAnsi="Arial" w:cs="Arial"/>
          <w:i/>
          <w:iCs/>
          <w:color w:val="0070C0"/>
        </w:rPr>
        <w:t>A very good application of a range of basic methods, materials, tools and/or techniques</w:t>
      </w:r>
      <w:r w:rsidRPr="000B0641">
        <w:rPr>
          <w:rFonts w:ascii="Arial" w:hAnsi="Arial" w:cs="Arial"/>
          <w:i/>
          <w:iCs/>
          <w:color w:val="0070C0"/>
        </w:rPr>
        <w:t xml:space="preserve">. – </w:t>
      </w:r>
      <w:r>
        <w:rPr>
          <w:rFonts w:ascii="Arial" w:hAnsi="Arial" w:cs="Arial"/>
          <w:i/>
          <w:iCs/>
          <w:color w:val="0070C0"/>
        </w:rPr>
        <w:t>69</w:t>
      </w:r>
      <w:r w:rsidRPr="000B0641">
        <w:rPr>
          <w:rFonts w:ascii="Arial" w:hAnsi="Arial" w:cs="Arial"/>
          <w:i/>
          <w:iCs/>
          <w:color w:val="0070C0"/>
        </w:rPr>
        <w:t>%</w:t>
      </w:r>
    </w:p>
    <w:p w:rsidR="006E1DE9" w:rsidRPr="006E1DE9" w:rsidRDefault="006E1DE9" w:rsidP="009C524D">
      <w:pPr>
        <w:ind w:left="720"/>
        <w:rPr>
          <w:rFonts w:ascii="Arial" w:hAnsi="Arial" w:cs="Arial"/>
          <w:b/>
          <w:i/>
          <w:iCs/>
          <w:color w:val="0070C0"/>
          <w:sz w:val="24"/>
          <w:szCs w:val="24"/>
          <w:u w:val="single"/>
        </w:rPr>
      </w:pPr>
      <w:r w:rsidRPr="006E1DE9">
        <w:rPr>
          <w:rFonts w:ascii="Arial" w:hAnsi="Arial" w:cs="Arial"/>
          <w:b/>
          <w:i/>
          <w:iCs/>
          <w:color w:val="0070C0"/>
          <w:sz w:val="24"/>
          <w:szCs w:val="24"/>
          <w:u w:val="single"/>
        </w:rPr>
        <w:t>54.5%</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7471A" w:rsidRDefault="00A7471A" w:rsidP="00152E9D">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7471A" w:rsidRPr="00A7471A" w:rsidRDefault="00A7471A" w:rsidP="00A7471A">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7471A" w:rsidRPr="00A7471A" w:rsidRDefault="00A7471A" w:rsidP="00A7471A">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7471A" w:rsidRPr="00A7471A" w:rsidRDefault="00A7471A" w:rsidP="00A7471A">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7471A" w:rsidRPr="00A7471A" w:rsidRDefault="00A7471A" w:rsidP="00A7471A">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6E1DE9" w:rsidRDefault="006E1DE9" w:rsidP="00152E9D">
            <w:pPr>
              <w:jc w:val="right"/>
              <w:rPr>
                <w:rFonts w:ascii="Arial" w:hAnsi="Arial" w:cs="Arial"/>
                <w:b/>
                <w:bCs/>
                <w:sz w:val="28"/>
                <w:szCs w:val="28"/>
              </w:rPr>
            </w:pPr>
            <w:r w:rsidRPr="006E1DE9">
              <w:rPr>
                <w:rFonts w:ascii="Arial" w:hAnsi="Arial" w:cs="Arial"/>
                <w:b/>
                <w:bCs/>
                <w:sz w:val="28"/>
                <w:szCs w:val="28"/>
              </w:rPr>
              <w:t>65.4</w:t>
            </w:r>
            <w:r w:rsidR="00152E9D" w:rsidRPr="006E1DE9">
              <w:rPr>
                <w:rFonts w:ascii="Arial" w:hAnsi="Arial" w:cs="Arial"/>
                <w:b/>
                <w:bCs/>
                <w:sz w:val="28"/>
                <w:szCs w:val="28"/>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70C" w:rsidRDefault="0033670C">
      <w:r>
        <w:separator/>
      </w:r>
    </w:p>
  </w:endnote>
  <w:endnote w:type="continuationSeparator" w:id="0">
    <w:p w:rsidR="0033670C" w:rsidRDefault="00336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70C" w:rsidRDefault="0033670C">
      <w:r>
        <w:separator/>
      </w:r>
    </w:p>
  </w:footnote>
  <w:footnote w:type="continuationSeparator" w:id="0">
    <w:p w:rsidR="0033670C" w:rsidRDefault="003367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414"/>
    <w:rsid w:val="000971FC"/>
    <w:rsid w:val="000A2A3A"/>
    <w:rsid w:val="000A492A"/>
    <w:rsid w:val="000B0641"/>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D3C73"/>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3ABD"/>
    <w:rsid w:val="002D5B3F"/>
    <w:rsid w:val="002E272E"/>
    <w:rsid w:val="002F5778"/>
    <w:rsid w:val="003223E0"/>
    <w:rsid w:val="0033670C"/>
    <w:rsid w:val="00352C4A"/>
    <w:rsid w:val="00362560"/>
    <w:rsid w:val="003663CE"/>
    <w:rsid w:val="003732FD"/>
    <w:rsid w:val="003753B2"/>
    <w:rsid w:val="00376559"/>
    <w:rsid w:val="00382BAA"/>
    <w:rsid w:val="00384D73"/>
    <w:rsid w:val="00393EB6"/>
    <w:rsid w:val="003A3CE5"/>
    <w:rsid w:val="003B366F"/>
    <w:rsid w:val="003B3F9D"/>
    <w:rsid w:val="003B6C95"/>
    <w:rsid w:val="003E5751"/>
    <w:rsid w:val="003F5462"/>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A7681"/>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B8E"/>
    <w:rsid w:val="00681208"/>
    <w:rsid w:val="00681FA9"/>
    <w:rsid w:val="00691EA9"/>
    <w:rsid w:val="006934D4"/>
    <w:rsid w:val="006A6DC3"/>
    <w:rsid w:val="006B6BF5"/>
    <w:rsid w:val="006D49ED"/>
    <w:rsid w:val="006D55CE"/>
    <w:rsid w:val="006D637A"/>
    <w:rsid w:val="006D6F24"/>
    <w:rsid w:val="006E1DE9"/>
    <w:rsid w:val="006F0F95"/>
    <w:rsid w:val="006F45BF"/>
    <w:rsid w:val="006F60E0"/>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19F8"/>
    <w:rsid w:val="00864478"/>
    <w:rsid w:val="00865B46"/>
    <w:rsid w:val="008704B7"/>
    <w:rsid w:val="00890B96"/>
    <w:rsid w:val="00896134"/>
    <w:rsid w:val="008A161D"/>
    <w:rsid w:val="008A62BC"/>
    <w:rsid w:val="008B43E7"/>
    <w:rsid w:val="008D1084"/>
    <w:rsid w:val="008D763F"/>
    <w:rsid w:val="008F036F"/>
    <w:rsid w:val="008F1308"/>
    <w:rsid w:val="008F78C2"/>
    <w:rsid w:val="00904568"/>
    <w:rsid w:val="00911394"/>
    <w:rsid w:val="009170C7"/>
    <w:rsid w:val="00923EF2"/>
    <w:rsid w:val="00926D25"/>
    <w:rsid w:val="00926E9D"/>
    <w:rsid w:val="00927781"/>
    <w:rsid w:val="009315A0"/>
    <w:rsid w:val="00932C6E"/>
    <w:rsid w:val="00933F10"/>
    <w:rsid w:val="009433C5"/>
    <w:rsid w:val="00965881"/>
    <w:rsid w:val="009871FF"/>
    <w:rsid w:val="00990799"/>
    <w:rsid w:val="00995D51"/>
    <w:rsid w:val="009A0631"/>
    <w:rsid w:val="009B10ED"/>
    <w:rsid w:val="009C524D"/>
    <w:rsid w:val="009D03ED"/>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471A"/>
    <w:rsid w:val="00A831CC"/>
    <w:rsid w:val="00A85BFE"/>
    <w:rsid w:val="00AB6FE7"/>
    <w:rsid w:val="00AB7AD7"/>
    <w:rsid w:val="00AD2430"/>
    <w:rsid w:val="00AE41A6"/>
    <w:rsid w:val="00AF0E34"/>
    <w:rsid w:val="00AF271D"/>
    <w:rsid w:val="00AF56C2"/>
    <w:rsid w:val="00B004E6"/>
    <w:rsid w:val="00B0744D"/>
    <w:rsid w:val="00B22457"/>
    <w:rsid w:val="00B44CD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8A5"/>
    <w:rsid w:val="00C705F9"/>
    <w:rsid w:val="00C80F0F"/>
    <w:rsid w:val="00C8667A"/>
    <w:rsid w:val="00C93BCB"/>
    <w:rsid w:val="00C94AA1"/>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86A8C"/>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343D"/>
    <w:rsid w:val="00F442A7"/>
    <w:rsid w:val="00F57A89"/>
    <w:rsid w:val="00F61A20"/>
    <w:rsid w:val="00F63DD9"/>
    <w:rsid w:val="00F64AA8"/>
    <w:rsid w:val="00F67644"/>
    <w:rsid w:val="00F678EE"/>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A3E84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9</Pages>
  <Words>2908</Words>
  <Characters>17701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9</cp:revision>
  <cp:lastPrinted>2014-10-10T07:42:00Z</cp:lastPrinted>
  <dcterms:created xsi:type="dcterms:W3CDTF">2020-05-26T11:44:00Z</dcterms:created>
  <dcterms:modified xsi:type="dcterms:W3CDTF">2020-06-12T11:26:00Z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