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A1B4F" w14:textId="13CB28A9"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"/var/folders/3m/75n243vx2c9638vyflqd2q900000gn/T/com.microsoft.Word/WebArchiveCopyPasteTempFiles/page1image464"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1C3CCF16" wp14:editId="1649443A">
            <wp:extent cx="1810385" cy="731520"/>
            <wp:effectExtent l="0" t="0" r="5715" b="0"/>
            <wp:docPr id="27" name="Picture 27"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31520"/>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31D65834"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8"/>
          <w:szCs w:val="28"/>
        </w:rPr>
        <w:t xml:space="preserve">APPENDIX GA36d </w:t>
      </w:r>
    </w:p>
    <w:p w14:paraId="070286B4"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40"/>
          <w:szCs w:val="40"/>
          <w:shd w:val="clear" w:color="auto" w:fill="BFBFBF"/>
        </w:rPr>
        <w:t xml:space="preserve">LEVEL 7 ASSESSMENT SPECIFICATION </w:t>
      </w:r>
    </w:p>
    <w:p w14:paraId="06F669A2" w14:textId="0700DB33"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"/var/folders/3m/75n243vx2c9638vyflqd2q900000gn/T/com.microsoft.Word/WebArchiveCopyPasteTempFiles/page1image2080"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63E1457F" wp14:editId="7837929F">
            <wp:extent cx="18415" cy="18415"/>
            <wp:effectExtent l="0" t="0" r="0" b="0"/>
            <wp:docPr id="26" name="Picture 26" descr="page1image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20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"/var/folders/3m/75n243vx2c9638vyflqd2q900000gn/T/com.microsoft.Word/WebArchiveCopyPasteTempFiles/page1image3568"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5434166A" wp14:editId="4F1C9CF5">
            <wp:extent cx="18415" cy="18415"/>
            <wp:effectExtent l="0" t="0" r="0" b="0"/>
            <wp:docPr id="25" name="Picture 25" descr="page1image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35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bl>
      <w:tblPr>
        <w:tblW w:w="8895" w:type="dxa"/>
        <w:tblCellMar>
          <w:top w:w="15" w:type="dxa"/>
          <w:left w:w="15" w:type="dxa"/>
          <w:bottom w:w="15" w:type="dxa"/>
          <w:right w:w="15" w:type="dxa"/>
        </w:tblCellMar>
        <w:tblLook w:val="04A0" w:firstRow="1" w:lastRow="0" w:firstColumn="1" w:lastColumn="0" w:noHBand="0" w:noVBand="1"/>
      </w:tblPr>
      <w:tblGrid>
        <w:gridCol w:w="1631"/>
        <w:gridCol w:w="1912"/>
        <w:gridCol w:w="2459"/>
        <w:gridCol w:w="2893"/>
      </w:tblGrid>
      <w:tr w:rsidR="001A5849" w:rsidRPr="001A5849" w14:paraId="32403578" w14:textId="77777777" w:rsidTr="001A5849">
        <w:trPr>
          <w:trHeight w:val="1019"/>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363F0ED8" w14:textId="77777777" w:rsidR="001A5849" w:rsidRPr="001A5849" w:rsidRDefault="001A5849" w:rsidP="001A5849">
            <w:pPr>
              <w:spacing w:before="100" w:beforeAutospacing="1" w:after="100" w:afterAutospacing="1"/>
              <w:divId w:val="605693781"/>
              <w:rPr>
                <w:rFonts w:ascii="Times New Roman" w:eastAsia="Times New Roman" w:hAnsi="Times New Roman" w:cs="Times New Roman"/>
              </w:rPr>
            </w:pPr>
            <w:r w:rsidRPr="001A5849">
              <w:rPr>
                <w:rFonts w:ascii="Arial" w:eastAsia="Times New Roman" w:hAnsi="Arial" w:cs="Arial"/>
                <w:b/>
                <w:bCs/>
                <w:sz w:val="22"/>
                <w:szCs w:val="22"/>
              </w:rPr>
              <w:t xml:space="preserve">Student name: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C2947A4" w14:textId="14E79D86" w:rsidR="001A5849" w:rsidRPr="001A5849" w:rsidRDefault="001A5849" w:rsidP="001A5849">
            <w:pPr>
              <w:rPr>
                <w:rFonts w:ascii="Arial" w:eastAsia="Times New Roman" w:hAnsi="Arial" w:cs="Arial"/>
              </w:rPr>
            </w:pPr>
            <w:r w:rsidRPr="001A5849">
              <w:rPr>
                <w:rFonts w:ascii="Arial" w:eastAsia="Times New Roman" w:hAnsi="Arial" w:cs="Arial"/>
              </w:rPr>
              <w:t xml:space="preserve">Lauren </w:t>
            </w:r>
            <w:proofErr w:type="spellStart"/>
            <w:r w:rsidRPr="001A5849">
              <w:rPr>
                <w:rFonts w:ascii="Arial" w:eastAsia="Times New Roman" w:hAnsi="Arial" w:cs="Arial"/>
              </w:rPr>
              <w:t>Alcoran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46AE29E2" w14:textId="731CD51D"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"/var/folders/3m/75n243vx2c9638vyflqd2q900000gn/T/com.microsoft.Word/WebArchiveCopyPasteTempFiles/page1image6816"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6D4CD552" wp14:editId="105A4BDB">
                  <wp:extent cx="18415" cy="18415"/>
                  <wp:effectExtent l="0" t="0" r="0" b="0"/>
                  <wp:docPr id="24" name="Picture 24" descr="page1image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68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"/var/folders/3m/75n243vx2c9638vyflqd2q900000gn/T/com.microsoft.Word/WebArchiveCopyPasteTempFiles/page1image7136"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37A08B73" wp14:editId="0EF53763">
                  <wp:extent cx="18415" cy="18415"/>
                  <wp:effectExtent l="0" t="0" r="0" b="0"/>
                  <wp:docPr id="23" name="Picture 23" descr="page1image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71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22898BA2"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Student ID number: </w:t>
            </w:r>
          </w:p>
          <w:p w14:paraId="11BE991A" w14:textId="5F8E8C7F"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"/var/folders/3m/75n243vx2c9638vyflqd2q900000gn/T/com.microsoft.Word/WebArchiveCopyPasteTempFiles/page1image8304"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25127A8B" wp14:editId="61644A98">
                  <wp:extent cx="18415" cy="18415"/>
                  <wp:effectExtent l="0" t="0" r="0" b="0"/>
                  <wp:docPr id="22" name="Picture 22" descr="page1image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8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"/var/folders/3m/75n243vx2c9638vyflqd2q900000gn/T/com.microsoft.Word/WebArchiveCopyPasteTempFiles/page1image8624"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50F3F013" wp14:editId="63DCE021">
                  <wp:extent cx="18415" cy="18415"/>
                  <wp:effectExtent l="0" t="0" r="0" b="0"/>
                  <wp:docPr id="21" name="Picture 21" descr="page1image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86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804265A" w14:textId="1131A735"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"/var/folders/3m/75n243vx2c9638vyflqd2q900000gn/T/com.microsoft.Word/WebArchiveCopyPasteTempFiles/page1image9088"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394DF0FA" wp14:editId="43BD300D">
                  <wp:extent cx="18415" cy="18415"/>
                  <wp:effectExtent l="0" t="0" r="0" b="0"/>
                  <wp:docPr id="20" name="Picture 20" descr="page1image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90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Arial" w:eastAsia="Times New Roman" w:hAnsi="Arial" w:cs="Arial"/>
              </w:rPr>
              <w:t>1805173</w:t>
            </w:r>
          </w:p>
        </w:tc>
      </w:tr>
      <w:tr w:rsidR="001A5849" w:rsidRPr="001A5849" w14:paraId="7D036316" w14:textId="77777777" w:rsidTr="001A5849">
        <w:trPr>
          <w:trHeight w:val="585"/>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4501036"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Programme: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6E8ADCBA"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Secondary PGCE </w:t>
            </w:r>
          </w:p>
          <w:p w14:paraId="6042C819" w14:textId="606E1ED9"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"/var/folders/3m/75n243vx2c9638vyflqd2q900000gn/T/com.microsoft.Word/WebArchiveCopyPasteTempFiles/page1image13008"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0E667148" wp14:editId="5F1FC24E">
                  <wp:extent cx="18415" cy="18415"/>
                  <wp:effectExtent l="0" t="0" r="0" b="0"/>
                  <wp:docPr id="18" name="Picture 18" descr="page1image1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1image130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c>
      </w:tr>
      <w:tr w:rsidR="001A5849" w:rsidRPr="001A5849" w14:paraId="446E7C6A" w14:textId="77777777" w:rsidTr="001A5849">
        <w:trPr>
          <w:trHeight w:val="173"/>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5FD3470"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Module: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5DD16076"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Curriculum Development and Enhancement </w:t>
            </w:r>
          </w:p>
        </w:tc>
      </w:tr>
      <w:tr w:rsidR="001A5849" w:rsidRPr="001A5849" w14:paraId="7DE94607" w14:textId="77777777" w:rsidTr="001A5849">
        <w:trPr>
          <w:trHeight w:val="975"/>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5DA7B769"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Module code: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342D3C"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ECSP7002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AB81477" w14:textId="25E82CF6"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"/var/folders/3m/75n243vx2c9638vyflqd2q900000gn/T/com.microsoft.Word/WebArchiveCopyPasteTempFiles/page1image17576"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0B149FEA" wp14:editId="601F2556">
                  <wp:extent cx="18415" cy="18415"/>
                  <wp:effectExtent l="0" t="0" r="0" b="0"/>
                  <wp:docPr id="17" name="Picture 17" descr="page1image17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image175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"/var/folders/3m/75n243vx2c9638vyflqd2q900000gn/T/com.microsoft.Word/WebArchiveCopyPasteTempFiles/page1image17896"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314795CC" wp14:editId="35FF2358">
                  <wp:extent cx="18415" cy="18415"/>
                  <wp:effectExtent l="0" t="0" r="0" b="0"/>
                  <wp:docPr id="16" name="Picture 16" descr="page1image1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1image178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22F5DF84"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Contribution to Overall Module Assessment (%):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D8C8CF7" w14:textId="0252974D"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"/var/folders/3m/75n243vx2c9638vyflqd2q900000gn/T/com.microsoft.Word/WebArchiveCopyPasteTempFiles/page1image19688"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224A7905" wp14:editId="3D946E27">
                  <wp:extent cx="18415" cy="18415"/>
                  <wp:effectExtent l="0" t="0" r="0" b="0"/>
                  <wp:docPr id="15" name="Picture 15" descr="page1image19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196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2408BA8C"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100% </w:t>
            </w:r>
          </w:p>
        </w:tc>
      </w:tr>
      <w:tr w:rsidR="001A5849" w:rsidRPr="001A5849" w14:paraId="7A01B1CC" w14:textId="77777777" w:rsidTr="001A5849">
        <w:trPr>
          <w:trHeight w:val="1019"/>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9306B15"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Lecturer: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188FE3D"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Helen Denny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F8E3C82" w14:textId="1A827A2E"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"/var/folders/3m/75n243vx2c9638vyflqd2q900000gn/T/com.microsoft.Word/WebArchiveCopyPasteTempFiles/page1image23648"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1E117A5A" wp14:editId="610BBDF0">
                  <wp:extent cx="18415" cy="18415"/>
                  <wp:effectExtent l="0" t="0" r="0" b="0"/>
                  <wp:docPr id="14" name="Picture 14" descr="page1image2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1image236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"/var/folders/3m/75n243vx2c9638vyflqd2q900000gn/T/com.microsoft.Word/WebArchiveCopyPasteTempFiles/page1image23968"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1F8F97C1" wp14:editId="5DF277A1">
                  <wp:extent cx="18415" cy="18415"/>
                  <wp:effectExtent l="0" t="0" r="0" b="0"/>
                  <wp:docPr id="13" name="Picture 13" descr="page1image2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239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5EB4129A"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Internal Verifier: </w:t>
            </w:r>
          </w:p>
          <w:p w14:paraId="3D3A93CF" w14:textId="47A780C0"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"/var/folders/3m/75n243vx2c9638vyflqd2q900000gn/T/com.microsoft.Word/WebArchiveCopyPasteTempFiles/page1image25096"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62BD7E69" wp14:editId="7CA100C5">
                  <wp:extent cx="18415" cy="18415"/>
                  <wp:effectExtent l="0" t="0" r="0" b="0"/>
                  <wp:docPr id="12" name="Picture 12" descr="page1image2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1image250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"/var/folders/3m/75n243vx2c9638vyflqd2q900000gn/T/com.microsoft.Word/WebArchiveCopyPasteTempFiles/page1image25416"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1AA75DEF" wp14:editId="3DE43EFB">
                  <wp:extent cx="18415" cy="18415"/>
                  <wp:effectExtent l="0" t="0" r="0" b="0"/>
                  <wp:docPr id="11" name="Picture 11" descr="page1image2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1image254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B453B54" w14:textId="1D6451F8"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"/var/folders/3m/75n243vx2c9638vyflqd2q900000gn/T/com.microsoft.Word/WebArchiveCopyPasteTempFiles/page1image25880"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21CB60DC" wp14:editId="7BDB0BE5">
                  <wp:extent cx="18415" cy="18415"/>
                  <wp:effectExtent l="0" t="0" r="0" b="0"/>
                  <wp:docPr id="10" name="Picture 10" descr="page1image2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1image258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"/var/folders/3m/75n243vx2c9638vyflqd2q900000gn/T/com.microsoft.Word/WebArchiveCopyPasteTempFiles/page1image26360"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124F92E5" wp14:editId="46525C38">
                  <wp:extent cx="18415" cy="18415"/>
                  <wp:effectExtent l="0" t="0" r="0" b="0"/>
                  <wp:docPr id="9" name="Picture 9" descr="page1image2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1image263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c>
      </w:tr>
      <w:tr w:rsidR="001A5849" w:rsidRPr="001A5849" w14:paraId="2FB2498B" w14:textId="77777777" w:rsidTr="001A5849">
        <w:trPr>
          <w:trHeight w:val="780"/>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2E0EC65D"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Assignment Title: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DC9CF4"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Research Study including Ethics Form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357DF4D6"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Word count (or equivalent):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26986C"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10.000 words in total including an Ethics form (to be given in on January 11</w:t>
            </w:r>
            <w:proofErr w:type="spellStart"/>
            <w:r w:rsidRPr="001A5849">
              <w:rPr>
                <w:rFonts w:ascii="Arial" w:eastAsia="Times New Roman" w:hAnsi="Arial" w:cs="Arial"/>
                <w:b/>
                <w:bCs/>
                <w:position w:val="10"/>
                <w:sz w:val="14"/>
                <w:szCs w:val="14"/>
              </w:rPr>
              <w:t>th</w:t>
            </w:r>
            <w:proofErr w:type="spellEnd"/>
            <w:r w:rsidRPr="001A5849">
              <w:rPr>
                <w:rFonts w:ascii="Arial" w:eastAsia="Times New Roman" w:hAnsi="Arial" w:cs="Arial"/>
                <w:b/>
                <w:bCs/>
                <w:position w:val="10"/>
                <w:sz w:val="14"/>
                <w:szCs w:val="14"/>
              </w:rPr>
              <w:t xml:space="preserve"> </w:t>
            </w:r>
            <w:r w:rsidRPr="001A5849">
              <w:rPr>
                <w:rFonts w:ascii="Arial" w:eastAsia="Times New Roman" w:hAnsi="Arial" w:cs="Arial"/>
                <w:b/>
                <w:bCs/>
                <w:sz w:val="22"/>
                <w:szCs w:val="22"/>
              </w:rPr>
              <w:t xml:space="preserve">2019) </w:t>
            </w:r>
          </w:p>
        </w:tc>
      </w:tr>
      <w:tr w:rsidR="001A5849" w:rsidRPr="001A5849" w14:paraId="1158E99E" w14:textId="77777777" w:rsidTr="001A5849">
        <w:trPr>
          <w:trHeight w:val="1387"/>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5BC18F5"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Submission deadline: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C16696F"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May 13</w:t>
            </w:r>
            <w:proofErr w:type="spellStart"/>
            <w:r w:rsidRPr="001A5849">
              <w:rPr>
                <w:rFonts w:ascii="Arial" w:eastAsia="Times New Roman" w:hAnsi="Arial" w:cs="Arial"/>
                <w:b/>
                <w:bCs/>
                <w:position w:val="10"/>
                <w:sz w:val="14"/>
                <w:szCs w:val="14"/>
              </w:rPr>
              <w:t>th</w:t>
            </w:r>
            <w:proofErr w:type="spellEnd"/>
            <w:r w:rsidRPr="001A5849">
              <w:rPr>
                <w:rFonts w:ascii="Arial" w:eastAsia="Times New Roman" w:hAnsi="Arial" w:cs="Arial"/>
                <w:b/>
                <w:bCs/>
                <w:position w:val="10"/>
                <w:sz w:val="14"/>
                <w:szCs w:val="14"/>
              </w:rPr>
              <w:t xml:space="preserve"> </w:t>
            </w:r>
            <w:r w:rsidRPr="001A5849">
              <w:rPr>
                <w:rFonts w:ascii="Arial" w:eastAsia="Times New Roman" w:hAnsi="Arial" w:cs="Arial"/>
                <w:b/>
                <w:bCs/>
                <w:sz w:val="22"/>
                <w:szCs w:val="22"/>
              </w:rPr>
              <w:t xml:space="preserve">2019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2D7BFE3" w14:textId="38B0B778"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"/var/folders/3m/75n243vx2c9638vyflqd2q900000gn/T/com.microsoft.Word/WebArchiveCopyPasteTempFiles/page1image34856"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11C30CCC" wp14:editId="2CDD1664">
                  <wp:extent cx="18415" cy="18415"/>
                  <wp:effectExtent l="0" t="0" r="0" b="0"/>
                  <wp:docPr id="8" name="Picture 8" descr="page1image3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e1image348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"/var/folders/3m/75n243vx2c9638vyflqd2q900000gn/T/com.microsoft.Word/WebArchiveCopyPasteTempFiles/page1image35176"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02CEAB08" wp14:editId="36F0AC3A">
                  <wp:extent cx="18415" cy="18415"/>
                  <wp:effectExtent l="0" t="0" r="0" b="0"/>
                  <wp:docPr id="7" name="Picture 7" descr="page1image3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1image351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29E924FC"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Return date of provisional marks &amp; written feedback: </w:t>
            </w:r>
          </w:p>
          <w:p w14:paraId="703C8FE5" w14:textId="31E6F4AA"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"/var/folders/3m/75n243vx2c9638vyflqd2q900000gn/T/com.microsoft.Word/WebArchiveCopyPasteTempFiles/page1image36752"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4D83F8DE" wp14:editId="6653A4D2">
                  <wp:extent cx="18415" cy="18415"/>
                  <wp:effectExtent l="0" t="0" r="0" b="0"/>
                  <wp:docPr id="6" name="Picture 6" descr="page1image3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1image367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"/var/folders/3m/75n243vx2c9638vyflqd2q900000gn/T/com.microsoft.Word/WebArchiveCopyPasteTempFiles/page1image37072"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5AEF47DF" wp14:editId="623CE818">
                  <wp:extent cx="18415" cy="18415"/>
                  <wp:effectExtent l="0" t="0" r="0" b="0"/>
                  <wp:docPr id="5" name="Picture 5" descr="page1image3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1image370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E692572" w14:textId="644FB0A8"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"/var/folders/3m/75n243vx2c9638vyflqd2q900000gn/T/com.microsoft.Word/WebArchiveCopyPasteTempFiles/page1image37544"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28A52415" wp14:editId="55421C97">
                  <wp:extent cx="18415" cy="18415"/>
                  <wp:effectExtent l="0" t="0" r="0" b="0"/>
                  <wp:docPr id="4" name="Picture 4" descr="page1image37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ge1image375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02CE7DEE"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June 10</w:t>
            </w:r>
            <w:proofErr w:type="spellStart"/>
            <w:r w:rsidRPr="001A5849">
              <w:rPr>
                <w:rFonts w:ascii="Arial" w:eastAsia="Times New Roman" w:hAnsi="Arial" w:cs="Arial"/>
                <w:b/>
                <w:bCs/>
                <w:position w:val="10"/>
                <w:sz w:val="14"/>
                <w:szCs w:val="14"/>
              </w:rPr>
              <w:t>th</w:t>
            </w:r>
            <w:proofErr w:type="spellEnd"/>
            <w:r w:rsidRPr="001A5849">
              <w:rPr>
                <w:rFonts w:ascii="Arial" w:eastAsia="Times New Roman" w:hAnsi="Arial" w:cs="Arial"/>
                <w:b/>
                <w:bCs/>
                <w:position w:val="10"/>
                <w:sz w:val="14"/>
                <w:szCs w:val="14"/>
              </w:rPr>
              <w:t xml:space="preserve"> </w:t>
            </w:r>
            <w:r w:rsidRPr="001A5849">
              <w:rPr>
                <w:rFonts w:ascii="Arial" w:eastAsia="Times New Roman" w:hAnsi="Arial" w:cs="Arial"/>
                <w:b/>
                <w:bCs/>
                <w:sz w:val="22"/>
                <w:szCs w:val="22"/>
              </w:rPr>
              <w:t xml:space="preserve">2019 </w:t>
            </w:r>
          </w:p>
          <w:p w14:paraId="46C1BC12" w14:textId="74F69C10"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"/var/folders/3m/75n243vx2c9638vyflqd2q900000gn/T/com.microsoft.Word/WebArchiveCopyPasteTempFiles/page1image38552"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62660CF3" wp14:editId="5ABBE2BF">
                  <wp:extent cx="18415" cy="18415"/>
                  <wp:effectExtent l="0" t="0" r="0" b="0"/>
                  <wp:docPr id="3" name="Picture 3" descr="page1image3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1image385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c>
      </w:tr>
      <w:tr w:rsidR="001A5849" w:rsidRPr="001A5849" w14:paraId="1941436A" w14:textId="77777777" w:rsidTr="001A5849">
        <w:trPr>
          <w:trHeight w:val="1777"/>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B070C2C"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Submission method: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786AA92E"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MT" w:eastAsia="Times New Roman" w:hAnsi="ArialMT" w:cs="Times New Roman"/>
                <w:sz w:val="22"/>
                <w:szCs w:val="22"/>
              </w:rPr>
              <w:t xml:space="preserve">All written assessments, where practical and possible, must be submitted via </w:t>
            </w:r>
            <w:proofErr w:type="spellStart"/>
            <w:r w:rsidRPr="001A5849">
              <w:rPr>
                <w:rFonts w:ascii="ArialMT" w:eastAsia="Times New Roman" w:hAnsi="ArialMT" w:cs="Times New Roman"/>
                <w:sz w:val="22"/>
                <w:szCs w:val="22"/>
              </w:rPr>
              <w:t>Turnitin</w:t>
            </w:r>
            <w:proofErr w:type="spellEnd"/>
            <w:r w:rsidRPr="001A5849">
              <w:rPr>
                <w:rFonts w:ascii="ArialMT" w:eastAsia="Times New Roman" w:hAnsi="ArialMT" w:cs="Times New Roman"/>
                <w:sz w:val="22"/>
                <w:szCs w:val="22"/>
              </w:rPr>
              <w:t xml:space="preserve"> unless otherwise instructed by the Lecturer. (Please DO NOT put this assessment specification into </w:t>
            </w:r>
            <w:proofErr w:type="spellStart"/>
            <w:r w:rsidRPr="001A5849">
              <w:rPr>
                <w:rFonts w:ascii="ArialMT" w:eastAsia="Times New Roman" w:hAnsi="ArialMT" w:cs="Times New Roman"/>
                <w:sz w:val="22"/>
                <w:szCs w:val="22"/>
              </w:rPr>
              <w:t>Turnitin</w:t>
            </w:r>
            <w:proofErr w:type="spellEnd"/>
            <w:r w:rsidRPr="001A5849">
              <w:rPr>
                <w:rFonts w:ascii="ArialMT" w:eastAsia="Times New Roman" w:hAnsi="ArialMT" w:cs="Times New Roman"/>
                <w:sz w:val="22"/>
                <w:szCs w:val="22"/>
              </w:rPr>
              <w:t xml:space="preserve"> or it will match many similarities with other students’ submissions.) </w:t>
            </w:r>
          </w:p>
          <w:p w14:paraId="2EE94891"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Alternative submission method (if applicable): </w:t>
            </w:r>
          </w:p>
          <w:p w14:paraId="4691AA15"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Late submission of the assessment will result in a late penalty mark. </w:t>
            </w:r>
          </w:p>
          <w:p w14:paraId="5D36C570"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MT" w:eastAsia="Times New Roman" w:hAnsi="ArialMT" w:cs="Times New Roman"/>
                <w:sz w:val="22"/>
                <w:szCs w:val="22"/>
              </w:rPr>
              <w:lastRenderedPageBreak/>
              <w:t xml:space="preserve">Penalties for late submission: Up to one week late, maximum mark of 50%. Over one week late, 0%. Only the Extenuating Circumstances Panel may approve a change to submission dates. </w:t>
            </w:r>
          </w:p>
        </w:tc>
      </w:tr>
      <w:tr w:rsidR="001A5849" w:rsidRPr="001A5849" w14:paraId="50479F0A" w14:textId="77777777" w:rsidTr="001A5849">
        <w:trPr>
          <w:trHeight w:val="1387"/>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7C3F84B" w14:textId="0F850B63"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lastRenderedPageBreak/>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"/var/folders/3m/75n243vx2c9638vyflqd2q900000gn/T/com.microsoft.Word/WebArchiveCopyPasteTempFiles/page1image45640"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000B9F85" wp14:editId="3DEB861E">
                  <wp:extent cx="18415" cy="18415"/>
                  <wp:effectExtent l="0" t="0" r="0" b="0"/>
                  <wp:docPr id="2" name="Picture 2" descr="page1image4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1image456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p w14:paraId="34195DB1"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 w:eastAsia="Times New Roman" w:hAnsi="Arial" w:cs="Arial"/>
                <w:b/>
                <w:bCs/>
                <w:sz w:val="22"/>
                <w:szCs w:val="22"/>
              </w:rPr>
              <w:t xml:space="preserve">Academic honesty / referencing: </w:t>
            </w:r>
          </w:p>
          <w:p w14:paraId="4C2C204C" w14:textId="2B5502B0" w:rsidR="001A5849" w:rsidRPr="001A5849" w:rsidRDefault="001A5849" w:rsidP="001A5849">
            <w:pPr>
              <w:rPr>
                <w:rFonts w:ascii="Times New Roman" w:eastAsia="Times New Roman" w:hAnsi="Times New Roman" w:cs="Times New Roman"/>
              </w:rPr>
            </w:pPr>
            <w:r w:rsidRPr="001A5849">
              <w:rPr>
                <w:rFonts w:ascii="Times New Roman" w:eastAsia="Times New Roman" w:hAnsi="Times New Roman" w:cs="Times New Roman"/>
              </w:rPr>
              <w:fldChar w:fldCharType="begin"/>
            </w:r>
            <w:r w:rsidRPr="001A5849">
              <w:rPr>
                <w:rFonts w:ascii="Times New Roman" w:eastAsia="Times New Roman" w:hAnsi="Times New Roman" w:cs="Times New Roman"/>
              </w:rPr>
              <w:instrText xml:space="preserve"> INCLUDEPICTURE "/var/folders/3m/75n243vx2c9638vyflqd2q900000gn/T/com.microsoft.Word/WebArchiveCopyPasteTempFiles/page1image47640" \* MERGEFORMATINET </w:instrText>
            </w:r>
            <w:r w:rsidRPr="001A5849">
              <w:rPr>
                <w:rFonts w:ascii="Times New Roman" w:eastAsia="Times New Roman" w:hAnsi="Times New Roman" w:cs="Times New Roman"/>
              </w:rPr>
              <w:fldChar w:fldCharType="separate"/>
            </w:r>
            <w:r w:rsidRPr="001A5849">
              <w:rPr>
                <w:rFonts w:ascii="Times New Roman" w:eastAsia="Times New Roman" w:hAnsi="Times New Roman" w:cs="Times New Roman"/>
                <w:noProof/>
              </w:rPr>
              <w:drawing>
                <wp:inline distT="0" distB="0" distL="0" distR="0" wp14:anchorId="58F3719B" wp14:editId="43DA5E00">
                  <wp:extent cx="18415" cy="18415"/>
                  <wp:effectExtent l="0" t="0" r="0" b="0"/>
                  <wp:docPr id="1" name="Picture 1" descr="page1image47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1image476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1A5849">
              <w:rPr>
                <w:rFonts w:ascii="Times New Roman" w:eastAsia="Times New Roman" w:hAnsi="Times New Roman" w:cs="Times New Roman"/>
              </w:rPr>
              <w:fldChar w:fldCharType="end"/>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53DFEB02" w14:textId="77777777" w:rsidR="001A5849" w:rsidRPr="001A5849" w:rsidRDefault="001A5849" w:rsidP="001A5849">
            <w:pPr>
              <w:spacing w:before="100" w:beforeAutospacing="1" w:after="100" w:afterAutospacing="1"/>
              <w:rPr>
                <w:rFonts w:ascii="Times New Roman" w:eastAsia="Times New Roman" w:hAnsi="Times New Roman" w:cs="Times New Roman"/>
              </w:rPr>
            </w:pPr>
            <w:r w:rsidRPr="001A5849">
              <w:rPr>
                <w:rFonts w:ascii="ArialMT" w:eastAsia="Times New Roman" w:hAnsi="ArialMT" w:cs="Times New Roman"/>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87736A8" w14:textId="14D79D40" w:rsidR="001A5849" w:rsidRDefault="001A5849"/>
    <w:p w14:paraId="2EB85E38" w14:textId="77777777" w:rsidR="001A5849" w:rsidRDefault="001A5849">
      <w:r>
        <w:br w:type="page"/>
      </w:r>
    </w:p>
    <w:p w14:paraId="43F122FA" w14:textId="00BF509F" w:rsidR="001C0D94" w:rsidRDefault="001C0D94">
      <w:pPr>
        <w:rPr>
          <w:rFonts w:ascii="Verdana" w:hAnsi="Verdana"/>
          <w:b/>
          <w:sz w:val="28"/>
          <w:u w:val="single"/>
        </w:rPr>
      </w:pPr>
      <w:r w:rsidRPr="00A64165">
        <w:rPr>
          <w:rFonts w:ascii="Verdana" w:hAnsi="Verdana"/>
          <w:b/>
          <w:sz w:val="28"/>
          <w:u w:val="single"/>
        </w:rPr>
        <w:lastRenderedPageBreak/>
        <w:t>Contents</w:t>
      </w:r>
    </w:p>
    <w:p w14:paraId="46849C68" w14:textId="687127E8" w:rsidR="00A64165" w:rsidRDefault="00A64165">
      <w:pPr>
        <w:rPr>
          <w:rFonts w:ascii="Verdana" w:hAnsi="Verdana"/>
          <w:b/>
          <w:sz w:val="28"/>
          <w:u w:val="single"/>
        </w:rPr>
      </w:pPr>
    </w:p>
    <w:p w14:paraId="5814EAB0" w14:textId="0DE08063" w:rsidR="00A64165" w:rsidRDefault="00A64165" w:rsidP="00A64165">
      <w:pPr>
        <w:spacing w:line="480" w:lineRule="auto"/>
        <w:rPr>
          <w:rFonts w:ascii="Verdana" w:hAnsi="Verdana"/>
          <w:b/>
        </w:rPr>
      </w:pPr>
      <w:r>
        <w:rPr>
          <w:rFonts w:ascii="Verdana" w:hAnsi="Verdana"/>
          <w:b/>
        </w:rPr>
        <w:t>Introduction</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4</w:t>
      </w:r>
    </w:p>
    <w:p w14:paraId="10732168" w14:textId="7FCA60E2" w:rsidR="00A64165" w:rsidRDefault="00A64165" w:rsidP="00A64165">
      <w:pPr>
        <w:spacing w:line="480" w:lineRule="auto"/>
        <w:rPr>
          <w:rFonts w:ascii="Verdana" w:hAnsi="Verdana"/>
          <w:b/>
        </w:rPr>
      </w:pPr>
      <w:r>
        <w:rPr>
          <w:rFonts w:ascii="Verdana" w:hAnsi="Verdana"/>
          <w:b/>
        </w:rPr>
        <w:t>Literature Review</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5</w:t>
      </w:r>
    </w:p>
    <w:p w14:paraId="0628D04E" w14:textId="7D1ED36F" w:rsidR="00A64165" w:rsidRDefault="00A64165" w:rsidP="00A64165">
      <w:pPr>
        <w:spacing w:line="480" w:lineRule="auto"/>
        <w:rPr>
          <w:rFonts w:ascii="Verdana" w:hAnsi="Verdana"/>
          <w:b/>
        </w:rPr>
      </w:pPr>
      <w:r>
        <w:rPr>
          <w:rFonts w:ascii="Verdana" w:hAnsi="Verdana"/>
          <w:b/>
        </w:rPr>
        <w:t>School Policy and Practice</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9</w:t>
      </w:r>
    </w:p>
    <w:p w14:paraId="1E79A398" w14:textId="227368EC" w:rsidR="00A64165" w:rsidRDefault="00A64165" w:rsidP="00A64165">
      <w:pPr>
        <w:spacing w:line="480" w:lineRule="auto"/>
        <w:rPr>
          <w:rFonts w:ascii="Verdana" w:hAnsi="Verdana"/>
          <w:b/>
        </w:rPr>
      </w:pPr>
      <w:r>
        <w:rPr>
          <w:rFonts w:ascii="Verdana" w:hAnsi="Verdana"/>
          <w:b/>
        </w:rPr>
        <w:t>Methodology and Ethics</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11</w:t>
      </w:r>
    </w:p>
    <w:p w14:paraId="0418D943" w14:textId="431AD8BE" w:rsidR="00A64165" w:rsidRDefault="00A64165" w:rsidP="00A64165">
      <w:pPr>
        <w:spacing w:line="480" w:lineRule="auto"/>
        <w:rPr>
          <w:rFonts w:ascii="Verdana" w:hAnsi="Verdana"/>
          <w:b/>
        </w:rPr>
      </w:pPr>
      <w:r>
        <w:rPr>
          <w:rFonts w:ascii="Verdana" w:hAnsi="Verdana"/>
          <w:b/>
        </w:rPr>
        <w:t>Evaluation</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13</w:t>
      </w:r>
    </w:p>
    <w:p w14:paraId="113538FF" w14:textId="5158B518" w:rsidR="00A64165" w:rsidRDefault="00A64165" w:rsidP="00A64165">
      <w:pPr>
        <w:spacing w:line="480" w:lineRule="auto"/>
        <w:rPr>
          <w:rFonts w:ascii="Verdana" w:hAnsi="Verdana"/>
          <w:b/>
        </w:rPr>
      </w:pPr>
      <w:r>
        <w:rPr>
          <w:rFonts w:ascii="Verdana" w:hAnsi="Verdana"/>
          <w:b/>
        </w:rPr>
        <w:t>Conclusions, Limitations and Future Development</w:t>
      </w:r>
      <w:r>
        <w:rPr>
          <w:rFonts w:ascii="Verdana" w:hAnsi="Verdana"/>
          <w:b/>
        </w:rPr>
        <w:tab/>
      </w:r>
      <w:r>
        <w:rPr>
          <w:rFonts w:ascii="Verdana" w:hAnsi="Verdana"/>
          <w:b/>
        </w:rPr>
        <w:tab/>
      </w:r>
      <w:r>
        <w:rPr>
          <w:rFonts w:ascii="Verdana" w:hAnsi="Verdana"/>
          <w:b/>
        </w:rPr>
        <w:tab/>
        <w:t>17</w:t>
      </w:r>
    </w:p>
    <w:p w14:paraId="0EA42667" w14:textId="758F7076" w:rsidR="00A64165" w:rsidRDefault="00A64165" w:rsidP="00A64165">
      <w:pPr>
        <w:spacing w:line="480" w:lineRule="auto"/>
        <w:rPr>
          <w:rFonts w:ascii="Verdana" w:hAnsi="Verdana"/>
          <w:b/>
        </w:rPr>
      </w:pPr>
      <w:r>
        <w:rPr>
          <w:rFonts w:ascii="Verdana" w:hAnsi="Verdana"/>
          <w:b/>
        </w:rPr>
        <w:t>References</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23</w:t>
      </w:r>
    </w:p>
    <w:p w14:paraId="2C4E8B86" w14:textId="551F5D7A" w:rsidR="00A64165" w:rsidRDefault="00A64165" w:rsidP="00A64165">
      <w:pPr>
        <w:spacing w:line="480" w:lineRule="auto"/>
        <w:rPr>
          <w:rFonts w:ascii="Verdana" w:hAnsi="Verdana"/>
          <w:b/>
        </w:rPr>
      </w:pPr>
      <w:r>
        <w:rPr>
          <w:rFonts w:ascii="Verdana" w:hAnsi="Verdana"/>
          <w:b/>
        </w:rPr>
        <w:t>Appendices</w:t>
      </w:r>
    </w:p>
    <w:p w14:paraId="12470E57" w14:textId="76728BA6" w:rsidR="00A64165" w:rsidRDefault="00A64165" w:rsidP="00A64165">
      <w:pPr>
        <w:spacing w:line="480" w:lineRule="auto"/>
        <w:rPr>
          <w:rFonts w:ascii="Verdana" w:hAnsi="Verdana"/>
        </w:rPr>
      </w:pPr>
      <w:r>
        <w:rPr>
          <w:rFonts w:ascii="Verdana" w:hAnsi="Verdana"/>
          <w:b/>
        </w:rPr>
        <w:tab/>
      </w:r>
      <w:r>
        <w:rPr>
          <w:rFonts w:ascii="Verdana" w:hAnsi="Verdana"/>
        </w:rPr>
        <w:t>Appendix 1</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26</w:t>
      </w:r>
    </w:p>
    <w:p w14:paraId="546F4B36" w14:textId="14EDC386" w:rsidR="00A64165" w:rsidRDefault="00A64165" w:rsidP="00A64165">
      <w:pPr>
        <w:spacing w:line="480" w:lineRule="auto"/>
        <w:rPr>
          <w:rFonts w:ascii="Verdana" w:hAnsi="Verdana"/>
        </w:rPr>
      </w:pPr>
      <w:r>
        <w:rPr>
          <w:rFonts w:ascii="Verdana" w:hAnsi="Verdana"/>
        </w:rPr>
        <w:tab/>
        <w:t>Appendix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26</w:t>
      </w:r>
    </w:p>
    <w:p w14:paraId="38F0758D" w14:textId="7099D5E5" w:rsidR="00A64165" w:rsidRDefault="00A64165" w:rsidP="00A64165">
      <w:pPr>
        <w:spacing w:line="480" w:lineRule="auto"/>
        <w:rPr>
          <w:rFonts w:ascii="Verdana" w:hAnsi="Verdana"/>
        </w:rPr>
      </w:pPr>
      <w:r>
        <w:rPr>
          <w:rFonts w:ascii="Verdana" w:hAnsi="Verdana"/>
        </w:rPr>
        <w:tab/>
        <w:t>Appendix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27</w:t>
      </w:r>
    </w:p>
    <w:p w14:paraId="327CF918" w14:textId="7C4DA57E" w:rsidR="00A64165" w:rsidRDefault="00A64165" w:rsidP="00A64165">
      <w:pPr>
        <w:spacing w:line="480" w:lineRule="auto"/>
        <w:rPr>
          <w:rFonts w:ascii="Verdana" w:hAnsi="Verdana"/>
        </w:rPr>
      </w:pPr>
      <w:r>
        <w:rPr>
          <w:rFonts w:ascii="Verdana" w:hAnsi="Verdana"/>
        </w:rPr>
        <w:tab/>
        <w:t>Appendix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27</w:t>
      </w:r>
    </w:p>
    <w:p w14:paraId="53B116A2" w14:textId="56A78A62" w:rsidR="00A64165" w:rsidRDefault="00A64165" w:rsidP="00A64165">
      <w:pPr>
        <w:spacing w:line="480" w:lineRule="auto"/>
        <w:rPr>
          <w:rFonts w:ascii="Verdana" w:hAnsi="Verdana"/>
        </w:rPr>
      </w:pPr>
      <w:r>
        <w:rPr>
          <w:rFonts w:ascii="Verdana" w:hAnsi="Verdana"/>
        </w:rPr>
        <w:tab/>
        <w:t>Appendix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28</w:t>
      </w:r>
    </w:p>
    <w:p w14:paraId="6F166AD4" w14:textId="36616DFF" w:rsidR="00A64165" w:rsidRDefault="00A64165" w:rsidP="00A64165">
      <w:pPr>
        <w:spacing w:line="480" w:lineRule="auto"/>
        <w:rPr>
          <w:rFonts w:ascii="Verdana" w:hAnsi="Verdana"/>
        </w:rPr>
      </w:pPr>
      <w:r>
        <w:rPr>
          <w:rFonts w:ascii="Verdana" w:hAnsi="Verdana"/>
        </w:rPr>
        <w:tab/>
        <w:t>Appendix 6</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29</w:t>
      </w:r>
    </w:p>
    <w:p w14:paraId="0056C52B" w14:textId="6CCF165B" w:rsidR="00A64165" w:rsidRDefault="00A64165" w:rsidP="00A64165">
      <w:pPr>
        <w:spacing w:line="480" w:lineRule="auto"/>
        <w:rPr>
          <w:rFonts w:ascii="Verdana" w:hAnsi="Verdana"/>
        </w:rPr>
      </w:pPr>
      <w:r>
        <w:rPr>
          <w:rFonts w:ascii="Verdana" w:hAnsi="Verdana"/>
        </w:rPr>
        <w:tab/>
        <w:t>Appendix 7</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30</w:t>
      </w:r>
    </w:p>
    <w:p w14:paraId="7CF05845" w14:textId="5343818A" w:rsidR="00A64165" w:rsidRDefault="00A64165" w:rsidP="00A64165">
      <w:pPr>
        <w:spacing w:line="480" w:lineRule="auto"/>
        <w:rPr>
          <w:rFonts w:ascii="Verdana" w:hAnsi="Verdana"/>
        </w:rPr>
      </w:pPr>
      <w:r>
        <w:rPr>
          <w:rFonts w:ascii="Verdana" w:hAnsi="Verdana"/>
        </w:rPr>
        <w:tab/>
        <w:t>Appendix 8</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32</w:t>
      </w:r>
    </w:p>
    <w:p w14:paraId="11D94DE5" w14:textId="14AE0F40" w:rsidR="00A64165" w:rsidRDefault="00A64165" w:rsidP="00A64165">
      <w:pPr>
        <w:spacing w:line="480" w:lineRule="auto"/>
        <w:ind w:firstLine="720"/>
        <w:rPr>
          <w:rFonts w:ascii="Verdana" w:hAnsi="Verdana"/>
        </w:rPr>
      </w:pPr>
      <w:r>
        <w:rPr>
          <w:rFonts w:ascii="Verdana" w:hAnsi="Verdana"/>
        </w:rPr>
        <w:t>Appendix 9</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33</w:t>
      </w:r>
    </w:p>
    <w:p w14:paraId="5141DDFC" w14:textId="5E388868" w:rsidR="00A64165" w:rsidRDefault="00A64165" w:rsidP="00A64165">
      <w:pPr>
        <w:spacing w:line="480" w:lineRule="auto"/>
        <w:ind w:firstLine="720"/>
        <w:rPr>
          <w:rFonts w:ascii="Verdana" w:hAnsi="Verdana"/>
        </w:rPr>
      </w:pPr>
      <w:r>
        <w:rPr>
          <w:rFonts w:ascii="Verdana" w:hAnsi="Verdana"/>
        </w:rPr>
        <w:t>Appendix 10</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33</w:t>
      </w:r>
    </w:p>
    <w:p w14:paraId="5162F961" w14:textId="4F6D6B26" w:rsidR="00A64165" w:rsidRDefault="00A64165" w:rsidP="00A64165">
      <w:pPr>
        <w:spacing w:line="480" w:lineRule="auto"/>
        <w:ind w:firstLine="720"/>
        <w:rPr>
          <w:rFonts w:ascii="Verdana" w:hAnsi="Verdana"/>
        </w:rPr>
      </w:pPr>
      <w:r>
        <w:rPr>
          <w:rFonts w:ascii="Verdana" w:hAnsi="Verdana"/>
        </w:rPr>
        <w:t>Appendix 11</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34</w:t>
      </w:r>
    </w:p>
    <w:p w14:paraId="3C128060" w14:textId="109095C6" w:rsidR="00A64165" w:rsidRDefault="00A64165" w:rsidP="00A64165">
      <w:pPr>
        <w:spacing w:line="480" w:lineRule="auto"/>
        <w:ind w:firstLine="720"/>
        <w:rPr>
          <w:rFonts w:ascii="Verdana" w:hAnsi="Verdana"/>
        </w:rPr>
      </w:pPr>
      <w:r>
        <w:rPr>
          <w:rFonts w:ascii="Verdana" w:hAnsi="Verdana"/>
        </w:rPr>
        <w:t>Appendix 12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34</w:t>
      </w:r>
    </w:p>
    <w:p w14:paraId="5D6EB6EE" w14:textId="0E57FD34" w:rsidR="00A64165" w:rsidRPr="00A64165" w:rsidRDefault="00A64165" w:rsidP="00A64165">
      <w:pPr>
        <w:spacing w:line="480" w:lineRule="auto"/>
        <w:ind w:firstLine="720"/>
        <w:rPr>
          <w:rFonts w:ascii="Verdana" w:hAnsi="Verdana"/>
        </w:rPr>
      </w:pPr>
      <w:r>
        <w:rPr>
          <w:rFonts w:ascii="Verdana" w:hAnsi="Verdana"/>
        </w:rPr>
        <w:t>Appendix 13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35</w:t>
      </w:r>
      <w:bookmarkStart w:id="0" w:name="_GoBack"/>
      <w:bookmarkEnd w:id="0"/>
    </w:p>
    <w:p w14:paraId="000742C3" w14:textId="77777777" w:rsidR="001C0D94" w:rsidRDefault="001C0D94">
      <w:r>
        <w:br w:type="page"/>
      </w:r>
    </w:p>
    <w:p w14:paraId="615037B2" w14:textId="4798E4E4" w:rsidR="00DC7C08" w:rsidRDefault="001C0D94" w:rsidP="001C0D94">
      <w:pPr>
        <w:jc w:val="both"/>
        <w:rPr>
          <w:rFonts w:ascii="Verdana" w:hAnsi="Verdana"/>
          <w:b/>
          <w:sz w:val="32"/>
          <w:u w:val="single"/>
        </w:rPr>
      </w:pPr>
      <w:r>
        <w:rPr>
          <w:rFonts w:ascii="Verdana" w:hAnsi="Verdana"/>
          <w:b/>
          <w:sz w:val="32"/>
          <w:u w:val="single"/>
        </w:rPr>
        <w:lastRenderedPageBreak/>
        <w:t xml:space="preserve">Teaching Mathematic Principles in a Scientific Context. </w:t>
      </w:r>
    </w:p>
    <w:p w14:paraId="4F91D9DE" w14:textId="295FE7BA" w:rsidR="001C0D94" w:rsidRDefault="001C0D94" w:rsidP="001C0D94">
      <w:pPr>
        <w:jc w:val="both"/>
        <w:rPr>
          <w:rFonts w:ascii="Verdana" w:hAnsi="Verdana"/>
          <w:b/>
          <w:sz w:val="32"/>
          <w:u w:val="single"/>
        </w:rPr>
      </w:pPr>
    </w:p>
    <w:p w14:paraId="01621B55" w14:textId="0AB8A2AE" w:rsidR="001C0D94" w:rsidRPr="001C0D94" w:rsidRDefault="001C0D94" w:rsidP="001C0D94">
      <w:pPr>
        <w:spacing w:line="276" w:lineRule="auto"/>
        <w:jc w:val="both"/>
        <w:rPr>
          <w:rFonts w:ascii="Verdana" w:hAnsi="Verdana" w:cs="Arial"/>
          <w:b/>
          <w:i/>
          <w:sz w:val="28"/>
          <w:u w:val="single"/>
        </w:rPr>
      </w:pPr>
      <w:r w:rsidRPr="001C0D94">
        <w:rPr>
          <w:rFonts w:ascii="Verdana" w:hAnsi="Verdana" w:cs="Arial"/>
          <w:b/>
          <w:sz w:val="28"/>
          <w:u w:val="single"/>
        </w:rPr>
        <w:t>Introduction</w:t>
      </w:r>
    </w:p>
    <w:p w14:paraId="2BBF47D3" w14:textId="77777777" w:rsidR="001C0D94" w:rsidRPr="009E084A" w:rsidRDefault="001C0D94" w:rsidP="001C0D94">
      <w:pPr>
        <w:spacing w:line="276" w:lineRule="auto"/>
        <w:jc w:val="both"/>
        <w:rPr>
          <w:rFonts w:ascii="Arial" w:hAnsi="Arial" w:cs="Arial"/>
        </w:rPr>
      </w:pPr>
    </w:p>
    <w:p w14:paraId="6433291E" w14:textId="287A369D" w:rsidR="001C0D94" w:rsidRPr="001C0D94" w:rsidRDefault="001C0D94" w:rsidP="001C0D94">
      <w:pPr>
        <w:spacing w:line="276" w:lineRule="auto"/>
        <w:jc w:val="both"/>
        <w:rPr>
          <w:rFonts w:ascii="Verdana" w:hAnsi="Verdana" w:cs="Arial"/>
        </w:rPr>
      </w:pPr>
      <w:r w:rsidRPr="001C0D94">
        <w:rPr>
          <w:rFonts w:ascii="Verdana" w:hAnsi="Verdana" w:cs="Arial"/>
        </w:rPr>
        <w:t xml:space="preserve">The classroom-based </w:t>
      </w:r>
      <w:r w:rsidRPr="001C0D94">
        <w:rPr>
          <w:rFonts w:ascii="Verdana" w:hAnsi="Verdana" w:cs="Arial"/>
        </w:rPr>
        <w:t>e</w:t>
      </w:r>
      <w:r w:rsidRPr="001C0D94">
        <w:rPr>
          <w:rFonts w:ascii="Verdana" w:hAnsi="Verdana" w:cs="Arial"/>
        </w:rPr>
        <w:t xml:space="preserve">nquiry that provides the focus of this report took place at a mixed-gender, English-medium school that serves the Eastern side of Swansea (hereby known as </w:t>
      </w:r>
      <w:r w:rsidRPr="001C0D94">
        <w:rPr>
          <w:rFonts w:ascii="Verdana" w:hAnsi="Verdana" w:cs="Arial"/>
          <w:i/>
        </w:rPr>
        <w:t>school x</w:t>
      </w:r>
      <w:r w:rsidRPr="001C0D94">
        <w:rPr>
          <w:rFonts w:ascii="Verdana" w:hAnsi="Verdana" w:cs="Arial"/>
        </w:rPr>
        <w:t xml:space="preserve">). Pupils at </w:t>
      </w:r>
      <w:r w:rsidRPr="001C0D94">
        <w:rPr>
          <w:rFonts w:ascii="Verdana" w:hAnsi="Verdana" w:cs="Arial"/>
          <w:i/>
        </w:rPr>
        <w:t>school x</w:t>
      </w:r>
      <w:r w:rsidRPr="001C0D94">
        <w:rPr>
          <w:rFonts w:ascii="Verdana" w:hAnsi="Verdana" w:cs="Arial"/>
        </w:rPr>
        <w:t xml:space="preserve"> range between the ages of 11-16, with approximately 953 pupils currently attending (My Local School, 2019). Of these 953 pupils; </w:t>
      </w:r>
    </w:p>
    <w:p w14:paraId="19BD4379" w14:textId="77777777" w:rsidR="001C0D94" w:rsidRPr="001C0D94" w:rsidRDefault="001C0D94" w:rsidP="001C0D94">
      <w:pPr>
        <w:pStyle w:val="ListParagraph"/>
        <w:numPr>
          <w:ilvl w:val="0"/>
          <w:numId w:val="1"/>
        </w:numPr>
        <w:spacing w:line="276" w:lineRule="auto"/>
        <w:jc w:val="both"/>
        <w:rPr>
          <w:rFonts w:ascii="Verdana" w:hAnsi="Verdana" w:cs="Arial"/>
          <w:b/>
          <w:sz w:val="28"/>
          <w:u w:val="single"/>
        </w:rPr>
      </w:pPr>
      <w:r w:rsidRPr="001C0D94">
        <w:rPr>
          <w:rFonts w:ascii="Verdana" w:hAnsi="Verdana" w:cs="Arial"/>
        </w:rPr>
        <w:t>28.3% are entitled to Free School Meals (FSM), which is significantly higher than the national average of 16.6%</w:t>
      </w:r>
    </w:p>
    <w:p w14:paraId="0CD23368" w14:textId="77777777" w:rsidR="001C0D94" w:rsidRPr="001C0D94" w:rsidRDefault="001C0D94" w:rsidP="001C0D94">
      <w:pPr>
        <w:pStyle w:val="ListParagraph"/>
        <w:numPr>
          <w:ilvl w:val="0"/>
          <w:numId w:val="1"/>
        </w:numPr>
        <w:spacing w:line="276" w:lineRule="auto"/>
        <w:jc w:val="both"/>
        <w:rPr>
          <w:rFonts w:ascii="Verdana" w:hAnsi="Verdana" w:cs="Arial"/>
          <w:b/>
          <w:sz w:val="28"/>
          <w:u w:val="single"/>
        </w:rPr>
      </w:pPr>
      <w:r w:rsidRPr="001C0D94">
        <w:rPr>
          <w:rFonts w:ascii="Verdana" w:hAnsi="Verdana" w:cs="Arial"/>
        </w:rPr>
        <w:t>37.9% of pupils have Additional Learning Needs (ALN), which is also significantly higher than the national average of 25%</w:t>
      </w:r>
    </w:p>
    <w:p w14:paraId="770AC3F7" w14:textId="77777777" w:rsidR="001C0D94" w:rsidRPr="001C0D94" w:rsidRDefault="001C0D94" w:rsidP="001C0D94">
      <w:pPr>
        <w:pStyle w:val="ListParagraph"/>
        <w:numPr>
          <w:ilvl w:val="0"/>
          <w:numId w:val="1"/>
        </w:numPr>
        <w:spacing w:line="276" w:lineRule="auto"/>
        <w:jc w:val="both"/>
        <w:rPr>
          <w:rFonts w:ascii="Verdana" w:hAnsi="Verdana" w:cs="Arial"/>
          <w:b/>
          <w:sz w:val="28"/>
          <w:u w:val="single"/>
        </w:rPr>
      </w:pPr>
      <w:r w:rsidRPr="001C0D94">
        <w:rPr>
          <w:rFonts w:ascii="Verdana" w:hAnsi="Verdana" w:cs="Arial"/>
        </w:rPr>
        <w:t xml:space="preserve">17% of pupils speak English as an Additional Language (EAL) </w:t>
      </w:r>
    </w:p>
    <w:p w14:paraId="730CDADB" w14:textId="77777777" w:rsidR="001C0D94" w:rsidRPr="001C0D94" w:rsidRDefault="001C0D94" w:rsidP="001C0D94">
      <w:pPr>
        <w:spacing w:line="276" w:lineRule="auto"/>
        <w:jc w:val="both"/>
        <w:rPr>
          <w:rFonts w:ascii="Verdana" w:hAnsi="Verdana" w:cs="Arial"/>
        </w:rPr>
      </w:pPr>
    </w:p>
    <w:p w14:paraId="4F34F4C6"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Within </w:t>
      </w:r>
      <w:r w:rsidRPr="001C0D94">
        <w:rPr>
          <w:rFonts w:ascii="Verdana" w:hAnsi="Verdana" w:cs="Arial"/>
          <w:i/>
        </w:rPr>
        <w:t>school x</w:t>
      </w:r>
      <w:r w:rsidRPr="001C0D94">
        <w:rPr>
          <w:rFonts w:ascii="Verdana" w:hAnsi="Verdana" w:cs="Arial"/>
        </w:rPr>
        <w:t xml:space="preserve">, the research focused on a Year 9, set 2 class. Of the 28 pupils in the class, 19 were involved in the inquiry group. No pupils withdrew from the research, however the low number involved in the inquiry compared to the number of pupils in the cohort reflects attendance numbers of the class. The 19 pupils involved in the data are the pupils who were present for all lessons; completing the pre-test, intervention and post-test. </w:t>
      </w:r>
    </w:p>
    <w:p w14:paraId="3D9F3B74"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group involved in the research were made up of 11 male pupils and 8 female; 21% are entitled to FSM, 26.3% have ALN status and 21% are EAL pupils. These pupils have GCSE predicted grades raging from AB-CC (Science Double Award). </w:t>
      </w:r>
    </w:p>
    <w:p w14:paraId="20B89DB8" w14:textId="77777777" w:rsidR="001C0D94" w:rsidRPr="001C0D94" w:rsidRDefault="001C0D94" w:rsidP="001C0D94">
      <w:pPr>
        <w:spacing w:line="276" w:lineRule="auto"/>
        <w:jc w:val="both"/>
        <w:rPr>
          <w:rFonts w:ascii="Verdana" w:hAnsi="Verdana" w:cs="Arial"/>
        </w:rPr>
      </w:pPr>
    </w:p>
    <w:p w14:paraId="5F498862" w14:textId="0A81D132" w:rsidR="001C0D94" w:rsidRDefault="001C0D94" w:rsidP="001C0D94">
      <w:pPr>
        <w:spacing w:line="276" w:lineRule="auto"/>
        <w:jc w:val="both"/>
        <w:rPr>
          <w:rFonts w:ascii="Verdana" w:hAnsi="Verdana" w:cs="Arial"/>
        </w:rPr>
      </w:pPr>
      <w:r w:rsidRPr="001C0D94">
        <w:rPr>
          <w:rFonts w:ascii="Verdana" w:hAnsi="Verdana" w:cs="Arial"/>
        </w:rPr>
        <w:t xml:space="preserve">The decision to focus on calculating percentage composition of compounds came following end of topic tests that pupils completed in November 2018. One of the most poorly answered questions was on this topic, with only a median score of 50% of marks achieved. This demonstrated that use of maths in a scientific context was an area that needed to be targeted in order to improve attainment.  </w:t>
      </w:r>
    </w:p>
    <w:p w14:paraId="31432ED3" w14:textId="127DAD3C" w:rsidR="001C0D94" w:rsidRDefault="001C0D94" w:rsidP="001C0D94">
      <w:pPr>
        <w:spacing w:line="276" w:lineRule="auto"/>
        <w:jc w:val="both"/>
        <w:rPr>
          <w:rFonts w:ascii="Verdana" w:hAnsi="Verdana" w:cs="Arial"/>
        </w:rPr>
      </w:pPr>
    </w:p>
    <w:p w14:paraId="7A6B9F40" w14:textId="0DC94CE5" w:rsidR="001C0D94" w:rsidRDefault="001C0D94" w:rsidP="001C0D94">
      <w:pPr>
        <w:spacing w:line="276" w:lineRule="auto"/>
        <w:jc w:val="both"/>
        <w:rPr>
          <w:rFonts w:ascii="Verdana" w:hAnsi="Verdana" w:cs="Arial"/>
        </w:rPr>
      </w:pPr>
    </w:p>
    <w:p w14:paraId="7E979D5E" w14:textId="197D177C" w:rsidR="001C0D94" w:rsidRDefault="001C0D94" w:rsidP="001C0D94">
      <w:pPr>
        <w:spacing w:line="276" w:lineRule="auto"/>
        <w:jc w:val="both"/>
        <w:rPr>
          <w:rFonts w:ascii="Verdana" w:hAnsi="Verdana" w:cs="Arial"/>
        </w:rPr>
      </w:pPr>
    </w:p>
    <w:p w14:paraId="6EFABF18" w14:textId="2481EDC3" w:rsidR="001C0D94" w:rsidRDefault="001C0D94" w:rsidP="001C0D94">
      <w:pPr>
        <w:spacing w:line="276" w:lineRule="auto"/>
        <w:jc w:val="both"/>
        <w:rPr>
          <w:rFonts w:ascii="Verdana" w:hAnsi="Verdana" w:cs="Arial"/>
        </w:rPr>
      </w:pPr>
    </w:p>
    <w:p w14:paraId="278B1700" w14:textId="77777777" w:rsidR="001C0D94" w:rsidRDefault="001C0D94" w:rsidP="001C0D94">
      <w:pPr>
        <w:spacing w:line="276" w:lineRule="auto"/>
        <w:jc w:val="both"/>
        <w:rPr>
          <w:rFonts w:ascii="Verdana" w:hAnsi="Verdana" w:cs="Arial"/>
        </w:rPr>
      </w:pPr>
    </w:p>
    <w:p w14:paraId="2CEC0806" w14:textId="75FCA0AC" w:rsidR="001C0D94" w:rsidRDefault="001C0D94" w:rsidP="001C0D94">
      <w:pPr>
        <w:spacing w:line="276" w:lineRule="auto"/>
        <w:jc w:val="both"/>
        <w:rPr>
          <w:rFonts w:ascii="Verdana" w:hAnsi="Verdana" w:cs="Arial"/>
        </w:rPr>
      </w:pPr>
    </w:p>
    <w:p w14:paraId="3F06A084" w14:textId="5B16BDD6" w:rsidR="001C0D94" w:rsidRPr="001C0D94" w:rsidRDefault="001C0D94" w:rsidP="001C0D94">
      <w:pPr>
        <w:spacing w:line="276" w:lineRule="auto"/>
        <w:jc w:val="both"/>
        <w:rPr>
          <w:rFonts w:ascii="Verdana" w:hAnsi="Verdana" w:cs="Arial"/>
          <w:b/>
          <w:sz w:val="28"/>
          <w:u w:val="single"/>
        </w:rPr>
      </w:pPr>
      <w:r w:rsidRPr="001C0D94">
        <w:rPr>
          <w:rFonts w:ascii="Verdana" w:hAnsi="Verdana" w:cs="Arial"/>
          <w:b/>
          <w:sz w:val="28"/>
          <w:u w:val="single"/>
        </w:rPr>
        <w:lastRenderedPageBreak/>
        <w:t>Literature Review</w:t>
      </w:r>
    </w:p>
    <w:p w14:paraId="7C48B7E6" w14:textId="77777777" w:rsidR="001C0D94" w:rsidRPr="001C0D94" w:rsidRDefault="001C0D94" w:rsidP="001C0D94">
      <w:pPr>
        <w:spacing w:line="276" w:lineRule="auto"/>
        <w:jc w:val="both"/>
        <w:rPr>
          <w:rFonts w:ascii="Verdana" w:hAnsi="Verdana" w:cs="Arial"/>
        </w:rPr>
      </w:pPr>
    </w:p>
    <w:p w14:paraId="0CC3EB7E" w14:textId="77777777" w:rsidR="001C0D94" w:rsidRPr="001C0D94" w:rsidRDefault="001C0D94" w:rsidP="001C0D94">
      <w:pPr>
        <w:spacing w:line="276" w:lineRule="auto"/>
        <w:jc w:val="both"/>
        <w:rPr>
          <w:rFonts w:ascii="Verdana" w:hAnsi="Verdana" w:cs="Arial"/>
        </w:rPr>
      </w:pPr>
      <w:r w:rsidRPr="001C0D94">
        <w:rPr>
          <w:rFonts w:ascii="Verdana" w:hAnsi="Verdana" w:cs="Arial"/>
        </w:rPr>
        <w:t>When broadly looking at the concept of teaching mathematic principles in a scientific context, a variety of common themes emerge surrounding the topic. These themes revolve around;</w:t>
      </w:r>
    </w:p>
    <w:p w14:paraId="532DFAD8" w14:textId="77777777" w:rsidR="001C0D94" w:rsidRPr="001C0D94" w:rsidRDefault="001C0D94" w:rsidP="001C0D94">
      <w:pPr>
        <w:pStyle w:val="ListParagraph"/>
        <w:numPr>
          <w:ilvl w:val="0"/>
          <w:numId w:val="2"/>
        </w:numPr>
        <w:spacing w:line="276" w:lineRule="auto"/>
        <w:jc w:val="both"/>
        <w:rPr>
          <w:rFonts w:ascii="Verdana" w:hAnsi="Verdana" w:cs="Arial"/>
        </w:rPr>
      </w:pPr>
      <w:r w:rsidRPr="001C0D94">
        <w:rPr>
          <w:rFonts w:ascii="Verdana" w:hAnsi="Verdana" w:cs="Arial"/>
        </w:rPr>
        <w:t>Explicity of common language- the differences in definitions of words that can vary between their “everyday” meanings, and their subject specific meanings.</w:t>
      </w:r>
    </w:p>
    <w:p w14:paraId="25FD018B" w14:textId="77777777" w:rsidR="001C0D94" w:rsidRPr="001C0D94" w:rsidRDefault="001C0D94" w:rsidP="001C0D94">
      <w:pPr>
        <w:pStyle w:val="ListParagraph"/>
        <w:numPr>
          <w:ilvl w:val="0"/>
          <w:numId w:val="2"/>
        </w:numPr>
        <w:spacing w:line="276" w:lineRule="auto"/>
        <w:jc w:val="both"/>
        <w:rPr>
          <w:rFonts w:ascii="Verdana" w:hAnsi="Verdana" w:cs="Arial"/>
        </w:rPr>
      </w:pPr>
      <w:r w:rsidRPr="001C0D94">
        <w:rPr>
          <w:rFonts w:ascii="Verdana" w:hAnsi="Verdana" w:cs="Arial"/>
        </w:rPr>
        <w:t>Consistency of methods used to teach key concepts- in this case, calculating percentage composition by mass.</w:t>
      </w:r>
    </w:p>
    <w:p w14:paraId="7630F980" w14:textId="77777777" w:rsidR="001C0D94" w:rsidRPr="001C0D94" w:rsidRDefault="001C0D94" w:rsidP="001C0D94">
      <w:pPr>
        <w:pStyle w:val="ListParagraph"/>
        <w:numPr>
          <w:ilvl w:val="0"/>
          <w:numId w:val="2"/>
        </w:numPr>
        <w:spacing w:line="276" w:lineRule="auto"/>
        <w:jc w:val="both"/>
        <w:rPr>
          <w:rFonts w:ascii="Verdana" w:hAnsi="Verdana" w:cs="Arial"/>
        </w:rPr>
      </w:pPr>
      <w:r w:rsidRPr="001C0D94">
        <w:rPr>
          <w:rFonts w:ascii="Verdana" w:hAnsi="Verdana" w:cs="Arial"/>
        </w:rPr>
        <w:t>Collaboration between departments, namely, maths and science.</w:t>
      </w:r>
    </w:p>
    <w:p w14:paraId="4FE092B1" w14:textId="77777777" w:rsidR="001C0D94" w:rsidRPr="001C0D94" w:rsidRDefault="001C0D94" w:rsidP="001C0D94">
      <w:pPr>
        <w:spacing w:line="276" w:lineRule="auto"/>
        <w:jc w:val="both"/>
        <w:rPr>
          <w:rFonts w:ascii="Verdana" w:hAnsi="Verdana" w:cs="Arial"/>
        </w:rPr>
      </w:pPr>
    </w:p>
    <w:p w14:paraId="75687F6B"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Explicity in language used in science has shown to be vital, as in some disciplines (e.g. English) individual words that are unknown to a pupil can have their meanings worked out from the context of the passage they sit within, by using self-monitoring (8 Reading Behaviours- an initiative taught through Swansea schools). However, in disciplines such as Science, “every word counts” (M. </w:t>
      </w:r>
      <w:proofErr w:type="spellStart"/>
      <w:r w:rsidRPr="001C0D94">
        <w:rPr>
          <w:rFonts w:ascii="Verdana" w:hAnsi="Verdana" w:cs="Arial"/>
        </w:rPr>
        <w:t>Adoniou</w:t>
      </w:r>
      <w:proofErr w:type="spellEnd"/>
      <w:r w:rsidRPr="001C0D94">
        <w:rPr>
          <w:rFonts w:ascii="Verdana" w:hAnsi="Verdana" w:cs="Arial"/>
        </w:rPr>
        <w:t xml:space="preserve">, 2016), and if a single word in a sentence is not understood correctly, or at all, it could mean that the entire statement goes by misunderstood. Due to the importance of knowing subject specific definitions for language, Science and Maths teachers need to ensure that they are explicity teaching pupils the unique differences in key terms in comparison to their ‘everyday’ definitions. An example of this is the word ‘power’; in ‘everyday’ language, ‘power’ can be defined as a person’s influence and ability (i.e. politically) or physical strength. However, in Science, ‘power’ refers to the “rate of doing work, measured in watts” and in Maths as “the product obtained when a number is multiplied by itself a certain number of times” (Oxford Dictionary, 2019). This is just one example of how ‘everyday’ language becomes used in a specialised way, and these changes in definitions are not uncommon to see across a broad spectrum of classrooms and disciplines. However, M. </w:t>
      </w:r>
      <w:proofErr w:type="spellStart"/>
      <w:r w:rsidRPr="001C0D94">
        <w:rPr>
          <w:rFonts w:ascii="Verdana" w:hAnsi="Verdana" w:cs="Arial"/>
        </w:rPr>
        <w:t>Adoniou</w:t>
      </w:r>
      <w:proofErr w:type="spellEnd"/>
      <w:r w:rsidRPr="001C0D94">
        <w:rPr>
          <w:rFonts w:ascii="Verdana" w:hAnsi="Verdana" w:cs="Arial"/>
        </w:rPr>
        <w:t xml:space="preserve"> (2016) makes a key criticism of the education system, in that teachers “rarely teach” the subject specific language, and therefore expect that “somehow students will automatically become users of discipline language just because they are exposed to it”. Although this statement should be considered with caution, as the author is writing, assumedly, based on experiences of the Australian Education System, and therefore may not be able to be directly applied to the Education System in England and Wales, it should still be taken into consideration. When posing a new concept, or an extension of a known concept, do the pupils in the classroom confidently know what the teacher means when they use subject specific words? Or do </w:t>
      </w:r>
      <w:r w:rsidRPr="001C0D94">
        <w:rPr>
          <w:rFonts w:ascii="Verdana" w:hAnsi="Verdana" w:cs="Arial"/>
        </w:rPr>
        <w:lastRenderedPageBreak/>
        <w:t xml:space="preserve">they need to have them explicitly taught and defined before the lesson can move on? </w:t>
      </w:r>
    </w:p>
    <w:p w14:paraId="44ED1405"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It is not only important for pupils to know the differences in common language, but as stated by R. </w:t>
      </w:r>
      <w:proofErr w:type="spellStart"/>
      <w:r w:rsidRPr="001C0D94">
        <w:rPr>
          <w:rFonts w:ascii="Verdana" w:hAnsi="Verdana" w:cs="Arial"/>
        </w:rPr>
        <w:t>Boohan</w:t>
      </w:r>
      <w:proofErr w:type="spellEnd"/>
      <w:r w:rsidRPr="001C0D94">
        <w:rPr>
          <w:rFonts w:ascii="Verdana" w:hAnsi="Verdana" w:cs="Arial"/>
        </w:rPr>
        <w:t xml:space="preserve"> (2016), pupils also need to have to ability to recognise the differences as they move between contexts. </w:t>
      </w:r>
    </w:p>
    <w:p w14:paraId="5625F03D"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Differences in language does not only occur across subject areas, but within a subject. When looking at methodology for solving a problem, inconsistencies in how to approach a question also vary, and this can be seen in a variety of sources of instruction for how to solve calculating percentage composition of a compound. Help Teaching (2019), does not provide a step-by-step guide, but simply an equation with vocabulary that may not be known to pupils (see Appendix 1). By introducing the term “One Mole”, this could potentially confuse pupils and lead them to completely misunderstand the equation and view it as something they have not seen, as ‘moles’ of a compound/element are not necessarily covered at this stage of their education, as calculating moles falls within higher content of this subject content (WJEC, 2019). If teaching with this calculation, teachers would have to bring in that explicity of teaching the specific vocabulary involved so that pupils understand what is being asked of them. </w:t>
      </w:r>
    </w:p>
    <w:p w14:paraId="087E27A2"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Another variation of this method is given by </w:t>
      </w:r>
      <w:proofErr w:type="spellStart"/>
      <w:r w:rsidRPr="001C0D94">
        <w:rPr>
          <w:rFonts w:ascii="Verdana" w:hAnsi="Verdana" w:cs="Arial"/>
        </w:rPr>
        <w:t>LibreTexts</w:t>
      </w:r>
      <w:proofErr w:type="spellEnd"/>
      <w:r w:rsidRPr="001C0D94">
        <w:rPr>
          <w:rFonts w:ascii="Verdana" w:hAnsi="Verdana" w:cs="Arial"/>
        </w:rPr>
        <w:t xml:space="preserve"> (2017), which provides a more comprehensive way of solving such problems, but again uses different vocabulary, with no clear visual aid of the calculation pupils need to be doing (see Appendix 2). BBC Bitesize (2019) is another site, that pupils turn to regularly during their schooling, that provides another method of how to complete these kinds of calculations. This site provides a very vague method, that requires a lot of prior knowledge from pupils, as well as knowledge of specific terms such as “</w:t>
      </w:r>
      <w:proofErr w:type="spellStart"/>
      <w:r w:rsidRPr="001C0D94">
        <w:rPr>
          <w:rFonts w:ascii="Verdana" w:hAnsi="Verdana" w:cs="Arial"/>
          <w:i/>
        </w:rPr>
        <w:t>A</w:t>
      </w:r>
      <w:r w:rsidRPr="001C0D94">
        <w:rPr>
          <w:rFonts w:ascii="Verdana" w:hAnsi="Verdana" w:cs="Arial"/>
          <w:vertAlign w:val="subscript"/>
        </w:rPr>
        <w:t>r</w:t>
      </w:r>
      <w:proofErr w:type="spellEnd"/>
      <w:r w:rsidRPr="001C0D94">
        <w:rPr>
          <w:rFonts w:ascii="Verdana" w:hAnsi="Verdana" w:cs="Arial"/>
        </w:rPr>
        <w:t xml:space="preserve">” and </w:t>
      </w:r>
      <w:r w:rsidRPr="001C0D94">
        <w:rPr>
          <w:rFonts w:ascii="Verdana" w:hAnsi="Verdana" w:cs="Arial"/>
          <w:i/>
        </w:rPr>
        <w:t>M</w:t>
      </w:r>
      <w:r w:rsidRPr="001C0D94">
        <w:rPr>
          <w:rFonts w:ascii="Verdana" w:hAnsi="Verdana" w:cs="Arial"/>
          <w:vertAlign w:val="subscript"/>
        </w:rPr>
        <w:t>r</w:t>
      </w:r>
      <w:r w:rsidRPr="001C0D94">
        <w:rPr>
          <w:rFonts w:ascii="Verdana" w:hAnsi="Verdana" w:cs="Arial"/>
        </w:rPr>
        <w:t xml:space="preserve">” (see Appendix 3). Again, if pupils were faced with this guidance on their own, they may not know where to start or what to do, which could lead to a negative attitude and lack of resilience for solving the problem. </w:t>
      </w:r>
    </w:p>
    <w:p w14:paraId="6AC332AA"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GCSE Chemistry textbook (Hodder Education, 2016, see Appendix 4) gives potentially the most comprehensive method for how to solve these types of questions, but again it uses different language from some of the other available sources, which can pose an issue for pupils, who may learn based off the textbook in the classroom setting, but if they were to complete this style of question for homework (for example) and turned to the internet for guidance, they may come across conflicting instruction. </w:t>
      </w:r>
    </w:p>
    <w:p w14:paraId="5D7B822A"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These differing instructions pose </w:t>
      </w:r>
      <w:proofErr w:type="spellStart"/>
      <w:r w:rsidRPr="001C0D94">
        <w:rPr>
          <w:rFonts w:ascii="Verdana" w:hAnsi="Verdana" w:cs="Arial"/>
        </w:rPr>
        <w:t>a</w:t>
      </w:r>
      <w:proofErr w:type="spellEnd"/>
      <w:r w:rsidRPr="001C0D94">
        <w:rPr>
          <w:rFonts w:ascii="Verdana" w:hAnsi="Verdana" w:cs="Arial"/>
        </w:rPr>
        <w:t xml:space="preserve"> issue for pupils, and potentially cause an element of confusion about what the correct way to answer these questions, including what kind of workings they need to show- considering that most of exams require workings in order to obtain marks. R. </w:t>
      </w:r>
      <w:proofErr w:type="spellStart"/>
      <w:r w:rsidRPr="001C0D94">
        <w:rPr>
          <w:rFonts w:ascii="Verdana" w:hAnsi="Verdana" w:cs="Arial"/>
        </w:rPr>
        <w:t>Boohan</w:t>
      </w:r>
      <w:proofErr w:type="spellEnd"/>
      <w:r w:rsidRPr="001C0D94">
        <w:rPr>
          <w:rFonts w:ascii="Verdana" w:hAnsi="Verdana" w:cs="Arial"/>
        </w:rPr>
        <w:t xml:space="preserve"> </w:t>
      </w:r>
      <w:r w:rsidRPr="001C0D94">
        <w:rPr>
          <w:rFonts w:ascii="Verdana" w:hAnsi="Verdana" w:cs="Arial"/>
        </w:rPr>
        <w:lastRenderedPageBreak/>
        <w:t xml:space="preserve">(2016) states that it is “unhelpful to have arbitrary differences in approaches”, and therefore does this suggest that one consistent method is needed in order to teach, not only this style of question, but all other questions that require calculations in order to achieve optimum results, and clarity in pupils’ understanding? This consistency can come in the form of using standardised language in instruction, as well as one clear equation for pupils to follow. </w:t>
      </w:r>
    </w:p>
    <w:p w14:paraId="663D805D"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As well as the difference in language, one thing that is evident across the spectrum of instruction, is that it does not include all steps for pupils to complete in order to gain the information needed to put into an equation. Even though the amount of information given can vary, there are a series of steps pupils need to follow, such as counting the amount of atoms to calculate the molecular mass of the compound, which are not given in instructions. A need for a consistent, standardised approach is clearly necessary. </w:t>
      </w:r>
    </w:p>
    <w:p w14:paraId="60725A55" w14:textId="77777777" w:rsidR="001C0D94" w:rsidRPr="001C0D94" w:rsidRDefault="001C0D94" w:rsidP="001C0D94">
      <w:pPr>
        <w:spacing w:line="276" w:lineRule="auto"/>
        <w:jc w:val="both"/>
        <w:rPr>
          <w:rFonts w:ascii="Verdana" w:hAnsi="Verdana" w:cs="Arial"/>
        </w:rPr>
      </w:pPr>
      <w:r w:rsidRPr="001C0D94">
        <w:rPr>
          <w:rFonts w:ascii="Verdana" w:hAnsi="Verdana" w:cs="Arial"/>
        </w:rPr>
        <w:t>The most predominant issue with teaching mathematic principles in a scientific context is the need for collaboration between departments. This is a key concept that comes up in almost all literature available. This collaboration doesn’t necessarily need to come in the form of creating schemes of work together in that science is taught constantly within math lessons and vice versa, but in that there is an element of communication between departments.</w:t>
      </w:r>
    </w:p>
    <w:p w14:paraId="1E0053F6"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Communication between departments is vital for knowing things such as, what skills have and haven’t been taught (N. Atkin, 2017). Atkin points out that pupils are not necessarily in the same sets for maths and science, and therefore the range in skills, and the times the skills are taught will vary, which could potentially affect their attainment in subsequent lessons. Atkin reiterates that it “cannot be assumed that they all have the same maths skills”. This is supported by R. Needham (2016), while writing for the Association of Science Education, states that “in science we are expecting high level skills that had not yet been fully covered”. The use of the word “expects” highlights how there is a level of mutual assumption between departments, where there is an expectation that skills have been taught by the time a lesson comes around, yet time is not considered, or other content that (for example) the maths teacher has to deliver within their syllabus. Due to these factors, there appears to be a need for communication and collaboration between departments. This could come in the form of sharing methods of how standard concepts are taught, e.g., what method of multiplication is used, so that there is a clear, standardised approach across the school. This collaboration could even go as far as to </w:t>
      </w:r>
      <w:r w:rsidRPr="001C0D94">
        <w:rPr>
          <w:rFonts w:ascii="Verdana" w:hAnsi="Verdana" w:cs="Arial"/>
        </w:rPr>
        <w:lastRenderedPageBreak/>
        <w:t xml:space="preserve">create schemes of work together, or have a joint maths and science theme day for pupils, that has shown to be “beneficial to all” (R. Needham, 2016). </w:t>
      </w:r>
    </w:p>
    <w:p w14:paraId="0DA1B91F"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This idea of collaboration is not a new concept, and is something that has been sought after for years. A study by </w:t>
      </w:r>
      <w:proofErr w:type="spellStart"/>
      <w:r w:rsidRPr="001C0D94">
        <w:rPr>
          <w:rFonts w:ascii="Verdana" w:hAnsi="Verdana" w:cs="Arial"/>
        </w:rPr>
        <w:t>Frykholm</w:t>
      </w:r>
      <w:proofErr w:type="spellEnd"/>
      <w:r w:rsidRPr="001C0D94">
        <w:rPr>
          <w:rFonts w:ascii="Verdana" w:hAnsi="Verdana" w:cs="Arial"/>
        </w:rPr>
        <w:t xml:space="preserve"> &amp; Glasson (2005) found that student teachers felt the need to “seek the advice of experienced teachers” due to the large amount of overlap between the two subject areas. Not only did they identify the need to seek advice, but they also identified the “need to develop appropriate pedagogical strategies” in order to improve their own skills, as a science teacher, of how to effectively teach mathematic concepts. This highlight a clear area that needs to be addressed, that teachers need to have strategies available, and that they’re comfortable with, that cover subject content outside of their area of expertise, as there is such a prominent level of overlap, particularly between maths and science. Although this study is 14 years old, due to the occurrence of common themes in more recent publications, it can be confidently said that this is still a prevalent issue in the field of teaching, and therefore needs to be addressed. </w:t>
      </w:r>
    </w:p>
    <w:p w14:paraId="104788F2"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In recent years, documentation has been put in place to put an emphasis on transferable skills and the links between subjects across the curriculum. In Wales, this comes in the form of the Literacy and Numeracy Framework (LNF) (2014). This framework is used to underpin all teaching in all subject areas, with the notion that all lessons should incorporate transferable literacy and numeracy skills. This being in place is a step in the right direction for teaching maths within science lessons, in that the LNF outlines that pupils in Year 9 (the study group in this research) should be able to "transfer mathematical skills across the curriculum in a variety of contexts”, as well as have the confidence to evaluate approaches to solve complex problems and organise relevant steps to complete a task. These are all principles that pupils should be able to do without issue, yet during the research these skills proved to be hard to access by the pupils, something that will be discussed in a later section of this report. </w:t>
      </w:r>
    </w:p>
    <w:p w14:paraId="235D659C"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lack of ability to access transferable skills within groups of students shows that there is still a need for communication and collaboration between departments. Is it an issue of pupils have not yet been taught the maths skills that are needed in the science lessons (relating back to what N. Atkin, 2017 recommended) or are they being taught in a different way and therefore pupils are unaware that it is the same skill they need to use? This could suggest that a school-wide, standardised approach would be necessary for teaching such concepts. </w:t>
      </w:r>
    </w:p>
    <w:p w14:paraId="510FE644"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This collaboration could be on the horizon following recommendations put forward by Professor Graham Donaldson in Successful Futures (2015). The </w:t>
      </w:r>
      <w:r w:rsidRPr="001C0D94">
        <w:rPr>
          <w:rFonts w:ascii="Verdana" w:hAnsi="Verdana" w:cs="Arial"/>
        </w:rPr>
        <w:lastRenderedPageBreak/>
        <w:t>report recognises a need for change within the Welsh educational system, and therefore recommends getting rid of typical separated subjects and replacing them with six Areas of Learning and Experience (</w:t>
      </w:r>
      <w:proofErr w:type="spellStart"/>
      <w:r w:rsidRPr="001C0D94">
        <w:rPr>
          <w:rFonts w:ascii="Verdana" w:hAnsi="Verdana" w:cs="Arial"/>
        </w:rPr>
        <w:t>AoLE</w:t>
      </w:r>
      <w:proofErr w:type="spellEnd"/>
      <w:r w:rsidRPr="001C0D94">
        <w:rPr>
          <w:rFonts w:ascii="Verdana" w:hAnsi="Verdana" w:cs="Arial"/>
        </w:rPr>
        <w:t xml:space="preserve">), which combine subjects and demonstrate that links can be made between the </w:t>
      </w:r>
      <w:proofErr w:type="spellStart"/>
      <w:r w:rsidRPr="001C0D94">
        <w:rPr>
          <w:rFonts w:ascii="Verdana" w:hAnsi="Verdana" w:cs="Arial"/>
        </w:rPr>
        <w:t>AoLE’s</w:t>
      </w:r>
      <w:proofErr w:type="spellEnd"/>
      <w:r w:rsidRPr="001C0D94">
        <w:rPr>
          <w:rFonts w:ascii="Verdana" w:hAnsi="Verdana" w:cs="Arial"/>
        </w:rPr>
        <w:t xml:space="preserve">. Within the newly proposed </w:t>
      </w:r>
      <w:proofErr w:type="spellStart"/>
      <w:r w:rsidRPr="001C0D94">
        <w:rPr>
          <w:rFonts w:ascii="Verdana" w:hAnsi="Verdana" w:cs="Arial"/>
        </w:rPr>
        <w:t>AoLE’s</w:t>
      </w:r>
      <w:proofErr w:type="spellEnd"/>
      <w:r w:rsidRPr="001C0D94">
        <w:rPr>
          <w:rFonts w:ascii="Verdana" w:hAnsi="Verdana" w:cs="Arial"/>
        </w:rPr>
        <w:t xml:space="preserve">, </w:t>
      </w:r>
      <w:r w:rsidRPr="001C0D94">
        <w:rPr>
          <w:rFonts w:ascii="Verdana" w:hAnsi="Verdana" w:cs="Arial"/>
        </w:rPr>
        <w:br/>
        <w:t xml:space="preserve">“Mathematics and numeracy” and “Science and Technology” are still seen separately, however there are more proposed opportunities for collaboration within this new curriculum. The report outlining the proposed curriculum states the need for numeracy across the curriculum, in that it will be “deployed widely”. Donaldson states that “competence in numeracy is essential for independent living and work” and highlights the need to “take opportunities to consolidate learning appropriately”. This new curriculum still uses the LNF, which is a key part of the pedagogy. Donaldson places emphasis upon cross-curricular collaboration, across the </w:t>
      </w:r>
      <w:proofErr w:type="spellStart"/>
      <w:r w:rsidRPr="001C0D94">
        <w:rPr>
          <w:rFonts w:ascii="Verdana" w:hAnsi="Verdana" w:cs="Arial"/>
        </w:rPr>
        <w:t>AoLE’s</w:t>
      </w:r>
      <w:proofErr w:type="spellEnd"/>
      <w:r w:rsidRPr="001C0D94">
        <w:rPr>
          <w:rFonts w:ascii="Verdana" w:hAnsi="Verdana" w:cs="Arial"/>
        </w:rPr>
        <w:t xml:space="preserve">, and within these opportunities to practice literacy, numeracy and digital competency skills are key. </w:t>
      </w:r>
    </w:p>
    <w:p w14:paraId="6A019B50"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This new curriculum looks to overcome issues such as the lack of consistency, and more need for collaboration. However, due to the open nature of the guidance, which leaves a lot to schools to simply create their own syllabus, it is not clear if schools will be incorporating the expected range of LNF, or just continuing at the same level they are on the current curriculum. It could be suggested that the framework from Successful Futures (2015) needs to be more specific about exactly what level of numeracy needs to be delivered, and recommendations of how this would be done most efficiently in order to achieve the four purposes of Successful Futures. </w:t>
      </w:r>
    </w:p>
    <w:p w14:paraId="5AB03962" w14:textId="1DFE2794" w:rsidR="001C0D94" w:rsidRDefault="001C0D94" w:rsidP="001C0D94">
      <w:pPr>
        <w:spacing w:line="276" w:lineRule="auto"/>
        <w:jc w:val="both"/>
        <w:rPr>
          <w:rFonts w:ascii="Verdana" w:hAnsi="Verdana" w:cs="Arial"/>
        </w:rPr>
      </w:pPr>
      <w:r w:rsidRPr="001C0D94">
        <w:rPr>
          <w:rFonts w:ascii="Verdana" w:hAnsi="Verdana" w:cs="Arial"/>
        </w:rPr>
        <w:t>This research was developed in order to address if one standardised approach would benefit pupils’ learning and retention, in order to see if recommendations could be put in place around how concepts should be taught effectively.</w:t>
      </w:r>
    </w:p>
    <w:p w14:paraId="3A4124AB" w14:textId="70288E08" w:rsidR="001C0D94" w:rsidRDefault="001C0D94" w:rsidP="001C0D94">
      <w:pPr>
        <w:spacing w:line="276" w:lineRule="auto"/>
        <w:jc w:val="both"/>
        <w:rPr>
          <w:rFonts w:ascii="Verdana" w:hAnsi="Verdana" w:cs="Arial"/>
        </w:rPr>
      </w:pPr>
    </w:p>
    <w:p w14:paraId="5EDDC7E8" w14:textId="7D4B0AFC" w:rsidR="001C0D94" w:rsidRDefault="001C0D94" w:rsidP="001C0D94">
      <w:pPr>
        <w:spacing w:line="276" w:lineRule="auto"/>
        <w:jc w:val="both"/>
        <w:rPr>
          <w:rFonts w:ascii="Verdana" w:hAnsi="Verdana" w:cs="Arial"/>
        </w:rPr>
      </w:pPr>
    </w:p>
    <w:p w14:paraId="42F1617A" w14:textId="41356FF2" w:rsidR="001C0D94" w:rsidRDefault="001C0D94" w:rsidP="001C0D94">
      <w:pPr>
        <w:spacing w:line="276" w:lineRule="auto"/>
        <w:jc w:val="both"/>
        <w:rPr>
          <w:rFonts w:ascii="Verdana" w:hAnsi="Verdana" w:cs="Arial"/>
        </w:rPr>
      </w:pPr>
    </w:p>
    <w:p w14:paraId="6E65ADA3" w14:textId="03C46ED0" w:rsidR="001C0D94" w:rsidRPr="001C0D94" w:rsidRDefault="001C0D94" w:rsidP="001C0D94">
      <w:pPr>
        <w:spacing w:line="276" w:lineRule="auto"/>
        <w:rPr>
          <w:rFonts w:ascii="Verdana" w:hAnsi="Verdana" w:cs="Arial"/>
          <w:b/>
          <w:i/>
          <w:sz w:val="28"/>
          <w:u w:val="single"/>
        </w:rPr>
      </w:pPr>
      <w:r w:rsidRPr="001C0D94">
        <w:rPr>
          <w:rFonts w:ascii="Verdana" w:hAnsi="Verdana" w:cs="Arial"/>
          <w:b/>
          <w:sz w:val="28"/>
          <w:u w:val="single"/>
        </w:rPr>
        <w:t>School Policy and Practice</w:t>
      </w:r>
    </w:p>
    <w:p w14:paraId="4DC3260C" w14:textId="77777777" w:rsidR="001C0D94" w:rsidRPr="001C0D94" w:rsidRDefault="001C0D94" w:rsidP="001C0D94">
      <w:pPr>
        <w:spacing w:line="276" w:lineRule="auto"/>
        <w:rPr>
          <w:rFonts w:ascii="Verdana" w:hAnsi="Verdana" w:cs="Arial"/>
          <w:b/>
          <w:sz w:val="28"/>
          <w:u w:val="single"/>
        </w:rPr>
      </w:pPr>
    </w:p>
    <w:p w14:paraId="5297807C"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At </w:t>
      </w:r>
      <w:r w:rsidRPr="001C0D94">
        <w:rPr>
          <w:rFonts w:ascii="Verdana" w:hAnsi="Verdana" w:cs="Arial"/>
          <w:i/>
        </w:rPr>
        <w:t>school x</w:t>
      </w:r>
      <w:r w:rsidRPr="001C0D94">
        <w:rPr>
          <w:rFonts w:ascii="Verdana" w:hAnsi="Verdana" w:cs="Arial"/>
        </w:rPr>
        <w:t xml:space="preserve"> there is no specific guidance set out within the Department or School Development Plans regarding teaching Mathematic Principles in a Scientific Context, therefore, unwritten practices tend to be followed through the school. The main practice is discussion and collaboration with relevant departments. In this case, the science department consult with the Maths department, where necessary, to discuss how pupils have been </w:t>
      </w:r>
      <w:r w:rsidRPr="001C0D94">
        <w:rPr>
          <w:rFonts w:ascii="Verdana" w:hAnsi="Verdana" w:cs="Arial"/>
        </w:rPr>
        <w:lastRenderedPageBreak/>
        <w:t xml:space="preserve">taught how to carry out specific calculations, so that there is fluidity to their learning and consistency across the school. This can be viewed as a strength to teaching within the school, as pupils are being taught a consistent method, that can be identified and applied with ease by pupils in any and all future tasks. By having consistent methods in place, the potential confusion of having multiple methods to solve the same problem, and the pupils not knowing what one to select, is avoided. </w:t>
      </w:r>
    </w:p>
    <w:p w14:paraId="192904FE"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Modelling plays a key role in teaching in </w:t>
      </w:r>
      <w:r w:rsidRPr="001C0D94">
        <w:rPr>
          <w:rFonts w:ascii="Verdana" w:hAnsi="Verdana" w:cs="Arial"/>
          <w:i/>
        </w:rPr>
        <w:t>school x</w:t>
      </w:r>
      <w:r w:rsidRPr="001C0D94">
        <w:rPr>
          <w:rFonts w:ascii="Verdana" w:hAnsi="Verdana" w:cs="Arial"/>
        </w:rPr>
        <w:t xml:space="preserve">, whereby, teachers are encouraged to show pupils model answers of what is expected of their work. This can come in a variety of forms; ranging from example answers for extended writing tasks, to step by step guidance of how to complete and set out a calculation. The use of modelling, however, must be used with caution, and only once pupils have had the chance to analyse the question in hand and use critical thinking and problem solving (as stated in the 12 Pedagogical Principles by Professor Donaldson in </w:t>
      </w:r>
      <w:r w:rsidRPr="001C0D94">
        <w:rPr>
          <w:rFonts w:ascii="Verdana" w:hAnsi="Verdana" w:cs="Arial"/>
          <w:i/>
        </w:rPr>
        <w:t>Successful Futures, 2015</w:t>
      </w:r>
      <w:r w:rsidRPr="001C0D94">
        <w:rPr>
          <w:rFonts w:ascii="Verdana" w:hAnsi="Verdana" w:cs="Arial"/>
        </w:rPr>
        <w:t xml:space="preserve">) to come up with potential ways to gain an answer; rather than relying on modelling to provide answers, and therefore lacking in resilience. </w:t>
      </w:r>
    </w:p>
    <w:p w14:paraId="55B145FC"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Practices in place at </w:t>
      </w:r>
      <w:r w:rsidRPr="001C0D94">
        <w:rPr>
          <w:rFonts w:ascii="Verdana" w:hAnsi="Verdana" w:cs="Arial"/>
          <w:i/>
        </w:rPr>
        <w:t>school x</w:t>
      </w:r>
      <w:r w:rsidRPr="001C0D94">
        <w:rPr>
          <w:rFonts w:ascii="Verdana" w:hAnsi="Verdana" w:cs="Arial"/>
        </w:rPr>
        <w:t xml:space="preserve"> fall in line with the new curriculum put forward by Donaldson (2015), that is due to come into effect in 2020 (</w:t>
      </w:r>
      <w:proofErr w:type="spellStart"/>
      <w:r w:rsidRPr="001C0D94">
        <w:rPr>
          <w:rFonts w:ascii="Verdana" w:hAnsi="Verdana" w:cs="Arial"/>
        </w:rPr>
        <w:t>Erw</w:t>
      </w:r>
      <w:proofErr w:type="spellEnd"/>
      <w:r w:rsidRPr="001C0D94">
        <w:rPr>
          <w:rFonts w:ascii="Verdana" w:hAnsi="Verdana" w:cs="Arial"/>
        </w:rPr>
        <w:t xml:space="preserve">, 2017), whereby pupils need to “reinforce and use their numeracy skills in different contexts” as part of cross-curricular numeracy. The use of Mathematic skills in a scientific context also lies within the pedagogical principle of “promoting connections and unity within and between Areas of Learning and Experience” (Principle 8; Good teaching and learning ranges within and across Areas of Learning and Experience, </w:t>
      </w:r>
      <w:r w:rsidRPr="001C0D94">
        <w:rPr>
          <w:rFonts w:ascii="Verdana" w:hAnsi="Verdana" w:cs="Arial"/>
          <w:i/>
        </w:rPr>
        <w:t>Donaldson 2015</w:t>
      </w:r>
      <w:r w:rsidRPr="001C0D94">
        <w:rPr>
          <w:rFonts w:ascii="Verdana" w:hAnsi="Verdana" w:cs="Arial"/>
        </w:rPr>
        <w:t>). The Areas of Learning and Experience (</w:t>
      </w:r>
      <w:proofErr w:type="spellStart"/>
      <w:r w:rsidRPr="001C0D94">
        <w:rPr>
          <w:rFonts w:ascii="Verdana" w:hAnsi="Verdana" w:cs="Arial"/>
        </w:rPr>
        <w:t>AoLE</w:t>
      </w:r>
      <w:proofErr w:type="spellEnd"/>
      <w:r w:rsidRPr="001C0D94">
        <w:rPr>
          <w:rFonts w:ascii="Verdana" w:hAnsi="Verdana" w:cs="Arial"/>
        </w:rPr>
        <w:t xml:space="preserve">), in this instance, are Science and Technology and Mathematics and Numeracy, which will almost always be closely linked across subject matter. </w:t>
      </w:r>
    </w:p>
    <w:p w14:paraId="0CD6B9DA" w14:textId="77777777" w:rsidR="001C0D94" w:rsidRPr="001C0D94" w:rsidRDefault="001C0D94" w:rsidP="001C0D94">
      <w:pPr>
        <w:spacing w:line="276" w:lineRule="auto"/>
        <w:jc w:val="both"/>
        <w:textAlignment w:val="baseline"/>
        <w:rPr>
          <w:rFonts w:ascii="Verdana" w:eastAsia="Times New Roman" w:hAnsi="Verdana" w:cs="Arial"/>
          <w:color w:val="2D2D2D"/>
        </w:rPr>
      </w:pPr>
      <w:r w:rsidRPr="001C0D94">
        <w:rPr>
          <w:rFonts w:ascii="Verdana" w:hAnsi="Verdana" w:cs="Arial"/>
        </w:rPr>
        <w:t>Cross-curricular skills are set out in the Literacy and Numeracy Framework (Welsh Government, 2014), and cover a range of practices that pupils should be able to access across a variety of subjects, based on the different progression steps. These include, but are not limited to, “</w:t>
      </w:r>
      <w:r w:rsidRPr="001C0D94">
        <w:rPr>
          <w:rFonts w:ascii="Verdana" w:eastAsia="Times New Roman" w:hAnsi="Verdana" w:cs="Arial"/>
          <w:color w:val="2D2D2D"/>
          <w:shd w:val="clear" w:color="auto" w:fill="FFFFFF"/>
        </w:rPr>
        <w:t>transfer mathematical skills across the curriculum in a variety of contexts”, “prioritise and organise the relevant steps needed to complete the task or reach a solution” and “</w:t>
      </w:r>
      <w:r w:rsidRPr="001C0D94">
        <w:rPr>
          <w:rFonts w:ascii="Verdana" w:eastAsia="Times New Roman" w:hAnsi="Verdana" w:cs="Arial"/>
          <w:color w:val="2D2D2D"/>
        </w:rPr>
        <w:t xml:space="preserve">select appropriate mathematics and techniques to use” (Welsh Government, 2014). </w:t>
      </w:r>
    </w:p>
    <w:p w14:paraId="24A4A9DA" w14:textId="77777777" w:rsidR="001C0D94" w:rsidRPr="00992F1A" w:rsidRDefault="001C0D94" w:rsidP="001C0D94">
      <w:pPr>
        <w:rPr>
          <w:rFonts w:ascii="Times New Roman" w:eastAsia="Times New Roman" w:hAnsi="Times New Roman" w:cs="Times New Roman"/>
        </w:rPr>
      </w:pPr>
    </w:p>
    <w:p w14:paraId="5C14D8E0" w14:textId="77777777" w:rsidR="001C0D94" w:rsidRPr="00992F1A" w:rsidRDefault="001C0D94" w:rsidP="001C0D94">
      <w:pPr>
        <w:rPr>
          <w:rFonts w:ascii="Times New Roman" w:eastAsia="Times New Roman" w:hAnsi="Times New Roman" w:cs="Times New Roman"/>
        </w:rPr>
      </w:pPr>
    </w:p>
    <w:p w14:paraId="3A145C99" w14:textId="77777777" w:rsidR="001C0D94" w:rsidRPr="001C0D94" w:rsidRDefault="001C0D94" w:rsidP="001C0D94">
      <w:pPr>
        <w:spacing w:line="276" w:lineRule="auto"/>
        <w:jc w:val="both"/>
        <w:rPr>
          <w:rFonts w:ascii="Verdana" w:hAnsi="Verdana" w:cs="Arial"/>
        </w:rPr>
      </w:pPr>
    </w:p>
    <w:p w14:paraId="77ACE629" w14:textId="77777777" w:rsidR="001C0D94" w:rsidRDefault="001C0D94" w:rsidP="001C0D94">
      <w:pPr>
        <w:spacing w:line="276" w:lineRule="auto"/>
        <w:rPr>
          <w:rFonts w:ascii="Verdana" w:hAnsi="Verdana" w:cs="Arial"/>
        </w:rPr>
      </w:pPr>
    </w:p>
    <w:p w14:paraId="4FF36B79" w14:textId="486EECEE" w:rsidR="001C0D94" w:rsidRDefault="001C0D94" w:rsidP="001C0D94">
      <w:pPr>
        <w:spacing w:line="276" w:lineRule="auto"/>
        <w:rPr>
          <w:rFonts w:ascii="Verdana" w:hAnsi="Verdana"/>
        </w:rPr>
      </w:pPr>
    </w:p>
    <w:p w14:paraId="6284367C" w14:textId="052B0C97" w:rsidR="001C0D94" w:rsidRDefault="001C0D94" w:rsidP="001C0D94">
      <w:pPr>
        <w:spacing w:line="276" w:lineRule="auto"/>
        <w:rPr>
          <w:rFonts w:ascii="Verdana" w:hAnsi="Verdana"/>
        </w:rPr>
      </w:pPr>
    </w:p>
    <w:p w14:paraId="5E3950A4" w14:textId="1F6F4099" w:rsidR="001C0D94" w:rsidRPr="001C0D94" w:rsidRDefault="001C0D94" w:rsidP="001C0D94">
      <w:pPr>
        <w:spacing w:line="276" w:lineRule="auto"/>
        <w:jc w:val="both"/>
        <w:rPr>
          <w:rFonts w:ascii="Verdana" w:hAnsi="Verdana" w:cs="Arial"/>
          <w:b/>
          <w:sz w:val="28"/>
          <w:u w:val="single"/>
        </w:rPr>
      </w:pPr>
      <w:r w:rsidRPr="001C0D94">
        <w:rPr>
          <w:rFonts w:ascii="Verdana" w:hAnsi="Verdana" w:cs="Arial"/>
          <w:b/>
          <w:sz w:val="28"/>
          <w:u w:val="single"/>
        </w:rPr>
        <w:lastRenderedPageBreak/>
        <w:t>Methodology and Ethics</w:t>
      </w:r>
    </w:p>
    <w:p w14:paraId="57D77DCA" w14:textId="77777777" w:rsidR="001C0D94" w:rsidRPr="001C0D94" w:rsidRDefault="001C0D94" w:rsidP="001C0D94">
      <w:pPr>
        <w:spacing w:line="276" w:lineRule="auto"/>
        <w:jc w:val="both"/>
        <w:rPr>
          <w:rFonts w:ascii="Verdana" w:hAnsi="Verdana" w:cs="Arial"/>
        </w:rPr>
      </w:pPr>
    </w:p>
    <w:p w14:paraId="0101A2E7"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first process involved in this type of research is gaining ethical approval, in order to carry out the research safely and appropriately for all involved. Due to the nature of the research and participants involved, there were a variety of restrictions in place. As all participants were under the age of 16, all data had to be kept confidential and anonymised. This was achieved by keeping all data gained within a password-protected document, on an encrypted password-protected memory stick, that was kept within a locked cupboard when not in use. Following completion of the research and analysis of the data, it will be destroyed. </w:t>
      </w:r>
    </w:p>
    <w:p w14:paraId="36D31657"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BERA (British Educational Research Association, 2018) provides a variety of guidelines for Educational Research involving children. The issue of consent is prominent in any research. Participants involved in the research need to be able to give fully informed consent, with the knowledge about their right to withdraw at any point within the research process. During the classroom-based inquiry, pupils were given a full explanation of what the research entailed, the purpose of the research, their rights during the research (the right to withdraw) and given the opportunity to ask any relevant questions. To further officiate this process, all participants were given a consent form to sign in order to officiate the process (see Appendix 5). These consent forms were then stored securely in order to maintain the integrity of anonymity in this study. </w:t>
      </w:r>
    </w:p>
    <w:p w14:paraId="5B0CD7B4"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Due to </w:t>
      </w:r>
      <w:r w:rsidRPr="001C0D94">
        <w:rPr>
          <w:rFonts w:ascii="Verdana" w:hAnsi="Verdana" w:cs="Arial"/>
          <w:i/>
        </w:rPr>
        <w:t>school x</w:t>
      </w:r>
      <w:r w:rsidRPr="001C0D94">
        <w:rPr>
          <w:rFonts w:ascii="Verdana" w:hAnsi="Verdana" w:cs="Arial"/>
        </w:rPr>
        <w:t xml:space="preserve"> being a partnership school, all parents are aware that classroom-based research is carried out throughout the school due to the nature of its relationship with the University. Due to this, when enrolling their children in the school they give permission for their children to be part of any classroom-based inquiry. As this is part of the school procedure, further parental permission was not needed for participants under the age of 16. </w:t>
      </w:r>
    </w:p>
    <w:p w14:paraId="16BC005D"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Potential methods for carrying out the research itself cover a broad range, from questionnaires and interviews to full case studies of individual pupils. However, due to ethical restrictions, the options available for this research were limited. The most suitable method for this particular research was a pre-test, intervention, post-test design. This involves providing the study group with a pre-diagnostic test to gain baseline results, following this an intervention lesson is delivered that teaches the pupils how to complete the test, and a final post-intervention test (which is the same as the pre-test) to compare results and draw conclusions. For this research pupils were given a test compiled of questions requiring them to calculate percentage composition of elements within compounds, therefore using mathematic </w:t>
      </w:r>
      <w:r w:rsidRPr="001C0D94">
        <w:rPr>
          <w:rFonts w:ascii="Verdana" w:hAnsi="Verdana" w:cs="Arial"/>
        </w:rPr>
        <w:lastRenderedPageBreak/>
        <w:t xml:space="preserve">skills within a scientific context. The benefit of this is that quantitative data can be obtained, and therefore validity and reliability can be ensured (R. O’Neill, 2006). However, for true comparisons to be drawn, pupils were given the same questions in both the pre and post-test. While this is beneficial for accurate comparisons to be made, there are some issues involved. The main potential issue is that, due to the short time period (three lessons), pupils may recognise and remember questions and answer them the same as during the pre-test, rather than using the new skills they have been taught. </w:t>
      </w:r>
    </w:p>
    <w:p w14:paraId="4566BFCF"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A traditional Pre-Test Post-Test design requires three groups of participants that are specifically selected. According to Statistics How To (2019) a “Randomized Control-Group </w:t>
      </w:r>
      <w:proofErr w:type="spellStart"/>
      <w:r w:rsidRPr="001C0D94">
        <w:rPr>
          <w:rFonts w:ascii="Verdana" w:hAnsi="Verdana" w:cs="Arial"/>
        </w:rPr>
        <w:t>Pretest</w:t>
      </w:r>
      <w:proofErr w:type="spellEnd"/>
      <w:r w:rsidRPr="001C0D94">
        <w:rPr>
          <w:rFonts w:ascii="Verdana" w:hAnsi="Verdana" w:cs="Arial"/>
        </w:rPr>
        <w:t xml:space="preserve"> </w:t>
      </w:r>
      <w:proofErr w:type="spellStart"/>
      <w:r w:rsidRPr="001C0D94">
        <w:rPr>
          <w:rFonts w:ascii="Verdana" w:hAnsi="Verdana" w:cs="Arial"/>
        </w:rPr>
        <w:t>Posttest</w:t>
      </w:r>
      <w:proofErr w:type="spellEnd"/>
      <w:r w:rsidRPr="001C0D94">
        <w:rPr>
          <w:rFonts w:ascii="Verdana" w:hAnsi="Verdana" w:cs="Arial"/>
        </w:rPr>
        <w:t xml:space="preserve"> Design” is most appropriate. This design requires a control group as well as a “treatment” group in order to gain accurate results. Both groups get the same pre-diagnostic and post-intervention tests, however they differ in that the “treatment” group get delivered the new teaching method, whereas the control group receive the standard practice method. True differences between the groups can be recorded and conclusions can be drawn this way. However, due to restrictions in the availability of participants, this research was limited in the type of sampling that could be used. </w:t>
      </w:r>
    </w:p>
    <w:p w14:paraId="11D941BE"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Due to the nature of classroom-based inquiry, samples were selected based upon opportunity. This came from the classes of pupils available. The sample available for this inquiry, based on availability of pupils and how appropriate the content was for the group, was a group of year 9 pupils, aged between 13 and 14, working with Global Target Grades (GTG) of AB-CD. Due to the research being carried out over a three lesson period, it could not be guaranteed that all pupils would attend all three lessons. Consequently, this meant that the final number of participants that completed the entire inquiry was 19. </w:t>
      </w:r>
    </w:p>
    <w:p w14:paraId="56BBCBD2" w14:textId="0A0DE70E" w:rsidR="001C0D94" w:rsidRDefault="001C0D94" w:rsidP="001C0D94">
      <w:pPr>
        <w:spacing w:line="276" w:lineRule="auto"/>
        <w:jc w:val="both"/>
        <w:rPr>
          <w:rFonts w:ascii="Verdana" w:hAnsi="Verdana" w:cs="Arial"/>
        </w:rPr>
      </w:pPr>
      <w:r w:rsidRPr="001C0D94">
        <w:rPr>
          <w:rFonts w:ascii="Verdana" w:hAnsi="Verdana" w:cs="Arial"/>
        </w:rPr>
        <w:t xml:space="preserve">Having such a low number of participants and having to use an opportunity sample provides its own reliability issues. Due to the low sample size, it is difficult to be able to generalise results from both tests to a wider community, and to make firm conclusions about the data. Another issue is that due to the nature of the research, in an educational setting, a control group was not able to be used. Ideally, in any research a control group who were tested using standard methods in order to make true comparisons, and therefore make more reliable conclusions. However, due to the research being carried out on pupils that are still in full time education, it could potentially be detrimental to either group, if the opposing results show a better way to teach a method and they have not had the opportunity </w:t>
      </w:r>
      <w:r w:rsidRPr="001C0D94">
        <w:rPr>
          <w:rFonts w:ascii="Verdana" w:hAnsi="Verdana" w:cs="Arial"/>
        </w:rPr>
        <w:lastRenderedPageBreak/>
        <w:t xml:space="preserve">to learn this way. It could provide pupils with unfair advantages and disadvantages, and therefore, ethically speaking, this could not be done. </w:t>
      </w:r>
    </w:p>
    <w:p w14:paraId="5265C3C6" w14:textId="25146BE8" w:rsidR="001C0D94" w:rsidRDefault="001C0D94" w:rsidP="001C0D94">
      <w:pPr>
        <w:spacing w:line="276" w:lineRule="auto"/>
        <w:jc w:val="both"/>
        <w:rPr>
          <w:rFonts w:ascii="Verdana" w:hAnsi="Verdana" w:cs="Arial"/>
        </w:rPr>
      </w:pPr>
    </w:p>
    <w:p w14:paraId="1B7C691E" w14:textId="0ED96278" w:rsidR="001C0D94" w:rsidRDefault="001C0D94" w:rsidP="001C0D94">
      <w:pPr>
        <w:spacing w:line="276" w:lineRule="auto"/>
        <w:jc w:val="both"/>
        <w:rPr>
          <w:rFonts w:ascii="Verdana" w:hAnsi="Verdana" w:cs="Arial"/>
        </w:rPr>
      </w:pPr>
    </w:p>
    <w:p w14:paraId="44A33C68" w14:textId="45513F11" w:rsidR="001C0D94" w:rsidRDefault="001C0D94" w:rsidP="001C0D94">
      <w:pPr>
        <w:spacing w:line="276" w:lineRule="auto"/>
        <w:jc w:val="both"/>
        <w:rPr>
          <w:rFonts w:ascii="Verdana" w:hAnsi="Verdana" w:cs="Arial"/>
        </w:rPr>
      </w:pPr>
    </w:p>
    <w:p w14:paraId="4111DF90" w14:textId="0FC52C5D" w:rsidR="001C0D94" w:rsidRPr="001C0D94" w:rsidRDefault="001C0D94" w:rsidP="001C0D94">
      <w:pPr>
        <w:spacing w:line="276" w:lineRule="auto"/>
        <w:jc w:val="both"/>
        <w:rPr>
          <w:rFonts w:ascii="Verdana" w:hAnsi="Verdana" w:cs="Arial"/>
          <w:b/>
          <w:sz w:val="28"/>
          <w:u w:val="single"/>
        </w:rPr>
      </w:pPr>
      <w:r w:rsidRPr="001C0D94">
        <w:rPr>
          <w:rFonts w:ascii="Verdana" w:hAnsi="Verdana" w:cs="Arial"/>
          <w:b/>
          <w:sz w:val="28"/>
          <w:u w:val="single"/>
        </w:rPr>
        <w:t>Evaluation</w:t>
      </w:r>
    </w:p>
    <w:p w14:paraId="65BA7DF6" w14:textId="77777777" w:rsidR="001C0D94" w:rsidRPr="001C0D94" w:rsidRDefault="001C0D94" w:rsidP="001C0D94">
      <w:pPr>
        <w:spacing w:line="276" w:lineRule="auto"/>
        <w:jc w:val="both"/>
        <w:rPr>
          <w:rFonts w:ascii="Verdana" w:hAnsi="Verdana" w:cs="Arial"/>
          <w:b/>
          <w:sz w:val="28"/>
          <w:u w:val="single"/>
        </w:rPr>
      </w:pPr>
    </w:p>
    <w:p w14:paraId="3E7F40BA" w14:textId="77777777" w:rsidR="001C0D94" w:rsidRPr="001C0D94" w:rsidRDefault="001C0D94" w:rsidP="001C0D94">
      <w:pPr>
        <w:spacing w:line="276" w:lineRule="auto"/>
        <w:jc w:val="both"/>
        <w:rPr>
          <w:rFonts w:ascii="Verdana" w:hAnsi="Verdana" w:cs="Arial"/>
          <w:b/>
          <w:u w:val="single"/>
        </w:rPr>
      </w:pPr>
      <w:r w:rsidRPr="001C0D94">
        <w:rPr>
          <w:rFonts w:ascii="Verdana" w:hAnsi="Verdana" w:cs="Arial"/>
          <w:b/>
          <w:u w:val="single"/>
        </w:rPr>
        <w:t>Sequence of Lessons</w:t>
      </w:r>
    </w:p>
    <w:p w14:paraId="32E2EACD" w14:textId="2FFC769B" w:rsidR="001C0D94" w:rsidRPr="001C0D94" w:rsidRDefault="001C0D94" w:rsidP="001C0D94">
      <w:pPr>
        <w:spacing w:line="276" w:lineRule="auto"/>
        <w:jc w:val="both"/>
        <w:rPr>
          <w:rFonts w:ascii="Verdana" w:hAnsi="Verdana" w:cs="Arial"/>
        </w:rPr>
      </w:pPr>
      <w:r w:rsidRPr="001C0D94">
        <w:rPr>
          <w:rFonts w:ascii="Verdana" w:hAnsi="Verdana" w:cs="Arial"/>
        </w:rPr>
        <w:t xml:space="preserve">This classroom based </w:t>
      </w:r>
      <w:r>
        <w:rPr>
          <w:rFonts w:ascii="Verdana" w:hAnsi="Verdana" w:cs="Arial"/>
        </w:rPr>
        <w:t>e</w:t>
      </w:r>
      <w:r w:rsidRPr="001C0D94">
        <w:rPr>
          <w:rFonts w:ascii="Verdana" w:hAnsi="Verdana" w:cs="Arial"/>
        </w:rPr>
        <w:t>nquiry took place over a series of three consecutive lessons. Using the pre-test, post-test design, lesson one focused on delivering the pre-diagnostic test, lesson two focused on the intervention and teaching of the concept, and lesson 3 focused on the post-intervention test.</w:t>
      </w:r>
    </w:p>
    <w:p w14:paraId="46567C09" w14:textId="77777777" w:rsidR="001C0D94" w:rsidRPr="001C0D94" w:rsidRDefault="001C0D94" w:rsidP="001C0D94">
      <w:pPr>
        <w:spacing w:line="276" w:lineRule="auto"/>
        <w:jc w:val="both"/>
        <w:rPr>
          <w:rFonts w:ascii="Verdana" w:hAnsi="Verdana" w:cs="Arial"/>
        </w:rPr>
      </w:pPr>
      <w:r w:rsidRPr="001C0D94">
        <w:rPr>
          <w:rFonts w:ascii="Verdana" w:hAnsi="Verdana" w:cs="Arial"/>
        </w:rPr>
        <w:t>The first lesson in the sequence took place upon return to Professional Teaching Experience 1 (PTE1) following the Christmas break and time back at university. It was the first time the class had been taught by myself since December, and took place last lesson on a Friday afternoon; both of these factors combined provided their own teaching challenges. The last lesson of a Friday challenge is a recognised ‘phenomenon’ among teachers, that will give the highest likelihood of behavioural issues, due to fatigue and weekend excitement (Staffroom Stories, 2018), that will always provide challenge. Additionally to this, due to the disruption of having a different teacher once more, and the gap between the last time the class was taught by myself, pupils were testing boundaries of what they could or could not get away with, which therefore provided more behaviour management challenges. Final behavioural issues came from the fact that these Year 9 pupils had just completed their mock exams, and therefore were “fed up” of more testing, which provided a negative atmosphere and attitude towards the pre-diagnostic test, which meant that additional reassurance that this did not affect final grades had to be given to ease pupil anxiety.</w:t>
      </w:r>
    </w:p>
    <w:p w14:paraId="7EE13CA2"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Lesson one began with a starter activity (See Appendix 6), that broke down the steps they would need to complete in the test, without explicitly telling pupils that. Each stage was broken down into a “Bronze, Silver or Gold” level- in light with common School Practice. This starter not only engaged pupils but acted to activate prior knowledge. Following the completion of this, pupils were talked through the purpose of this inquiry, and the ethics behind them. Pupils were informed of BERA (2018) guidelines regarding their rights, anonymity and the right to withdraw. Following this, they had a further page of information that they could sign (Appendix 5) so that there was signed consent to use their data available. Pupils were given 25 minutes to complete the test paper (Appendix 7) to the best of their ability, </w:t>
      </w:r>
      <w:r w:rsidRPr="001C0D94">
        <w:rPr>
          <w:rFonts w:ascii="Verdana" w:hAnsi="Verdana" w:cs="Arial"/>
        </w:rPr>
        <w:lastRenderedPageBreak/>
        <w:t xml:space="preserve">and encouraged that they did not need to stress if they could not complete the questions as this was just to identify what ability they were working at. They were provided with calculators and the necessary </w:t>
      </w:r>
      <w:proofErr w:type="spellStart"/>
      <w:r w:rsidRPr="001C0D94">
        <w:rPr>
          <w:rFonts w:ascii="Verdana" w:hAnsi="Verdana" w:cs="Arial"/>
        </w:rPr>
        <w:t>A</w:t>
      </w:r>
      <w:r w:rsidRPr="001C0D94">
        <w:rPr>
          <w:rFonts w:ascii="Verdana" w:hAnsi="Verdana" w:cs="Arial"/>
          <w:vertAlign w:val="subscript"/>
        </w:rPr>
        <w:t>r</w:t>
      </w:r>
      <w:proofErr w:type="spellEnd"/>
      <w:r w:rsidRPr="001C0D94">
        <w:rPr>
          <w:rFonts w:ascii="Verdana" w:hAnsi="Verdana" w:cs="Arial"/>
          <w:vertAlign w:val="subscript"/>
        </w:rPr>
        <w:t xml:space="preserve"> </w:t>
      </w:r>
      <w:r w:rsidRPr="001C0D94">
        <w:rPr>
          <w:rFonts w:ascii="Verdana" w:hAnsi="Verdana" w:cs="Arial"/>
        </w:rPr>
        <w:t xml:space="preserve">numbers (so that periodic tables were not needed), and the questions progressed in difficulty. This lesson concluded with asking how they found the questions, and then information about the upcoming investigation that they would be completing following the research. </w:t>
      </w:r>
    </w:p>
    <w:p w14:paraId="21E00B1D" w14:textId="77777777" w:rsidR="001C0D94" w:rsidRPr="001C0D94" w:rsidRDefault="001C0D94" w:rsidP="001C0D94">
      <w:pPr>
        <w:spacing w:line="276" w:lineRule="auto"/>
        <w:jc w:val="both"/>
        <w:rPr>
          <w:rFonts w:ascii="Verdana" w:hAnsi="Verdana" w:cs="Arial"/>
        </w:rPr>
      </w:pPr>
      <w:r w:rsidRPr="001C0D94">
        <w:rPr>
          <w:rFonts w:ascii="Verdana" w:hAnsi="Verdana" w:cs="Arial"/>
        </w:rPr>
        <w:t>Following marking the pre-diagnostic tests, an effective intervention lesson could be conducted, as I now knew what level the pupils were working at. Again, pupils were given a starter activity in the same format as the one on the pre-diagnostic test (see Appendix 8), in order to activate prior knowledge and get them thinking of what they will need to be doing in the lesson. The main aim of the lesson was to develop a comprehensive method that the pupils could use in all future occasions to solve this style of question, and have confidence in doing so. This aim came from awareness following research that there is not one clear, comprehensive method for solving this style of question (see Appendices 1-4), and those that are available do not include all steps that pupils need to carry out in order to gain the information needed. For example, pupils need to count how many atoms are within a compound in order to calculate the M</w:t>
      </w:r>
      <w:r w:rsidRPr="001C0D94">
        <w:rPr>
          <w:rFonts w:ascii="Verdana" w:hAnsi="Verdana" w:cs="Arial"/>
          <w:vertAlign w:val="subscript"/>
        </w:rPr>
        <w:t>r</w:t>
      </w:r>
      <w:r w:rsidRPr="001C0D94">
        <w:rPr>
          <w:rFonts w:ascii="Verdana" w:hAnsi="Verdana" w:cs="Arial"/>
        </w:rPr>
        <w:t xml:space="preserve"> of said compound. This is not mentioned in any instruction found, and may not necessarily be a step pupils automatically consider when tackling this style of question. Due to this, this was a key issue that I wanted to address when carrying out this intervention. Another issue to address was ensuring that pupils were aware of the meaning of certain key terms within the question, primarily; ‘composition’, ‘M</w:t>
      </w:r>
      <w:r w:rsidRPr="001C0D94">
        <w:rPr>
          <w:rFonts w:ascii="Verdana" w:hAnsi="Verdana" w:cs="Arial"/>
          <w:vertAlign w:val="subscript"/>
        </w:rPr>
        <w:t>r</w:t>
      </w:r>
      <w:r w:rsidRPr="001C0D94">
        <w:rPr>
          <w:rFonts w:ascii="Verdana" w:hAnsi="Verdana" w:cs="Arial"/>
        </w:rPr>
        <w:t>’ and ‘</w:t>
      </w:r>
      <w:proofErr w:type="spellStart"/>
      <w:r w:rsidRPr="001C0D94">
        <w:rPr>
          <w:rFonts w:ascii="Verdana" w:hAnsi="Verdana" w:cs="Arial"/>
        </w:rPr>
        <w:t>A</w:t>
      </w:r>
      <w:r w:rsidRPr="001C0D94">
        <w:rPr>
          <w:rFonts w:ascii="Verdana" w:hAnsi="Verdana" w:cs="Arial"/>
          <w:vertAlign w:val="subscript"/>
        </w:rPr>
        <w:t>r</w:t>
      </w:r>
      <w:proofErr w:type="spellEnd"/>
      <w:r w:rsidRPr="001C0D94">
        <w:rPr>
          <w:rFonts w:ascii="Verdana" w:hAnsi="Verdana" w:cs="Arial"/>
        </w:rPr>
        <w:t xml:space="preserve">’. These key terms were clarified before the lesson progressed. </w:t>
      </w:r>
    </w:p>
    <w:p w14:paraId="2B171F8B" w14:textId="77777777" w:rsidR="001C0D94" w:rsidRPr="001C0D94" w:rsidRDefault="001C0D94" w:rsidP="001C0D94">
      <w:pPr>
        <w:spacing w:line="276" w:lineRule="auto"/>
        <w:jc w:val="both"/>
        <w:rPr>
          <w:rFonts w:ascii="Verdana" w:hAnsi="Verdana" w:cs="Arial"/>
        </w:rPr>
      </w:pPr>
      <w:r w:rsidRPr="001C0D94">
        <w:rPr>
          <w:rFonts w:ascii="Verdana" w:hAnsi="Verdana" w:cs="Arial"/>
        </w:rPr>
        <w:t>When developing the method, I did not want pupils to feel that they were just being ‘lectured at’, but that they were involved in the development of the method. To achieve this, the ‘teaching’ part of the intervention had pupils suggesting what needed to be done at what stage, coming to agreements and querying if anything needed to be completed before each stage (for example, if told “you need to calculate the M</w:t>
      </w:r>
      <w:r w:rsidRPr="001C0D94">
        <w:rPr>
          <w:rFonts w:ascii="Verdana" w:hAnsi="Verdana" w:cs="Arial"/>
          <w:vertAlign w:val="subscript"/>
        </w:rPr>
        <w:t>r</w:t>
      </w:r>
      <w:r w:rsidRPr="001C0D94">
        <w:rPr>
          <w:rFonts w:ascii="Verdana" w:hAnsi="Verdana" w:cs="Arial"/>
        </w:rPr>
        <w:t xml:space="preserve">” pupils were questioned what they needed to do the be able to achieve this, i.e. count the atoms). As pupils developed the method (along with guidance on the board- Appendix 9), a worked example was given so that they could apply the method as they went along. Their worksheet itself also had space for them to make note of their method to use for future reference. The main activity of the lesson was a worksheet of percentage composition calculation questions, which progressed in difficulty as they went along. I gave pupils specific guidance regarding showing their workings out, as this </w:t>
      </w:r>
      <w:r w:rsidRPr="001C0D94">
        <w:rPr>
          <w:rFonts w:ascii="Verdana" w:hAnsi="Verdana" w:cs="Arial"/>
        </w:rPr>
        <w:lastRenderedPageBreak/>
        <w:t xml:space="preserve">was a key area where they were missing marks in not only the pre-diagnostic test, but in previous mock exams that had been marked. The worksheet worked well for getting pupils to practice this style of question, however, time should have been allowed for some form of peer or self-marking. By doing this, pupils would have been able to see how their work is marked and where their marks are coming from. This could have potentially benefitted their scores in the post-intervention test, as they would have had the memory and knowledge of ‘workings out = marks’. This lesson concluded with a white-board plenary activity of ‘quick fire atom counting’, something that a majority struggled with, and therefore needed the extra practice in. By the end of the lesson they were able to count the atoms of compounds with ease, showing effectiveness of the intervention for that aspect at least. </w:t>
      </w:r>
    </w:p>
    <w:p w14:paraId="3121E054"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final lesson in the sequence was based on completion of the post-intervention test (in line with the experimental design outlined by Statistics How To, 2019). The lesson followed a similar routine of the previous two in the series, in that pupils had an APK style activity, that breaks down the steps into individual questions to answer (see Appendix 10). Following this, pupils had a short 5 minute “revision” period to look over the methods created the previous day and prepare themselves for the final test. The test was made up of the same pre-diagnostic questions, in order for them to be completely comparable, and pupils were given the same resources (calculators, etc), time and conditions to complete the post-intervention tests. Following this, papers were collected and the remainder of the lesson was spent going over the paper as a class, allowing students to answer the questions verbally and show themselves that they now had the ability to answer these questions confidently- even if they did not explicitly realise that this was the purpose of this part of the lesson. Before the test, pupils were reminded of their rights according to BERA (2018) guidelines and that they had the right to withdraw from their data being used. Zero pupils in the test group withdrew from having their information used in this analysis. </w:t>
      </w:r>
    </w:p>
    <w:p w14:paraId="7BA7BF45" w14:textId="77777777" w:rsidR="001C0D94" w:rsidRPr="001C0D94" w:rsidRDefault="001C0D94" w:rsidP="001C0D94">
      <w:pPr>
        <w:spacing w:line="276" w:lineRule="auto"/>
        <w:jc w:val="both"/>
        <w:rPr>
          <w:rFonts w:ascii="Verdana" w:hAnsi="Verdana" w:cs="Arial"/>
        </w:rPr>
      </w:pPr>
    </w:p>
    <w:p w14:paraId="6D61A237" w14:textId="77777777" w:rsidR="001C0D94" w:rsidRPr="001C0D94" w:rsidRDefault="001C0D94" w:rsidP="001C0D94">
      <w:pPr>
        <w:spacing w:line="276" w:lineRule="auto"/>
        <w:jc w:val="both"/>
        <w:rPr>
          <w:rFonts w:ascii="Verdana" w:hAnsi="Verdana" w:cs="Arial"/>
        </w:rPr>
      </w:pPr>
      <w:r w:rsidRPr="001C0D94">
        <w:rPr>
          <w:rFonts w:ascii="Verdana" w:hAnsi="Verdana" w:cs="Arial"/>
          <w:b/>
          <w:u w:val="single"/>
        </w:rPr>
        <w:t>Analysis</w:t>
      </w:r>
    </w:p>
    <w:p w14:paraId="55990467"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topic in question, of teaching how to calculate percentage composition of elements in compounds, was decided initially due to poor results of this style of question in the pupil’s November ‘end of topic test’. During this test, with the participants, the median score achieved was 50% of marks available. Only two out of the 19 pupils achieved the full 4 marks, and four of the 19 pupils achieved zero marks, or failed to attempt the question. Due to this, it was understood that the pupils needed further teaching of this topic, as it was clearly a weak area for the majority of them. </w:t>
      </w:r>
    </w:p>
    <w:p w14:paraId="6A4AB6F6" w14:textId="77777777" w:rsidR="001C0D94" w:rsidRPr="001C0D94" w:rsidRDefault="001C0D94" w:rsidP="001C0D94">
      <w:pPr>
        <w:spacing w:line="276" w:lineRule="auto"/>
        <w:jc w:val="both"/>
        <w:rPr>
          <w:rFonts w:ascii="Verdana" w:hAnsi="Verdana" w:cs="Arial"/>
        </w:rPr>
      </w:pPr>
      <w:r w:rsidRPr="001C0D94">
        <w:rPr>
          <w:rFonts w:ascii="Verdana" w:hAnsi="Verdana" w:cs="Arial"/>
        </w:rPr>
        <w:lastRenderedPageBreak/>
        <w:t xml:space="preserve">During the pre-diagnostic test, the mean score achieved was 3.68 out of 20 (18.26%)- see Appendix 11. Five participants achieved zero marks, or made no attempt to answer the questions, which can be attributed to either a potential lack of resilience, or a lack of knowledge about how to tackle the style of question. However, it would most likely be the latter argument, as the highest scoring pupils achieved 8/20 (40%), which is a considerably low score considering the ability of the class, and only two pupils achieved this. The pupils that achieved the highest scores were pupil </w:t>
      </w:r>
      <w:proofErr w:type="spellStart"/>
      <w:r w:rsidRPr="001C0D94">
        <w:rPr>
          <w:rFonts w:ascii="Verdana" w:hAnsi="Verdana" w:cs="Arial"/>
        </w:rPr>
        <w:t>i</w:t>
      </w:r>
      <w:proofErr w:type="spellEnd"/>
      <w:r w:rsidRPr="001C0D94">
        <w:rPr>
          <w:rFonts w:ascii="Verdana" w:hAnsi="Verdana" w:cs="Arial"/>
        </w:rPr>
        <w:t>; who had achieved full marks in the mock question of this style. Within the test they achieved one mark for each question from 1a to 3a, and a further 3 marks for question 4. Pupil k also achieved 8 marks across the test, after only achieving 2/4 in the mock question, for questions 1 and 2 they achieved 3/4 for both and one mark for questions 3a and 4b. Both of these highly scoring pupils did not achieve any marks for question 5.</w:t>
      </w:r>
    </w:p>
    <w:p w14:paraId="4F59E983"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All questions were designed to be a two-part question, with the first part (part a) worth one mark, and required pupils to count the amount of atoms in the compound. Only four pupils out of 19 were able to achieve all marks available for the part a questions, five could not answer 5a (a higher challenge question involving brackets), even though they could answer the previous part a questions, meaning that 15 out of 19 pupils could not complete this question. </w:t>
      </w:r>
    </w:p>
    <w:p w14:paraId="476020E1"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Question 5 was set as a higher challenge question, and during the pre-diagnostic test, none of the participants were able to achieve full marks (4 marks available over part a and b), with only four out of 19 achieving 2 out of 3 marks for Question 5b. Only five pupils achieved marks for any of the part b questions available, that involved calculating the relative molecular mass of the compound, and then the percentage composition of element </w:t>
      </w:r>
      <w:r w:rsidRPr="001C0D94">
        <w:rPr>
          <w:rFonts w:ascii="Verdana" w:hAnsi="Verdana" w:cs="Arial"/>
          <w:i/>
        </w:rPr>
        <w:t>x</w:t>
      </w:r>
      <w:r w:rsidRPr="001C0D94">
        <w:rPr>
          <w:rFonts w:ascii="Verdana" w:hAnsi="Verdana" w:cs="Arial"/>
        </w:rPr>
        <w:t xml:space="preserve"> in that compound. </w:t>
      </w:r>
    </w:p>
    <w:p w14:paraId="4DDA2CDB"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Following intervention, there is a clear contrast in improved ability to answer this style of question. See Appendices 11 and 12 for the spreadsheet of results for the pre-diagnostic test and post-intervention test respectively. The mean score for the test increased to 13.37 marks out of 20 (66.84%), an average improvement of 9.69 marks. The lowest score obtained was by pupil q, who only achieved two out of 20 marks, however, this was still a 10% improvement from the previous mark of 0 out of 20. The highest scores obtained for the post-intervention test were full marks for 4 pupils out of 19. Of these, two pupils (pupils h and o) had 100% improvement from the pre-diagnostic test- going from 0 marks to 20 following intervention. Of the others who achieved full marks, pupil </w:t>
      </w:r>
      <w:proofErr w:type="spellStart"/>
      <w:r w:rsidRPr="001C0D94">
        <w:rPr>
          <w:rFonts w:ascii="Verdana" w:hAnsi="Verdana" w:cs="Arial"/>
        </w:rPr>
        <w:t>i</w:t>
      </w:r>
      <w:proofErr w:type="spellEnd"/>
      <w:r w:rsidRPr="001C0D94">
        <w:rPr>
          <w:rFonts w:ascii="Verdana" w:hAnsi="Verdana" w:cs="Arial"/>
        </w:rPr>
        <w:t xml:space="preserve"> (one of the highest scoring from the pre-diagnostic test) improved by 60%- going from 8/20 to 20/20- and pupil m improved by 70%- going from 4/20 </w:t>
      </w:r>
      <w:r w:rsidRPr="001C0D94">
        <w:rPr>
          <w:rFonts w:ascii="Verdana" w:hAnsi="Verdana" w:cs="Arial"/>
        </w:rPr>
        <w:lastRenderedPageBreak/>
        <w:t xml:space="preserve">to 20/20. Another considerable improvement came from pupil s, who achieved 19/20, improving by 70%. </w:t>
      </w:r>
    </w:p>
    <w:p w14:paraId="45F7B496"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Only four pupils achieved between 2 and 9 marks at the lower end of the scale, but each of these had their own respective improvements (see Appendix 13 for full pupil analysis). The only pupil who had no change in attainment was pupil d, who achieved 5/20 (25%) in both tests. Zero pupils achieved a lower grade. </w:t>
      </w:r>
    </w:p>
    <w:p w14:paraId="4AD7AEF7"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Improvement across the study group ranged from 10%-100%, with mean improvement at 47.89%. Only four pupils improved by 20% or less, and therefore it can be concluded that all other pupils made considerable improvement (when considerable is equal to an improvement of 20% or more). </w:t>
      </w:r>
    </w:p>
    <w:p w14:paraId="4F6016B7"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Only 7 pupils could no access question 5 (the challenge question), however 10 out of the 19 participants achieved full marks- meaning the remaining two were able to achieve some of the marks available. </w:t>
      </w:r>
    </w:p>
    <w:p w14:paraId="34545448" w14:textId="035EF260" w:rsidR="001C0D94" w:rsidRDefault="001C0D94" w:rsidP="001C0D94">
      <w:pPr>
        <w:spacing w:line="276" w:lineRule="auto"/>
        <w:jc w:val="both"/>
        <w:rPr>
          <w:rFonts w:ascii="Verdana" w:hAnsi="Verdana" w:cs="Arial"/>
        </w:rPr>
      </w:pPr>
      <w:r w:rsidRPr="001C0D94">
        <w:rPr>
          <w:rFonts w:ascii="Verdana" w:hAnsi="Verdana" w:cs="Arial"/>
        </w:rPr>
        <w:t xml:space="preserve">This post-intervention data demonstrates a clear improvement of attainment across the participants, and validity of this improvement will be explored further within the conclusions section of this report. </w:t>
      </w:r>
    </w:p>
    <w:p w14:paraId="6C850D16" w14:textId="4753F862" w:rsidR="001C0D94" w:rsidRDefault="001C0D94" w:rsidP="001C0D94">
      <w:pPr>
        <w:spacing w:line="276" w:lineRule="auto"/>
        <w:jc w:val="both"/>
        <w:rPr>
          <w:rFonts w:ascii="Verdana" w:hAnsi="Verdana" w:cs="Arial"/>
        </w:rPr>
      </w:pPr>
    </w:p>
    <w:p w14:paraId="7B6C96F3" w14:textId="0FE7CFD5" w:rsidR="001C0D94" w:rsidRDefault="001C0D94" w:rsidP="001C0D94">
      <w:pPr>
        <w:spacing w:line="276" w:lineRule="auto"/>
        <w:jc w:val="both"/>
        <w:rPr>
          <w:rFonts w:ascii="Verdana" w:hAnsi="Verdana" w:cs="Arial"/>
        </w:rPr>
      </w:pPr>
    </w:p>
    <w:p w14:paraId="4B1CD30E" w14:textId="2BD98E2A" w:rsidR="001C0D94" w:rsidRDefault="001C0D94" w:rsidP="001C0D94">
      <w:pPr>
        <w:spacing w:line="276" w:lineRule="auto"/>
        <w:jc w:val="both"/>
        <w:rPr>
          <w:rFonts w:ascii="Verdana" w:hAnsi="Verdana" w:cs="Arial"/>
        </w:rPr>
      </w:pPr>
    </w:p>
    <w:p w14:paraId="11DAA313" w14:textId="2BA71B3A" w:rsidR="001C0D94" w:rsidRPr="001C0D94" w:rsidRDefault="001C0D94" w:rsidP="001C0D94">
      <w:pPr>
        <w:spacing w:line="276" w:lineRule="auto"/>
        <w:jc w:val="both"/>
        <w:rPr>
          <w:rFonts w:ascii="Verdana" w:hAnsi="Verdana" w:cs="Arial"/>
          <w:b/>
          <w:i/>
          <w:sz w:val="28"/>
          <w:u w:val="single"/>
        </w:rPr>
      </w:pPr>
      <w:r w:rsidRPr="001C0D94">
        <w:rPr>
          <w:rFonts w:ascii="Verdana" w:hAnsi="Verdana" w:cs="Arial"/>
          <w:b/>
          <w:sz w:val="28"/>
          <w:u w:val="single"/>
        </w:rPr>
        <w:t>Conclusions, Limitations and Future Development</w:t>
      </w:r>
    </w:p>
    <w:p w14:paraId="0BAEC8DA" w14:textId="77777777" w:rsidR="001C0D94" w:rsidRPr="001C0D94" w:rsidRDefault="001C0D94" w:rsidP="001C0D94">
      <w:pPr>
        <w:spacing w:line="276" w:lineRule="auto"/>
        <w:jc w:val="both"/>
        <w:rPr>
          <w:rFonts w:ascii="Verdana" w:hAnsi="Verdana" w:cs="Arial"/>
        </w:rPr>
      </w:pPr>
    </w:p>
    <w:p w14:paraId="4B5C0878"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Following data analysis of the test results obtained from the participants of this research, it can be stated with a good degree of confidence that the intervention was ultimately a success, with 94.7% of pupils making some improvement, and zero pupils deteriorating. Of the 19 pupils that participated in the research, 15 of those attained 50% or higher in the post-intervention test, a clear improvement considering the pre-diagnostic test provided the highest marks of 40% for only two pupils. </w:t>
      </w:r>
    </w:p>
    <w:p w14:paraId="24BDC30E"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Following completion of the post-intervention test, the remainder of the lesson was spent asking the pupils to answer the questions as a class. Through this, observations could be made regarding pupil retention. Almost all pupils contributed to the discussions and provided verbal feedback and answers of how to tackle the question. While doing this, pupils were clearly following the distinct steps that had been produced as part of the method in the intervention session. Pupils displayed a clear growth in confidence of applying maths skills to a scientific question, which was demonstrated by their ability to answer the questions as a group, working collaboratively. This observation of how the pupils worked to answer the questions as a group showed a clear understanding of the concept, and therefore it could </w:t>
      </w:r>
      <w:r w:rsidRPr="001C0D94">
        <w:rPr>
          <w:rFonts w:ascii="Verdana" w:hAnsi="Verdana" w:cs="Arial"/>
        </w:rPr>
        <w:lastRenderedPageBreak/>
        <w:t xml:space="preserve">be suggested that discrepancies in pupils who did not attain as highly as others, for example, those who achieved between 50%-60%, could be down to calculator error. This potential error could pose a new area of investigation, in that are pupils confident using calculators for solving this style of question? Do pupils get the support and teaching they need to use scientific calculators, or do they need more time dedicated within the curriculum to teach these skills? </w:t>
      </w:r>
    </w:p>
    <w:p w14:paraId="1EF0B34D"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Collaboration was seen throughout this enquiry, in that it was ensured that the concept of teaching how to calculate a percentage followed the same procedure as the maths department would teach it, so that there is not another skill being taught to the pupils, for the same result, that could ultimately lead to confusion. </w:t>
      </w:r>
    </w:p>
    <w:p w14:paraId="131B41D4"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Collaboration between departments was not the only necessary collaboration to be carried out, but collaboration between the students was vital for their learning to be effective. Following Donaldson’s (2015) pedagogical principles, “good teaching and learning encourages collaboration”, which is underpinned further by Hattie (2009) stating that “cooperative learning is effective”. When pupils are involved in their learning, such as developing a method in order to solve a problem, they (in theory) become more motivated, are able to develop their problem solving skills that can then be transferred across school life and into adult life, and ultimately their achievement benefits from this. The importance of collaboration between pupils and teachers is paramount, which is why their involvement in the intervention lesson was key to their improved attainment. This concept does not only help improve attainment, but it can also have a knock on effect in the classroom, as if collaboration is present, and pupils are involved in their learning, pupil-teacher relationships can be built, and the potential for behavioural issues can be reduced. </w:t>
      </w:r>
    </w:p>
    <w:p w14:paraId="17B925FA" w14:textId="77777777" w:rsidR="001C0D94" w:rsidRPr="001C0D94" w:rsidRDefault="001C0D94" w:rsidP="001C0D94">
      <w:pPr>
        <w:spacing w:line="276" w:lineRule="auto"/>
        <w:jc w:val="both"/>
        <w:rPr>
          <w:rFonts w:ascii="Verdana" w:hAnsi="Verdana" w:cs="Arial"/>
        </w:rPr>
      </w:pPr>
    </w:p>
    <w:p w14:paraId="34F2B7FF" w14:textId="77777777" w:rsidR="001C0D94" w:rsidRPr="001C0D94" w:rsidRDefault="001C0D94" w:rsidP="001C0D94">
      <w:pPr>
        <w:spacing w:line="276" w:lineRule="auto"/>
        <w:jc w:val="both"/>
        <w:rPr>
          <w:rFonts w:ascii="Verdana" w:hAnsi="Verdana" w:cs="Arial"/>
          <w:b/>
          <w:u w:val="single"/>
        </w:rPr>
      </w:pPr>
      <w:r w:rsidRPr="001C0D94">
        <w:rPr>
          <w:rFonts w:ascii="Verdana" w:hAnsi="Verdana" w:cs="Arial"/>
          <w:b/>
          <w:u w:val="single"/>
        </w:rPr>
        <w:t>Limitations</w:t>
      </w:r>
    </w:p>
    <w:p w14:paraId="5E8972BF"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Even though this enquiry produced significant data to suggest that the intervention was a success, these conclusions must be taken with an element of caution due to the vast limitations of the research itself. </w:t>
      </w:r>
    </w:p>
    <w:p w14:paraId="5A0403AB"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research was undertaken with 19 13-14 year old participants, all from the same school, in the same class. The sample of participants was selected solely based on availability and access, therefore there was not much selection involved. </w:t>
      </w:r>
    </w:p>
    <w:p w14:paraId="670DA1BE"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sample size itself is an issue, due to the small size. For any reliable conclusions to be drawn, there needed to be much more data collected from a wider selection of participants. The sample size itself decreased from the initial amount of pupils in the class, however, not all pupils attended all </w:t>
      </w:r>
      <w:r w:rsidRPr="001C0D94">
        <w:rPr>
          <w:rFonts w:ascii="Verdana" w:hAnsi="Verdana" w:cs="Arial"/>
        </w:rPr>
        <w:lastRenderedPageBreak/>
        <w:t xml:space="preserve">three sessions and therefore any data obtained from them could not be included in the final results. It can be estimated that around 6 participants were lost through this. </w:t>
      </w:r>
    </w:p>
    <w:p w14:paraId="1102E213"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sample group itself is very Ethnocentric, as it only focuses on a group that reflects the local community that surrounds the school in Swansea. There is no way to determine of cultural differences in other parts of the county, country or nation could play a role in the attainment of these pupils. As well as this, there is an element of androcentricity within the study group as there were more male participants than female; with 81% of males achieving 50% or more, while only 75% of females attained this same level. However, due to the low sample number, there is no way to draw any gender-based conclusions about attainment. </w:t>
      </w:r>
    </w:p>
    <w:p w14:paraId="36A7A388" w14:textId="77777777" w:rsidR="001C0D94" w:rsidRPr="001C0D94" w:rsidRDefault="001C0D94" w:rsidP="001C0D94">
      <w:pPr>
        <w:spacing w:line="276" w:lineRule="auto"/>
        <w:jc w:val="both"/>
        <w:rPr>
          <w:rFonts w:ascii="Verdana" w:hAnsi="Verdana" w:cs="Arial"/>
        </w:rPr>
      </w:pPr>
      <w:r w:rsidRPr="001C0D94">
        <w:rPr>
          <w:rFonts w:ascii="Verdana" w:hAnsi="Verdana" w:cs="Arial"/>
        </w:rPr>
        <w:t>The sample itself coming from just one class of pupils provides further limitations, as they all came from a year 9, set 2 class, where the global target grades ranged from AB to CD. Due to the fact that there was not much range in the ability of participants, it cannot be concluded that the same improvement of attainment when teaching through this method would be seen with higher or lower ability pupils. Additionally, due to the ability of this sample set, they would have had some previous experience and knowledge of how to answer this style of question. Therefore it could be suggested that in order to get true results that are reflective of the effect of the intervention,  participants who have never come across this style of question should be used to improve validity. The nature of the class also poses its own issues, in that due to the potential for behavioural issues, it will always be questioned if they were working to the best of their ability?</w:t>
      </w:r>
    </w:p>
    <w:p w14:paraId="58396DD3"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Another limitation comes from the design of the study, involving the pre-diagnostic test, intervention and post-intervention test. Firstly, due to sample and ethical restrictions, the design had to be adapted, and therefore did not include control groups as suggested by Statistics How To (2019). Another additional issue is the application of using this method in a real life school setting. Due to time constrictions for delivering the curriculum, teachers do not have the time to be able to do a pre-diagnostic test to assess learners, followed by an intervention and then a post-intervention test to assess attainment. Therefore, the full design of the research could not become standard common practice across schools. </w:t>
      </w:r>
    </w:p>
    <w:p w14:paraId="2E371431"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There are a variety of things that could be done in order to gain more reliable and valid results. One thing that could be done is to carry out research on a much larger sample size, for example across all pupils in year 9. This would combat the limitation of having such a small sample size. In order to have a true reflection of if the intervention procedure has worked, in an ideal situation, control groups that mirror the study groups would be </w:t>
      </w:r>
      <w:r w:rsidRPr="001C0D94">
        <w:rPr>
          <w:rFonts w:ascii="Verdana" w:hAnsi="Verdana" w:cs="Arial"/>
        </w:rPr>
        <w:lastRenderedPageBreak/>
        <w:t xml:space="preserve">in place in order to make meaningful comparisons. However, due to the nature of the study, in that it takes place in an educational setting, it cannot be ethically approved due to the fact that you cannot leave any child in a disadvantaged position when it comes to their learning. </w:t>
      </w:r>
    </w:p>
    <w:p w14:paraId="120E5BCB"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In order to address the issue of potential ethnocentricity, the research could be carried out across a variety of schools across England and Wales. However, if there are a variety of schools carrying out the research, using a variety of teachers, it cannot be guaranteed that all teachers will teach the intervention in exactly the same way, and once more the potential for drawing meaningful conclusions could be called into question. </w:t>
      </w:r>
    </w:p>
    <w:p w14:paraId="4BE432DE"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Validity of the teaching itself could be tested by following the same basic structure of collaborating with pupils to develop a method, but developing one for different mathematical principles in science, such as calculating energy efficiency or speed/distance/time, for example. </w:t>
      </w:r>
    </w:p>
    <w:p w14:paraId="0C804A5D"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Ethical restrictions meant that there was limitations in the methodology that could be used for the enquiry. However, if approvable, plenty of complementary methods could be implemented to gain a more holistic view of the results, but also the attitude changed towards the content from the point of view of the participants. This could be done through things such as interviews and questionnaires at the beginning and end of the research to identify if the intervention process worked to change attitudes and boost confidence. Case studies that look more in depth at individuals within the group could also be beneficial to the study. </w:t>
      </w:r>
    </w:p>
    <w:p w14:paraId="30B191DA"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While some collaboration already occurred in ensuring that the pupils were using the same method for calculating a percentage, further data sharing could have and should have occurred. This being looking at the maths sets the pupils were in, as they may not have necessarily been in the same set, and discussing with their individual teachers what skills they had been taught. Another way of doing this is having a basic skill scheme of work, that can be shared school-wide to show what basic skills are to be taught at what times. This way, the issue highlighted by N. Atkin (2017) that pupils are expected to know maths skills that they may not have been taught yet, can be avoided. </w:t>
      </w:r>
    </w:p>
    <w:p w14:paraId="27351749" w14:textId="77777777" w:rsidR="001C0D94" w:rsidRPr="001C0D94" w:rsidRDefault="001C0D94" w:rsidP="001C0D94">
      <w:pPr>
        <w:spacing w:line="276" w:lineRule="auto"/>
        <w:jc w:val="both"/>
        <w:rPr>
          <w:rFonts w:ascii="Verdana" w:hAnsi="Verdana" w:cs="Arial"/>
        </w:rPr>
      </w:pPr>
    </w:p>
    <w:p w14:paraId="3ACB231D" w14:textId="77777777" w:rsidR="001C0D94" w:rsidRPr="001C0D94" w:rsidRDefault="001C0D94" w:rsidP="001C0D94">
      <w:pPr>
        <w:spacing w:line="276" w:lineRule="auto"/>
        <w:jc w:val="both"/>
        <w:rPr>
          <w:rFonts w:ascii="Verdana" w:hAnsi="Verdana" w:cs="Arial"/>
          <w:b/>
          <w:u w:val="single"/>
        </w:rPr>
      </w:pPr>
      <w:r w:rsidRPr="001C0D94">
        <w:rPr>
          <w:rFonts w:ascii="Verdana" w:hAnsi="Verdana" w:cs="Arial"/>
          <w:b/>
          <w:u w:val="single"/>
        </w:rPr>
        <w:t>Recommendations and Future Classroom Enquiry</w:t>
      </w:r>
    </w:p>
    <w:p w14:paraId="1E0ECFFA"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Following this research, there are plenty areas in which schools can build upon their teaching methods, and this change is due to come more prominently once the new curriculum for Wales by Donaldson is fully implemented, but until then, there are still teachers can do to ensure that their pupils are getting the best out of their pupils. </w:t>
      </w:r>
    </w:p>
    <w:p w14:paraId="394D6564" w14:textId="77777777" w:rsidR="001C0D94" w:rsidRPr="001C0D94" w:rsidRDefault="001C0D94" w:rsidP="001C0D94">
      <w:pPr>
        <w:spacing w:line="276" w:lineRule="auto"/>
        <w:jc w:val="both"/>
        <w:rPr>
          <w:rFonts w:ascii="Verdana" w:hAnsi="Verdana" w:cs="Arial"/>
        </w:rPr>
      </w:pPr>
      <w:r w:rsidRPr="001C0D94">
        <w:rPr>
          <w:rFonts w:ascii="Verdana" w:hAnsi="Verdana" w:cs="Arial"/>
        </w:rPr>
        <w:lastRenderedPageBreak/>
        <w:t xml:space="preserve">One thing that has become clear, is the need for one key, clear consistent approach for teaching key mathematical concepts in science. As R. </w:t>
      </w:r>
      <w:proofErr w:type="spellStart"/>
      <w:r w:rsidRPr="001C0D94">
        <w:rPr>
          <w:rFonts w:ascii="Verdana" w:hAnsi="Verdana" w:cs="Arial"/>
        </w:rPr>
        <w:t>Boohan</w:t>
      </w:r>
      <w:proofErr w:type="spellEnd"/>
      <w:r w:rsidRPr="001C0D94">
        <w:rPr>
          <w:rFonts w:ascii="Verdana" w:hAnsi="Verdana" w:cs="Arial"/>
        </w:rPr>
        <w:t xml:space="preserve"> (2016) states, it is “unhelpful to have arbitrary differences in approaches”, and therefore a consistent approach is the most beneficial for pupils and teachers alike. </w:t>
      </w:r>
    </w:p>
    <w:p w14:paraId="69377050"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These differences can be avoided by having cross-departmental collaboration, not just between Science and Maths, but across all departments within a school, so that they are working as a whole team, not separated branches. This collaboration is particularly important between the core subjects- Maths, English and Science- especially since Literacy and Numeracy should be applied in all school subjects and activities as vital skills. </w:t>
      </w:r>
    </w:p>
    <w:p w14:paraId="0EDC95BE"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As stated above, this collaboration can come in the form of communication about what pupils are in which sets, and where they are on a basic skills scheme of work, so that all teachers are aware of the skills pupils possess, which will ultimately streamline future learning. </w:t>
      </w:r>
    </w:p>
    <w:p w14:paraId="3F6943FC"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End of Topic tests are commonly used in schools, which is what motivated this research following the low results for the percentage composition style questions, however it can be questioned whether this is a suitable method for assessing pupil understanding. This is questioned due to the gaps between learning a concept and then the test on it. It could be suggested that a more suitable method is a mini ‘end of concept’ test, where pupils have a couple questions to answer in a closed-book, exam-conditions style, that would take no longer than 15 minutes to complete. This, working alongside end of topic tests, would provide another opportunity for practice for pupils. This could also work in conjunction with ‘space-learning’ lessons, where fortnightly or monthly, a concept covered previously has the focus of the lesson once more, but this would not be ‘taught’, but ‘revised’. </w:t>
      </w:r>
    </w:p>
    <w:p w14:paraId="4461E999" w14:textId="77777777" w:rsidR="001C0D94" w:rsidRPr="001C0D94" w:rsidRDefault="001C0D94" w:rsidP="001C0D94">
      <w:pPr>
        <w:spacing w:line="276" w:lineRule="auto"/>
        <w:jc w:val="both"/>
        <w:rPr>
          <w:rFonts w:ascii="Verdana" w:hAnsi="Verdana" w:cs="Arial"/>
        </w:rPr>
      </w:pPr>
    </w:p>
    <w:p w14:paraId="7B4B5E42"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Going forward from this research, I can accept that there would never be the realistic time in the classroom setting to continuously carry out the pre-test, post-test design, let alone having the class time, but also the marking time. However, moving forward, aspects from this enquiry can be used to aid teaching and assess attainment. </w:t>
      </w:r>
    </w:p>
    <w:p w14:paraId="156BF55A"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This can range from ensuring that common language is always explicitly taught to pupils so that they know the context of the language when they are in Science lessons, to collaborating with departments outside of Science to ensure consistency is key and in the forefront of everyone’s mind. </w:t>
      </w:r>
    </w:p>
    <w:p w14:paraId="69B03C68" w14:textId="77777777" w:rsidR="001C0D94" w:rsidRPr="001C0D94" w:rsidRDefault="001C0D94" w:rsidP="001C0D94">
      <w:pPr>
        <w:spacing w:line="276" w:lineRule="auto"/>
        <w:jc w:val="both"/>
        <w:rPr>
          <w:rFonts w:ascii="Verdana" w:hAnsi="Verdana" w:cs="Arial"/>
        </w:rPr>
      </w:pPr>
      <w:r w:rsidRPr="001C0D94">
        <w:rPr>
          <w:rFonts w:ascii="Verdana" w:hAnsi="Verdana" w:cs="Arial"/>
        </w:rPr>
        <w:t xml:space="preserve">The most prominent, and important concept however, is collaborating with the pupils so they can take control of their learning. By doing this, it will this help build relationships with pupils, encourage independence, and </w:t>
      </w:r>
      <w:r w:rsidRPr="001C0D94">
        <w:rPr>
          <w:rFonts w:ascii="Verdana" w:hAnsi="Verdana" w:cs="Arial"/>
        </w:rPr>
        <w:lastRenderedPageBreak/>
        <w:t>improve critical thinking and problem solving skills that pupils can transfer to later life.</w:t>
      </w:r>
    </w:p>
    <w:p w14:paraId="290A6342" w14:textId="77777777" w:rsidR="001C0D94" w:rsidRPr="001E0844" w:rsidRDefault="001C0D94" w:rsidP="001C0D94">
      <w:pPr>
        <w:spacing w:line="276" w:lineRule="auto"/>
        <w:jc w:val="both"/>
        <w:rPr>
          <w:rFonts w:ascii="Arial" w:hAnsi="Arial" w:cs="Arial"/>
        </w:rPr>
      </w:pPr>
    </w:p>
    <w:p w14:paraId="542F9F13" w14:textId="04925939" w:rsidR="001C0D94" w:rsidRPr="00E92950" w:rsidRDefault="001C0D94" w:rsidP="001C0D94">
      <w:pPr>
        <w:spacing w:line="276" w:lineRule="auto"/>
        <w:jc w:val="both"/>
        <w:rPr>
          <w:rFonts w:ascii="Arial" w:hAnsi="Arial" w:cs="Arial"/>
        </w:rPr>
      </w:pPr>
      <w:r w:rsidRPr="009E084A">
        <w:rPr>
          <w:rFonts w:ascii="Arial" w:hAnsi="Arial" w:cs="Arial"/>
          <w:b/>
          <w:sz w:val="28"/>
          <w:u w:val="single"/>
        </w:rPr>
        <w:br w:type="page"/>
      </w:r>
    </w:p>
    <w:p w14:paraId="499C9585" w14:textId="77777777" w:rsidR="00925416" w:rsidRPr="00925416" w:rsidRDefault="00925416" w:rsidP="00925416">
      <w:pPr>
        <w:spacing w:line="276" w:lineRule="auto"/>
        <w:jc w:val="both"/>
        <w:rPr>
          <w:rFonts w:ascii="Verdana" w:hAnsi="Verdana" w:cs="Arial"/>
          <w:b/>
          <w:sz w:val="28"/>
          <w:u w:val="single"/>
        </w:rPr>
      </w:pPr>
      <w:r w:rsidRPr="00925416">
        <w:rPr>
          <w:rFonts w:ascii="Verdana" w:hAnsi="Verdana" w:cs="Arial"/>
          <w:b/>
          <w:sz w:val="28"/>
          <w:u w:val="single"/>
        </w:rPr>
        <w:lastRenderedPageBreak/>
        <w:t>References</w:t>
      </w:r>
    </w:p>
    <w:p w14:paraId="1720E689" w14:textId="77777777" w:rsidR="00925416" w:rsidRPr="00925416" w:rsidRDefault="00925416" w:rsidP="00925416">
      <w:pPr>
        <w:spacing w:line="276" w:lineRule="auto"/>
        <w:jc w:val="both"/>
        <w:rPr>
          <w:rFonts w:ascii="Verdana" w:hAnsi="Verdana" w:cs="Arial"/>
          <w:b/>
          <w:sz w:val="28"/>
          <w:u w:val="single"/>
        </w:rPr>
      </w:pPr>
    </w:p>
    <w:p w14:paraId="6438D9BA" w14:textId="77777777" w:rsidR="00925416" w:rsidRPr="00925416" w:rsidRDefault="00925416" w:rsidP="00925416">
      <w:pPr>
        <w:spacing w:line="276" w:lineRule="auto"/>
        <w:jc w:val="both"/>
        <w:rPr>
          <w:rFonts w:ascii="Verdana" w:hAnsi="Verdana" w:cs="Arial"/>
        </w:rPr>
      </w:pPr>
      <w:proofErr w:type="spellStart"/>
      <w:r w:rsidRPr="00925416">
        <w:rPr>
          <w:rFonts w:ascii="Verdana" w:hAnsi="Verdana" w:cs="Arial"/>
        </w:rPr>
        <w:t>Adoniou</w:t>
      </w:r>
      <w:proofErr w:type="spellEnd"/>
      <w:r w:rsidRPr="00925416">
        <w:rPr>
          <w:rFonts w:ascii="Verdana" w:hAnsi="Verdana" w:cs="Arial"/>
        </w:rPr>
        <w:t xml:space="preserve">, M. (2016). </w:t>
      </w:r>
      <w:r w:rsidRPr="00925416">
        <w:rPr>
          <w:rFonts w:ascii="Verdana" w:hAnsi="Verdana" w:cs="Arial"/>
          <w:i/>
        </w:rPr>
        <w:t>Language matters in science and mathematics- here’s why.</w:t>
      </w:r>
      <w:r w:rsidRPr="00925416">
        <w:rPr>
          <w:rFonts w:ascii="Verdana" w:hAnsi="Verdana" w:cs="Arial"/>
        </w:rPr>
        <w:t xml:space="preserve"> Available from: </w:t>
      </w:r>
      <w:hyperlink r:id="rId10" w:history="1">
        <w:r w:rsidRPr="00925416">
          <w:rPr>
            <w:rStyle w:val="Hyperlink"/>
            <w:rFonts w:ascii="Verdana" w:hAnsi="Verdana" w:cs="Arial"/>
          </w:rPr>
          <w:t>http://theconversation.com/language-matters-in-science-and-mathematics-heres-why-68960</w:t>
        </w:r>
      </w:hyperlink>
      <w:r w:rsidRPr="00925416">
        <w:rPr>
          <w:rFonts w:ascii="Verdana" w:hAnsi="Verdana" w:cs="Arial"/>
        </w:rPr>
        <w:t xml:space="preserve"> [Accessed 17</w:t>
      </w:r>
      <w:r w:rsidRPr="00925416">
        <w:rPr>
          <w:rFonts w:ascii="Verdana" w:hAnsi="Verdana" w:cs="Arial"/>
          <w:vertAlign w:val="superscript"/>
        </w:rPr>
        <w:t>th</w:t>
      </w:r>
      <w:r w:rsidRPr="00925416">
        <w:rPr>
          <w:rFonts w:ascii="Verdana" w:hAnsi="Verdana" w:cs="Arial"/>
        </w:rPr>
        <w:t xml:space="preserve"> April 2019].</w:t>
      </w:r>
    </w:p>
    <w:p w14:paraId="7405AB1B" w14:textId="77777777" w:rsidR="00925416" w:rsidRPr="00925416" w:rsidRDefault="00925416" w:rsidP="00925416">
      <w:pPr>
        <w:spacing w:line="276" w:lineRule="auto"/>
        <w:jc w:val="both"/>
        <w:rPr>
          <w:rFonts w:ascii="Verdana" w:hAnsi="Verdana" w:cs="Arial"/>
        </w:rPr>
      </w:pPr>
    </w:p>
    <w:p w14:paraId="1882124A"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Atkin, N. (2017). </w:t>
      </w:r>
      <w:r w:rsidRPr="00925416">
        <w:rPr>
          <w:rFonts w:ascii="Verdana" w:hAnsi="Verdana" w:cs="Arial"/>
          <w:i/>
        </w:rPr>
        <w:t xml:space="preserve">Eight Idea for Teaching better Maths in Science. </w:t>
      </w:r>
      <w:r w:rsidRPr="00925416">
        <w:rPr>
          <w:rFonts w:ascii="Verdana" w:hAnsi="Verdana" w:cs="Arial"/>
        </w:rPr>
        <w:t xml:space="preserve">Available from: </w:t>
      </w:r>
      <w:hyperlink r:id="rId11" w:history="1">
        <w:r w:rsidRPr="00925416">
          <w:rPr>
            <w:rStyle w:val="Hyperlink"/>
            <w:rFonts w:ascii="Verdana" w:hAnsi="Verdana" w:cs="Arial"/>
          </w:rPr>
          <w:t>https://www.neilatkin.com/2017/03/26/ten-ideas-teaching-better-maths-science/</w:t>
        </w:r>
      </w:hyperlink>
      <w:r w:rsidRPr="00925416">
        <w:rPr>
          <w:rFonts w:ascii="Verdana" w:hAnsi="Verdana" w:cs="Arial"/>
        </w:rPr>
        <w:t xml:space="preserve"> [Accessed 2</w:t>
      </w:r>
      <w:r w:rsidRPr="00925416">
        <w:rPr>
          <w:rFonts w:ascii="Verdana" w:hAnsi="Verdana" w:cs="Arial"/>
          <w:vertAlign w:val="superscript"/>
        </w:rPr>
        <w:t>nd</w:t>
      </w:r>
      <w:r w:rsidRPr="00925416">
        <w:rPr>
          <w:rFonts w:ascii="Verdana" w:hAnsi="Verdana" w:cs="Arial"/>
        </w:rPr>
        <w:t xml:space="preserve"> April 2019]. </w:t>
      </w:r>
    </w:p>
    <w:p w14:paraId="51044E83" w14:textId="77777777" w:rsidR="00925416" w:rsidRPr="00925416" w:rsidRDefault="00925416" w:rsidP="00925416">
      <w:pPr>
        <w:spacing w:line="276" w:lineRule="auto"/>
        <w:jc w:val="both"/>
        <w:rPr>
          <w:rFonts w:ascii="Verdana" w:hAnsi="Verdana" w:cs="Arial"/>
        </w:rPr>
      </w:pPr>
    </w:p>
    <w:p w14:paraId="2D44E92F" w14:textId="77777777" w:rsidR="00925416" w:rsidRPr="00925416" w:rsidRDefault="00925416" w:rsidP="00925416">
      <w:pPr>
        <w:spacing w:line="276" w:lineRule="auto"/>
        <w:jc w:val="both"/>
        <w:rPr>
          <w:rFonts w:ascii="Verdana" w:hAnsi="Verdana" w:cs="Arial"/>
        </w:rPr>
      </w:pPr>
      <w:proofErr w:type="spellStart"/>
      <w:r w:rsidRPr="00925416">
        <w:rPr>
          <w:rFonts w:ascii="Verdana" w:hAnsi="Verdana" w:cs="Arial"/>
        </w:rPr>
        <w:t>Boohan</w:t>
      </w:r>
      <w:proofErr w:type="spellEnd"/>
      <w:r w:rsidRPr="00925416">
        <w:rPr>
          <w:rFonts w:ascii="Verdana" w:hAnsi="Verdana" w:cs="Arial"/>
        </w:rPr>
        <w:t xml:space="preserve">, R. (2016). </w:t>
      </w:r>
      <w:r w:rsidRPr="00925416">
        <w:rPr>
          <w:rFonts w:ascii="Verdana" w:hAnsi="Verdana" w:cs="Arial"/>
          <w:i/>
        </w:rPr>
        <w:t xml:space="preserve">The Language of Mathematics in Science. A guide for Teachers of 11-16 Science. </w:t>
      </w:r>
      <w:r w:rsidRPr="00925416">
        <w:rPr>
          <w:rFonts w:ascii="Verdana" w:hAnsi="Verdana" w:cs="Arial"/>
        </w:rPr>
        <w:t xml:space="preserve">The Association for Science Education. Available from: </w:t>
      </w:r>
      <w:hyperlink r:id="rId12" w:history="1">
        <w:r w:rsidRPr="00925416">
          <w:rPr>
            <w:rStyle w:val="Hyperlink"/>
            <w:rFonts w:ascii="Verdana" w:hAnsi="Verdana" w:cs="Arial"/>
          </w:rPr>
          <w:t>https://www.ase.org.uk/mathsinscience</w:t>
        </w:r>
      </w:hyperlink>
      <w:r w:rsidRPr="00925416">
        <w:rPr>
          <w:rFonts w:ascii="Verdana" w:hAnsi="Verdana" w:cs="Arial"/>
        </w:rPr>
        <w:t xml:space="preserve"> [Accessed 16</w:t>
      </w:r>
      <w:r w:rsidRPr="00925416">
        <w:rPr>
          <w:rFonts w:ascii="Verdana" w:hAnsi="Verdana" w:cs="Arial"/>
          <w:vertAlign w:val="superscript"/>
        </w:rPr>
        <w:t>th</w:t>
      </w:r>
      <w:r w:rsidRPr="00925416">
        <w:rPr>
          <w:rFonts w:ascii="Verdana" w:hAnsi="Verdana" w:cs="Arial"/>
        </w:rPr>
        <w:t xml:space="preserve"> April 2019].</w:t>
      </w:r>
    </w:p>
    <w:p w14:paraId="47B271A3" w14:textId="77777777" w:rsidR="00925416" w:rsidRPr="00925416" w:rsidRDefault="00925416" w:rsidP="00925416">
      <w:pPr>
        <w:spacing w:line="276" w:lineRule="auto"/>
        <w:jc w:val="both"/>
        <w:rPr>
          <w:rFonts w:ascii="Verdana" w:hAnsi="Verdana" w:cs="Arial"/>
        </w:rPr>
      </w:pPr>
    </w:p>
    <w:p w14:paraId="23BE5195"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British Educational Research Association [BERA] (2018). </w:t>
      </w:r>
      <w:r w:rsidRPr="00925416">
        <w:rPr>
          <w:rFonts w:ascii="Verdana" w:hAnsi="Verdana" w:cs="Arial"/>
          <w:i/>
        </w:rPr>
        <w:t xml:space="preserve">Ethical Guidelines for Educational Research, </w:t>
      </w:r>
      <w:r w:rsidRPr="00925416">
        <w:rPr>
          <w:rFonts w:ascii="Verdana" w:hAnsi="Verdana" w:cs="Arial"/>
        </w:rPr>
        <w:t xml:space="preserve">fourth edition, London. Available from: </w:t>
      </w:r>
      <w:hyperlink r:id="rId13" w:history="1">
        <w:r w:rsidRPr="00925416">
          <w:rPr>
            <w:rStyle w:val="Hyperlink"/>
            <w:rFonts w:ascii="Verdana" w:hAnsi="Verdana" w:cs="Arial"/>
          </w:rPr>
          <w:t>https://www.bera.ac.uk/wp-content/uploads/2018/06/BERA-Ethical-Guidelines-for-Educational-Research_4thEdn_2018.pdf?noredirect=1</w:t>
        </w:r>
      </w:hyperlink>
      <w:r w:rsidRPr="00925416">
        <w:rPr>
          <w:rFonts w:ascii="Verdana" w:hAnsi="Verdana" w:cs="Arial"/>
        </w:rPr>
        <w:t xml:space="preserve"> [Accessed 2</w:t>
      </w:r>
      <w:r w:rsidRPr="00925416">
        <w:rPr>
          <w:rFonts w:ascii="Verdana" w:hAnsi="Verdana" w:cs="Arial"/>
          <w:vertAlign w:val="superscript"/>
        </w:rPr>
        <w:t>nd</w:t>
      </w:r>
      <w:r w:rsidRPr="00925416">
        <w:rPr>
          <w:rFonts w:ascii="Verdana" w:hAnsi="Verdana" w:cs="Arial"/>
        </w:rPr>
        <w:t xml:space="preserve"> May 2019].</w:t>
      </w:r>
    </w:p>
    <w:p w14:paraId="574C9306" w14:textId="77777777" w:rsidR="00925416" w:rsidRPr="00925416" w:rsidRDefault="00925416" w:rsidP="00925416">
      <w:pPr>
        <w:spacing w:line="276" w:lineRule="auto"/>
        <w:jc w:val="both"/>
        <w:rPr>
          <w:rFonts w:ascii="Verdana" w:hAnsi="Verdana" w:cs="Arial"/>
        </w:rPr>
      </w:pPr>
    </w:p>
    <w:p w14:paraId="2FB13B7A"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Donaldson, G. (2015) </w:t>
      </w:r>
      <w:r w:rsidRPr="00925416">
        <w:rPr>
          <w:rFonts w:ascii="Verdana" w:hAnsi="Verdana" w:cs="Arial"/>
          <w:i/>
        </w:rPr>
        <w:t xml:space="preserve">Successful Futures Independent Review of Curriculum and Assessment Arrangement in Wales. </w:t>
      </w:r>
      <w:r w:rsidRPr="00925416">
        <w:rPr>
          <w:rFonts w:ascii="Verdana" w:hAnsi="Verdana" w:cs="Arial"/>
        </w:rPr>
        <w:t xml:space="preserve">Available from: </w:t>
      </w:r>
      <w:hyperlink r:id="rId14" w:history="1">
        <w:r w:rsidRPr="00925416">
          <w:rPr>
            <w:rStyle w:val="Hyperlink"/>
            <w:rFonts w:ascii="Verdana" w:hAnsi="Verdana" w:cs="Arial"/>
          </w:rPr>
          <w:t>https://gweddill.gov.wales/docs/dcells/publications/150225-successful-futures-en.pdf</w:t>
        </w:r>
      </w:hyperlink>
      <w:r w:rsidRPr="00925416">
        <w:rPr>
          <w:rFonts w:ascii="Verdana" w:hAnsi="Verdana" w:cs="Arial"/>
        </w:rPr>
        <w:t xml:space="preserve"> [Accessed 15</w:t>
      </w:r>
      <w:r w:rsidRPr="00925416">
        <w:rPr>
          <w:rFonts w:ascii="Verdana" w:hAnsi="Verdana" w:cs="Arial"/>
          <w:vertAlign w:val="superscript"/>
        </w:rPr>
        <w:t>th</w:t>
      </w:r>
      <w:r w:rsidRPr="00925416">
        <w:rPr>
          <w:rFonts w:ascii="Verdana" w:hAnsi="Verdana" w:cs="Arial"/>
        </w:rPr>
        <w:t xml:space="preserve"> April 2019].</w:t>
      </w:r>
    </w:p>
    <w:p w14:paraId="3D43792F" w14:textId="77777777" w:rsidR="00925416" w:rsidRPr="00925416" w:rsidRDefault="00925416" w:rsidP="00925416">
      <w:pPr>
        <w:spacing w:line="276" w:lineRule="auto"/>
        <w:jc w:val="both"/>
        <w:rPr>
          <w:rFonts w:ascii="Verdana" w:hAnsi="Verdana" w:cs="Arial"/>
        </w:rPr>
      </w:pPr>
    </w:p>
    <w:p w14:paraId="608CCCF3"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English Oxford Living Dictionaries. (2019) </w:t>
      </w:r>
      <w:r w:rsidRPr="00925416">
        <w:rPr>
          <w:rFonts w:ascii="Verdana" w:hAnsi="Verdana" w:cs="Arial"/>
          <w:i/>
        </w:rPr>
        <w:t xml:space="preserve">Power. </w:t>
      </w:r>
      <w:r w:rsidRPr="00925416">
        <w:rPr>
          <w:rFonts w:ascii="Verdana" w:hAnsi="Verdana" w:cs="Arial"/>
        </w:rPr>
        <w:t xml:space="preserve">Available from: </w:t>
      </w:r>
      <w:hyperlink r:id="rId15" w:history="1">
        <w:r w:rsidRPr="00925416">
          <w:rPr>
            <w:rStyle w:val="Hyperlink"/>
            <w:rFonts w:ascii="Verdana" w:hAnsi="Verdana" w:cs="Arial"/>
          </w:rPr>
          <w:t>https://en.oxforddictionaries.com/definition/power</w:t>
        </w:r>
      </w:hyperlink>
      <w:r w:rsidRPr="00925416">
        <w:rPr>
          <w:rFonts w:ascii="Verdana" w:hAnsi="Verdana" w:cs="Arial"/>
        </w:rPr>
        <w:t xml:space="preserve"> [Accessed 17</w:t>
      </w:r>
      <w:r w:rsidRPr="00925416">
        <w:rPr>
          <w:rFonts w:ascii="Verdana" w:hAnsi="Verdana" w:cs="Arial"/>
          <w:vertAlign w:val="superscript"/>
        </w:rPr>
        <w:t>th</w:t>
      </w:r>
      <w:r w:rsidRPr="00925416">
        <w:rPr>
          <w:rFonts w:ascii="Verdana" w:hAnsi="Verdana" w:cs="Arial"/>
        </w:rPr>
        <w:t xml:space="preserve"> April 2019].</w:t>
      </w:r>
    </w:p>
    <w:p w14:paraId="149F6E0E" w14:textId="77777777" w:rsidR="00925416" w:rsidRPr="00925416" w:rsidRDefault="00925416" w:rsidP="00925416">
      <w:pPr>
        <w:spacing w:line="276" w:lineRule="auto"/>
        <w:jc w:val="both"/>
        <w:rPr>
          <w:rFonts w:ascii="Verdana" w:hAnsi="Verdana" w:cs="Arial"/>
        </w:rPr>
      </w:pPr>
    </w:p>
    <w:p w14:paraId="434DD884" w14:textId="77777777" w:rsidR="00925416" w:rsidRPr="00925416" w:rsidRDefault="00925416" w:rsidP="00925416">
      <w:pPr>
        <w:spacing w:line="276" w:lineRule="auto"/>
        <w:jc w:val="both"/>
        <w:rPr>
          <w:rFonts w:ascii="Verdana" w:hAnsi="Verdana" w:cs="Arial"/>
        </w:rPr>
      </w:pPr>
      <w:proofErr w:type="spellStart"/>
      <w:r w:rsidRPr="00925416">
        <w:rPr>
          <w:rFonts w:ascii="Verdana" w:hAnsi="Verdana" w:cs="Arial"/>
        </w:rPr>
        <w:t>Erw</w:t>
      </w:r>
      <w:proofErr w:type="spellEnd"/>
      <w:r w:rsidRPr="00925416">
        <w:rPr>
          <w:rFonts w:ascii="Verdana" w:hAnsi="Verdana" w:cs="Arial"/>
        </w:rPr>
        <w:t xml:space="preserve">. (2017) </w:t>
      </w:r>
      <w:r w:rsidRPr="00925416">
        <w:rPr>
          <w:rFonts w:ascii="Verdana" w:hAnsi="Verdana" w:cs="Arial"/>
          <w:i/>
        </w:rPr>
        <w:t xml:space="preserve">Successful Futures Progress Summary Autumn 2017. </w:t>
      </w:r>
      <w:r w:rsidRPr="00925416">
        <w:rPr>
          <w:rFonts w:ascii="Verdana" w:hAnsi="Verdana" w:cs="Arial"/>
        </w:rPr>
        <w:t xml:space="preserve">Available from: </w:t>
      </w:r>
      <w:hyperlink r:id="rId16" w:history="1">
        <w:r w:rsidRPr="00925416">
          <w:rPr>
            <w:rStyle w:val="Hyperlink"/>
            <w:rFonts w:ascii="Verdana" w:hAnsi="Verdana" w:cs="Arial"/>
          </w:rPr>
          <w:t>https://www.erw.wales/media/2371/erw-successful-futures-progress-summary-autumn-2017.pdf</w:t>
        </w:r>
      </w:hyperlink>
      <w:r w:rsidRPr="00925416">
        <w:rPr>
          <w:rFonts w:ascii="Verdana" w:hAnsi="Verdana" w:cs="Arial"/>
        </w:rPr>
        <w:t xml:space="preserve"> [Accessed 15</w:t>
      </w:r>
      <w:r w:rsidRPr="00925416">
        <w:rPr>
          <w:rFonts w:ascii="Verdana" w:hAnsi="Verdana" w:cs="Arial"/>
          <w:vertAlign w:val="superscript"/>
        </w:rPr>
        <w:t>th</w:t>
      </w:r>
      <w:r w:rsidRPr="00925416">
        <w:rPr>
          <w:rFonts w:ascii="Verdana" w:hAnsi="Verdana" w:cs="Arial"/>
        </w:rPr>
        <w:t xml:space="preserve"> April 2019].</w:t>
      </w:r>
    </w:p>
    <w:p w14:paraId="1C781A18" w14:textId="77777777" w:rsidR="00925416" w:rsidRPr="00925416" w:rsidRDefault="00925416" w:rsidP="00925416">
      <w:pPr>
        <w:spacing w:line="276" w:lineRule="auto"/>
        <w:jc w:val="both"/>
        <w:rPr>
          <w:rFonts w:ascii="Verdana" w:hAnsi="Verdana" w:cs="Arial"/>
        </w:rPr>
      </w:pPr>
    </w:p>
    <w:p w14:paraId="468DD1E7" w14:textId="77777777" w:rsidR="00925416" w:rsidRPr="00925416" w:rsidRDefault="00925416" w:rsidP="00925416">
      <w:pPr>
        <w:spacing w:line="276" w:lineRule="auto"/>
        <w:jc w:val="both"/>
        <w:rPr>
          <w:rFonts w:ascii="Verdana" w:hAnsi="Verdana" w:cs="Arial"/>
        </w:rPr>
      </w:pPr>
      <w:proofErr w:type="spellStart"/>
      <w:r w:rsidRPr="00925416">
        <w:rPr>
          <w:rFonts w:ascii="Verdana" w:hAnsi="Verdana" w:cs="Arial"/>
        </w:rPr>
        <w:t>Frykholm</w:t>
      </w:r>
      <w:proofErr w:type="spellEnd"/>
      <w:r w:rsidRPr="00925416">
        <w:rPr>
          <w:rFonts w:ascii="Verdana" w:hAnsi="Verdana" w:cs="Arial"/>
        </w:rPr>
        <w:t xml:space="preserve">, J. A. and Glasson, G. E. (2005). Connecting Science and Mathematics Instruction: Pedagogical Context Knowledge for Teachers. </w:t>
      </w:r>
      <w:r w:rsidRPr="00925416">
        <w:rPr>
          <w:rFonts w:ascii="Verdana" w:hAnsi="Verdana" w:cs="Arial"/>
          <w:i/>
        </w:rPr>
        <w:t>School Science and Mathematics</w:t>
      </w:r>
      <w:r w:rsidRPr="00925416">
        <w:rPr>
          <w:rFonts w:ascii="Verdana" w:hAnsi="Verdana" w:cs="Arial"/>
        </w:rPr>
        <w:t xml:space="preserve">, 105(3), 127-141. Available from: </w:t>
      </w:r>
      <w:hyperlink r:id="rId17" w:history="1">
        <w:r w:rsidRPr="00925416">
          <w:rPr>
            <w:rStyle w:val="Hyperlink"/>
            <w:rFonts w:ascii="Verdana" w:hAnsi="Verdana" w:cs="Arial"/>
          </w:rPr>
          <w:t>http://www.pucrs.br/ciencias/viali/tic_literatura/artigos/ciencias_matematica/Frykholm%20&amp;%20Glasson_Connecting%20Math%20&amp;%20Science%20Instruction.pdf</w:t>
        </w:r>
      </w:hyperlink>
      <w:r w:rsidRPr="00925416">
        <w:rPr>
          <w:rFonts w:ascii="Verdana" w:hAnsi="Verdana" w:cs="Arial"/>
        </w:rPr>
        <w:t xml:space="preserve"> [Accessed 17</w:t>
      </w:r>
      <w:r w:rsidRPr="00925416">
        <w:rPr>
          <w:rFonts w:ascii="Verdana" w:hAnsi="Verdana" w:cs="Arial"/>
          <w:vertAlign w:val="superscript"/>
        </w:rPr>
        <w:t>th</w:t>
      </w:r>
      <w:r w:rsidRPr="00925416">
        <w:rPr>
          <w:rFonts w:ascii="Verdana" w:hAnsi="Verdana" w:cs="Arial"/>
        </w:rPr>
        <w:t xml:space="preserve"> April 2019].</w:t>
      </w:r>
    </w:p>
    <w:p w14:paraId="49BA53D3" w14:textId="77777777" w:rsidR="00925416" w:rsidRPr="00925416" w:rsidRDefault="00925416" w:rsidP="00925416">
      <w:pPr>
        <w:spacing w:line="276" w:lineRule="auto"/>
        <w:jc w:val="both"/>
        <w:rPr>
          <w:rFonts w:ascii="Verdana" w:hAnsi="Verdana" w:cs="Arial"/>
        </w:rPr>
      </w:pPr>
    </w:p>
    <w:p w14:paraId="3F0C783C" w14:textId="477B4351" w:rsidR="00925416" w:rsidRPr="00925416" w:rsidRDefault="00925416" w:rsidP="00925416">
      <w:pPr>
        <w:spacing w:line="276" w:lineRule="auto"/>
        <w:jc w:val="both"/>
        <w:rPr>
          <w:rFonts w:ascii="Verdana" w:hAnsi="Verdana" w:cs="Arial"/>
        </w:rPr>
      </w:pPr>
      <w:r>
        <w:rPr>
          <w:rFonts w:ascii="Verdana" w:hAnsi="Verdana" w:cs="Arial"/>
        </w:rPr>
        <w:lastRenderedPageBreak/>
        <w:t xml:space="preserve">Hattie, J. (2009). </w:t>
      </w:r>
      <w:r>
        <w:rPr>
          <w:rFonts w:ascii="Verdana" w:hAnsi="Verdana" w:cs="Arial"/>
          <w:i/>
        </w:rPr>
        <w:t>Innovative Learning Environments</w:t>
      </w:r>
      <w:r>
        <w:rPr>
          <w:rFonts w:ascii="Verdana" w:hAnsi="Verdana" w:cs="Arial"/>
        </w:rPr>
        <w:t xml:space="preserve">. Educational Research and Innovation, OECD Publishing. </w:t>
      </w:r>
    </w:p>
    <w:p w14:paraId="6EA56345" w14:textId="77777777" w:rsidR="00925416" w:rsidRDefault="00925416" w:rsidP="00925416">
      <w:pPr>
        <w:spacing w:line="276" w:lineRule="auto"/>
        <w:jc w:val="both"/>
        <w:rPr>
          <w:rFonts w:ascii="Verdana" w:hAnsi="Verdana" w:cs="Arial"/>
        </w:rPr>
      </w:pPr>
    </w:p>
    <w:p w14:paraId="0C2E9561" w14:textId="5C6D781A" w:rsidR="00925416" w:rsidRPr="00925416" w:rsidRDefault="00925416" w:rsidP="00925416">
      <w:pPr>
        <w:spacing w:line="276" w:lineRule="auto"/>
        <w:jc w:val="both"/>
        <w:rPr>
          <w:rFonts w:ascii="Verdana" w:hAnsi="Verdana" w:cs="Arial"/>
        </w:rPr>
      </w:pPr>
      <w:r w:rsidRPr="00925416">
        <w:rPr>
          <w:rFonts w:ascii="Verdana" w:hAnsi="Verdana" w:cs="Arial"/>
        </w:rPr>
        <w:t xml:space="preserve">Help Teaching. (2019) </w:t>
      </w:r>
      <w:r w:rsidRPr="00925416">
        <w:rPr>
          <w:rFonts w:ascii="Verdana" w:hAnsi="Verdana" w:cs="Arial"/>
          <w:i/>
        </w:rPr>
        <w:t xml:space="preserve">Percent Composition By Mass. </w:t>
      </w:r>
      <w:r w:rsidRPr="00925416">
        <w:rPr>
          <w:rFonts w:ascii="Verdana" w:hAnsi="Verdana" w:cs="Arial"/>
        </w:rPr>
        <w:t xml:space="preserve">Available from: </w:t>
      </w:r>
      <w:hyperlink r:id="rId18" w:history="1">
        <w:r w:rsidRPr="00925416">
          <w:rPr>
            <w:rStyle w:val="Hyperlink"/>
            <w:rFonts w:ascii="Verdana" w:hAnsi="Verdana" w:cs="Arial"/>
          </w:rPr>
          <w:t>https://www.helpteaching.com/lessons/78/percent-composition-by-mass</w:t>
        </w:r>
      </w:hyperlink>
      <w:r w:rsidRPr="00925416">
        <w:rPr>
          <w:rFonts w:ascii="Verdana" w:hAnsi="Verdana" w:cs="Arial"/>
        </w:rPr>
        <w:t xml:space="preserve"> [Accessed 16</w:t>
      </w:r>
      <w:r w:rsidRPr="00925416">
        <w:rPr>
          <w:rFonts w:ascii="Verdana" w:hAnsi="Verdana" w:cs="Arial"/>
          <w:vertAlign w:val="superscript"/>
        </w:rPr>
        <w:t>th</w:t>
      </w:r>
      <w:r w:rsidRPr="00925416">
        <w:rPr>
          <w:rFonts w:ascii="Verdana" w:hAnsi="Verdana" w:cs="Arial"/>
        </w:rPr>
        <w:t xml:space="preserve"> April 2019].</w:t>
      </w:r>
    </w:p>
    <w:p w14:paraId="722567E7" w14:textId="77777777" w:rsidR="00925416" w:rsidRPr="00925416" w:rsidRDefault="00925416" w:rsidP="00925416">
      <w:pPr>
        <w:spacing w:line="276" w:lineRule="auto"/>
        <w:jc w:val="both"/>
        <w:rPr>
          <w:rFonts w:ascii="Verdana" w:hAnsi="Verdana" w:cs="Arial"/>
        </w:rPr>
      </w:pPr>
    </w:p>
    <w:p w14:paraId="200FF591" w14:textId="77777777" w:rsidR="00925416" w:rsidRPr="00925416" w:rsidRDefault="00925416" w:rsidP="00925416">
      <w:pPr>
        <w:spacing w:line="276" w:lineRule="auto"/>
        <w:jc w:val="both"/>
        <w:rPr>
          <w:rFonts w:ascii="Verdana" w:hAnsi="Verdana" w:cs="Arial"/>
        </w:rPr>
      </w:pPr>
      <w:proofErr w:type="spellStart"/>
      <w:r w:rsidRPr="00925416">
        <w:rPr>
          <w:rFonts w:ascii="Verdana" w:hAnsi="Verdana" w:cs="Arial"/>
        </w:rPr>
        <w:t>LibreTexts</w:t>
      </w:r>
      <w:proofErr w:type="spellEnd"/>
      <w:r w:rsidRPr="00925416">
        <w:rPr>
          <w:rFonts w:ascii="Verdana" w:hAnsi="Verdana" w:cs="Arial"/>
        </w:rPr>
        <w:t xml:space="preserve"> (2017). </w:t>
      </w:r>
      <w:r w:rsidRPr="00925416">
        <w:rPr>
          <w:rFonts w:ascii="Verdana" w:hAnsi="Verdana" w:cs="Arial"/>
          <w:i/>
        </w:rPr>
        <w:t xml:space="preserve">Density and Percent Compositions. </w:t>
      </w:r>
      <w:r w:rsidRPr="00925416">
        <w:rPr>
          <w:rFonts w:ascii="Verdana" w:hAnsi="Verdana" w:cs="Arial"/>
        </w:rPr>
        <w:t xml:space="preserve">Available from: </w:t>
      </w:r>
      <w:hyperlink r:id="rId19" w:history="1">
        <w:r w:rsidRPr="00925416">
          <w:rPr>
            <w:rStyle w:val="Hyperlink"/>
            <w:rFonts w:ascii="Verdana" w:hAnsi="Verdana" w:cs="Arial"/>
          </w:rPr>
          <w:t>https://chem.libretexts.org/Bookshelves/Analytical_Chemistry/Supplemental_Modules_(Analytical_Chemistry)/Quantifying_Nature/Density_and_Percent_Compositions</w:t>
        </w:r>
      </w:hyperlink>
      <w:r w:rsidRPr="00925416">
        <w:rPr>
          <w:rFonts w:ascii="Verdana" w:hAnsi="Verdana" w:cs="Arial"/>
        </w:rPr>
        <w:t xml:space="preserve"> [Accessed 16</w:t>
      </w:r>
      <w:r w:rsidRPr="00925416">
        <w:rPr>
          <w:rFonts w:ascii="Verdana" w:hAnsi="Verdana" w:cs="Arial"/>
          <w:vertAlign w:val="superscript"/>
        </w:rPr>
        <w:t>th</w:t>
      </w:r>
      <w:r w:rsidRPr="00925416">
        <w:rPr>
          <w:rFonts w:ascii="Verdana" w:hAnsi="Verdana" w:cs="Arial"/>
        </w:rPr>
        <w:t xml:space="preserve"> April 2019].</w:t>
      </w:r>
    </w:p>
    <w:p w14:paraId="1F4C7DD7" w14:textId="77777777" w:rsidR="00925416" w:rsidRPr="00925416" w:rsidRDefault="00925416" w:rsidP="00925416">
      <w:pPr>
        <w:spacing w:line="276" w:lineRule="auto"/>
        <w:jc w:val="both"/>
        <w:rPr>
          <w:rFonts w:ascii="Verdana" w:hAnsi="Verdana" w:cs="Arial"/>
        </w:rPr>
      </w:pPr>
    </w:p>
    <w:p w14:paraId="5484637E"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McLeod, S. (2014). </w:t>
      </w:r>
      <w:r w:rsidRPr="00925416">
        <w:rPr>
          <w:rFonts w:ascii="Verdana" w:hAnsi="Verdana" w:cs="Arial"/>
          <w:i/>
        </w:rPr>
        <w:t xml:space="preserve">Sampling Methods. </w:t>
      </w:r>
      <w:r w:rsidRPr="00925416">
        <w:rPr>
          <w:rFonts w:ascii="Verdana" w:hAnsi="Verdana" w:cs="Arial"/>
        </w:rPr>
        <w:t xml:space="preserve">Available from: </w:t>
      </w:r>
      <w:hyperlink r:id="rId20" w:history="1">
        <w:r w:rsidRPr="00925416">
          <w:rPr>
            <w:rStyle w:val="Hyperlink"/>
            <w:rFonts w:ascii="Verdana" w:hAnsi="Verdana" w:cs="Arial"/>
          </w:rPr>
          <w:t>https://www.simplypsychology.org/sampling.html</w:t>
        </w:r>
      </w:hyperlink>
      <w:r w:rsidRPr="00925416">
        <w:rPr>
          <w:rFonts w:ascii="Verdana" w:hAnsi="Verdana" w:cs="Arial"/>
        </w:rPr>
        <w:t xml:space="preserve"> [Accessed 2</w:t>
      </w:r>
      <w:r w:rsidRPr="00925416">
        <w:rPr>
          <w:rFonts w:ascii="Verdana" w:hAnsi="Verdana" w:cs="Arial"/>
          <w:vertAlign w:val="superscript"/>
        </w:rPr>
        <w:t>nd</w:t>
      </w:r>
      <w:r w:rsidRPr="00925416">
        <w:rPr>
          <w:rFonts w:ascii="Verdana" w:hAnsi="Verdana" w:cs="Arial"/>
        </w:rPr>
        <w:t xml:space="preserve"> May 2019]. </w:t>
      </w:r>
    </w:p>
    <w:p w14:paraId="75E9B010" w14:textId="77777777" w:rsidR="00925416" w:rsidRPr="00925416" w:rsidRDefault="00925416" w:rsidP="00925416">
      <w:pPr>
        <w:spacing w:line="276" w:lineRule="auto"/>
        <w:jc w:val="both"/>
        <w:rPr>
          <w:rFonts w:ascii="Verdana" w:hAnsi="Verdana" w:cs="Arial"/>
        </w:rPr>
      </w:pPr>
    </w:p>
    <w:p w14:paraId="2114471B"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Needham, R. </w:t>
      </w:r>
      <w:r w:rsidRPr="00925416">
        <w:rPr>
          <w:rFonts w:ascii="Verdana" w:hAnsi="Verdana" w:cs="Arial"/>
          <w:i/>
        </w:rPr>
        <w:t xml:space="preserve">The Language of Mathematics in Science. Teaching Approaches. </w:t>
      </w:r>
      <w:r w:rsidRPr="00925416">
        <w:rPr>
          <w:rFonts w:ascii="Verdana" w:hAnsi="Verdana" w:cs="Arial"/>
        </w:rPr>
        <w:t xml:space="preserve">The Association for Science Education. Available from: </w:t>
      </w:r>
      <w:hyperlink r:id="rId21" w:history="1">
        <w:r w:rsidRPr="00925416">
          <w:rPr>
            <w:rStyle w:val="Hyperlink"/>
            <w:rFonts w:ascii="Verdana" w:hAnsi="Verdana" w:cs="Arial"/>
          </w:rPr>
          <w:t>https://www.ase.org.uk/mathsinscience</w:t>
        </w:r>
      </w:hyperlink>
      <w:r w:rsidRPr="00925416">
        <w:rPr>
          <w:rFonts w:ascii="Verdana" w:hAnsi="Verdana" w:cs="Arial"/>
        </w:rPr>
        <w:t xml:space="preserve"> [Accessed 16</w:t>
      </w:r>
      <w:r w:rsidRPr="00925416">
        <w:rPr>
          <w:rFonts w:ascii="Verdana" w:hAnsi="Verdana" w:cs="Arial"/>
          <w:vertAlign w:val="superscript"/>
        </w:rPr>
        <w:t>th</w:t>
      </w:r>
      <w:r w:rsidRPr="00925416">
        <w:rPr>
          <w:rFonts w:ascii="Verdana" w:hAnsi="Verdana" w:cs="Arial"/>
        </w:rPr>
        <w:t xml:space="preserve"> April 2019].</w:t>
      </w:r>
    </w:p>
    <w:p w14:paraId="21F8A2DD" w14:textId="77777777" w:rsidR="00925416" w:rsidRPr="00925416" w:rsidRDefault="00925416" w:rsidP="00925416">
      <w:pPr>
        <w:spacing w:line="276" w:lineRule="auto"/>
        <w:jc w:val="both"/>
        <w:rPr>
          <w:rFonts w:ascii="Verdana" w:hAnsi="Verdana" w:cs="Arial"/>
        </w:rPr>
      </w:pPr>
    </w:p>
    <w:p w14:paraId="5A8CB9C5"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O’Neill, R. (2006). </w:t>
      </w:r>
      <w:r w:rsidRPr="00925416">
        <w:rPr>
          <w:rFonts w:ascii="Verdana" w:hAnsi="Verdana" w:cs="Arial"/>
          <w:i/>
        </w:rPr>
        <w:t xml:space="preserve">The advantages and disadvantages of qualitative and quantitative research methods. </w:t>
      </w:r>
      <w:r w:rsidRPr="00925416">
        <w:rPr>
          <w:rFonts w:ascii="Verdana" w:hAnsi="Verdana" w:cs="Arial"/>
        </w:rPr>
        <w:t xml:space="preserve">Available from: </w:t>
      </w:r>
      <w:hyperlink r:id="rId22" w:history="1">
        <w:r w:rsidRPr="00925416">
          <w:rPr>
            <w:rStyle w:val="Hyperlink"/>
            <w:rFonts w:ascii="Verdana" w:hAnsi="Verdana" w:cs="Arial"/>
          </w:rPr>
          <w:t>http://archive.learnhigher.ac.uk/analysethis/main/quantitative1.html</w:t>
        </w:r>
      </w:hyperlink>
      <w:r w:rsidRPr="00925416">
        <w:rPr>
          <w:rFonts w:ascii="Verdana" w:hAnsi="Verdana" w:cs="Arial"/>
        </w:rPr>
        <w:t xml:space="preserve"> [Accessed 5</w:t>
      </w:r>
      <w:r w:rsidRPr="00925416">
        <w:rPr>
          <w:rFonts w:ascii="Verdana" w:hAnsi="Verdana" w:cs="Arial"/>
          <w:vertAlign w:val="superscript"/>
        </w:rPr>
        <w:t>th</w:t>
      </w:r>
      <w:r w:rsidRPr="00925416">
        <w:rPr>
          <w:rFonts w:ascii="Verdana" w:hAnsi="Verdana" w:cs="Arial"/>
        </w:rPr>
        <w:t xml:space="preserve"> May 2019]. </w:t>
      </w:r>
    </w:p>
    <w:p w14:paraId="63BFB153" w14:textId="77777777" w:rsidR="00925416" w:rsidRPr="00925416" w:rsidRDefault="00925416" w:rsidP="00925416">
      <w:pPr>
        <w:spacing w:line="276" w:lineRule="auto"/>
        <w:jc w:val="both"/>
        <w:rPr>
          <w:rFonts w:ascii="Verdana" w:hAnsi="Verdana" w:cs="Arial"/>
        </w:rPr>
      </w:pPr>
    </w:p>
    <w:p w14:paraId="4C02B988"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Staffroom Stories  (2018). </w:t>
      </w:r>
      <w:r w:rsidRPr="00925416">
        <w:rPr>
          <w:rFonts w:ascii="Verdana" w:hAnsi="Verdana" w:cs="Arial"/>
          <w:i/>
        </w:rPr>
        <w:t>Last Lesson of the Day.</w:t>
      </w:r>
      <w:r w:rsidRPr="00925416">
        <w:rPr>
          <w:rFonts w:ascii="Verdana" w:hAnsi="Verdana" w:cs="Arial"/>
        </w:rPr>
        <w:t xml:space="preserve"> Available from: </w:t>
      </w:r>
      <w:hyperlink r:id="rId23" w:history="1">
        <w:r w:rsidRPr="00925416">
          <w:rPr>
            <w:rStyle w:val="Hyperlink"/>
            <w:rFonts w:ascii="Verdana" w:hAnsi="Verdana" w:cs="Arial"/>
          </w:rPr>
          <w:t>https://www.staffroomstories.com/last-lesson-of-the-day/</w:t>
        </w:r>
      </w:hyperlink>
      <w:r w:rsidRPr="00925416">
        <w:rPr>
          <w:rFonts w:ascii="Verdana" w:hAnsi="Verdana" w:cs="Arial"/>
        </w:rPr>
        <w:t xml:space="preserve"> [Accessed 7</w:t>
      </w:r>
      <w:r w:rsidRPr="00925416">
        <w:rPr>
          <w:rFonts w:ascii="Verdana" w:hAnsi="Verdana" w:cs="Arial"/>
          <w:vertAlign w:val="superscript"/>
        </w:rPr>
        <w:t>th</w:t>
      </w:r>
      <w:r w:rsidRPr="00925416">
        <w:rPr>
          <w:rFonts w:ascii="Verdana" w:hAnsi="Verdana" w:cs="Arial"/>
        </w:rPr>
        <w:t xml:space="preserve"> May 2019]. </w:t>
      </w:r>
    </w:p>
    <w:p w14:paraId="1F948454" w14:textId="77777777" w:rsidR="00925416" w:rsidRPr="00925416" w:rsidRDefault="00925416" w:rsidP="00925416">
      <w:pPr>
        <w:spacing w:line="276" w:lineRule="auto"/>
        <w:jc w:val="both"/>
        <w:rPr>
          <w:rFonts w:ascii="Verdana" w:hAnsi="Verdana" w:cs="Arial"/>
        </w:rPr>
      </w:pPr>
    </w:p>
    <w:p w14:paraId="1FA54FE7"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Statistics How To (2019). </w:t>
      </w:r>
      <w:r w:rsidRPr="00925416">
        <w:rPr>
          <w:rFonts w:ascii="Verdana" w:hAnsi="Verdana" w:cs="Arial"/>
          <w:i/>
        </w:rPr>
        <w:t xml:space="preserve">Confounding Variable: Simple Definition and Example. </w:t>
      </w:r>
      <w:r w:rsidRPr="00925416">
        <w:rPr>
          <w:rFonts w:ascii="Verdana" w:hAnsi="Verdana" w:cs="Arial"/>
        </w:rPr>
        <w:t xml:space="preserve">Available from: </w:t>
      </w:r>
      <w:hyperlink r:id="rId24" w:history="1">
        <w:r w:rsidRPr="00925416">
          <w:rPr>
            <w:rStyle w:val="Hyperlink"/>
            <w:rFonts w:ascii="Verdana" w:hAnsi="Verdana" w:cs="Arial"/>
          </w:rPr>
          <w:t>https://www.statisticshowto.datasciencecentral.com/experimental-design/confounding-variable/</w:t>
        </w:r>
      </w:hyperlink>
      <w:r w:rsidRPr="00925416">
        <w:rPr>
          <w:rFonts w:ascii="Verdana" w:hAnsi="Verdana" w:cs="Arial"/>
        </w:rPr>
        <w:t xml:space="preserve"> [Accessed 3</w:t>
      </w:r>
      <w:r w:rsidRPr="00925416">
        <w:rPr>
          <w:rFonts w:ascii="Verdana" w:hAnsi="Verdana" w:cs="Arial"/>
          <w:vertAlign w:val="superscript"/>
        </w:rPr>
        <w:t>rd</w:t>
      </w:r>
      <w:r w:rsidRPr="00925416">
        <w:rPr>
          <w:rFonts w:ascii="Verdana" w:hAnsi="Verdana" w:cs="Arial"/>
        </w:rPr>
        <w:t xml:space="preserve"> May 2019].</w:t>
      </w:r>
    </w:p>
    <w:p w14:paraId="23F70C0A" w14:textId="77777777" w:rsidR="00925416" w:rsidRPr="00925416" w:rsidRDefault="00925416" w:rsidP="00925416">
      <w:pPr>
        <w:spacing w:line="276" w:lineRule="auto"/>
        <w:jc w:val="both"/>
        <w:rPr>
          <w:rFonts w:ascii="Verdana" w:hAnsi="Verdana" w:cs="Arial"/>
        </w:rPr>
      </w:pPr>
    </w:p>
    <w:p w14:paraId="57959B2C"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Statistics How To (2019). </w:t>
      </w:r>
      <w:r w:rsidRPr="00925416">
        <w:rPr>
          <w:rFonts w:ascii="Verdana" w:hAnsi="Verdana" w:cs="Arial"/>
          <w:i/>
        </w:rPr>
        <w:t xml:space="preserve">Experimental Design. </w:t>
      </w:r>
      <w:r w:rsidRPr="00925416">
        <w:rPr>
          <w:rFonts w:ascii="Verdana" w:hAnsi="Verdana" w:cs="Arial"/>
        </w:rPr>
        <w:t xml:space="preserve">Available from: </w:t>
      </w:r>
      <w:hyperlink r:id="rId25" w:history="1">
        <w:r w:rsidRPr="00925416">
          <w:rPr>
            <w:rStyle w:val="Hyperlink"/>
            <w:rFonts w:ascii="Verdana" w:hAnsi="Verdana" w:cs="Arial"/>
          </w:rPr>
          <w:t>https://www.statisticshowto.datasciencecentral.com/experimental-design/#Top</w:t>
        </w:r>
      </w:hyperlink>
      <w:r w:rsidRPr="00925416">
        <w:rPr>
          <w:rFonts w:ascii="Verdana" w:hAnsi="Verdana" w:cs="Arial"/>
        </w:rPr>
        <w:t xml:space="preserve"> [Accessed 3</w:t>
      </w:r>
      <w:r w:rsidRPr="00925416">
        <w:rPr>
          <w:rFonts w:ascii="Verdana" w:hAnsi="Verdana" w:cs="Arial"/>
          <w:vertAlign w:val="superscript"/>
        </w:rPr>
        <w:t>rd</w:t>
      </w:r>
      <w:r w:rsidRPr="00925416">
        <w:rPr>
          <w:rFonts w:ascii="Verdana" w:hAnsi="Verdana" w:cs="Arial"/>
        </w:rPr>
        <w:t xml:space="preserve"> May 2019].</w:t>
      </w:r>
    </w:p>
    <w:p w14:paraId="216EC206" w14:textId="77777777" w:rsidR="00925416" w:rsidRPr="00925416" w:rsidRDefault="00925416" w:rsidP="00925416">
      <w:pPr>
        <w:spacing w:line="276" w:lineRule="auto"/>
        <w:jc w:val="both"/>
        <w:rPr>
          <w:rFonts w:ascii="Verdana" w:hAnsi="Verdana" w:cs="Arial"/>
        </w:rPr>
      </w:pPr>
    </w:p>
    <w:p w14:paraId="31162E42"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Swansea </w:t>
      </w:r>
      <w:proofErr w:type="spellStart"/>
      <w:r w:rsidRPr="00925416">
        <w:rPr>
          <w:rFonts w:ascii="Verdana" w:hAnsi="Verdana" w:cs="Arial"/>
        </w:rPr>
        <w:t>Edunet</w:t>
      </w:r>
      <w:proofErr w:type="spellEnd"/>
      <w:r w:rsidRPr="00925416">
        <w:rPr>
          <w:rFonts w:ascii="Verdana" w:hAnsi="Verdana" w:cs="Arial"/>
        </w:rPr>
        <w:t xml:space="preserve">. (2019) </w:t>
      </w:r>
      <w:r w:rsidRPr="00925416">
        <w:rPr>
          <w:rFonts w:ascii="Verdana" w:hAnsi="Verdana" w:cs="Arial"/>
          <w:i/>
        </w:rPr>
        <w:t xml:space="preserve">The Eight Reading Behaviours. </w:t>
      </w:r>
      <w:r w:rsidRPr="00925416">
        <w:rPr>
          <w:rFonts w:ascii="Verdana" w:hAnsi="Verdana" w:cs="Arial"/>
        </w:rPr>
        <w:t xml:space="preserve">Available from: </w:t>
      </w:r>
      <w:hyperlink r:id="rId26" w:history="1">
        <w:r w:rsidRPr="00925416">
          <w:rPr>
            <w:rStyle w:val="Hyperlink"/>
            <w:rFonts w:ascii="Verdana" w:hAnsi="Verdana" w:cs="Arial"/>
          </w:rPr>
          <w:t>https://swansea-</w:t>
        </w:r>
        <w:r w:rsidRPr="00925416">
          <w:rPr>
            <w:rStyle w:val="Hyperlink"/>
            <w:rFonts w:ascii="Verdana" w:hAnsi="Verdana" w:cs="Arial"/>
          </w:rPr>
          <w:lastRenderedPageBreak/>
          <w:t>edunet.gov.uk/en/schools/bishopstonprimary/Pages/The_Eight_Reading_Behaviours.aspx</w:t>
        </w:r>
      </w:hyperlink>
      <w:r w:rsidRPr="00925416">
        <w:rPr>
          <w:rFonts w:ascii="Verdana" w:hAnsi="Verdana" w:cs="Arial"/>
        </w:rPr>
        <w:t xml:space="preserve"> [Accessed 17</w:t>
      </w:r>
      <w:r w:rsidRPr="00925416">
        <w:rPr>
          <w:rFonts w:ascii="Verdana" w:hAnsi="Verdana" w:cs="Arial"/>
          <w:vertAlign w:val="superscript"/>
        </w:rPr>
        <w:t>th</w:t>
      </w:r>
      <w:r w:rsidRPr="00925416">
        <w:rPr>
          <w:rFonts w:ascii="Verdana" w:hAnsi="Verdana" w:cs="Arial"/>
        </w:rPr>
        <w:t xml:space="preserve"> April 2019].</w:t>
      </w:r>
    </w:p>
    <w:p w14:paraId="3AF957CB" w14:textId="77777777" w:rsidR="00925416" w:rsidRPr="00925416" w:rsidRDefault="00925416" w:rsidP="00925416">
      <w:pPr>
        <w:spacing w:line="276" w:lineRule="auto"/>
        <w:jc w:val="both"/>
        <w:rPr>
          <w:rFonts w:ascii="Verdana" w:hAnsi="Verdana" w:cs="Arial"/>
        </w:rPr>
      </w:pPr>
    </w:p>
    <w:p w14:paraId="0AA9DAF8"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Taber, K. S. (2013). </w:t>
      </w:r>
      <w:r w:rsidRPr="00925416">
        <w:rPr>
          <w:rFonts w:ascii="Verdana" w:hAnsi="Verdana" w:cs="Arial"/>
          <w:i/>
        </w:rPr>
        <w:t xml:space="preserve">Classroom-based Research and Evidence-based Practice: An Introduction </w:t>
      </w:r>
      <w:r w:rsidRPr="00925416">
        <w:rPr>
          <w:rFonts w:ascii="Verdana" w:hAnsi="Verdana" w:cs="Arial"/>
        </w:rPr>
        <w:t>(2</w:t>
      </w:r>
      <w:r w:rsidRPr="00925416">
        <w:rPr>
          <w:rFonts w:ascii="Verdana" w:hAnsi="Verdana" w:cs="Arial"/>
          <w:vertAlign w:val="superscript"/>
        </w:rPr>
        <w:t>nd</w:t>
      </w:r>
      <w:r w:rsidRPr="00925416">
        <w:rPr>
          <w:rFonts w:ascii="Verdana" w:hAnsi="Verdana" w:cs="Arial"/>
        </w:rPr>
        <w:t xml:space="preserve"> ed.) London: Sage. Available from: </w:t>
      </w:r>
      <w:hyperlink r:id="rId27" w:history="1">
        <w:r w:rsidRPr="00925416">
          <w:rPr>
            <w:rStyle w:val="Hyperlink"/>
            <w:rFonts w:ascii="Verdana" w:hAnsi="Verdana" w:cs="Arial"/>
          </w:rPr>
          <w:t>http://people.ds.cam.ac.uk/kst24/EdResMethod/Methodology.html</w:t>
        </w:r>
      </w:hyperlink>
      <w:r w:rsidRPr="00925416">
        <w:rPr>
          <w:rFonts w:ascii="Verdana" w:hAnsi="Verdana" w:cs="Arial"/>
        </w:rPr>
        <w:t xml:space="preserve"> [Accessed 3</w:t>
      </w:r>
      <w:r w:rsidRPr="00925416">
        <w:rPr>
          <w:rFonts w:ascii="Verdana" w:hAnsi="Verdana" w:cs="Arial"/>
          <w:vertAlign w:val="superscript"/>
        </w:rPr>
        <w:t>rd</w:t>
      </w:r>
      <w:r w:rsidRPr="00925416">
        <w:rPr>
          <w:rFonts w:ascii="Verdana" w:hAnsi="Verdana" w:cs="Arial"/>
        </w:rPr>
        <w:t xml:space="preserve"> May 2019].</w:t>
      </w:r>
    </w:p>
    <w:p w14:paraId="314215DD" w14:textId="77777777" w:rsidR="00925416" w:rsidRPr="00925416" w:rsidRDefault="00925416" w:rsidP="00925416">
      <w:pPr>
        <w:spacing w:line="276" w:lineRule="auto"/>
        <w:jc w:val="both"/>
        <w:rPr>
          <w:rFonts w:ascii="Verdana" w:hAnsi="Verdana" w:cs="Arial"/>
        </w:rPr>
      </w:pPr>
    </w:p>
    <w:p w14:paraId="4F4D9AD9"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Virginia Tech (2017). </w:t>
      </w:r>
      <w:r w:rsidRPr="00925416">
        <w:rPr>
          <w:rFonts w:ascii="Verdana" w:hAnsi="Verdana" w:cs="Arial"/>
          <w:i/>
        </w:rPr>
        <w:t>Research Methods Guide: Research Design &amp; Method.</w:t>
      </w:r>
      <w:r w:rsidRPr="00925416">
        <w:rPr>
          <w:rFonts w:ascii="Verdana" w:hAnsi="Verdana" w:cs="Arial"/>
        </w:rPr>
        <w:t xml:space="preserve"> Available from: </w:t>
      </w:r>
      <w:hyperlink r:id="rId28" w:history="1">
        <w:r w:rsidRPr="00925416">
          <w:rPr>
            <w:rStyle w:val="Hyperlink"/>
            <w:rFonts w:ascii="Verdana" w:hAnsi="Verdana" w:cs="Arial"/>
          </w:rPr>
          <w:t>https://guides.lib.vt.edu/researchmethods/design-method</w:t>
        </w:r>
      </w:hyperlink>
      <w:r w:rsidRPr="00925416">
        <w:rPr>
          <w:rFonts w:ascii="Verdana" w:hAnsi="Verdana" w:cs="Arial"/>
        </w:rPr>
        <w:t xml:space="preserve"> [Accessed 3</w:t>
      </w:r>
      <w:r w:rsidRPr="00925416">
        <w:rPr>
          <w:rFonts w:ascii="Verdana" w:hAnsi="Verdana" w:cs="Arial"/>
          <w:vertAlign w:val="superscript"/>
        </w:rPr>
        <w:t>rd</w:t>
      </w:r>
      <w:r w:rsidRPr="00925416">
        <w:rPr>
          <w:rFonts w:ascii="Verdana" w:hAnsi="Verdana" w:cs="Arial"/>
        </w:rPr>
        <w:t xml:space="preserve"> May 2019].</w:t>
      </w:r>
    </w:p>
    <w:p w14:paraId="6F3A4F52" w14:textId="77777777" w:rsidR="00925416" w:rsidRPr="00925416" w:rsidRDefault="00925416" w:rsidP="00925416">
      <w:pPr>
        <w:spacing w:line="276" w:lineRule="auto"/>
        <w:jc w:val="both"/>
        <w:rPr>
          <w:rFonts w:ascii="Verdana" w:hAnsi="Verdana" w:cs="Arial"/>
        </w:rPr>
      </w:pPr>
    </w:p>
    <w:p w14:paraId="2B01EA7C"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Welsh Government. (2014) </w:t>
      </w:r>
      <w:r w:rsidRPr="00925416">
        <w:rPr>
          <w:rFonts w:ascii="Verdana" w:hAnsi="Verdana" w:cs="Arial"/>
          <w:i/>
        </w:rPr>
        <w:t xml:space="preserve">National Literacy and Numeracy Framework. </w:t>
      </w:r>
      <w:r w:rsidRPr="00925416">
        <w:rPr>
          <w:rFonts w:ascii="Verdana" w:hAnsi="Verdana" w:cs="Arial"/>
        </w:rPr>
        <w:t xml:space="preserve">Available from: </w:t>
      </w:r>
      <w:hyperlink r:id="rId29" w:history="1">
        <w:r w:rsidRPr="00925416">
          <w:rPr>
            <w:rStyle w:val="Hyperlink"/>
            <w:rFonts w:ascii="Verdana" w:hAnsi="Verdana" w:cs="Arial"/>
          </w:rPr>
          <w:t>https://learning.gov.wales/resources/browse-all/nlnf/framework?component=numeracy&amp;year=6938392_2&amp;selectedYear=col_15&amp;lang=en</w:t>
        </w:r>
      </w:hyperlink>
      <w:r w:rsidRPr="00925416">
        <w:rPr>
          <w:rFonts w:ascii="Verdana" w:hAnsi="Verdana" w:cs="Arial"/>
        </w:rPr>
        <w:t xml:space="preserve"> [Accessed 15</w:t>
      </w:r>
      <w:r w:rsidRPr="00925416">
        <w:rPr>
          <w:rFonts w:ascii="Verdana" w:hAnsi="Verdana" w:cs="Arial"/>
          <w:vertAlign w:val="superscript"/>
        </w:rPr>
        <w:t>th</w:t>
      </w:r>
      <w:r w:rsidRPr="00925416">
        <w:rPr>
          <w:rFonts w:ascii="Verdana" w:hAnsi="Verdana" w:cs="Arial"/>
        </w:rPr>
        <w:t xml:space="preserve"> April 2019].</w:t>
      </w:r>
    </w:p>
    <w:p w14:paraId="038D6DE5" w14:textId="77777777" w:rsidR="00925416" w:rsidRPr="00925416" w:rsidRDefault="00925416" w:rsidP="00925416">
      <w:pPr>
        <w:spacing w:line="276" w:lineRule="auto"/>
        <w:jc w:val="both"/>
        <w:rPr>
          <w:rFonts w:ascii="Verdana" w:hAnsi="Verdana" w:cs="Arial"/>
        </w:rPr>
      </w:pPr>
    </w:p>
    <w:p w14:paraId="63BD8B4F"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Welsh Government. (n.d.) </w:t>
      </w:r>
      <w:r w:rsidRPr="00925416">
        <w:rPr>
          <w:rFonts w:ascii="Verdana" w:hAnsi="Verdana" w:cs="Arial"/>
          <w:i/>
        </w:rPr>
        <w:t xml:space="preserve">My Local School. </w:t>
      </w:r>
      <w:r w:rsidRPr="00925416">
        <w:rPr>
          <w:rFonts w:ascii="Verdana" w:hAnsi="Verdana" w:cs="Arial"/>
        </w:rPr>
        <w:t xml:space="preserve">Available from: </w:t>
      </w:r>
      <w:hyperlink r:id="rId30" w:history="1">
        <w:r w:rsidRPr="00925416">
          <w:rPr>
            <w:rStyle w:val="Hyperlink"/>
            <w:rFonts w:ascii="Verdana" w:hAnsi="Verdana" w:cs="Arial"/>
          </w:rPr>
          <w:t>http://mylocalschool.wales.gov.uk/?lang=en</w:t>
        </w:r>
      </w:hyperlink>
      <w:r w:rsidRPr="00925416">
        <w:rPr>
          <w:rFonts w:ascii="Verdana" w:hAnsi="Verdana" w:cs="Arial"/>
        </w:rPr>
        <w:t xml:space="preserve"> [Accessed 14</w:t>
      </w:r>
      <w:r w:rsidRPr="00925416">
        <w:rPr>
          <w:rFonts w:ascii="Verdana" w:hAnsi="Verdana" w:cs="Arial"/>
          <w:vertAlign w:val="superscript"/>
        </w:rPr>
        <w:t xml:space="preserve">th </w:t>
      </w:r>
      <w:r w:rsidRPr="00925416">
        <w:rPr>
          <w:rFonts w:ascii="Verdana" w:hAnsi="Verdana" w:cs="Arial"/>
        </w:rPr>
        <w:t>March 2019].</w:t>
      </w:r>
    </w:p>
    <w:p w14:paraId="79963A79" w14:textId="77777777" w:rsidR="00925416" w:rsidRPr="00925416" w:rsidRDefault="00925416" w:rsidP="00925416">
      <w:pPr>
        <w:spacing w:line="276" w:lineRule="auto"/>
        <w:jc w:val="both"/>
        <w:rPr>
          <w:rFonts w:ascii="Verdana" w:hAnsi="Verdana" w:cs="Arial"/>
        </w:rPr>
      </w:pPr>
    </w:p>
    <w:p w14:paraId="134E3FED" w14:textId="77777777" w:rsidR="00925416" w:rsidRPr="00925416" w:rsidRDefault="00925416" w:rsidP="00925416">
      <w:pPr>
        <w:spacing w:line="276" w:lineRule="auto"/>
        <w:jc w:val="both"/>
        <w:rPr>
          <w:rFonts w:ascii="Verdana" w:hAnsi="Verdana" w:cs="Arial"/>
        </w:rPr>
      </w:pPr>
      <w:r w:rsidRPr="00925416">
        <w:rPr>
          <w:rFonts w:ascii="Verdana" w:hAnsi="Verdana" w:cs="Arial"/>
        </w:rPr>
        <w:t xml:space="preserve">WJEC. (2019) </w:t>
      </w:r>
      <w:r w:rsidRPr="00925416">
        <w:rPr>
          <w:rFonts w:ascii="Verdana" w:hAnsi="Verdana" w:cs="Arial"/>
          <w:i/>
        </w:rPr>
        <w:t xml:space="preserve">WJEC GCSE in Science (Double Award). </w:t>
      </w:r>
      <w:r w:rsidRPr="00925416">
        <w:rPr>
          <w:rFonts w:ascii="Verdana" w:hAnsi="Verdana" w:cs="Arial"/>
        </w:rPr>
        <w:t xml:space="preserve">Available from: </w:t>
      </w:r>
      <w:hyperlink r:id="rId31" w:history="1">
        <w:r w:rsidRPr="00925416">
          <w:rPr>
            <w:rStyle w:val="Hyperlink"/>
            <w:rFonts w:ascii="Verdana" w:hAnsi="Verdana" w:cs="Arial"/>
          </w:rPr>
          <w:t>https://www.wjec.co.uk/qualifications/science/gcse/science-double-gcse-2016/wjec-gcse-science-double-award-spec-from-2016.pdf?language_id=1</w:t>
        </w:r>
      </w:hyperlink>
      <w:r w:rsidRPr="00925416">
        <w:rPr>
          <w:rFonts w:ascii="Verdana" w:hAnsi="Verdana" w:cs="Arial"/>
        </w:rPr>
        <w:t xml:space="preserve"> [Accessed 18</w:t>
      </w:r>
      <w:r w:rsidRPr="00925416">
        <w:rPr>
          <w:rFonts w:ascii="Verdana" w:hAnsi="Verdana" w:cs="Arial"/>
          <w:vertAlign w:val="superscript"/>
        </w:rPr>
        <w:t>th</w:t>
      </w:r>
      <w:r w:rsidRPr="00925416">
        <w:rPr>
          <w:rFonts w:ascii="Verdana" w:hAnsi="Verdana" w:cs="Arial"/>
        </w:rPr>
        <w:t xml:space="preserve"> April 2019].</w:t>
      </w:r>
    </w:p>
    <w:p w14:paraId="3BF72643" w14:textId="77777777" w:rsidR="00925416" w:rsidRDefault="00925416" w:rsidP="00925416">
      <w:pPr>
        <w:spacing w:line="276" w:lineRule="auto"/>
        <w:rPr>
          <w:rFonts w:ascii="Arial" w:hAnsi="Arial" w:cs="Arial"/>
          <w:b/>
          <w:sz w:val="28"/>
          <w:u w:val="single"/>
        </w:rPr>
      </w:pPr>
    </w:p>
    <w:p w14:paraId="223213EB" w14:textId="77777777" w:rsidR="001C0D94" w:rsidRDefault="001C0D94" w:rsidP="001C0D94">
      <w:pPr>
        <w:spacing w:line="276" w:lineRule="auto"/>
        <w:jc w:val="both"/>
        <w:rPr>
          <w:rFonts w:ascii="Arial" w:hAnsi="Arial" w:cs="Arial"/>
        </w:rPr>
      </w:pPr>
    </w:p>
    <w:p w14:paraId="58ED4E7C" w14:textId="77777777" w:rsidR="001C0D94" w:rsidRPr="001C0D94" w:rsidRDefault="001C0D94" w:rsidP="001C0D94">
      <w:pPr>
        <w:spacing w:line="276" w:lineRule="auto"/>
        <w:jc w:val="both"/>
        <w:rPr>
          <w:rFonts w:ascii="Verdana" w:hAnsi="Verdana" w:cs="Arial"/>
        </w:rPr>
      </w:pPr>
    </w:p>
    <w:p w14:paraId="47FD9339" w14:textId="6BAB0A75" w:rsidR="00E92950" w:rsidRDefault="00E92950" w:rsidP="001C0D94">
      <w:pPr>
        <w:spacing w:line="276" w:lineRule="auto"/>
        <w:rPr>
          <w:rFonts w:ascii="Verdana" w:hAnsi="Verdana"/>
        </w:rPr>
      </w:pPr>
    </w:p>
    <w:p w14:paraId="1BBD0E50" w14:textId="77777777" w:rsidR="00E92950" w:rsidRDefault="00E92950">
      <w:pPr>
        <w:rPr>
          <w:rFonts w:ascii="Verdana" w:hAnsi="Verdana"/>
        </w:rPr>
      </w:pPr>
      <w:r>
        <w:rPr>
          <w:rFonts w:ascii="Verdana" w:hAnsi="Verdana"/>
        </w:rPr>
        <w:br w:type="page"/>
      </w:r>
    </w:p>
    <w:p w14:paraId="69E0AF1E" w14:textId="544C853B" w:rsidR="001C0D94" w:rsidRDefault="00E92950" w:rsidP="001C0D94">
      <w:pPr>
        <w:spacing w:line="276" w:lineRule="auto"/>
        <w:rPr>
          <w:rFonts w:ascii="Verdana" w:hAnsi="Verdana"/>
          <w:b/>
          <w:sz w:val="28"/>
          <w:u w:val="single"/>
        </w:rPr>
      </w:pPr>
      <w:r>
        <w:rPr>
          <w:rFonts w:ascii="Verdana" w:hAnsi="Verdana"/>
          <w:b/>
          <w:sz w:val="28"/>
          <w:u w:val="single"/>
        </w:rPr>
        <w:lastRenderedPageBreak/>
        <w:t>Appendices</w:t>
      </w:r>
    </w:p>
    <w:p w14:paraId="16A00E30" w14:textId="154D148B" w:rsidR="00E92950" w:rsidRDefault="00E92950" w:rsidP="001C0D94">
      <w:pPr>
        <w:spacing w:line="276" w:lineRule="auto"/>
        <w:rPr>
          <w:rFonts w:ascii="Verdana" w:hAnsi="Verdana"/>
          <w:b/>
          <w:sz w:val="28"/>
          <w:u w:val="single"/>
        </w:rPr>
      </w:pPr>
    </w:p>
    <w:p w14:paraId="4919C873" w14:textId="67542ACD" w:rsidR="00E92950" w:rsidRDefault="00E92950" w:rsidP="001C0D94">
      <w:pPr>
        <w:spacing w:line="276" w:lineRule="auto"/>
        <w:rPr>
          <w:rFonts w:ascii="Verdana" w:hAnsi="Verdana"/>
          <w:b/>
        </w:rPr>
      </w:pPr>
      <w:r>
        <w:rPr>
          <w:rFonts w:ascii="Verdana" w:hAnsi="Verdana"/>
          <w:b/>
        </w:rPr>
        <w:t>Appendix 1</w:t>
      </w:r>
    </w:p>
    <w:p w14:paraId="22FAF728" w14:textId="56AF0698" w:rsidR="00E92950" w:rsidRDefault="00E92950" w:rsidP="001C0D94">
      <w:pPr>
        <w:spacing w:line="276" w:lineRule="auto"/>
        <w:rPr>
          <w:rFonts w:ascii="Verdana" w:hAnsi="Verdana"/>
          <w:b/>
        </w:rPr>
      </w:pPr>
    </w:p>
    <w:p w14:paraId="139CCA91" w14:textId="2C6E827A" w:rsidR="00E92950" w:rsidRDefault="00E92950" w:rsidP="001C0D94">
      <w:pPr>
        <w:spacing w:line="276" w:lineRule="auto"/>
        <w:rPr>
          <w:rFonts w:ascii="Verdana" w:hAnsi="Verdana"/>
          <w:b/>
        </w:rPr>
      </w:pPr>
      <w:r w:rsidRPr="001F2AA6">
        <w:rPr>
          <w:rFonts w:ascii="Arial" w:hAnsi="Arial" w:cs="Arial"/>
          <w:b/>
          <w:noProof/>
          <w:sz w:val="28"/>
        </w:rPr>
        <w:drawing>
          <wp:inline distT="0" distB="0" distL="0" distR="0" wp14:anchorId="6F816135" wp14:editId="02A91A9C">
            <wp:extent cx="5727700" cy="239141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p Teaching equation.tiff"/>
                    <pic:cNvPicPr/>
                  </pic:nvPicPr>
                  <pic:blipFill>
                    <a:blip r:embed="rId32">
                      <a:extLst>
                        <a:ext uri="{28A0092B-C50C-407E-A947-70E740481C1C}">
                          <a14:useLocalDpi xmlns:a14="http://schemas.microsoft.com/office/drawing/2010/main" val="0"/>
                        </a:ext>
                      </a:extLst>
                    </a:blip>
                    <a:stretch>
                      <a:fillRect/>
                    </a:stretch>
                  </pic:blipFill>
                  <pic:spPr>
                    <a:xfrm>
                      <a:off x="0" y="0"/>
                      <a:ext cx="5727700" cy="2391410"/>
                    </a:xfrm>
                    <a:prstGeom prst="rect">
                      <a:avLst/>
                    </a:prstGeom>
                  </pic:spPr>
                </pic:pic>
              </a:graphicData>
            </a:graphic>
          </wp:inline>
        </w:drawing>
      </w:r>
    </w:p>
    <w:p w14:paraId="269057D1" w14:textId="38090B92" w:rsidR="00E92950" w:rsidRDefault="00E92950" w:rsidP="001C0D94">
      <w:pPr>
        <w:spacing w:line="276" w:lineRule="auto"/>
        <w:rPr>
          <w:rFonts w:ascii="Verdana" w:hAnsi="Verdana"/>
          <w:b/>
        </w:rPr>
      </w:pPr>
    </w:p>
    <w:p w14:paraId="4E0DA5A6" w14:textId="7C98A153" w:rsidR="00E92950" w:rsidRDefault="00E92950" w:rsidP="001C0D94">
      <w:pPr>
        <w:spacing w:line="276" w:lineRule="auto"/>
        <w:rPr>
          <w:rFonts w:ascii="Verdana" w:hAnsi="Verdana"/>
          <w:b/>
        </w:rPr>
      </w:pPr>
    </w:p>
    <w:p w14:paraId="0671ED0F" w14:textId="42BD4664" w:rsidR="00E92950" w:rsidRDefault="00E92950" w:rsidP="001C0D94">
      <w:pPr>
        <w:spacing w:line="276" w:lineRule="auto"/>
        <w:rPr>
          <w:rFonts w:ascii="Verdana" w:hAnsi="Verdana"/>
          <w:b/>
        </w:rPr>
      </w:pPr>
      <w:r>
        <w:rPr>
          <w:rFonts w:ascii="Verdana" w:hAnsi="Verdana"/>
          <w:b/>
        </w:rPr>
        <w:t>Appendix 2</w:t>
      </w:r>
    </w:p>
    <w:p w14:paraId="72423D7F" w14:textId="723E22CD" w:rsidR="00E92950" w:rsidRDefault="00E92950" w:rsidP="001C0D94">
      <w:pPr>
        <w:spacing w:line="276" w:lineRule="auto"/>
        <w:rPr>
          <w:rFonts w:ascii="Verdana" w:hAnsi="Verdana"/>
          <w:b/>
        </w:rPr>
      </w:pPr>
    </w:p>
    <w:p w14:paraId="54CA0171" w14:textId="41545764" w:rsidR="00E92950" w:rsidRDefault="00E92950" w:rsidP="001C0D94">
      <w:pPr>
        <w:spacing w:line="276" w:lineRule="auto"/>
        <w:rPr>
          <w:rFonts w:ascii="Verdana" w:hAnsi="Verdana"/>
          <w:b/>
        </w:rPr>
      </w:pPr>
      <w:r w:rsidRPr="00685F3C">
        <w:rPr>
          <w:rFonts w:ascii="Arial" w:hAnsi="Arial" w:cs="Arial"/>
          <w:b/>
          <w:noProof/>
          <w:sz w:val="28"/>
        </w:rPr>
        <w:drawing>
          <wp:inline distT="0" distB="0" distL="0" distR="0" wp14:anchorId="665E0A85" wp14:editId="20B0FFDC">
            <wp:extent cx="5727700" cy="29610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breTexts.tiff"/>
                    <pic:cNvPicPr/>
                  </pic:nvPicPr>
                  <pic:blipFill>
                    <a:blip r:embed="rId33">
                      <a:extLst>
                        <a:ext uri="{28A0092B-C50C-407E-A947-70E740481C1C}">
                          <a14:useLocalDpi xmlns:a14="http://schemas.microsoft.com/office/drawing/2010/main" val="0"/>
                        </a:ext>
                      </a:extLst>
                    </a:blip>
                    <a:stretch>
                      <a:fillRect/>
                    </a:stretch>
                  </pic:blipFill>
                  <pic:spPr>
                    <a:xfrm>
                      <a:off x="0" y="0"/>
                      <a:ext cx="5727700" cy="2961005"/>
                    </a:xfrm>
                    <a:prstGeom prst="rect">
                      <a:avLst/>
                    </a:prstGeom>
                  </pic:spPr>
                </pic:pic>
              </a:graphicData>
            </a:graphic>
          </wp:inline>
        </w:drawing>
      </w:r>
    </w:p>
    <w:p w14:paraId="5BA96135" w14:textId="60AB8E6F" w:rsidR="00E92950" w:rsidRDefault="00E92950" w:rsidP="001C0D94">
      <w:pPr>
        <w:spacing w:line="276" w:lineRule="auto"/>
        <w:rPr>
          <w:rFonts w:ascii="Verdana" w:hAnsi="Verdana"/>
          <w:b/>
        </w:rPr>
      </w:pPr>
    </w:p>
    <w:p w14:paraId="30842A84" w14:textId="595FDCE6" w:rsidR="00E92950" w:rsidRDefault="00E92950" w:rsidP="001C0D94">
      <w:pPr>
        <w:spacing w:line="276" w:lineRule="auto"/>
        <w:rPr>
          <w:rFonts w:ascii="Verdana" w:hAnsi="Verdana"/>
          <w:b/>
        </w:rPr>
      </w:pPr>
    </w:p>
    <w:p w14:paraId="4DAA4051" w14:textId="17723853" w:rsidR="00E92950" w:rsidRDefault="00E92950" w:rsidP="001C0D94">
      <w:pPr>
        <w:spacing w:line="276" w:lineRule="auto"/>
        <w:rPr>
          <w:rFonts w:ascii="Verdana" w:hAnsi="Verdana"/>
          <w:b/>
        </w:rPr>
      </w:pPr>
    </w:p>
    <w:p w14:paraId="13E773EA" w14:textId="31568E7B" w:rsidR="00E92950" w:rsidRDefault="00E92950" w:rsidP="001C0D94">
      <w:pPr>
        <w:spacing w:line="276" w:lineRule="auto"/>
        <w:rPr>
          <w:rFonts w:ascii="Verdana" w:hAnsi="Verdana"/>
          <w:b/>
        </w:rPr>
      </w:pPr>
    </w:p>
    <w:p w14:paraId="60A4E08B" w14:textId="304728DC" w:rsidR="00E92950" w:rsidRDefault="00E92950" w:rsidP="001C0D94">
      <w:pPr>
        <w:spacing w:line="276" w:lineRule="auto"/>
        <w:rPr>
          <w:rFonts w:ascii="Verdana" w:hAnsi="Verdana"/>
          <w:b/>
        </w:rPr>
      </w:pPr>
    </w:p>
    <w:p w14:paraId="34F75D22" w14:textId="10BCB9B2" w:rsidR="00E92950" w:rsidRDefault="00E92950" w:rsidP="001C0D94">
      <w:pPr>
        <w:spacing w:line="276" w:lineRule="auto"/>
        <w:rPr>
          <w:rFonts w:ascii="Verdana" w:hAnsi="Verdana"/>
          <w:b/>
        </w:rPr>
      </w:pPr>
    </w:p>
    <w:p w14:paraId="332C9B0F" w14:textId="51456D88" w:rsidR="00E92950" w:rsidRDefault="00E92950" w:rsidP="001C0D94">
      <w:pPr>
        <w:spacing w:line="276" w:lineRule="auto"/>
        <w:rPr>
          <w:rFonts w:ascii="Verdana" w:hAnsi="Verdana"/>
          <w:b/>
        </w:rPr>
      </w:pPr>
    </w:p>
    <w:p w14:paraId="6F87E780" w14:textId="689DCC21" w:rsidR="00E92950" w:rsidRDefault="00E92950" w:rsidP="001C0D94">
      <w:pPr>
        <w:spacing w:line="276" w:lineRule="auto"/>
        <w:rPr>
          <w:rFonts w:ascii="Verdana" w:hAnsi="Verdana"/>
          <w:b/>
        </w:rPr>
      </w:pPr>
      <w:r>
        <w:rPr>
          <w:rFonts w:ascii="Verdana" w:hAnsi="Verdana"/>
          <w:b/>
        </w:rPr>
        <w:lastRenderedPageBreak/>
        <w:t>Appendix 3</w:t>
      </w:r>
    </w:p>
    <w:p w14:paraId="08ACF07C" w14:textId="6D9282C9" w:rsidR="00E92950" w:rsidRDefault="00E92950" w:rsidP="001C0D94">
      <w:pPr>
        <w:spacing w:line="276" w:lineRule="auto"/>
        <w:rPr>
          <w:rFonts w:ascii="Verdana" w:hAnsi="Verdana"/>
          <w:b/>
        </w:rPr>
      </w:pPr>
    </w:p>
    <w:p w14:paraId="28B04CA3" w14:textId="67715F4B" w:rsidR="00E92950" w:rsidRDefault="00E92950" w:rsidP="001C0D94">
      <w:pPr>
        <w:spacing w:line="276" w:lineRule="auto"/>
        <w:rPr>
          <w:rFonts w:ascii="Verdana" w:hAnsi="Verdana"/>
          <w:b/>
        </w:rPr>
      </w:pPr>
      <w:r w:rsidRPr="00596665">
        <w:rPr>
          <w:rFonts w:ascii="Arial" w:hAnsi="Arial" w:cs="Arial"/>
          <w:b/>
          <w:noProof/>
          <w:sz w:val="28"/>
        </w:rPr>
        <w:drawing>
          <wp:inline distT="0" distB="0" distL="0" distR="0" wp14:anchorId="36EF37C5" wp14:editId="14AA61A9">
            <wp:extent cx="5727700" cy="2924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bc bitesize.tiff"/>
                    <pic:cNvPicPr/>
                  </pic:nvPicPr>
                  <pic:blipFill>
                    <a:blip r:embed="rId34">
                      <a:extLst>
                        <a:ext uri="{28A0092B-C50C-407E-A947-70E740481C1C}">
                          <a14:useLocalDpi xmlns:a14="http://schemas.microsoft.com/office/drawing/2010/main" val="0"/>
                        </a:ext>
                      </a:extLst>
                    </a:blip>
                    <a:stretch>
                      <a:fillRect/>
                    </a:stretch>
                  </pic:blipFill>
                  <pic:spPr>
                    <a:xfrm>
                      <a:off x="0" y="0"/>
                      <a:ext cx="5727700" cy="2924175"/>
                    </a:xfrm>
                    <a:prstGeom prst="rect">
                      <a:avLst/>
                    </a:prstGeom>
                  </pic:spPr>
                </pic:pic>
              </a:graphicData>
            </a:graphic>
          </wp:inline>
        </w:drawing>
      </w:r>
    </w:p>
    <w:p w14:paraId="0361A45B" w14:textId="2F5F1351" w:rsidR="00E92950" w:rsidRDefault="00E92950" w:rsidP="001C0D94">
      <w:pPr>
        <w:spacing w:line="276" w:lineRule="auto"/>
        <w:rPr>
          <w:rFonts w:ascii="Verdana" w:hAnsi="Verdana"/>
          <w:b/>
        </w:rPr>
      </w:pPr>
    </w:p>
    <w:p w14:paraId="6D74DFC4" w14:textId="77A25557" w:rsidR="00E92950" w:rsidRDefault="00E92950" w:rsidP="001C0D94">
      <w:pPr>
        <w:spacing w:line="276" w:lineRule="auto"/>
        <w:rPr>
          <w:rFonts w:ascii="Verdana" w:hAnsi="Verdana"/>
          <w:b/>
        </w:rPr>
      </w:pPr>
      <w:r>
        <w:rPr>
          <w:rFonts w:ascii="Verdana" w:hAnsi="Verdana"/>
          <w:b/>
        </w:rPr>
        <w:t>Appendix 4</w:t>
      </w:r>
    </w:p>
    <w:p w14:paraId="29B0E198" w14:textId="01CB48C8" w:rsidR="00E92950" w:rsidRDefault="00E92950" w:rsidP="001C0D94">
      <w:pPr>
        <w:spacing w:line="276" w:lineRule="auto"/>
        <w:rPr>
          <w:rFonts w:ascii="Verdana" w:hAnsi="Verdana"/>
          <w:b/>
        </w:rPr>
      </w:pPr>
    </w:p>
    <w:p w14:paraId="6EB3DBD9" w14:textId="729AF9C8" w:rsidR="00E92950" w:rsidRDefault="00E92950" w:rsidP="001C0D94">
      <w:pPr>
        <w:spacing w:line="276" w:lineRule="auto"/>
        <w:rPr>
          <w:rFonts w:ascii="Verdana" w:hAnsi="Verdana"/>
          <w:b/>
        </w:rPr>
      </w:pPr>
      <w:r w:rsidRPr="0034170F">
        <w:rPr>
          <w:rFonts w:ascii="Arial" w:hAnsi="Arial" w:cs="Arial"/>
          <w:b/>
          <w:noProof/>
          <w:sz w:val="28"/>
        </w:rPr>
        <w:drawing>
          <wp:inline distT="0" distB="0" distL="0" distR="0" wp14:anchorId="5DA3F5C1" wp14:editId="3604D638">
            <wp:extent cx="5727700" cy="4295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187.JPG"/>
                    <pic:cNvPicPr/>
                  </pic:nvPicPr>
                  <pic:blipFill>
                    <a:blip r:embed="rId35">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3E6D6CE3" w14:textId="61D04688" w:rsidR="00E92950" w:rsidRDefault="00E92950" w:rsidP="001C0D94">
      <w:pPr>
        <w:spacing w:line="276" w:lineRule="auto"/>
        <w:rPr>
          <w:rFonts w:ascii="Verdana" w:hAnsi="Verdana"/>
          <w:b/>
        </w:rPr>
      </w:pPr>
    </w:p>
    <w:p w14:paraId="0E2ECCEA" w14:textId="3477EA00" w:rsidR="00E92950" w:rsidRDefault="00E92950" w:rsidP="001C0D94">
      <w:pPr>
        <w:spacing w:line="276" w:lineRule="auto"/>
        <w:rPr>
          <w:rFonts w:ascii="Verdana" w:hAnsi="Verdana"/>
          <w:b/>
        </w:rPr>
      </w:pPr>
    </w:p>
    <w:p w14:paraId="7758D64B" w14:textId="1E43FC9C" w:rsidR="00E92950" w:rsidRDefault="00E92950" w:rsidP="001C0D94">
      <w:pPr>
        <w:spacing w:line="276" w:lineRule="auto"/>
        <w:rPr>
          <w:rFonts w:ascii="Verdana" w:hAnsi="Verdana"/>
          <w:b/>
        </w:rPr>
      </w:pPr>
      <w:r>
        <w:rPr>
          <w:rFonts w:ascii="Verdana" w:hAnsi="Verdana"/>
          <w:b/>
        </w:rPr>
        <w:lastRenderedPageBreak/>
        <w:t>Appendix 5</w:t>
      </w:r>
    </w:p>
    <w:p w14:paraId="313EA698" w14:textId="4B89D85B" w:rsidR="00E92950" w:rsidRDefault="00E92950" w:rsidP="001C0D94">
      <w:pPr>
        <w:spacing w:line="276" w:lineRule="auto"/>
        <w:rPr>
          <w:rFonts w:ascii="Verdana" w:hAnsi="Verdana"/>
          <w:b/>
        </w:rPr>
      </w:pPr>
    </w:p>
    <w:p w14:paraId="023DEB50" w14:textId="3FC92F3A" w:rsidR="00E92950" w:rsidRDefault="00E92950" w:rsidP="001C0D94">
      <w:pPr>
        <w:spacing w:line="276" w:lineRule="auto"/>
        <w:rPr>
          <w:rFonts w:ascii="Verdana" w:hAnsi="Verdana"/>
          <w:b/>
        </w:rPr>
      </w:pPr>
      <w:r w:rsidRPr="0034170F">
        <w:rPr>
          <w:rFonts w:ascii="Arial" w:hAnsi="Arial" w:cs="Arial"/>
          <w:b/>
          <w:noProof/>
          <w:sz w:val="28"/>
        </w:rPr>
        <w:drawing>
          <wp:inline distT="0" distB="0" distL="0" distR="0" wp14:anchorId="287CED30" wp14:editId="5BA40E65">
            <wp:extent cx="5029200" cy="6311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sent form.tiff"/>
                    <pic:cNvPicPr/>
                  </pic:nvPicPr>
                  <pic:blipFill>
                    <a:blip r:embed="rId36">
                      <a:extLst>
                        <a:ext uri="{28A0092B-C50C-407E-A947-70E740481C1C}">
                          <a14:useLocalDpi xmlns:a14="http://schemas.microsoft.com/office/drawing/2010/main" val="0"/>
                        </a:ext>
                      </a:extLst>
                    </a:blip>
                    <a:stretch>
                      <a:fillRect/>
                    </a:stretch>
                  </pic:blipFill>
                  <pic:spPr>
                    <a:xfrm>
                      <a:off x="0" y="0"/>
                      <a:ext cx="5029200" cy="6311900"/>
                    </a:xfrm>
                    <a:prstGeom prst="rect">
                      <a:avLst/>
                    </a:prstGeom>
                  </pic:spPr>
                </pic:pic>
              </a:graphicData>
            </a:graphic>
          </wp:inline>
        </w:drawing>
      </w:r>
    </w:p>
    <w:p w14:paraId="2425AB8C" w14:textId="7A9A601B" w:rsidR="00E92950" w:rsidRDefault="00E92950" w:rsidP="001C0D94">
      <w:pPr>
        <w:spacing w:line="276" w:lineRule="auto"/>
        <w:rPr>
          <w:rFonts w:ascii="Verdana" w:hAnsi="Verdana"/>
          <w:b/>
        </w:rPr>
      </w:pPr>
    </w:p>
    <w:p w14:paraId="0F65F887" w14:textId="55FC0B50" w:rsidR="00E92950" w:rsidRDefault="00E92950" w:rsidP="001C0D94">
      <w:pPr>
        <w:spacing w:line="276" w:lineRule="auto"/>
        <w:rPr>
          <w:rFonts w:ascii="Verdana" w:hAnsi="Verdana"/>
          <w:b/>
        </w:rPr>
      </w:pPr>
    </w:p>
    <w:p w14:paraId="414AE5B6" w14:textId="715B554D" w:rsidR="00E92950" w:rsidRDefault="00E92950" w:rsidP="001C0D94">
      <w:pPr>
        <w:spacing w:line="276" w:lineRule="auto"/>
        <w:rPr>
          <w:rFonts w:ascii="Verdana" w:hAnsi="Verdana"/>
          <w:b/>
        </w:rPr>
      </w:pPr>
    </w:p>
    <w:p w14:paraId="57E4512C" w14:textId="6D0AFBE5" w:rsidR="00E92950" w:rsidRDefault="00E92950" w:rsidP="001C0D94">
      <w:pPr>
        <w:spacing w:line="276" w:lineRule="auto"/>
        <w:rPr>
          <w:rFonts w:ascii="Verdana" w:hAnsi="Verdana"/>
          <w:b/>
        </w:rPr>
      </w:pPr>
    </w:p>
    <w:p w14:paraId="596E6425" w14:textId="7B04C544" w:rsidR="00E92950" w:rsidRDefault="00E92950" w:rsidP="001C0D94">
      <w:pPr>
        <w:spacing w:line="276" w:lineRule="auto"/>
        <w:rPr>
          <w:rFonts w:ascii="Verdana" w:hAnsi="Verdana"/>
          <w:b/>
        </w:rPr>
      </w:pPr>
    </w:p>
    <w:p w14:paraId="0110BC24" w14:textId="7A0E5D0F" w:rsidR="00E92950" w:rsidRDefault="00E92950" w:rsidP="001C0D94">
      <w:pPr>
        <w:spacing w:line="276" w:lineRule="auto"/>
        <w:rPr>
          <w:rFonts w:ascii="Verdana" w:hAnsi="Verdana"/>
          <w:b/>
        </w:rPr>
      </w:pPr>
    </w:p>
    <w:p w14:paraId="1414FA32" w14:textId="03CF04D8" w:rsidR="00E92950" w:rsidRDefault="00E92950" w:rsidP="001C0D94">
      <w:pPr>
        <w:spacing w:line="276" w:lineRule="auto"/>
        <w:rPr>
          <w:rFonts w:ascii="Verdana" w:hAnsi="Verdana"/>
          <w:b/>
        </w:rPr>
      </w:pPr>
    </w:p>
    <w:p w14:paraId="37F97A2E" w14:textId="78D11AE3" w:rsidR="00E92950" w:rsidRDefault="00E92950" w:rsidP="001C0D94">
      <w:pPr>
        <w:spacing w:line="276" w:lineRule="auto"/>
        <w:rPr>
          <w:rFonts w:ascii="Verdana" w:hAnsi="Verdana"/>
          <w:b/>
        </w:rPr>
      </w:pPr>
    </w:p>
    <w:p w14:paraId="0901710D" w14:textId="175AB97F" w:rsidR="00E92950" w:rsidRDefault="00E92950" w:rsidP="001C0D94">
      <w:pPr>
        <w:spacing w:line="276" w:lineRule="auto"/>
        <w:rPr>
          <w:rFonts w:ascii="Verdana" w:hAnsi="Verdana"/>
          <w:b/>
        </w:rPr>
      </w:pPr>
    </w:p>
    <w:p w14:paraId="0E8AF257" w14:textId="6D737F56" w:rsidR="00E92950" w:rsidRDefault="00E92950" w:rsidP="001C0D94">
      <w:pPr>
        <w:spacing w:line="276" w:lineRule="auto"/>
        <w:rPr>
          <w:rFonts w:ascii="Verdana" w:hAnsi="Verdana"/>
          <w:b/>
        </w:rPr>
      </w:pPr>
      <w:r>
        <w:rPr>
          <w:rFonts w:ascii="Verdana" w:hAnsi="Verdana"/>
          <w:b/>
        </w:rPr>
        <w:lastRenderedPageBreak/>
        <w:t>Appendix 6</w:t>
      </w:r>
    </w:p>
    <w:p w14:paraId="02E900AE" w14:textId="3FCBBF32" w:rsidR="00E92950" w:rsidRDefault="00E92950" w:rsidP="001C0D94">
      <w:pPr>
        <w:spacing w:line="276" w:lineRule="auto"/>
        <w:rPr>
          <w:rFonts w:ascii="Verdana" w:hAnsi="Verdana"/>
          <w:b/>
        </w:rPr>
      </w:pPr>
    </w:p>
    <w:p w14:paraId="0672AC8C" w14:textId="01859EBF" w:rsidR="00E92950" w:rsidRDefault="00E92950" w:rsidP="001C0D94">
      <w:pPr>
        <w:spacing w:line="276" w:lineRule="auto"/>
        <w:rPr>
          <w:rFonts w:ascii="Verdana" w:hAnsi="Verdana"/>
          <w:b/>
        </w:rPr>
      </w:pPr>
      <w:r w:rsidRPr="00194381">
        <w:rPr>
          <w:rFonts w:ascii="Arial" w:hAnsi="Arial" w:cs="Arial"/>
          <w:b/>
          <w:noProof/>
          <w:sz w:val="28"/>
        </w:rPr>
        <w:drawing>
          <wp:inline distT="0" distB="0" distL="0" distR="0" wp14:anchorId="03C6CA18" wp14:editId="6D5F712C">
            <wp:extent cx="5727700" cy="29356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e Test Starter.tiff"/>
                    <pic:cNvPicPr/>
                  </pic:nvPicPr>
                  <pic:blipFill>
                    <a:blip r:embed="rId37">
                      <a:extLst>
                        <a:ext uri="{28A0092B-C50C-407E-A947-70E740481C1C}">
                          <a14:useLocalDpi xmlns:a14="http://schemas.microsoft.com/office/drawing/2010/main" val="0"/>
                        </a:ext>
                      </a:extLst>
                    </a:blip>
                    <a:stretch>
                      <a:fillRect/>
                    </a:stretch>
                  </pic:blipFill>
                  <pic:spPr>
                    <a:xfrm>
                      <a:off x="0" y="0"/>
                      <a:ext cx="5727700" cy="2935605"/>
                    </a:xfrm>
                    <a:prstGeom prst="rect">
                      <a:avLst/>
                    </a:prstGeom>
                  </pic:spPr>
                </pic:pic>
              </a:graphicData>
            </a:graphic>
          </wp:inline>
        </w:drawing>
      </w:r>
    </w:p>
    <w:p w14:paraId="7E27BF4E" w14:textId="29342733" w:rsidR="00E92950" w:rsidRDefault="00E92950" w:rsidP="001C0D94">
      <w:pPr>
        <w:spacing w:line="276" w:lineRule="auto"/>
        <w:rPr>
          <w:rFonts w:ascii="Verdana" w:hAnsi="Verdana"/>
          <w:b/>
        </w:rPr>
      </w:pPr>
    </w:p>
    <w:p w14:paraId="50D0A339" w14:textId="6F12A2ED" w:rsidR="00E92950" w:rsidRDefault="00E92950" w:rsidP="001C0D94">
      <w:pPr>
        <w:spacing w:line="276" w:lineRule="auto"/>
        <w:rPr>
          <w:rFonts w:ascii="Verdana" w:hAnsi="Verdana"/>
          <w:b/>
        </w:rPr>
      </w:pPr>
    </w:p>
    <w:p w14:paraId="39013EC2" w14:textId="7FD1583D" w:rsidR="00E92950" w:rsidRDefault="00E92950" w:rsidP="001C0D94">
      <w:pPr>
        <w:spacing w:line="276" w:lineRule="auto"/>
        <w:rPr>
          <w:rFonts w:ascii="Verdana" w:hAnsi="Verdana"/>
          <w:b/>
        </w:rPr>
      </w:pPr>
    </w:p>
    <w:p w14:paraId="1D330C1B" w14:textId="4A6429AC" w:rsidR="00E92950" w:rsidRDefault="00E92950" w:rsidP="001C0D94">
      <w:pPr>
        <w:spacing w:line="276" w:lineRule="auto"/>
        <w:rPr>
          <w:rFonts w:ascii="Verdana" w:hAnsi="Verdana"/>
          <w:b/>
        </w:rPr>
      </w:pPr>
    </w:p>
    <w:p w14:paraId="7F9F785B" w14:textId="23D94933" w:rsidR="00E92950" w:rsidRDefault="00E92950" w:rsidP="001C0D94">
      <w:pPr>
        <w:spacing w:line="276" w:lineRule="auto"/>
        <w:rPr>
          <w:rFonts w:ascii="Verdana" w:hAnsi="Verdana"/>
          <w:b/>
        </w:rPr>
      </w:pPr>
    </w:p>
    <w:p w14:paraId="61D9F308" w14:textId="014D5B04" w:rsidR="00E92950" w:rsidRDefault="00E92950" w:rsidP="001C0D94">
      <w:pPr>
        <w:spacing w:line="276" w:lineRule="auto"/>
        <w:rPr>
          <w:rFonts w:ascii="Verdana" w:hAnsi="Verdana"/>
          <w:b/>
        </w:rPr>
      </w:pPr>
    </w:p>
    <w:p w14:paraId="0FA96B84" w14:textId="718E703B" w:rsidR="00E92950" w:rsidRDefault="00E92950" w:rsidP="001C0D94">
      <w:pPr>
        <w:spacing w:line="276" w:lineRule="auto"/>
        <w:rPr>
          <w:rFonts w:ascii="Verdana" w:hAnsi="Verdana"/>
          <w:b/>
        </w:rPr>
      </w:pPr>
    </w:p>
    <w:p w14:paraId="00748581" w14:textId="11325DB0" w:rsidR="00E92950" w:rsidRDefault="00E92950" w:rsidP="001C0D94">
      <w:pPr>
        <w:spacing w:line="276" w:lineRule="auto"/>
        <w:rPr>
          <w:rFonts w:ascii="Verdana" w:hAnsi="Verdana"/>
          <w:b/>
        </w:rPr>
      </w:pPr>
    </w:p>
    <w:p w14:paraId="5440E8C7" w14:textId="592EF657" w:rsidR="00E92950" w:rsidRDefault="00E92950" w:rsidP="001C0D94">
      <w:pPr>
        <w:spacing w:line="276" w:lineRule="auto"/>
        <w:rPr>
          <w:rFonts w:ascii="Verdana" w:hAnsi="Verdana"/>
          <w:b/>
        </w:rPr>
      </w:pPr>
    </w:p>
    <w:p w14:paraId="79AD5A3E" w14:textId="0A6BF948" w:rsidR="00E92950" w:rsidRDefault="00E92950" w:rsidP="001C0D94">
      <w:pPr>
        <w:spacing w:line="276" w:lineRule="auto"/>
        <w:rPr>
          <w:rFonts w:ascii="Verdana" w:hAnsi="Verdana"/>
          <w:b/>
        </w:rPr>
      </w:pPr>
    </w:p>
    <w:p w14:paraId="6B470344" w14:textId="1E5525D1" w:rsidR="00E92950" w:rsidRDefault="00E92950" w:rsidP="001C0D94">
      <w:pPr>
        <w:spacing w:line="276" w:lineRule="auto"/>
        <w:rPr>
          <w:rFonts w:ascii="Verdana" w:hAnsi="Verdana"/>
          <w:b/>
        </w:rPr>
      </w:pPr>
    </w:p>
    <w:p w14:paraId="43987BCC" w14:textId="4BD215C7" w:rsidR="00E92950" w:rsidRDefault="00E92950" w:rsidP="001C0D94">
      <w:pPr>
        <w:spacing w:line="276" w:lineRule="auto"/>
        <w:rPr>
          <w:rFonts w:ascii="Verdana" w:hAnsi="Verdana"/>
          <w:b/>
        </w:rPr>
      </w:pPr>
    </w:p>
    <w:p w14:paraId="559A56DF" w14:textId="1D039237" w:rsidR="00E92950" w:rsidRDefault="00E92950" w:rsidP="001C0D94">
      <w:pPr>
        <w:spacing w:line="276" w:lineRule="auto"/>
        <w:rPr>
          <w:rFonts w:ascii="Verdana" w:hAnsi="Verdana"/>
          <w:b/>
        </w:rPr>
      </w:pPr>
    </w:p>
    <w:p w14:paraId="2D0CFC5B" w14:textId="663A079F" w:rsidR="00E92950" w:rsidRDefault="00E92950" w:rsidP="001C0D94">
      <w:pPr>
        <w:spacing w:line="276" w:lineRule="auto"/>
        <w:rPr>
          <w:rFonts w:ascii="Verdana" w:hAnsi="Verdana"/>
          <w:b/>
        </w:rPr>
      </w:pPr>
    </w:p>
    <w:p w14:paraId="5B43536C" w14:textId="40E44F52" w:rsidR="00E92950" w:rsidRDefault="00E92950" w:rsidP="001C0D94">
      <w:pPr>
        <w:spacing w:line="276" w:lineRule="auto"/>
        <w:rPr>
          <w:rFonts w:ascii="Verdana" w:hAnsi="Verdana"/>
          <w:b/>
        </w:rPr>
      </w:pPr>
    </w:p>
    <w:p w14:paraId="11C3C4A6" w14:textId="1E5BCF33" w:rsidR="00E92950" w:rsidRDefault="00E92950" w:rsidP="001C0D94">
      <w:pPr>
        <w:spacing w:line="276" w:lineRule="auto"/>
        <w:rPr>
          <w:rFonts w:ascii="Verdana" w:hAnsi="Verdana"/>
          <w:b/>
        </w:rPr>
      </w:pPr>
    </w:p>
    <w:p w14:paraId="4328A886" w14:textId="09D60416" w:rsidR="00E92950" w:rsidRDefault="00E92950" w:rsidP="001C0D94">
      <w:pPr>
        <w:spacing w:line="276" w:lineRule="auto"/>
        <w:rPr>
          <w:rFonts w:ascii="Verdana" w:hAnsi="Verdana"/>
          <w:b/>
        </w:rPr>
      </w:pPr>
    </w:p>
    <w:p w14:paraId="72676694" w14:textId="03D72A83" w:rsidR="00E92950" w:rsidRDefault="00E92950" w:rsidP="001C0D94">
      <w:pPr>
        <w:spacing w:line="276" w:lineRule="auto"/>
        <w:rPr>
          <w:rFonts w:ascii="Verdana" w:hAnsi="Verdana"/>
          <w:b/>
        </w:rPr>
      </w:pPr>
    </w:p>
    <w:p w14:paraId="7086A90C" w14:textId="791019CE" w:rsidR="00E92950" w:rsidRDefault="00E92950" w:rsidP="001C0D94">
      <w:pPr>
        <w:spacing w:line="276" w:lineRule="auto"/>
        <w:rPr>
          <w:rFonts w:ascii="Verdana" w:hAnsi="Verdana"/>
          <w:b/>
        </w:rPr>
      </w:pPr>
    </w:p>
    <w:p w14:paraId="79BAFC21" w14:textId="1567676A" w:rsidR="00E92950" w:rsidRDefault="00E92950" w:rsidP="001C0D94">
      <w:pPr>
        <w:spacing w:line="276" w:lineRule="auto"/>
        <w:rPr>
          <w:rFonts w:ascii="Verdana" w:hAnsi="Verdana"/>
          <w:b/>
        </w:rPr>
      </w:pPr>
    </w:p>
    <w:p w14:paraId="3AF716DD" w14:textId="3434EF75" w:rsidR="00E92950" w:rsidRDefault="00E92950" w:rsidP="001C0D94">
      <w:pPr>
        <w:spacing w:line="276" w:lineRule="auto"/>
        <w:rPr>
          <w:rFonts w:ascii="Verdana" w:hAnsi="Verdana"/>
          <w:b/>
        </w:rPr>
      </w:pPr>
    </w:p>
    <w:p w14:paraId="6DD326CE" w14:textId="58849BBB" w:rsidR="00E92950" w:rsidRDefault="00E92950" w:rsidP="001C0D94">
      <w:pPr>
        <w:spacing w:line="276" w:lineRule="auto"/>
        <w:rPr>
          <w:rFonts w:ascii="Verdana" w:hAnsi="Verdana"/>
          <w:b/>
        </w:rPr>
      </w:pPr>
    </w:p>
    <w:p w14:paraId="7257282D" w14:textId="14AD3EFC" w:rsidR="00E92950" w:rsidRDefault="00E92950" w:rsidP="001C0D94">
      <w:pPr>
        <w:spacing w:line="276" w:lineRule="auto"/>
        <w:rPr>
          <w:rFonts w:ascii="Verdana" w:hAnsi="Verdana"/>
          <w:b/>
        </w:rPr>
      </w:pPr>
    </w:p>
    <w:p w14:paraId="55560E1B" w14:textId="6168035D" w:rsidR="00E92950" w:rsidRDefault="00E92950" w:rsidP="001C0D94">
      <w:pPr>
        <w:spacing w:line="276" w:lineRule="auto"/>
        <w:rPr>
          <w:rFonts w:ascii="Verdana" w:hAnsi="Verdana"/>
          <w:b/>
        </w:rPr>
      </w:pPr>
    </w:p>
    <w:p w14:paraId="3DB37440" w14:textId="77777777" w:rsidR="00E92950" w:rsidRDefault="00E92950" w:rsidP="001C0D94">
      <w:pPr>
        <w:spacing w:line="276" w:lineRule="auto"/>
        <w:rPr>
          <w:rFonts w:ascii="Verdana" w:hAnsi="Verdana"/>
          <w:b/>
        </w:rPr>
      </w:pPr>
    </w:p>
    <w:p w14:paraId="7396299D" w14:textId="719E8D21" w:rsidR="00E92950" w:rsidRDefault="00E92950" w:rsidP="001C0D94">
      <w:pPr>
        <w:spacing w:line="276" w:lineRule="auto"/>
        <w:rPr>
          <w:rFonts w:ascii="Verdana" w:hAnsi="Verdana"/>
          <w:b/>
        </w:rPr>
      </w:pPr>
      <w:r>
        <w:rPr>
          <w:rFonts w:ascii="Verdana" w:hAnsi="Verdana"/>
          <w:b/>
        </w:rPr>
        <w:lastRenderedPageBreak/>
        <w:t>Appendix 7</w:t>
      </w:r>
    </w:p>
    <w:p w14:paraId="6A991037" w14:textId="0D0FF71C" w:rsidR="00E92950" w:rsidRDefault="00E92950" w:rsidP="001C0D94">
      <w:pPr>
        <w:spacing w:line="276" w:lineRule="auto"/>
        <w:rPr>
          <w:rFonts w:ascii="Verdana" w:hAnsi="Verdana"/>
          <w:b/>
        </w:rPr>
      </w:pPr>
    </w:p>
    <w:p w14:paraId="38879A94" w14:textId="287F9DDB" w:rsidR="00E92950" w:rsidRDefault="00E92950" w:rsidP="001C0D94">
      <w:pPr>
        <w:spacing w:line="276" w:lineRule="auto"/>
        <w:rPr>
          <w:rFonts w:ascii="Verdana" w:hAnsi="Verdana"/>
          <w:b/>
        </w:rPr>
      </w:pPr>
      <w:r w:rsidRPr="00194381">
        <w:rPr>
          <w:rFonts w:ascii="Arial" w:hAnsi="Arial" w:cs="Arial"/>
          <w:b/>
          <w:noProof/>
          <w:sz w:val="28"/>
        </w:rPr>
        <w:drawing>
          <wp:inline distT="0" distB="0" distL="0" distR="0" wp14:anchorId="3045CBF2" wp14:editId="00ADDE41">
            <wp:extent cx="5219700" cy="6438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seline page 1.tiff"/>
                    <pic:cNvPicPr/>
                  </pic:nvPicPr>
                  <pic:blipFill>
                    <a:blip r:embed="rId38">
                      <a:extLst>
                        <a:ext uri="{28A0092B-C50C-407E-A947-70E740481C1C}">
                          <a14:useLocalDpi xmlns:a14="http://schemas.microsoft.com/office/drawing/2010/main" val="0"/>
                        </a:ext>
                      </a:extLst>
                    </a:blip>
                    <a:stretch>
                      <a:fillRect/>
                    </a:stretch>
                  </pic:blipFill>
                  <pic:spPr>
                    <a:xfrm>
                      <a:off x="0" y="0"/>
                      <a:ext cx="5219700" cy="6438900"/>
                    </a:xfrm>
                    <a:prstGeom prst="rect">
                      <a:avLst/>
                    </a:prstGeom>
                  </pic:spPr>
                </pic:pic>
              </a:graphicData>
            </a:graphic>
          </wp:inline>
        </w:drawing>
      </w:r>
    </w:p>
    <w:p w14:paraId="42D7B5E5" w14:textId="1413894C" w:rsidR="00E92950" w:rsidRDefault="00E92950" w:rsidP="001C0D94">
      <w:pPr>
        <w:spacing w:line="276" w:lineRule="auto"/>
        <w:rPr>
          <w:rFonts w:ascii="Verdana" w:hAnsi="Verdana"/>
          <w:b/>
        </w:rPr>
      </w:pPr>
    </w:p>
    <w:p w14:paraId="4C86F63C" w14:textId="7A0F98BD" w:rsidR="00E92950" w:rsidRDefault="00E92950" w:rsidP="001C0D94">
      <w:pPr>
        <w:spacing w:line="276" w:lineRule="auto"/>
        <w:rPr>
          <w:rFonts w:ascii="Verdana" w:hAnsi="Verdana"/>
          <w:b/>
        </w:rPr>
      </w:pPr>
      <w:r>
        <w:rPr>
          <w:rFonts w:ascii="Arial" w:hAnsi="Arial" w:cs="Arial"/>
          <w:b/>
          <w:noProof/>
          <w:sz w:val="28"/>
        </w:rPr>
        <w:lastRenderedPageBreak/>
        <w:drawing>
          <wp:inline distT="0" distB="0" distL="0" distR="0" wp14:anchorId="450F338C" wp14:editId="733958C6">
            <wp:extent cx="5207000" cy="6362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seline page 2.tiff"/>
                    <pic:cNvPicPr/>
                  </pic:nvPicPr>
                  <pic:blipFill>
                    <a:blip r:embed="rId39">
                      <a:extLst>
                        <a:ext uri="{28A0092B-C50C-407E-A947-70E740481C1C}">
                          <a14:useLocalDpi xmlns:a14="http://schemas.microsoft.com/office/drawing/2010/main" val="0"/>
                        </a:ext>
                      </a:extLst>
                    </a:blip>
                    <a:stretch>
                      <a:fillRect/>
                    </a:stretch>
                  </pic:blipFill>
                  <pic:spPr>
                    <a:xfrm>
                      <a:off x="0" y="0"/>
                      <a:ext cx="5207000" cy="6362700"/>
                    </a:xfrm>
                    <a:prstGeom prst="rect">
                      <a:avLst/>
                    </a:prstGeom>
                  </pic:spPr>
                </pic:pic>
              </a:graphicData>
            </a:graphic>
          </wp:inline>
        </w:drawing>
      </w:r>
    </w:p>
    <w:p w14:paraId="436391C2" w14:textId="660B78F1" w:rsidR="00E92950" w:rsidRDefault="00E92950" w:rsidP="001C0D94">
      <w:pPr>
        <w:spacing w:line="276" w:lineRule="auto"/>
        <w:rPr>
          <w:rFonts w:ascii="Verdana" w:hAnsi="Verdana"/>
          <w:b/>
        </w:rPr>
      </w:pPr>
    </w:p>
    <w:p w14:paraId="612BA99D" w14:textId="1D742E4C" w:rsidR="00E92950" w:rsidRDefault="00E92950" w:rsidP="001C0D94">
      <w:pPr>
        <w:spacing w:line="276" w:lineRule="auto"/>
        <w:rPr>
          <w:rFonts w:ascii="Verdana" w:hAnsi="Verdana"/>
          <w:b/>
        </w:rPr>
      </w:pPr>
      <w:r>
        <w:rPr>
          <w:rFonts w:ascii="Arial" w:hAnsi="Arial" w:cs="Arial"/>
          <w:b/>
          <w:noProof/>
          <w:sz w:val="28"/>
        </w:rPr>
        <w:lastRenderedPageBreak/>
        <w:drawing>
          <wp:inline distT="0" distB="0" distL="0" distR="0" wp14:anchorId="5F74D2DA" wp14:editId="1FC9D81A">
            <wp:extent cx="5207000" cy="35433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seline page 3.tiff"/>
                    <pic:cNvPicPr/>
                  </pic:nvPicPr>
                  <pic:blipFill>
                    <a:blip r:embed="rId40">
                      <a:extLst>
                        <a:ext uri="{28A0092B-C50C-407E-A947-70E740481C1C}">
                          <a14:useLocalDpi xmlns:a14="http://schemas.microsoft.com/office/drawing/2010/main" val="0"/>
                        </a:ext>
                      </a:extLst>
                    </a:blip>
                    <a:stretch>
                      <a:fillRect/>
                    </a:stretch>
                  </pic:blipFill>
                  <pic:spPr>
                    <a:xfrm>
                      <a:off x="0" y="0"/>
                      <a:ext cx="5207000" cy="3543300"/>
                    </a:xfrm>
                    <a:prstGeom prst="rect">
                      <a:avLst/>
                    </a:prstGeom>
                  </pic:spPr>
                </pic:pic>
              </a:graphicData>
            </a:graphic>
          </wp:inline>
        </w:drawing>
      </w:r>
    </w:p>
    <w:p w14:paraId="0D20CCB7" w14:textId="47AF2E9F" w:rsidR="00E92950" w:rsidRDefault="00E92950" w:rsidP="001C0D94">
      <w:pPr>
        <w:spacing w:line="276" w:lineRule="auto"/>
        <w:rPr>
          <w:rFonts w:ascii="Verdana" w:hAnsi="Verdana"/>
          <w:b/>
        </w:rPr>
      </w:pPr>
    </w:p>
    <w:p w14:paraId="269C6999" w14:textId="4D27F8F8" w:rsidR="00E92950" w:rsidRDefault="00E92950" w:rsidP="001C0D94">
      <w:pPr>
        <w:spacing w:line="276" w:lineRule="auto"/>
        <w:rPr>
          <w:rFonts w:ascii="Verdana" w:hAnsi="Verdana"/>
          <w:b/>
        </w:rPr>
      </w:pPr>
      <w:r>
        <w:rPr>
          <w:rFonts w:ascii="Verdana" w:hAnsi="Verdana"/>
          <w:b/>
        </w:rPr>
        <w:t>Appendix 8</w:t>
      </w:r>
    </w:p>
    <w:p w14:paraId="11872993" w14:textId="095299F6" w:rsidR="00E92950" w:rsidRDefault="00E92950" w:rsidP="001C0D94">
      <w:pPr>
        <w:spacing w:line="276" w:lineRule="auto"/>
        <w:rPr>
          <w:rFonts w:ascii="Verdana" w:hAnsi="Verdana"/>
          <w:b/>
        </w:rPr>
      </w:pPr>
    </w:p>
    <w:p w14:paraId="40E936A1" w14:textId="3D0F0AFF" w:rsidR="00E92950" w:rsidRDefault="00E92950" w:rsidP="001C0D94">
      <w:pPr>
        <w:spacing w:line="276" w:lineRule="auto"/>
        <w:rPr>
          <w:rFonts w:ascii="Verdana" w:hAnsi="Verdana"/>
          <w:b/>
        </w:rPr>
      </w:pPr>
      <w:r w:rsidRPr="00B91E1B">
        <w:rPr>
          <w:rFonts w:ascii="Arial" w:hAnsi="Arial" w:cs="Arial"/>
          <w:b/>
          <w:noProof/>
          <w:sz w:val="28"/>
        </w:rPr>
        <w:drawing>
          <wp:inline distT="0" distB="0" distL="0" distR="0" wp14:anchorId="6CBA3CCE" wp14:editId="2F0A669B">
            <wp:extent cx="5727700" cy="28333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2 Starter.tiff"/>
                    <pic:cNvPicPr/>
                  </pic:nvPicPr>
                  <pic:blipFill>
                    <a:blip r:embed="rId41">
                      <a:extLst>
                        <a:ext uri="{28A0092B-C50C-407E-A947-70E740481C1C}">
                          <a14:useLocalDpi xmlns:a14="http://schemas.microsoft.com/office/drawing/2010/main" val="0"/>
                        </a:ext>
                      </a:extLst>
                    </a:blip>
                    <a:stretch>
                      <a:fillRect/>
                    </a:stretch>
                  </pic:blipFill>
                  <pic:spPr>
                    <a:xfrm>
                      <a:off x="0" y="0"/>
                      <a:ext cx="5727700" cy="2833370"/>
                    </a:xfrm>
                    <a:prstGeom prst="rect">
                      <a:avLst/>
                    </a:prstGeom>
                  </pic:spPr>
                </pic:pic>
              </a:graphicData>
            </a:graphic>
          </wp:inline>
        </w:drawing>
      </w:r>
    </w:p>
    <w:p w14:paraId="0525A571" w14:textId="16CEDB3C" w:rsidR="00E92950" w:rsidRDefault="00E92950" w:rsidP="001C0D94">
      <w:pPr>
        <w:spacing w:line="276" w:lineRule="auto"/>
        <w:rPr>
          <w:rFonts w:ascii="Verdana" w:hAnsi="Verdana"/>
          <w:b/>
        </w:rPr>
      </w:pPr>
    </w:p>
    <w:p w14:paraId="18BD388F" w14:textId="2E2F7C6C" w:rsidR="00E92950" w:rsidRDefault="00E92950" w:rsidP="001C0D94">
      <w:pPr>
        <w:spacing w:line="276" w:lineRule="auto"/>
        <w:rPr>
          <w:rFonts w:ascii="Verdana" w:hAnsi="Verdana"/>
          <w:b/>
        </w:rPr>
      </w:pPr>
    </w:p>
    <w:p w14:paraId="6EC51718" w14:textId="1A13E816" w:rsidR="00E92950" w:rsidRDefault="00E92950" w:rsidP="001C0D94">
      <w:pPr>
        <w:spacing w:line="276" w:lineRule="auto"/>
        <w:rPr>
          <w:rFonts w:ascii="Verdana" w:hAnsi="Verdana"/>
          <w:b/>
        </w:rPr>
      </w:pPr>
    </w:p>
    <w:p w14:paraId="08BB4AEB" w14:textId="1435D252" w:rsidR="00E92950" w:rsidRDefault="00E92950" w:rsidP="001C0D94">
      <w:pPr>
        <w:spacing w:line="276" w:lineRule="auto"/>
        <w:rPr>
          <w:rFonts w:ascii="Verdana" w:hAnsi="Verdana"/>
          <w:b/>
        </w:rPr>
      </w:pPr>
    </w:p>
    <w:p w14:paraId="6FD2490F" w14:textId="7149CA45" w:rsidR="00E92950" w:rsidRDefault="00E92950" w:rsidP="001C0D94">
      <w:pPr>
        <w:spacing w:line="276" w:lineRule="auto"/>
        <w:rPr>
          <w:rFonts w:ascii="Verdana" w:hAnsi="Verdana"/>
          <w:b/>
        </w:rPr>
      </w:pPr>
    </w:p>
    <w:p w14:paraId="36E1A2CB" w14:textId="092F049D" w:rsidR="00E92950" w:rsidRDefault="00E92950" w:rsidP="001C0D94">
      <w:pPr>
        <w:spacing w:line="276" w:lineRule="auto"/>
        <w:rPr>
          <w:rFonts w:ascii="Verdana" w:hAnsi="Verdana"/>
          <w:b/>
        </w:rPr>
      </w:pPr>
    </w:p>
    <w:p w14:paraId="6BD0BDB8" w14:textId="420B2F02" w:rsidR="00E92950" w:rsidRDefault="00E92950" w:rsidP="001C0D94">
      <w:pPr>
        <w:spacing w:line="276" w:lineRule="auto"/>
        <w:rPr>
          <w:rFonts w:ascii="Verdana" w:hAnsi="Verdana"/>
          <w:b/>
        </w:rPr>
      </w:pPr>
    </w:p>
    <w:p w14:paraId="4217409C" w14:textId="11167532" w:rsidR="00E92950" w:rsidRDefault="00E92950" w:rsidP="001C0D94">
      <w:pPr>
        <w:spacing w:line="276" w:lineRule="auto"/>
        <w:rPr>
          <w:rFonts w:ascii="Verdana" w:hAnsi="Verdana"/>
          <w:b/>
        </w:rPr>
      </w:pPr>
    </w:p>
    <w:p w14:paraId="259AAE72" w14:textId="7102F589" w:rsidR="00E92950" w:rsidRDefault="00E92950" w:rsidP="001C0D94">
      <w:pPr>
        <w:spacing w:line="276" w:lineRule="auto"/>
        <w:rPr>
          <w:rFonts w:ascii="Verdana" w:hAnsi="Verdana"/>
          <w:b/>
        </w:rPr>
      </w:pPr>
      <w:r>
        <w:rPr>
          <w:rFonts w:ascii="Verdana" w:hAnsi="Verdana"/>
          <w:b/>
        </w:rPr>
        <w:lastRenderedPageBreak/>
        <w:t>Appendix 9</w:t>
      </w:r>
    </w:p>
    <w:p w14:paraId="19926B87" w14:textId="2133DD1B" w:rsidR="00E92950" w:rsidRDefault="00E92950" w:rsidP="001C0D94">
      <w:pPr>
        <w:spacing w:line="276" w:lineRule="auto"/>
        <w:rPr>
          <w:rFonts w:ascii="Verdana" w:hAnsi="Verdana"/>
          <w:b/>
        </w:rPr>
      </w:pPr>
    </w:p>
    <w:p w14:paraId="5DB61E16" w14:textId="5DE75322" w:rsidR="00E92950" w:rsidRDefault="00E92950" w:rsidP="001C0D94">
      <w:pPr>
        <w:spacing w:line="276" w:lineRule="auto"/>
        <w:rPr>
          <w:rFonts w:ascii="Verdana" w:hAnsi="Verdana"/>
          <w:b/>
        </w:rPr>
      </w:pPr>
      <w:r w:rsidRPr="00B91E1B">
        <w:rPr>
          <w:rFonts w:ascii="Arial" w:hAnsi="Arial" w:cs="Arial"/>
          <w:b/>
          <w:noProof/>
          <w:sz w:val="28"/>
        </w:rPr>
        <w:drawing>
          <wp:inline distT="0" distB="0" distL="0" distR="0" wp14:anchorId="1BD89466" wp14:editId="4680FFEF">
            <wp:extent cx="5727700" cy="2482850"/>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tervention ppt.tiff"/>
                    <pic:cNvPicPr/>
                  </pic:nvPicPr>
                  <pic:blipFill>
                    <a:blip r:embed="rId42">
                      <a:extLst>
                        <a:ext uri="{28A0092B-C50C-407E-A947-70E740481C1C}">
                          <a14:useLocalDpi xmlns:a14="http://schemas.microsoft.com/office/drawing/2010/main" val="0"/>
                        </a:ext>
                      </a:extLst>
                    </a:blip>
                    <a:stretch>
                      <a:fillRect/>
                    </a:stretch>
                  </pic:blipFill>
                  <pic:spPr>
                    <a:xfrm>
                      <a:off x="0" y="0"/>
                      <a:ext cx="5727700" cy="2482850"/>
                    </a:xfrm>
                    <a:prstGeom prst="rect">
                      <a:avLst/>
                    </a:prstGeom>
                  </pic:spPr>
                </pic:pic>
              </a:graphicData>
            </a:graphic>
          </wp:inline>
        </w:drawing>
      </w:r>
    </w:p>
    <w:p w14:paraId="0E6D1AFE" w14:textId="655951BC" w:rsidR="00E92950" w:rsidRDefault="00E92950" w:rsidP="001C0D94">
      <w:pPr>
        <w:spacing w:line="276" w:lineRule="auto"/>
        <w:rPr>
          <w:rFonts w:ascii="Verdana" w:hAnsi="Verdana"/>
          <w:b/>
        </w:rPr>
      </w:pPr>
    </w:p>
    <w:p w14:paraId="2EA19395" w14:textId="6AE531DC" w:rsidR="00E92950" w:rsidRDefault="00E92950" w:rsidP="001C0D94">
      <w:pPr>
        <w:spacing w:line="276" w:lineRule="auto"/>
        <w:rPr>
          <w:rFonts w:ascii="Verdana" w:hAnsi="Verdana"/>
          <w:b/>
        </w:rPr>
      </w:pPr>
      <w:r>
        <w:rPr>
          <w:rFonts w:ascii="Verdana" w:hAnsi="Verdana"/>
          <w:b/>
        </w:rPr>
        <w:t>Appendix 10</w:t>
      </w:r>
    </w:p>
    <w:p w14:paraId="75B6B529" w14:textId="7D50E9FD" w:rsidR="00E92950" w:rsidRDefault="00E92950" w:rsidP="001C0D94">
      <w:pPr>
        <w:spacing w:line="276" w:lineRule="auto"/>
        <w:rPr>
          <w:rFonts w:ascii="Verdana" w:hAnsi="Verdana"/>
          <w:b/>
        </w:rPr>
      </w:pPr>
    </w:p>
    <w:p w14:paraId="242D981B" w14:textId="01F750A0" w:rsidR="00E92950" w:rsidRDefault="00E92950" w:rsidP="001C0D94">
      <w:pPr>
        <w:spacing w:line="276" w:lineRule="auto"/>
        <w:rPr>
          <w:rFonts w:ascii="Verdana" w:hAnsi="Verdana"/>
          <w:b/>
        </w:rPr>
      </w:pPr>
      <w:r w:rsidRPr="00B91E1B">
        <w:rPr>
          <w:rFonts w:ascii="Arial" w:hAnsi="Arial" w:cs="Arial"/>
          <w:b/>
          <w:noProof/>
          <w:sz w:val="28"/>
        </w:rPr>
        <w:drawing>
          <wp:inline distT="0" distB="0" distL="0" distR="0" wp14:anchorId="28BEE785" wp14:editId="2A5109F2">
            <wp:extent cx="5727700" cy="287909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ost starter.tiff"/>
                    <pic:cNvPicPr/>
                  </pic:nvPicPr>
                  <pic:blipFill>
                    <a:blip r:embed="rId43">
                      <a:extLst>
                        <a:ext uri="{28A0092B-C50C-407E-A947-70E740481C1C}">
                          <a14:useLocalDpi xmlns:a14="http://schemas.microsoft.com/office/drawing/2010/main" val="0"/>
                        </a:ext>
                      </a:extLst>
                    </a:blip>
                    <a:stretch>
                      <a:fillRect/>
                    </a:stretch>
                  </pic:blipFill>
                  <pic:spPr>
                    <a:xfrm>
                      <a:off x="0" y="0"/>
                      <a:ext cx="5727700" cy="2879090"/>
                    </a:xfrm>
                    <a:prstGeom prst="rect">
                      <a:avLst/>
                    </a:prstGeom>
                  </pic:spPr>
                </pic:pic>
              </a:graphicData>
            </a:graphic>
          </wp:inline>
        </w:drawing>
      </w:r>
    </w:p>
    <w:p w14:paraId="07DCB716" w14:textId="3F0D63B9" w:rsidR="00E92950" w:rsidRDefault="00E92950" w:rsidP="001C0D94">
      <w:pPr>
        <w:spacing w:line="276" w:lineRule="auto"/>
        <w:rPr>
          <w:rFonts w:ascii="Verdana" w:hAnsi="Verdana"/>
          <w:b/>
        </w:rPr>
      </w:pPr>
    </w:p>
    <w:p w14:paraId="7FB77D74" w14:textId="3D54D5C2" w:rsidR="00E92950" w:rsidRDefault="00E92950" w:rsidP="001C0D94">
      <w:pPr>
        <w:spacing w:line="276" w:lineRule="auto"/>
        <w:rPr>
          <w:rFonts w:ascii="Verdana" w:hAnsi="Verdana"/>
          <w:b/>
        </w:rPr>
      </w:pPr>
    </w:p>
    <w:p w14:paraId="7A994ED0" w14:textId="66716B82" w:rsidR="00E92950" w:rsidRDefault="00E92950" w:rsidP="001C0D94">
      <w:pPr>
        <w:spacing w:line="276" w:lineRule="auto"/>
        <w:rPr>
          <w:rFonts w:ascii="Verdana" w:hAnsi="Verdana"/>
          <w:b/>
        </w:rPr>
      </w:pPr>
    </w:p>
    <w:p w14:paraId="28365470" w14:textId="475209FB" w:rsidR="00E92950" w:rsidRDefault="00E92950" w:rsidP="001C0D94">
      <w:pPr>
        <w:spacing w:line="276" w:lineRule="auto"/>
        <w:rPr>
          <w:rFonts w:ascii="Verdana" w:hAnsi="Verdana"/>
          <w:b/>
        </w:rPr>
      </w:pPr>
    </w:p>
    <w:p w14:paraId="3155ABFD" w14:textId="3EB3DF87" w:rsidR="00E92950" w:rsidRDefault="00E92950" w:rsidP="001C0D94">
      <w:pPr>
        <w:spacing w:line="276" w:lineRule="auto"/>
        <w:rPr>
          <w:rFonts w:ascii="Verdana" w:hAnsi="Verdana"/>
          <w:b/>
        </w:rPr>
      </w:pPr>
    </w:p>
    <w:p w14:paraId="159316FC" w14:textId="46E58C53" w:rsidR="00E92950" w:rsidRDefault="00E92950" w:rsidP="001C0D94">
      <w:pPr>
        <w:spacing w:line="276" w:lineRule="auto"/>
        <w:rPr>
          <w:rFonts w:ascii="Verdana" w:hAnsi="Verdana"/>
          <w:b/>
        </w:rPr>
      </w:pPr>
    </w:p>
    <w:p w14:paraId="6F4530A1" w14:textId="4C678095" w:rsidR="00E92950" w:rsidRDefault="00E92950" w:rsidP="001C0D94">
      <w:pPr>
        <w:spacing w:line="276" w:lineRule="auto"/>
        <w:rPr>
          <w:rFonts w:ascii="Verdana" w:hAnsi="Verdana"/>
          <w:b/>
        </w:rPr>
      </w:pPr>
    </w:p>
    <w:p w14:paraId="39BCA3C7" w14:textId="14E3E65B" w:rsidR="00E92950" w:rsidRDefault="00E92950" w:rsidP="001C0D94">
      <w:pPr>
        <w:spacing w:line="276" w:lineRule="auto"/>
        <w:rPr>
          <w:rFonts w:ascii="Verdana" w:hAnsi="Verdana"/>
          <w:b/>
        </w:rPr>
      </w:pPr>
    </w:p>
    <w:p w14:paraId="0608FB77" w14:textId="21A3C5DF" w:rsidR="00E92950" w:rsidRDefault="00E92950" w:rsidP="001C0D94">
      <w:pPr>
        <w:spacing w:line="276" w:lineRule="auto"/>
        <w:rPr>
          <w:rFonts w:ascii="Verdana" w:hAnsi="Verdana"/>
          <w:b/>
        </w:rPr>
      </w:pPr>
    </w:p>
    <w:p w14:paraId="22EAB3FC" w14:textId="21079853" w:rsidR="00E92950" w:rsidRDefault="00E92950" w:rsidP="001C0D94">
      <w:pPr>
        <w:spacing w:line="276" w:lineRule="auto"/>
        <w:rPr>
          <w:rFonts w:ascii="Verdana" w:hAnsi="Verdana"/>
          <w:b/>
        </w:rPr>
      </w:pPr>
    </w:p>
    <w:p w14:paraId="3B6B7075" w14:textId="77777777" w:rsidR="00E92950" w:rsidRDefault="00E92950" w:rsidP="001C0D94">
      <w:pPr>
        <w:spacing w:line="276" w:lineRule="auto"/>
        <w:rPr>
          <w:rFonts w:ascii="Verdana" w:hAnsi="Verdana"/>
          <w:b/>
        </w:rPr>
      </w:pPr>
    </w:p>
    <w:p w14:paraId="19539FE2" w14:textId="44F9C820" w:rsidR="00E92950" w:rsidRDefault="00E92950" w:rsidP="001C0D94">
      <w:pPr>
        <w:spacing w:line="276" w:lineRule="auto"/>
        <w:rPr>
          <w:rFonts w:ascii="Verdana" w:hAnsi="Verdana"/>
          <w:b/>
        </w:rPr>
      </w:pPr>
      <w:r>
        <w:rPr>
          <w:rFonts w:ascii="Verdana" w:hAnsi="Verdana"/>
          <w:b/>
        </w:rPr>
        <w:lastRenderedPageBreak/>
        <w:t>Appendix 11</w:t>
      </w:r>
    </w:p>
    <w:p w14:paraId="3D7F49F1" w14:textId="574485FB" w:rsidR="00E92950" w:rsidRDefault="00E92950" w:rsidP="001C0D94">
      <w:pPr>
        <w:spacing w:line="276" w:lineRule="auto"/>
        <w:rPr>
          <w:rFonts w:ascii="Verdana" w:hAnsi="Verdana"/>
          <w:b/>
        </w:rPr>
      </w:pPr>
    </w:p>
    <w:p w14:paraId="7AD4C971" w14:textId="23C61D36" w:rsidR="00E92950" w:rsidRDefault="00E92950" w:rsidP="001C0D94">
      <w:pPr>
        <w:spacing w:line="276" w:lineRule="auto"/>
        <w:rPr>
          <w:rFonts w:ascii="Verdana" w:hAnsi="Verdana"/>
          <w:b/>
        </w:rPr>
      </w:pPr>
      <w:r w:rsidRPr="00B91E1B">
        <w:rPr>
          <w:rFonts w:ascii="Arial" w:hAnsi="Arial" w:cs="Arial"/>
          <w:b/>
          <w:noProof/>
          <w:sz w:val="28"/>
        </w:rPr>
        <w:drawing>
          <wp:inline distT="0" distB="0" distL="0" distR="0" wp14:anchorId="69688B22" wp14:editId="46838836">
            <wp:extent cx="5727700" cy="2208530"/>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e-test data.tiff"/>
                    <pic:cNvPicPr/>
                  </pic:nvPicPr>
                  <pic:blipFill>
                    <a:blip r:embed="rId44">
                      <a:extLst>
                        <a:ext uri="{28A0092B-C50C-407E-A947-70E740481C1C}">
                          <a14:useLocalDpi xmlns:a14="http://schemas.microsoft.com/office/drawing/2010/main" val="0"/>
                        </a:ext>
                      </a:extLst>
                    </a:blip>
                    <a:stretch>
                      <a:fillRect/>
                    </a:stretch>
                  </pic:blipFill>
                  <pic:spPr>
                    <a:xfrm>
                      <a:off x="0" y="0"/>
                      <a:ext cx="5727700" cy="2208530"/>
                    </a:xfrm>
                    <a:prstGeom prst="rect">
                      <a:avLst/>
                    </a:prstGeom>
                  </pic:spPr>
                </pic:pic>
              </a:graphicData>
            </a:graphic>
          </wp:inline>
        </w:drawing>
      </w:r>
    </w:p>
    <w:p w14:paraId="025B58E4" w14:textId="2B7FC4BC" w:rsidR="00E92950" w:rsidRDefault="00E92950" w:rsidP="001C0D94">
      <w:pPr>
        <w:spacing w:line="276" w:lineRule="auto"/>
        <w:rPr>
          <w:rFonts w:ascii="Verdana" w:hAnsi="Verdana"/>
          <w:b/>
        </w:rPr>
      </w:pPr>
    </w:p>
    <w:p w14:paraId="5FAB1784" w14:textId="70DC9ADB" w:rsidR="00E92950" w:rsidRDefault="00E92950" w:rsidP="001C0D94">
      <w:pPr>
        <w:spacing w:line="276" w:lineRule="auto"/>
        <w:rPr>
          <w:rFonts w:ascii="Verdana" w:hAnsi="Verdana"/>
          <w:b/>
        </w:rPr>
      </w:pPr>
      <w:r>
        <w:rPr>
          <w:rFonts w:ascii="Verdana" w:hAnsi="Verdana"/>
          <w:b/>
        </w:rPr>
        <w:t>Appendix 12</w:t>
      </w:r>
    </w:p>
    <w:p w14:paraId="5A2DA5B7" w14:textId="243B3586" w:rsidR="00E92950" w:rsidRDefault="00E92950" w:rsidP="001C0D94">
      <w:pPr>
        <w:spacing w:line="276" w:lineRule="auto"/>
        <w:rPr>
          <w:rFonts w:ascii="Verdana" w:hAnsi="Verdana"/>
          <w:b/>
        </w:rPr>
      </w:pPr>
    </w:p>
    <w:p w14:paraId="0E811991" w14:textId="25A79B8A" w:rsidR="00E92950" w:rsidRDefault="00E92950" w:rsidP="001C0D94">
      <w:pPr>
        <w:spacing w:line="276" w:lineRule="auto"/>
        <w:rPr>
          <w:rFonts w:ascii="Verdana" w:hAnsi="Verdana"/>
          <w:b/>
        </w:rPr>
      </w:pPr>
      <w:r>
        <w:rPr>
          <w:rFonts w:ascii="Arial" w:hAnsi="Arial" w:cs="Arial"/>
          <w:b/>
          <w:noProof/>
          <w:sz w:val="28"/>
        </w:rPr>
        <w:drawing>
          <wp:inline distT="0" distB="0" distL="0" distR="0" wp14:anchorId="48AC38DE" wp14:editId="5702E8BE">
            <wp:extent cx="5727700" cy="2216785"/>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ost-test data.tiff"/>
                    <pic:cNvPicPr/>
                  </pic:nvPicPr>
                  <pic:blipFill>
                    <a:blip r:embed="rId45">
                      <a:extLst>
                        <a:ext uri="{28A0092B-C50C-407E-A947-70E740481C1C}">
                          <a14:useLocalDpi xmlns:a14="http://schemas.microsoft.com/office/drawing/2010/main" val="0"/>
                        </a:ext>
                      </a:extLst>
                    </a:blip>
                    <a:stretch>
                      <a:fillRect/>
                    </a:stretch>
                  </pic:blipFill>
                  <pic:spPr>
                    <a:xfrm>
                      <a:off x="0" y="0"/>
                      <a:ext cx="5727700" cy="2216785"/>
                    </a:xfrm>
                    <a:prstGeom prst="rect">
                      <a:avLst/>
                    </a:prstGeom>
                  </pic:spPr>
                </pic:pic>
              </a:graphicData>
            </a:graphic>
          </wp:inline>
        </w:drawing>
      </w:r>
    </w:p>
    <w:p w14:paraId="2A06CC42" w14:textId="2FEE007A" w:rsidR="00E92950" w:rsidRDefault="00E92950" w:rsidP="001C0D94">
      <w:pPr>
        <w:spacing w:line="276" w:lineRule="auto"/>
        <w:rPr>
          <w:rFonts w:ascii="Verdana" w:hAnsi="Verdana"/>
          <w:b/>
        </w:rPr>
      </w:pPr>
    </w:p>
    <w:p w14:paraId="65CB34E3" w14:textId="77777777" w:rsidR="00E92950" w:rsidRDefault="00E92950" w:rsidP="001C0D94">
      <w:pPr>
        <w:spacing w:line="276" w:lineRule="auto"/>
        <w:rPr>
          <w:rFonts w:ascii="Verdana" w:hAnsi="Verdana"/>
          <w:b/>
        </w:rPr>
      </w:pPr>
    </w:p>
    <w:p w14:paraId="3127D7CC" w14:textId="77777777" w:rsidR="00E92950" w:rsidRDefault="00E92950" w:rsidP="001C0D94">
      <w:pPr>
        <w:spacing w:line="276" w:lineRule="auto"/>
        <w:rPr>
          <w:rFonts w:ascii="Verdana" w:hAnsi="Verdana"/>
          <w:b/>
        </w:rPr>
      </w:pPr>
    </w:p>
    <w:p w14:paraId="5657AFE6" w14:textId="77777777" w:rsidR="00E92950" w:rsidRDefault="00E92950" w:rsidP="001C0D94">
      <w:pPr>
        <w:spacing w:line="276" w:lineRule="auto"/>
        <w:rPr>
          <w:rFonts w:ascii="Verdana" w:hAnsi="Verdana"/>
          <w:b/>
        </w:rPr>
      </w:pPr>
    </w:p>
    <w:p w14:paraId="18F64D06" w14:textId="77777777" w:rsidR="00E92950" w:rsidRDefault="00E92950" w:rsidP="001C0D94">
      <w:pPr>
        <w:spacing w:line="276" w:lineRule="auto"/>
        <w:rPr>
          <w:rFonts w:ascii="Verdana" w:hAnsi="Verdana"/>
          <w:b/>
        </w:rPr>
      </w:pPr>
    </w:p>
    <w:p w14:paraId="56391203" w14:textId="77777777" w:rsidR="00E92950" w:rsidRDefault="00E92950" w:rsidP="001C0D94">
      <w:pPr>
        <w:spacing w:line="276" w:lineRule="auto"/>
        <w:rPr>
          <w:rFonts w:ascii="Verdana" w:hAnsi="Verdana"/>
          <w:b/>
        </w:rPr>
      </w:pPr>
    </w:p>
    <w:p w14:paraId="2F8DCA49" w14:textId="77777777" w:rsidR="00E92950" w:rsidRDefault="00E92950" w:rsidP="001C0D94">
      <w:pPr>
        <w:spacing w:line="276" w:lineRule="auto"/>
        <w:rPr>
          <w:rFonts w:ascii="Verdana" w:hAnsi="Verdana"/>
          <w:b/>
        </w:rPr>
      </w:pPr>
    </w:p>
    <w:p w14:paraId="30D54946" w14:textId="77777777" w:rsidR="00E92950" w:rsidRDefault="00E92950" w:rsidP="001C0D94">
      <w:pPr>
        <w:spacing w:line="276" w:lineRule="auto"/>
        <w:rPr>
          <w:rFonts w:ascii="Verdana" w:hAnsi="Verdana"/>
          <w:b/>
        </w:rPr>
      </w:pPr>
    </w:p>
    <w:p w14:paraId="2CF42A77" w14:textId="77777777" w:rsidR="00E92950" w:rsidRDefault="00E92950" w:rsidP="001C0D94">
      <w:pPr>
        <w:spacing w:line="276" w:lineRule="auto"/>
        <w:rPr>
          <w:rFonts w:ascii="Verdana" w:hAnsi="Verdana"/>
          <w:b/>
        </w:rPr>
      </w:pPr>
    </w:p>
    <w:p w14:paraId="6819DA62" w14:textId="77777777" w:rsidR="00E92950" w:rsidRDefault="00E92950" w:rsidP="001C0D94">
      <w:pPr>
        <w:spacing w:line="276" w:lineRule="auto"/>
        <w:rPr>
          <w:rFonts w:ascii="Verdana" w:hAnsi="Verdana"/>
          <w:b/>
        </w:rPr>
      </w:pPr>
    </w:p>
    <w:p w14:paraId="053522DC" w14:textId="77777777" w:rsidR="00E92950" w:rsidRDefault="00E92950" w:rsidP="001C0D94">
      <w:pPr>
        <w:spacing w:line="276" w:lineRule="auto"/>
        <w:rPr>
          <w:rFonts w:ascii="Verdana" w:hAnsi="Verdana"/>
          <w:b/>
        </w:rPr>
      </w:pPr>
    </w:p>
    <w:p w14:paraId="714E6711" w14:textId="77777777" w:rsidR="00E92950" w:rsidRDefault="00E92950" w:rsidP="001C0D94">
      <w:pPr>
        <w:spacing w:line="276" w:lineRule="auto"/>
        <w:rPr>
          <w:rFonts w:ascii="Verdana" w:hAnsi="Verdana"/>
          <w:b/>
        </w:rPr>
      </w:pPr>
    </w:p>
    <w:p w14:paraId="70D54DF7" w14:textId="77777777" w:rsidR="00E92950" w:rsidRDefault="00E92950" w:rsidP="001C0D94">
      <w:pPr>
        <w:spacing w:line="276" w:lineRule="auto"/>
        <w:rPr>
          <w:rFonts w:ascii="Verdana" w:hAnsi="Verdana"/>
          <w:b/>
        </w:rPr>
      </w:pPr>
    </w:p>
    <w:p w14:paraId="6A4EAEF4" w14:textId="77777777" w:rsidR="00E92950" w:rsidRDefault="00E92950" w:rsidP="001C0D94">
      <w:pPr>
        <w:spacing w:line="276" w:lineRule="auto"/>
        <w:rPr>
          <w:rFonts w:ascii="Verdana" w:hAnsi="Verdana"/>
          <w:b/>
        </w:rPr>
      </w:pPr>
    </w:p>
    <w:p w14:paraId="37834160" w14:textId="77777777" w:rsidR="00E92950" w:rsidRDefault="00E92950" w:rsidP="001C0D94">
      <w:pPr>
        <w:spacing w:line="276" w:lineRule="auto"/>
        <w:rPr>
          <w:rFonts w:ascii="Verdana" w:hAnsi="Verdana"/>
          <w:b/>
        </w:rPr>
      </w:pPr>
    </w:p>
    <w:p w14:paraId="58950ED4" w14:textId="679AC4F8" w:rsidR="00E92950" w:rsidRDefault="00E92950" w:rsidP="001C0D94">
      <w:pPr>
        <w:spacing w:line="276" w:lineRule="auto"/>
        <w:rPr>
          <w:rFonts w:ascii="Verdana" w:hAnsi="Verdana"/>
          <w:b/>
        </w:rPr>
      </w:pPr>
      <w:r>
        <w:rPr>
          <w:rFonts w:ascii="Verdana" w:hAnsi="Verdana"/>
          <w:b/>
        </w:rPr>
        <w:lastRenderedPageBreak/>
        <w:t>Appendix 13</w:t>
      </w:r>
    </w:p>
    <w:p w14:paraId="47E132A2" w14:textId="25605F39" w:rsidR="00E92950" w:rsidRDefault="00E92950" w:rsidP="001C0D94">
      <w:pPr>
        <w:spacing w:line="276" w:lineRule="auto"/>
        <w:rPr>
          <w:rFonts w:ascii="Verdana" w:hAnsi="Verdana"/>
          <w:b/>
        </w:rPr>
      </w:pPr>
    </w:p>
    <w:p w14:paraId="7D31D689" w14:textId="16A787F3" w:rsidR="00E92950" w:rsidRPr="00E92950" w:rsidRDefault="00E92950" w:rsidP="001C0D94">
      <w:pPr>
        <w:spacing w:line="276" w:lineRule="auto"/>
        <w:rPr>
          <w:rFonts w:ascii="Verdana" w:hAnsi="Verdana"/>
          <w:b/>
        </w:rPr>
      </w:pPr>
      <w:r>
        <w:rPr>
          <w:rFonts w:ascii="Arial" w:hAnsi="Arial" w:cs="Arial"/>
          <w:b/>
          <w:noProof/>
          <w:sz w:val="28"/>
        </w:rPr>
        <w:drawing>
          <wp:inline distT="0" distB="0" distL="0" distR="0" wp14:anchorId="3417296E" wp14:editId="44EF8D54">
            <wp:extent cx="5727700" cy="3639185"/>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nalysis data.tiff"/>
                    <pic:cNvPicPr/>
                  </pic:nvPicPr>
                  <pic:blipFill>
                    <a:blip r:embed="rId46">
                      <a:extLst>
                        <a:ext uri="{28A0092B-C50C-407E-A947-70E740481C1C}">
                          <a14:useLocalDpi xmlns:a14="http://schemas.microsoft.com/office/drawing/2010/main" val="0"/>
                        </a:ext>
                      </a:extLst>
                    </a:blip>
                    <a:stretch>
                      <a:fillRect/>
                    </a:stretch>
                  </pic:blipFill>
                  <pic:spPr>
                    <a:xfrm>
                      <a:off x="0" y="0"/>
                      <a:ext cx="5727700" cy="3639185"/>
                    </a:xfrm>
                    <a:prstGeom prst="rect">
                      <a:avLst/>
                    </a:prstGeom>
                  </pic:spPr>
                </pic:pic>
              </a:graphicData>
            </a:graphic>
          </wp:inline>
        </w:drawing>
      </w:r>
    </w:p>
    <w:p w14:paraId="00D849C2" w14:textId="77777777" w:rsidR="00E92950" w:rsidRPr="00E92950" w:rsidRDefault="00E92950" w:rsidP="001C0D94">
      <w:pPr>
        <w:spacing w:line="276" w:lineRule="auto"/>
        <w:rPr>
          <w:rFonts w:ascii="Verdana" w:hAnsi="Verdana"/>
          <w:sz w:val="28"/>
        </w:rPr>
      </w:pPr>
    </w:p>
    <w:sectPr w:rsidR="00E92950" w:rsidRPr="00E92950" w:rsidSect="00BF0083">
      <w:headerReference w:type="default" r:id="rId47"/>
      <w:footerReference w:type="even" r:id="rId48"/>
      <w:footerReference w:type="default" r:id="rId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D1088" w14:textId="77777777" w:rsidR="0084569D" w:rsidRDefault="0084569D" w:rsidP="001C0D94">
      <w:r>
        <w:separator/>
      </w:r>
    </w:p>
  </w:endnote>
  <w:endnote w:type="continuationSeparator" w:id="0">
    <w:p w14:paraId="13CE9EE7" w14:textId="77777777" w:rsidR="0084569D" w:rsidRDefault="0084569D" w:rsidP="001C0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232836"/>
      <w:docPartObj>
        <w:docPartGallery w:val="Page Numbers (Bottom of Page)"/>
        <w:docPartUnique/>
      </w:docPartObj>
    </w:sdtPr>
    <w:sdtContent>
      <w:p w14:paraId="0DA7732F" w14:textId="06E7AC9F" w:rsidR="001C0D94" w:rsidRDefault="001C0D94" w:rsidP="00B47C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FACFBC" w14:textId="77777777" w:rsidR="001C0D94" w:rsidRDefault="001C0D94" w:rsidP="001C0D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2810558"/>
      <w:docPartObj>
        <w:docPartGallery w:val="Page Numbers (Bottom of Page)"/>
        <w:docPartUnique/>
      </w:docPartObj>
    </w:sdtPr>
    <w:sdtContent>
      <w:p w14:paraId="484716CE" w14:textId="1095ED5A" w:rsidR="001C0D94" w:rsidRDefault="001C0D94" w:rsidP="00B47C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54ED1DB" w14:textId="55A97AFA" w:rsidR="001C0D94" w:rsidRPr="001C0D94" w:rsidRDefault="001C0D94" w:rsidP="001C0D94">
    <w:pPr>
      <w:pStyle w:val="Footer"/>
      <w:ind w:right="360"/>
      <w:rPr>
        <w:rFonts w:ascii="Verdana" w:hAnsi="Verdana"/>
      </w:rPr>
    </w:pPr>
    <w:r w:rsidRPr="001C0D94">
      <w:rPr>
        <w:rFonts w:ascii="Verdana" w:hAnsi="Verdana"/>
      </w:rPr>
      <w:t xml:space="preserve">Lauren </w:t>
    </w:r>
    <w:proofErr w:type="spellStart"/>
    <w:r w:rsidRPr="001C0D94">
      <w:rPr>
        <w:rFonts w:ascii="Verdana" w:hAnsi="Verdana"/>
      </w:rPr>
      <w:t>Alcoran</w:t>
    </w:r>
    <w:proofErr w:type="spellEnd"/>
    <w:r w:rsidRPr="001C0D94">
      <w:rPr>
        <w:rFonts w:ascii="Verdana" w:hAnsi="Verdana"/>
      </w:rPr>
      <w:tab/>
      <w:t>1805173</w:t>
    </w:r>
    <w:r w:rsidRPr="001C0D94">
      <w:rPr>
        <w:rFonts w:ascii="Verdana" w:hAnsi="Verdan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2C7A9" w14:textId="77777777" w:rsidR="0084569D" w:rsidRDefault="0084569D" w:rsidP="001C0D94">
      <w:r>
        <w:separator/>
      </w:r>
    </w:p>
  </w:footnote>
  <w:footnote w:type="continuationSeparator" w:id="0">
    <w:p w14:paraId="7D104B4F" w14:textId="77777777" w:rsidR="0084569D" w:rsidRDefault="0084569D" w:rsidP="001C0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59060" w14:textId="0F8C2382" w:rsidR="001C0D94" w:rsidRPr="001C0D94" w:rsidRDefault="001C0D94">
    <w:pPr>
      <w:pStyle w:val="Header"/>
      <w:rPr>
        <w:rFonts w:ascii="Verdana" w:hAnsi="Verdana"/>
      </w:rPr>
    </w:pPr>
    <w:r w:rsidRPr="001C0D94">
      <w:rPr>
        <w:rFonts w:ascii="Verdana" w:hAnsi="Verdana"/>
      </w:rPr>
      <w:t>Curriculum Development and Enhancement</w:t>
    </w:r>
    <w:r w:rsidRPr="001C0D94">
      <w:rPr>
        <w:rFonts w:ascii="Verdana" w:hAnsi="Verdana"/>
      </w:rPr>
      <w:tab/>
      <w:t>ECSP7002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60E9"/>
    <w:multiLevelType w:val="hybridMultilevel"/>
    <w:tmpl w:val="2DEAD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7132E3"/>
    <w:multiLevelType w:val="hybridMultilevel"/>
    <w:tmpl w:val="D7A2E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849"/>
    <w:rsid w:val="000F39D8"/>
    <w:rsid w:val="00191D6A"/>
    <w:rsid w:val="001A5849"/>
    <w:rsid w:val="001C0D94"/>
    <w:rsid w:val="006908C1"/>
    <w:rsid w:val="0084569D"/>
    <w:rsid w:val="00925416"/>
    <w:rsid w:val="00A64165"/>
    <w:rsid w:val="00BD315B"/>
    <w:rsid w:val="00BF0083"/>
    <w:rsid w:val="00E92950"/>
    <w:rsid w:val="00F22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B66EE"/>
  <w14:defaultImageDpi w14:val="32767"/>
  <w15:chartTrackingRefBased/>
  <w15:docId w15:val="{15DCBDB6-8B30-094C-AEA5-0BEA161C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5849"/>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1C0D94"/>
    <w:pPr>
      <w:tabs>
        <w:tab w:val="center" w:pos="4680"/>
        <w:tab w:val="right" w:pos="9360"/>
      </w:tabs>
    </w:pPr>
  </w:style>
  <w:style w:type="character" w:customStyle="1" w:styleId="HeaderChar">
    <w:name w:val="Header Char"/>
    <w:basedOn w:val="DefaultParagraphFont"/>
    <w:link w:val="Header"/>
    <w:uiPriority w:val="99"/>
    <w:rsid w:val="001C0D94"/>
    <w:rPr>
      <w:lang w:val="en-GB"/>
    </w:rPr>
  </w:style>
  <w:style w:type="paragraph" w:styleId="Footer">
    <w:name w:val="footer"/>
    <w:basedOn w:val="Normal"/>
    <w:link w:val="FooterChar"/>
    <w:uiPriority w:val="99"/>
    <w:unhideWhenUsed/>
    <w:rsid w:val="001C0D94"/>
    <w:pPr>
      <w:tabs>
        <w:tab w:val="center" w:pos="4680"/>
        <w:tab w:val="right" w:pos="9360"/>
      </w:tabs>
    </w:pPr>
  </w:style>
  <w:style w:type="character" w:customStyle="1" w:styleId="FooterChar">
    <w:name w:val="Footer Char"/>
    <w:basedOn w:val="DefaultParagraphFont"/>
    <w:link w:val="Footer"/>
    <w:uiPriority w:val="99"/>
    <w:rsid w:val="001C0D94"/>
    <w:rPr>
      <w:lang w:val="en-GB"/>
    </w:rPr>
  </w:style>
  <w:style w:type="character" w:styleId="PageNumber">
    <w:name w:val="page number"/>
    <w:basedOn w:val="DefaultParagraphFont"/>
    <w:uiPriority w:val="99"/>
    <w:semiHidden/>
    <w:unhideWhenUsed/>
    <w:rsid w:val="001C0D94"/>
  </w:style>
  <w:style w:type="paragraph" w:styleId="ListParagraph">
    <w:name w:val="List Paragraph"/>
    <w:basedOn w:val="Normal"/>
    <w:uiPriority w:val="34"/>
    <w:qFormat/>
    <w:rsid w:val="001C0D94"/>
    <w:pPr>
      <w:ind w:left="720"/>
      <w:contextualSpacing/>
    </w:pPr>
  </w:style>
  <w:style w:type="character" w:styleId="Hyperlink">
    <w:name w:val="Hyperlink"/>
    <w:basedOn w:val="DefaultParagraphFont"/>
    <w:uiPriority w:val="99"/>
    <w:unhideWhenUsed/>
    <w:rsid w:val="009254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882734">
      <w:bodyDiv w:val="1"/>
      <w:marLeft w:val="0"/>
      <w:marRight w:val="0"/>
      <w:marTop w:val="0"/>
      <w:marBottom w:val="0"/>
      <w:divBdr>
        <w:top w:val="none" w:sz="0" w:space="0" w:color="auto"/>
        <w:left w:val="none" w:sz="0" w:space="0" w:color="auto"/>
        <w:bottom w:val="none" w:sz="0" w:space="0" w:color="auto"/>
        <w:right w:val="none" w:sz="0" w:space="0" w:color="auto"/>
      </w:divBdr>
      <w:divsChild>
        <w:div w:id="106393121">
          <w:marLeft w:val="0"/>
          <w:marRight w:val="0"/>
          <w:marTop w:val="0"/>
          <w:marBottom w:val="0"/>
          <w:divBdr>
            <w:top w:val="none" w:sz="0" w:space="0" w:color="auto"/>
            <w:left w:val="none" w:sz="0" w:space="0" w:color="auto"/>
            <w:bottom w:val="none" w:sz="0" w:space="0" w:color="auto"/>
            <w:right w:val="none" w:sz="0" w:space="0" w:color="auto"/>
          </w:divBdr>
          <w:divsChild>
            <w:div w:id="566036291">
              <w:marLeft w:val="0"/>
              <w:marRight w:val="0"/>
              <w:marTop w:val="0"/>
              <w:marBottom w:val="0"/>
              <w:divBdr>
                <w:top w:val="none" w:sz="0" w:space="0" w:color="auto"/>
                <w:left w:val="none" w:sz="0" w:space="0" w:color="auto"/>
                <w:bottom w:val="none" w:sz="0" w:space="0" w:color="auto"/>
                <w:right w:val="none" w:sz="0" w:space="0" w:color="auto"/>
              </w:divBdr>
              <w:divsChild>
                <w:div w:id="238096182">
                  <w:marLeft w:val="0"/>
                  <w:marRight w:val="0"/>
                  <w:marTop w:val="0"/>
                  <w:marBottom w:val="0"/>
                  <w:divBdr>
                    <w:top w:val="none" w:sz="0" w:space="0" w:color="auto"/>
                    <w:left w:val="none" w:sz="0" w:space="0" w:color="auto"/>
                    <w:bottom w:val="none" w:sz="0" w:space="0" w:color="auto"/>
                    <w:right w:val="none" w:sz="0" w:space="0" w:color="auto"/>
                  </w:divBdr>
                </w:div>
              </w:divsChild>
            </w:div>
            <w:div w:id="1872718919">
              <w:marLeft w:val="0"/>
              <w:marRight w:val="0"/>
              <w:marTop w:val="0"/>
              <w:marBottom w:val="0"/>
              <w:divBdr>
                <w:top w:val="none" w:sz="0" w:space="0" w:color="auto"/>
                <w:left w:val="none" w:sz="0" w:space="0" w:color="auto"/>
                <w:bottom w:val="none" w:sz="0" w:space="0" w:color="auto"/>
                <w:right w:val="none" w:sz="0" w:space="0" w:color="auto"/>
              </w:divBdr>
              <w:divsChild>
                <w:div w:id="605693781">
                  <w:marLeft w:val="0"/>
                  <w:marRight w:val="0"/>
                  <w:marTop w:val="0"/>
                  <w:marBottom w:val="0"/>
                  <w:divBdr>
                    <w:top w:val="none" w:sz="0" w:space="0" w:color="auto"/>
                    <w:left w:val="none" w:sz="0" w:space="0" w:color="auto"/>
                    <w:bottom w:val="none" w:sz="0" w:space="0" w:color="auto"/>
                    <w:right w:val="none" w:sz="0" w:space="0" w:color="auto"/>
                  </w:divBdr>
                </w:div>
              </w:divsChild>
            </w:div>
            <w:div w:id="525599259">
              <w:marLeft w:val="0"/>
              <w:marRight w:val="0"/>
              <w:marTop w:val="0"/>
              <w:marBottom w:val="0"/>
              <w:divBdr>
                <w:top w:val="none" w:sz="0" w:space="0" w:color="auto"/>
                <w:left w:val="none" w:sz="0" w:space="0" w:color="auto"/>
                <w:bottom w:val="none" w:sz="0" w:space="0" w:color="auto"/>
                <w:right w:val="none" w:sz="0" w:space="0" w:color="auto"/>
              </w:divBdr>
              <w:divsChild>
                <w:div w:id="426467809">
                  <w:marLeft w:val="0"/>
                  <w:marRight w:val="0"/>
                  <w:marTop w:val="0"/>
                  <w:marBottom w:val="0"/>
                  <w:divBdr>
                    <w:top w:val="none" w:sz="0" w:space="0" w:color="auto"/>
                    <w:left w:val="none" w:sz="0" w:space="0" w:color="auto"/>
                    <w:bottom w:val="none" w:sz="0" w:space="0" w:color="auto"/>
                    <w:right w:val="none" w:sz="0" w:space="0" w:color="auto"/>
                  </w:divBdr>
                </w:div>
              </w:divsChild>
            </w:div>
            <w:div w:id="1000281190">
              <w:marLeft w:val="0"/>
              <w:marRight w:val="0"/>
              <w:marTop w:val="0"/>
              <w:marBottom w:val="0"/>
              <w:divBdr>
                <w:top w:val="none" w:sz="0" w:space="0" w:color="auto"/>
                <w:left w:val="none" w:sz="0" w:space="0" w:color="auto"/>
                <w:bottom w:val="none" w:sz="0" w:space="0" w:color="auto"/>
                <w:right w:val="none" w:sz="0" w:space="0" w:color="auto"/>
              </w:divBdr>
              <w:divsChild>
                <w:div w:id="1058285275">
                  <w:marLeft w:val="0"/>
                  <w:marRight w:val="0"/>
                  <w:marTop w:val="0"/>
                  <w:marBottom w:val="0"/>
                  <w:divBdr>
                    <w:top w:val="none" w:sz="0" w:space="0" w:color="auto"/>
                    <w:left w:val="none" w:sz="0" w:space="0" w:color="auto"/>
                    <w:bottom w:val="none" w:sz="0" w:space="0" w:color="auto"/>
                    <w:right w:val="none" w:sz="0" w:space="0" w:color="auto"/>
                  </w:divBdr>
                </w:div>
              </w:divsChild>
            </w:div>
            <w:div w:id="553735319">
              <w:marLeft w:val="0"/>
              <w:marRight w:val="0"/>
              <w:marTop w:val="0"/>
              <w:marBottom w:val="0"/>
              <w:divBdr>
                <w:top w:val="none" w:sz="0" w:space="0" w:color="auto"/>
                <w:left w:val="none" w:sz="0" w:space="0" w:color="auto"/>
                <w:bottom w:val="none" w:sz="0" w:space="0" w:color="auto"/>
                <w:right w:val="none" w:sz="0" w:space="0" w:color="auto"/>
              </w:divBdr>
              <w:divsChild>
                <w:div w:id="270165000">
                  <w:marLeft w:val="0"/>
                  <w:marRight w:val="0"/>
                  <w:marTop w:val="0"/>
                  <w:marBottom w:val="0"/>
                  <w:divBdr>
                    <w:top w:val="none" w:sz="0" w:space="0" w:color="auto"/>
                    <w:left w:val="none" w:sz="0" w:space="0" w:color="auto"/>
                    <w:bottom w:val="none" w:sz="0" w:space="0" w:color="auto"/>
                    <w:right w:val="none" w:sz="0" w:space="0" w:color="auto"/>
                  </w:divBdr>
                </w:div>
              </w:divsChild>
            </w:div>
            <w:div w:id="1427071973">
              <w:marLeft w:val="0"/>
              <w:marRight w:val="0"/>
              <w:marTop w:val="0"/>
              <w:marBottom w:val="0"/>
              <w:divBdr>
                <w:top w:val="none" w:sz="0" w:space="0" w:color="auto"/>
                <w:left w:val="none" w:sz="0" w:space="0" w:color="auto"/>
                <w:bottom w:val="none" w:sz="0" w:space="0" w:color="auto"/>
                <w:right w:val="none" w:sz="0" w:space="0" w:color="auto"/>
              </w:divBdr>
              <w:divsChild>
                <w:div w:id="1399019205">
                  <w:marLeft w:val="0"/>
                  <w:marRight w:val="0"/>
                  <w:marTop w:val="0"/>
                  <w:marBottom w:val="0"/>
                  <w:divBdr>
                    <w:top w:val="none" w:sz="0" w:space="0" w:color="auto"/>
                    <w:left w:val="none" w:sz="0" w:space="0" w:color="auto"/>
                    <w:bottom w:val="none" w:sz="0" w:space="0" w:color="auto"/>
                    <w:right w:val="none" w:sz="0" w:space="0" w:color="auto"/>
                  </w:divBdr>
                </w:div>
              </w:divsChild>
            </w:div>
            <w:div w:id="652028086">
              <w:marLeft w:val="0"/>
              <w:marRight w:val="0"/>
              <w:marTop w:val="0"/>
              <w:marBottom w:val="0"/>
              <w:divBdr>
                <w:top w:val="none" w:sz="0" w:space="0" w:color="auto"/>
                <w:left w:val="none" w:sz="0" w:space="0" w:color="auto"/>
                <w:bottom w:val="none" w:sz="0" w:space="0" w:color="auto"/>
                <w:right w:val="none" w:sz="0" w:space="0" w:color="auto"/>
              </w:divBdr>
              <w:divsChild>
                <w:div w:id="2022773889">
                  <w:marLeft w:val="0"/>
                  <w:marRight w:val="0"/>
                  <w:marTop w:val="0"/>
                  <w:marBottom w:val="0"/>
                  <w:divBdr>
                    <w:top w:val="none" w:sz="0" w:space="0" w:color="auto"/>
                    <w:left w:val="none" w:sz="0" w:space="0" w:color="auto"/>
                    <w:bottom w:val="none" w:sz="0" w:space="0" w:color="auto"/>
                    <w:right w:val="none" w:sz="0" w:space="0" w:color="auto"/>
                  </w:divBdr>
                </w:div>
              </w:divsChild>
            </w:div>
            <w:div w:id="1642269757">
              <w:marLeft w:val="0"/>
              <w:marRight w:val="0"/>
              <w:marTop w:val="0"/>
              <w:marBottom w:val="0"/>
              <w:divBdr>
                <w:top w:val="none" w:sz="0" w:space="0" w:color="auto"/>
                <w:left w:val="none" w:sz="0" w:space="0" w:color="auto"/>
                <w:bottom w:val="none" w:sz="0" w:space="0" w:color="auto"/>
                <w:right w:val="none" w:sz="0" w:space="0" w:color="auto"/>
              </w:divBdr>
              <w:divsChild>
                <w:div w:id="1868372349">
                  <w:marLeft w:val="0"/>
                  <w:marRight w:val="0"/>
                  <w:marTop w:val="0"/>
                  <w:marBottom w:val="0"/>
                  <w:divBdr>
                    <w:top w:val="none" w:sz="0" w:space="0" w:color="auto"/>
                    <w:left w:val="none" w:sz="0" w:space="0" w:color="auto"/>
                    <w:bottom w:val="none" w:sz="0" w:space="0" w:color="auto"/>
                    <w:right w:val="none" w:sz="0" w:space="0" w:color="auto"/>
                  </w:divBdr>
                </w:div>
              </w:divsChild>
            </w:div>
            <w:div w:id="380710427">
              <w:marLeft w:val="0"/>
              <w:marRight w:val="0"/>
              <w:marTop w:val="0"/>
              <w:marBottom w:val="0"/>
              <w:divBdr>
                <w:top w:val="none" w:sz="0" w:space="0" w:color="auto"/>
                <w:left w:val="none" w:sz="0" w:space="0" w:color="auto"/>
                <w:bottom w:val="none" w:sz="0" w:space="0" w:color="auto"/>
                <w:right w:val="none" w:sz="0" w:space="0" w:color="auto"/>
              </w:divBdr>
              <w:divsChild>
                <w:div w:id="379480899">
                  <w:marLeft w:val="0"/>
                  <w:marRight w:val="0"/>
                  <w:marTop w:val="0"/>
                  <w:marBottom w:val="0"/>
                  <w:divBdr>
                    <w:top w:val="none" w:sz="0" w:space="0" w:color="auto"/>
                    <w:left w:val="none" w:sz="0" w:space="0" w:color="auto"/>
                    <w:bottom w:val="none" w:sz="0" w:space="0" w:color="auto"/>
                    <w:right w:val="none" w:sz="0" w:space="0" w:color="auto"/>
                  </w:divBdr>
                </w:div>
              </w:divsChild>
            </w:div>
            <w:div w:id="691806173">
              <w:marLeft w:val="0"/>
              <w:marRight w:val="0"/>
              <w:marTop w:val="0"/>
              <w:marBottom w:val="0"/>
              <w:divBdr>
                <w:top w:val="none" w:sz="0" w:space="0" w:color="auto"/>
                <w:left w:val="none" w:sz="0" w:space="0" w:color="auto"/>
                <w:bottom w:val="none" w:sz="0" w:space="0" w:color="auto"/>
                <w:right w:val="none" w:sz="0" w:space="0" w:color="auto"/>
              </w:divBdr>
              <w:divsChild>
                <w:div w:id="1661691906">
                  <w:marLeft w:val="0"/>
                  <w:marRight w:val="0"/>
                  <w:marTop w:val="0"/>
                  <w:marBottom w:val="0"/>
                  <w:divBdr>
                    <w:top w:val="none" w:sz="0" w:space="0" w:color="auto"/>
                    <w:left w:val="none" w:sz="0" w:space="0" w:color="auto"/>
                    <w:bottom w:val="none" w:sz="0" w:space="0" w:color="auto"/>
                    <w:right w:val="none" w:sz="0" w:space="0" w:color="auto"/>
                  </w:divBdr>
                </w:div>
              </w:divsChild>
            </w:div>
            <w:div w:id="650325568">
              <w:marLeft w:val="0"/>
              <w:marRight w:val="0"/>
              <w:marTop w:val="0"/>
              <w:marBottom w:val="0"/>
              <w:divBdr>
                <w:top w:val="none" w:sz="0" w:space="0" w:color="auto"/>
                <w:left w:val="none" w:sz="0" w:space="0" w:color="auto"/>
                <w:bottom w:val="none" w:sz="0" w:space="0" w:color="auto"/>
                <w:right w:val="none" w:sz="0" w:space="0" w:color="auto"/>
              </w:divBdr>
              <w:divsChild>
                <w:div w:id="1763986391">
                  <w:marLeft w:val="0"/>
                  <w:marRight w:val="0"/>
                  <w:marTop w:val="0"/>
                  <w:marBottom w:val="0"/>
                  <w:divBdr>
                    <w:top w:val="none" w:sz="0" w:space="0" w:color="auto"/>
                    <w:left w:val="none" w:sz="0" w:space="0" w:color="auto"/>
                    <w:bottom w:val="none" w:sz="0" w:space="0" w:color="auto"/>
                    <w:right w:val="none" w:sz="0" w:space="0" w:color="auto"/>
                  </w:divBdr>
                </w:div>
              </w:divsChild>
            </w:div>
            <w:div w:id="651297916">
              <w:marLeft w:val="0"/>
              <w:marRight w:val="0"/>
              <w:marTop w:val="0"/>
              <w:marBottom w:val="0"/>
              <w:divBdr>
                <w:top w:val="none" w:sz="0" w:space="0" w:color="auto"/>
                <w:left w:val="none" w:sz="0" w:space="0" w:color="auto"/>
                <w:bottom w:val="none" w:sz="0" w:space="0" w:color="auto"/>
                <w:right w:val="none" w:sz="0" w:space="0" w:color="auto"/>
              </w:divBdr>
              <w:divsChild>
                <w:div w:id="1947107284">
                  <w:marLeft w:val="0"/>
                  <w:marRight w:val="0"/>
                  <w:marTop w:val="0"/>
                  <w:marBottom w:val="0"/>
                  <w:divBdr>
                    <w:top w:val="none" w:sz="0" w:space="0" w:color="auto"/>
                    <w:left w:val="none" w:sz="0" w:space="0" w:color="auto"/>
                    <w:bottom w:val="none" w:sz="0" w:space="0" w:color="auto"/>
                    <w:right w:val="none" w:sz="0" w:space="0" w:color="auto"/>
                  </w:divBdr>
                </w:div>
              </w:divsChild>
            </w:div>
            <w:div w:id="1053962211">
              <w:marLeft w:val="0"/>
              <w:marRight w:val="0"/>
              <w:marTop w:val="0"/>
              <w:marBottom w:val="0"/>
              <w:divBdr>
                <w:top w:val="none" w:sz="0" w:space="0" w:color="auto"/>
                <w:left w:val="none" w:sz="0" w:space="0" w:color="auto"/>
                <w:bottom w:val="none" w:sz="0" w:space="0" w:color="auto"/>
                <w:right w:val="none" w:sz="0" w:space="0" w:color="auto"/>
              </w:divBdr>
              <w:divsChild>
                <w:div w:id="120928555">
                  <w:marLeft w:val="0"/>
                  <w:marRight w:val="0"/>
                  <w:marTop w:val="0"/>
                  <w:marBottom w:val="0"/>
                  <w:divBdr>
                    <w:top w:val="none" w:sz="0" w:space="0" w:color="auto"/>
                    <w:left w:val="none" w:sz="0" w:space="0" w:color="auto"/>
                    <w:bottom w:val="none" w:sz="0" w:space="0" w:color="auto"/>
                    <w:right w:val="none" w:sz="0" w:space="0" w:color="auto"/>
                  </w:divBdr>
                </w:div>
              </w:divsChild>
            </w:div>
            <w:div w:id="1274241430">
              <w:marLeft w:val="0"/>
              <w:marRight w:val="0"/>
              <w:marTop w:val="0"/>
              <w:marBottom w:val="0"/>
              <w:divBdr>
                <w:top w:val="none" w:sz="0" w:space="0" w:color="auto"/>
                <w:left w:val="none" w:sz="0" w:space="0" w:color="auto"/>
                <w:bottom w:val="none" w:sz="0" w:space="0" w:color="auto"/>
                <w:right w:val="none" w:sz="0" w:space="0" w:color="auto"/>
              </w:divBdr>
              <w:divsChild>
                <w:div w:id="654456491">
                  <w:marLeft w:val="0"/>
                  <w:marRight w:val="0"/>
                  <w:marTop w:val="0"/>
                  <w:marBottom w:val="0"/>
                  <w:divBdr>
                    <w:top w:val="none" w:sz="0" w:space="0" w:color="auto"/>
                    <w:left w:val="none" w:sz="0" w:space="0" w:color="auto"/>
                    <w:bottom w:val="none" w:sz="0" w:space="0" w:color="auto"/>
                    <w:right w:val="none" w:sz="0" w:space="0" w:color="auto"/>
                  </w:divBdr>
                </w:div>
              </w:divsChild>
            </w:div>
            <w:div w:id="199972136">
              <w:marLeft w:val="0"/>
              <w:marRight w:val="0"/>
              <w:marTop w:val="0"/>
              <w:marBottom w:val="0"/>
              <w:divBdr>
                <w:top w:val="none" w:sz="0" w:space="0" w:color="auto"/>
                <w:left w:val="none" w:sz="0" w:space="0" w:color="auto"/>
                <w:bottom w:val="none" w:sz="0" w:space="0" w:color="auto"/>
                <w:right w:val="none" w:sz="0" w:space="0" w:color="auto"/>
              </w:divBdr>
              <w:divsChild>
                <w:div w:id="1652321838">
                  <w:marLeft w:val="0"/>
                  <w:marRight w:val="0"/>
                  <w:marTop w:val="0"/>
                  <w:marBottom w:val="0"/>
                  <w:divBdr>
                    <w:top w:val="none" w:sz="0" w:space="0" w:color="auto"/>
                    <w:left w:val="none" w:sz="0" w:space="0" w:color="auto"/>
                    <w:bottom w:val="none" w:sz="0" w:space="0" w:color="auto"/>
                    <w:right w:val="none" w:sz="0" w:space="0" w:color="auto"/>
                  </w:divBdr>
                </w:div>
              </w:divsChild>
            </w:div>
            <w:div w:id="1185289945">
              <w:marLeft w:val="0"/>
              <w:marRight w:val="0"/>
              <w:marTop w:val="0"/>
              <w:marBottom w:val="0"/>
              <w:divBdr>
                <w:top w:val="none" w:sz="0" w:space="0" w:color="auto"/>
                <w:left w:val="none" w:sz="0" w:space="0" w:color="auto"/>
                <w:bottom w:val="none" w:sz="0" w:space="0" w:color="auto"/>
                <w:right w:val="none" w:sz="0" w:space="0" w:color="auto"/>
              </w:divBdr>
              <w:divsChild>
                <w:div w:id="1879582131">
                  <w:marLeft w:val="0"/>
                  <w:marRight w:val="0"/>
                  <w:marTop w:val="0"/>
                  <w:marBottom w:val="0"/>
                  <w:divBdr>
                    <w:top w:val="none" w:sz="0" w:space="0" w:color="auto"/>
                    <w:left w:val="none" w:sz="0" w:space="0" w:color="auto"/>
                    <w:bottom w:val="none" w:sz="0" w:space="0" w:color="auto"/>
                    <w:right w:val="none" w:sz="0" w:space="0" w:color="auto"/>
                  </w:divBdr>
                </w:div>
              </w:divsChild>
            </w:div>
            <w:div w:id="1747847310">
              <w:marLeft w:val="0"/>
              <w:marRight w:val="0"/>
              <w:marTop w:val="0"/>
              <w:marBottom w:val="0"/>
              <w:divBdr>
                <w:top w:val="none" w:sz="0" w:space="0" w:color="auto"/>
                <w:left w:val="none" w:sz="0" w:space="0" w:color="auto"/>
                <w:bottom w:val="none" w:sz="0" w:space="0" w:color="auto"/>
                <w:right w:val="none" w:sz="0" w:space="0" w:color="auto"/>
              </w:divBdr>
              <w:divsChild>
                <w:div w:id="2128044975">
                  <w:marLeft w:val="0"/>
                  <w:marRight w:val="0"/>
                  <w:marTop w:val="0"/>
                  <w:marBottom w:val="0"/>
                  <w:divBdr>
                    <w:top w:val="none" w:sz="0" w:space="0" w:color="auto"/>
                    <w:left w:val="none" w:sz="0" w:space="0" w:color="auto"/>
                    <w:bottom w:val="none" w:sz="0" w:space="0" w:color="auto"/>
                    <w:right w:val="none" w:sz="0" w:space="0" w:color="auto"/>
                  </w:divBdr>
                </w:div>
              </w:divsChild>
            </w:div>
            <w:div w:id="1656372451">
              <w:marLeft w:val="0"/>
              <w:marRight w:val="0"/>
              <w:marTop w:val="0"/>
              <w:marBottom w:val="0"/>
              <w:divBdr>
                <w:top w:val="none" w:sz="0" w:space="0" w:color="auto"/>
                <w:left w:val="none" w:sz="0" w:space="0" w:color="auto"/>
                <w:bottom w:val="none" w:sz="0" w:space="0" w:color="auto"/>
                <w:right w:val="none" w:sz="0" w:space="0" w:color="auto"/>
              </w:divBdr>
              <w:divsChild>
                <w:div w:id="719329267">
                  <w:marLeft w:val="0"/>
                  <w:marRight w:val="0"/>
                  <w:marTop w:val="0"/>
                  <w:marBottom w:val="0"/>
                  <w:divBdr>
                    <w:top w:val="none" w:sz="0" w:space="0" w:color="auto"/>
                    <w:left w:val="none" w:sz="0" w:space="0" w:color="auto"/>
                    <w:bottom w:val="none" w:sz="0" w:space="0" w:color="auto"/>
                    <w:right w:val="none" w:sz="0" w:space="0" w:color="auto"/>
                  </w:divBdr>
                </w:div>
              </w:divsChild>
            </w:div>
            <w:div w:id="1529677552">
              <w:marLeft w:val="0"/>
              <w:marRight w:val="0"/>
              <w:marTop w:val="0"/>
              <w:marBottom w:val="0"/>
              <w:divBdr>
                <w:top w:val="none" w:sz="0" w:space="0" w:color="auto"/>
                <w:left w:val="none" w:sz="0" w:space="0" w:color="auto"/>
                <w:bottom w:val="none" w:sz="0" w:space="0" w:color="auto"/>
                <w:right w:val="none" w:sz="0" w:space="0" w:color="auto"/>
              </w:divBdr>
              <w:divsChild>
                <w:div w:id="1829594238">
                  <w:marLeft w:val="0"/>
                  <w:marRight w:val="0"/>
                  <w:marTop w:val="0"/>
                  <w:marBottom w:val="0"/>
                  <w:divBdr>
                    <w:top w:val="none" w:sz="0" w:space="0" w:color="auto"/>
                    <w:left w:val="none" w:sz="0" w:space="0" w:color="auto"/>
                    <w:bottom w:val="none" w:sz="0" w:space="0" w:color="auto"/>
                    <w:right w:val="none" w:sz="0" w:space="0" w:color="auto"/>
                  </w:divBdr>
                </w:div>
              </w:divsChild>
            </w:div>
            <w:div w:id="2004160098">
              <w:marLeft w:val="0"/>
              <w:marRight w:val="0"/>
              <w:marTop w:val="0"/>
              <w:marBottom w:val="0"/>
              <w:divBdr>
                <w:top w:val="none" w:sz="0" w:space="0" w:color="auto"/>
                <w:left w:val="none" w:sz="0" w:space="0" w:color="auto"/>
                <w:bottom w:val="none" w:sz="0" w:space="0" w:color="auto"/>
                <w:right w:val="none" w:sz="0" w:space="0" w:color="auto"/>
              </w:divBdr>
              <w:divsChild>
                <w:div w:id="982006548">
                  <w:marLeft w:val="0"/>
                  <w:marRight w:val="0"/>
                  <w:marTop w:val="0"/>
                  <w:marBottom w:val="0"/>
                  <w:divBdr>
                    <w:top w:val="none" w:sz="0" w:space="0" w:color="auto"/>
                    <w:left w:val="none" w:sz="0" w:space="0" w:color="auto"/>
                    <w:bottom w:val="none" w:sz="0" w:space="0" w:color="auto"/>
                    <w:right w:val="none" w:sz="0" w:space="0" w:color="auto"/>
                  </w:divBdr>
                </w:div>
              </w:divsChild>
            </w:div>
            <w:div w:id="1421832480">
              <w:marLeft w:val="0"/>
              <w:marRight w:val="0"/>
              <w:marTop w:val="0"/>
              <w:marBottom w:val="0"/>
              <w:divBdr>
                <w:top w:val="none" w:sz="0" w:space="0" w:color="auto"/>
                <w:left w:val="none" w:sz="0" w:space="0" w:color="auto"/>
                <w:bottom w:val="none" w:sz="0" w:space="0" w:color="auto"/>
                <w:right w:val="none" w:sz="0" w:space="0" w:color="auto"/>
              </w:divBdr>
              <w:divsChild>
                <w:div w:id="1435907538">
                  <w:marLeft w:val="0"/>
                  <w:marRight w:val="0"/>
                  <w:marTop w:val="0"/>
                  <w:marBottom w:val="0"/>
                  <w:divBdr>
                    <w:top w:val="none" w:sz="0" w:space="0" w:color="auto"/>
                    <w:left w:val="none" w:sz="0" w:space="0" w:color="auto"/>
                    <w:bottom w:val="none" w:sz="0" w:space="0" w:color="auto"/>
                    <w:right w:val="none" w:sz="0" w:space="0" w:color="auto"/>
                  </w:divBdr>
                </w:div>
              </w:divsChild>
            </w:div>
            <w:div w:id="1379403776">
              <w:marLeft w:val="0"/>
              <w:marRight w:val="0"/>
              <w:marTop w:val="0"/>
              <w:marBottom w:val="0"/>
              <w:divBdr>
                <w:top w:val="none" w:sz="0" w:space="0" w:color="auto"/>
                <w:left w:val="none" w:sz="0" w:space="0" w:color="auto"/>
                <w:bottom w:val="none" w:sz="0" w:space="0" w:color="auto"/>
                <w:right w:val="none" w:sz="0" w:space="0" w:color="auto"/>
              </w:divBdr>
              <w:divsChild>
                <w:div w:id="1991404587">
                  <w:marLeft w:val="0"/>
                  <w:marRight w:val="0"/>
                  <w:marTop w:val="0"/>
                  <w:marBottom w:val="0"/>
                  <w:divBdr>
                    <w:top w:val="none" w:sz="0" w:space="0" w:color="auto"/>
                    <w:left w:val="none" w:sz="0" w:space="0" w:color="auto"/>
                    <w:bottom w:val="none" w:sz="0" w:space="0" w:color="auto"/>
                    <w:right w:val="none" w:sz="0" w:space="0" w:color="auto"/>
                  </w:divBdr>
                </w:div>
              </w:divsChild>
            </w:div>
            <w:div w:id="1943830259">
              <w:marLeft w:val="0"/>
              <w:marRight w:val="0"/>
              <w:marTop w:val="0"/>
              <w:marBottom w:val="0"/>
              <w:divBdr>
                <w:top w:val="none" w:sz="0" w:space="0" w:color="auto"/>
                <w:left w:val="none" w:sz="0" w:space="0" w:color="auto"/>
                <w:bottom w:val="none" w:sz="0" w:space="0" w:color="auto"/>
                <w:right w:val="none" w:sz="0" w:space="0" w:color="auto"/>
              </w:divBdr>
              <w:divsChild>
                <w:div w:id="1853644816">
                  <w:marLeft w:val="0"/>
                  <w:marRight w:val="0"/>
                  <w:marTop w:val="0"/>
                  <w:marBottom w:val="0"/>
                  <w:divBdr>
                    <w:top w:val="none" w:sz="0" w:space="0" w:color="auto"/>
                    <w:left w:val="none" w:sz="0" w:space="0" w:color="auto"/>
                    <w:bottom w:val="none" w:sz="0" w:space="0" w:color="auto"/>
                    <w:right w:val="none" w:sz="0" w:space="0" w:color="auto"/>
                  </w:divBdr>
                </w:div>
              </w:divsChild>
            </w:div>
            <w:div w:id="1116486320">
              <w:marLeft w:val="0"/>
              <w:marRight w:val="0"/>
              <w:marTop w:val="0"/>
              <w:marBottom w:val="0"/>
              <w:divBdr>
                <w:top w:val="none" w:sz="0" w:space="0" w:color="auto"/>
                <w:left w:val="none" w:sz="0" w:space="0" w:color="auto"/>
                <w:bottom w:val="none" w:sz="0" w:space="0" w:color="auto"/>
                <w:right w:val="none" w:sz="0" w:space="0" w:color="auto"/>
              </w:divBdr>
              <w:divsChild>
                <w:div w:id="1382173262">
                  <w:marLeft w:val="0"/>
                  <w:marRight w:val="0"/>
                  <w:marTop w:val="0"/>
                  <w:marBottom w:val="0"/>
                  <w:divBdr>
                    <w:top w:val="none" w:sz="0" w:space="0" w:color="auto"/>
                    <w:left w:val="none" w:sz="0" w:space="0" w:color="auto"/>
                    <w:bottom w:val="none" w:sz="0" w:space="0" w:color="auto"/>
                    <w:right w:val="none" w:sz="0" w:space="0" w:color="auto"/>
                  </w:divBdr>
                </w:div>
              </w:divsChild>
            </w:div>
            <w:div w:id="1384063048">
              <w:marLeft w:val="0"/>
              <w:marRight w:val="0"/>
              <w:marTop w:val="0"/>
              <w:marBottom w:val="0"/>
              <w:divBdr>
                <w:top w:val="none" w:sz="0" w:space="0" w:color="auto"/>
                <w:left w:val="none" w:sz="0" w:space="0" w:color="auto"/>
                <w:bottom w:val="none" w:sz="0" w:space="0" w:color="auto"/>
                <w:right w:val="none" w:sz="0" w:space="0" w:color="auto"/>
              </w:divBdr>
              <w:divsChild>
                <w:div w:id="2105763392">
                  <w:marLeft w:val="0"/>
                  <w:marRight w:val="0"/>
                  <w:marTop w:val="0"/>
                  <w:marBottom w:val="0"/>
                  <w:divBdr>
                    <w:top w:val="none" w:sz="0" w:space="0" w:color="auto"/>
                    <w:left w:val="none" w:sz="0" w:space="0" w:color="auto"/>
                    <w:bottom w:val="none" w:sz="0" w:space="0" w:color="auto"/>
                    <w:right w:val="none" w:sz="0" w:space="0" w:color="auto"/>
                  </w:divBdr>
                </w:div>
              </w:divsChild>
            </w:div>
            <w:div w:id="556017497">
              <w:marLeft w:val="0"/>
              <w:marRight w:val="0"/>
              <w:marTop w:val="0"/>
              <w:marBottom w:val="0"/>
              <w:divBdr>
                <w:top w:val="none" w:sz="0" w:space="0" w:color="auto"/>
                <w:left w:val="none" w:sz="0" w:space="0" w:color="auto"/>
                <w:bottom w:val="none" w:sz="0" w:space="0" w:color="auto"/>
                <w:right w:val="none" w:sz="0" w:space="0" w:color="auto"/>
              </w:divBdr>
              <w:divsChild>
                <w:div w:id="19953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wp-content/uploads/2018/06/BERA-Ethical-Guidelines-for-Educational-Research_4thEdn_2018.pdf?noredirect=1" TargetMode="External"/><Relationship Id="rId18" Type="http://schemas.openxmlformats.org/officeDocument/2006/relationships/hyperlink" Target="https://www.helpteaching.com/lessons/78/percent-composition-by-mass" TargetMode="External"/><Relationship Id="rId26" Type="http://schemas.openxmlformats.org/officeDocument/2006/relationships/hyperlink" Target="https://swansea-edunet.gov.uk/en/schools/bishopstonprimary/Pages/The_Eight_Reading_Behaviours.aspx" TargetMode="External"/><Relationship Id="rId39" Type="http://schemas.openxmlformats.org/officeDocument/2006/relationships/image" Target="media/image11.tiff"/><Relationship Id="rId21" Type="http://schemas.openxmlformats.org/officeDocument/2006/relationships/hyperlink" Target="https://www.ase.org.uk/mathsinscience" TargetMode="External"/><Relationship Id="rId34" Type="http://schemas.openxmlformats.org/officeDocument/2006/relationships/image" Target="media/image6.tiff"/><Relationship Id="rId42" Type="http://schemas.openxmlformats.org/officeDocument/2006/relationships/image" Target="media/image14.tiff"/><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rw.wales/media/2371/erw-successful-futures-progress-summary-autumn-2017.pdf" TargetMode="External"/><Relationship Id="rId29" Type="http://schemas.openxmlformats.org/officeDocument/2006/relationships/hyperlink" Target="https://learning.gov.wales/resources/browse-all/nlnf/framework?component=numeracy&amp;year=6938392_2&amp;selectedYear=col_15&amp;lang=en" TargetMode="External"/><Relationship Id="rId11" Type="http://schemas.openxmlformats.org/officeDocument/2006/relationships/hyperlink" Target="https://www.neilatkin.com/2017/03/26/ten-ideas-teaching-better-maths-science/" TargetMode="External"/><Relationship Id="rId24" Type="http://schemas.openxmlformats.org/officeDocument/2006/relationships/hyperlink" Target="https://www.statisticshowto.datasciencecentral.com/experimental-design/confounding-variable/" TargetMode="External"/><Relationship Id="rId32" Type="http://schemas.openxmlformats.org/officeDocument/2006/relationships/image" Target="media/image4.tiff"/><Relationship Id="rId37" Type="http://schemas.openxmlformats.org/officeDocument/2006/relationships/image" Target="media/image9.tiff"/><Relationship Id="rId40" Type="http://schemas.openxmlformats.org/officeDocument/2006/relationships/image" Target="media/image12.tiff"/><Relationship Id="rId45" Type="http://schemas.openxmlformats.org/officeDocument/2006/relationships/image" Target="media/image17.tiff"/><Relationship Id="rId5" Type="http://schemas.openxmlformats.org/officeDocument/2006/relationships/footnotes" Target="footnotes.xml"/><Relationship Id="rId15" Type="http://schemas.openxmlformats.org/officeDocument/2006/relationships/hyperlink" Target="https://en.oxforddictionaries.com/definition/power" TargetMode="External"/><Relationship Id="rId23" Type="http://schemas.openxmlformats.org/officeDocument/2006/relationships/hyperlink" Target="https://www.staffroomstories.com/last-lesson-of-the-day/" TargetMode="External"/><Relationship Id="rId28" Type="http://schemas.openxmlformats.org/officeDocument/2006/relationships/hyperlink" Target="https://guides.lib.vt.edu/researchmethods/design-method" TargetMode="External"/><Relationship Id="rId36" Type="http://schemas.openxmlformats.org/officeDocument/2006/relationships/image" Target="media/image8.tiff"/><Relationship Id="rId49" Type="http://schemas.openxmlformats.org/officeDocument/2006/relationships/footer" Target="footer2.xml"/><Relationship Id="rId10" Type="http://schemas.openxmlformats.org/officeDocument/2006/relationships/hyperlink" Target="http://theconversation.com/language-matters-in-science-and-mathematics-heres-why-68960" TargetMode="External"/><Relationship Id="rId19" Type="http://schemas.openxmlformats.org/officeDocument/2006/relationships/hyperlink" Target="https://chem.libretexts.org/Bookshelves/Analytical_Chemistry/Supplemental_Modules_(Analytical_Chemistry)/Quantifying_Nature/Density_and_Percent_Compositions" TargetMode="External"/><Relationship Id="rId31" Type="http://schemas.openxmlformats.org/officeDocument/2006/relationships/hyperlink" Target="https://www.wjec.co.uk/qualifications/science/gcse/science-double-gcse-2016/wjec-gcse-science-double-award-spec-from-2016.pdf?language_id=1" TargetMode="External"/><Relationship Id="rId44" Type="http://schemas.openxmlformats.org/officeDocument/2006/relationships/image" Target="media/image16.tif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weddill.gov.wales/docs/dcells/publications/150225-successful-futures-en.pdf" TargetMode="External"/><Relationship Id="rId22" Type="http://schemas.openxmlformats.org/officeDocument/2006/relationships/hyperlink" Target="http://archive.learnhigher.ac.uk/analysethis/main/quantitative1.html" TargetMode="External"/><Relationship Id="rId27" Type="http://schemas.openxmlformats.org/officeDocument/2006/relationships/hyperlink" Target="http://people.ds.cam.ac.uk/kst24/EdResMethod/Methodology.html" TargetMode="External"/><Relationship Id="rId30" Type="http://schemas.openxmlformats.org/officeDocument/2006/relationships/hyperlink" Target="http://mylocalschool.wales.gov.uk/?lang=en" TargetMode="External"/><Relationship Id="rId35" Type="http://schemas.openxmlformats.org/officeDocument/2006/relationships/image" Target="media/image7.jpeg"/><Relationship Id="rId43" Type="http://schemas.openxmlformats.org/officeDocument/2006/relationships/image" Target="media/image15.tiff"/><Relationship Id="rId48"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ase.org.uk/mathsinscience" TargetMode="External"/><Relationship Id="rId17" Type="http://schemas.openxmlformats.org/officeDocument/2006/relationships/hyperlink" Target="http://www.pucrs.br/ciencias/viali/tic_literatura/artigos/ciencias_matematica/Frykholm%20&amp;%20Glasson_Connecting%20Math%20&amp;%20Science%20Instruction.pdf" TargetMode="External"/><Relationship Id="rId25" Type="http://schemas.openxmlformats.org/officeDocument/2006/relationships/hyperlink" Target="https://www.statisticshowto.datasciencecentral.com/experimental-design/#Top" TargetMode="External"/><Relationship Id="rId33" Type="http://schemas.openxmlformats.org/officeDocument/2006/relationships/image" Target="media/image5.tiff"/><Relationship Id="rId38" Type="http://schemas.openxmlformats.org/officeDocument/2006/relationships/image" Target="media/image10.tiff"/><Relationship Id="rId46" Type="http://schemas.openxmlformats.org/officeDocument/2006/relationships/image" Target="media/image18.tiff"/><Relationship Id="rId20" Type="http://schemas.openxmlformats.org/officeDocument/2006/relationships/hyperlink" Target="https://www.simplypsychology.org/sampling.html" TargetMode="External"/><Relationship Id="rId41" Type="http://schemas.openxmlformats.org/officeDocument/2006/relationships/image" Target="media/image13.tiff"/><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35</Pages>
  <Words>9208</Words>
  <Characters>52492</Characters>
  <Application>Microsoft Office Word</Application>
  <DocSecurity>0</DocSecurity>
  <Lines>437</Lines>
  <Paragraphs>123</Paragraphs>
  <ScaleCrop>false</ScaleCrop>
  <Company/>
  <LinksUpToDate>false</LinksUpToDate>
  <CharactersWithSpaces>61577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lauren.alcoran@gmail.com</dc:creator>
  <cp:keywords/>
  <dc:description/>
  <cp:lastModifiedBy>lauren.alcoran@gmail.com</cp:lastModifiedBy>
  <cp:revision>6</cp:revision>
  <dcterms:created xsi:type="dcterms:W3CDTF">2019-05-08T09:27:00Z</dcterms:created>
  <dcterms:modified xsi:type="dcterms:W3CDTF">2019-05-08T14:59:00Z</dcterms:modified>
</cp:coreProperties>
</file>