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4"/>
          <w:szCs w:val="24"/>
        </w:rPr>
      </w:pPr>
      <w:r w:rsidDel="00000000" w:rsidR="00000000" w:rsidRPr="00000000">
        <w:rPr>
          <w:sz w:val="24"/>
          <w:szCs w:val="24"/>
          <w:rtl w:val="0"/>
        </w:rPr>
        <w:t xml:space="preserve">Riley Tippett </w:t>
      </w:r>
    </w:p>
    <w:p w:rsidR="00000000" w:rsidDel="00000000" w:rsidP="00000000" w:rsidRDefault="00000000" w:rsidRPr="00000000" w14:paraId="00000002">
      <w:pPr>
        <w:rPr>
          <w:sz w:val="24"/>
          <w:szCs w:val="24"/>
        </w:rPr>
      </w:pPr>
      <w:r w:rsidDel="00000000" w:rsidR="00000000" w:rsidRPr="00000000">
        <w:rPr>
          <w:sz w:val="24"/>
          <w:szCs w:val="24"/>
          <w:rtl w:val="0"/>
        </w:rPr>
        <w:t xml:space="preserve">2305063</w:t>
      </w:r>
    </w:p>
    <w:p w:rsidR="00000000" w:rsidDel="00000000" w:rsidP="00000000" w:rsidRDefault="00000000" w:rsidRPr="00000000" w14:paraId="00000003">
      <w:pPr>
        <w:rPr>
          <w:sz w:val="24"/>
          <w:szCs w:val="24"/>
        </w:rPr>
      </w:pPr>
      <w:r w:rsidDel="00000000" w:rsidR="00000000" w:rsidRPr="00000000">
        <w:rPr>
          <w:sz w:val="24"/>
          <w:szCs w:val="24"/>
          <w:rtl w:val="0"/>
        </w:rPr>
        <w:t xml:space="preserve">Neil Dyer</w:t>
      </w:r>
    </w:p>
    <w:p w:rsidR="00000000" w:rsidDel="00000000" w:rsidP="00000000" w:rsidRDefault="00000000" w:rsidRPr="00000000" w14:paraId="00000004">
      <w:pPr>
        <w:rPr>
          <w:sz w:val="24"/>
          <w:szCs w:val="24"/>
        </w:rPr>
      </w:pPr>
      <w:r w:rsidDel="00000000" w:rsidR="00000000" w:rsidRPr="00000000">
        <w:rPr>
          <w:sz w:val="24"/>
          <w:szCs w:val="24"/>
          <w:rtl w:val="0"/>
        </w:rPr>
        <w:t xml:space="preserve">Professional Placement &amp; Enterprise Project</w:t>
      </w:r>
    </w:p>
    <w:p w:rsidR="00000000" w:rsidDel="00000000" w:rsidP="00000000" w:rsidRDefault="00000000" w:rsidRPr="00000000" w14:paraId="00000005">
      <w:pPr>
        <w:rPr>
          <w:sz w:val="24"/>
          <w:szCs w:val="24"/>
        </w:rPr>
      </w:pPr>
      <w:r w:rsidDel="00000000" w:rsidR="00000000" w:rsidRPr="00000000">
        <w:rPr>
          <w:sz w:val="24"/>
          <w:szCs w:val="24"/>
          <w:rtl w:val="0"/>
        </w:rPr>
        <w:t xml:space="preserve">Learning and Development passport</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Word count - 1017</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b w:val="1"/>
          <w:i w:val="1"/>
          <w:sz w:val="24"/>
          <w:szCs w:val="24"/>
          <w:u w:val="single"/>
        </w:rPr>
      </w:pPr>
      <w:r w:rsidDel="00000000" w:rsidR="00000000" w:rsidRPr="00000000">
        <w:rPr>
          <w:b w:val="1"/>
          <w:i w:val="1"/>
          <w:sz w:val="24"/>
          <w:szCs w:val="24"/>
          <w:u w:val="single"/>
          <w:rtl w:val="0"/>
        </w:rPr>
        <w:t xml:space="preserve">Introduction</w:t>
      </w:r>
    </w:p>
    <w:p w:rsidR="00000000" w:rsidDel="00000000" w:rsidP="00000000" w:rsidRDefault="00000000" w:rsidRPr="00000000" w14:paraId="0000000B">
      <w:pPr>
        <w:rPr>
          <w:sz w:val="24"/>
          <w:szCs w:val="24"/>
        </w:rPr>
      </w:pPr>
      <w:r w:rsidDel="00000000" w:rsidR="00000000" w:rsidRPr="00000000">
        <w:rPr>
          <w:sz w:val="24"/>
          <w:szCs w:val="24"/>
          <w:rtl w:val="0"/>
        </w:rPr>
        <w:t xml:space="preserve">Throughout My Second year, I developed a liking for the enterprise project, as the assessments brought out my creative side. For my Pitch presentation, I was tasked with creating a company from scratch, and mine was called EcoEscapes, a business that sold eco-friendly travel packages and excursions. "Entrepreneurship is about taking calculated risks, recognising opportunities, and innovating to create value." (Burns 2016) This drove me towards going out of my comfort zone when doing my pitch presentation. This project allowed me to apply entrepreneurial theory to practice, develop key skills, and reflect on my personal growth. Through this reflective process, I aimed to better understand my entrepreneurial mindset, motivations, and readiness to pursue future business ideas.</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b w:val="1"/>
          <w:i w:val="1"/>
          <w:sz w:val="24"/>
          <w:szCs w:val="24"/>
          <w:u w:val="single"/>
        </w:rPr>
      </w:pPr>
      <w:r w:rsidDel="00000000" w:rsidR="00000000" w:rsidRPr="00000000">
        <w:rPr>
          <w:b w:val="1"/>
          <w:i w:val="1"/>
          <w:sz w:val="24"/>
          <w:szCs w:val="24"/>
          <w:u w:val="single"/>
          <w:rtl w:val="0"/>
        </w:rPr>
        <w:t xml:space="preserve">Reflective Learning</w:t>
      </w:r>
    </w:p>
    <w:p w:rsidR="00000000" w:rsidDel="00000000" w:rsidP="00000000" w:rsidRDefault="00000000" w:rsidRPr="00000000" w14:paraId="0000000E">
      <w:pPr>
        <w:rPr>
          <w:sz w:val="24"/>
          <w:szCs w:val="24"/>
        </w:rPr>
      </w:pPr>
      <w:r w:rsidDel="00000000" w:rsidR="00000000" w:rsidRPr="00000000">
        <w:rPr>
          <w:sz w:val="24"/>
          <w:szCs w:val="24"/>
          <w:rtl w:val="0"/>
        </w:rPr>
        <w:t xml:space="preserve">Throughout the development of my enterprise project, I engaged with Kolb’s Experiential Learning Cycle (1984) and Gibbs' Reflective Cycle (1988). Kolb’s model supported this process by framing my experience as part of a continuous cycle of learning. My pitch became the concrete experience, followed by reflective observation and abstract conceptualisation, where I restructured the messaging. In the active experimentation phase, I tested the revised pitch in a group setting, receiving much more positive feedback. During the analysis stage, I identified that I had focused too much on the environmental impact and not enough on the practical benefits for customers. Together, Gibbs and Kolb enabled me to transform challenges into growth opportunities, improving my communication, resilience, and self-awareness, key traits for any aspiring entrepreneur.</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b w:val="1"/>
          <w:i w:val="1"/>
          <w:sz w:val="24"/>
          <w:szCs w:val="24"/>
          <w:u w:val="single"/>
        </w:rPr>
      </w:pPr>
      <w:r w:rsidDel="00000000" w:rsidR="00000000" w:rsidRPr="00000000">
        <w:rPr>
          <w:b w:val="1"/>
          <w:i w:val="1"/>
          <w:sz w:val="24"/>
          <w:szCs w:val="24"/>
          <w:u w:val="single"/>
          <w:rtl w:val="0"/>
        </w:rPr>
        <w:t xml:space="preserve">Traits, Motivations &amp; Skills</w:t>
      </w:r>
    </w:p>
    <w:p w:rsidR="00000000" w:rsidDel="00000000" w:rsidP="00000000" w:rsidRDefault="00000000" w:rsidRPr="00000000" w14:paraId="00000011">
      <w:pPr>
        <w:rPr>
          <w:sz w:val="24"/>
          <w:szCs w:val="24"/>
        </w:rPr>
      </w:pPr>
      <w:r w:rsidDel="00000000" w:rsidR="00000000" w:rsidRPr="00000000">
        <w:rPr>
          <w:sz w:val="24"/>
          <w:szCs w:val="24"/>
          <w:rtl w:val="0"/>
        </w:rPr>
        <w:t xml:space="preserve">During the project, I reflected on the personal attributes that influence entrepreneurial success. Research by Bolton and Thompson (2000) identifies traits such as risk-taking, innovation, and perseverance as essential for entrepreneurs.</w:t>
      </w:r>
    </w:p>
    <w:p w:rsidR="00000000" w:rsidDel="00000000" w:rsidP="00000000" w:rsidRDefault="00000000" w:rsidRPr="00000000" w14:paraId="00000012">
      <w:pPr>
        <w:rPr>
          <w:sz w:val="24"/>
          <w:szCs w:val="24"/>
        </w:rPr>
      </w:pPr>
      <w:r w:rsidDel="00000000" w:rsidR="00000000" w:rsidRPr="00000000">
        <w:rPr>
          <w:sz w:val="24"/>
          <w:szCs w:val="24"/>
          <w:rtl w:val="0"/>
        </w:rPr>
        <w:t xml:space="preserve">My motivation aligned with McClelland’s (1961) theory of the need for achievement, which suggests entrepreneurs are driven by a strong desire to succeed and improve their circumstances. This was evident in my commitment to setting clear goals and striving to overcome obstacles during the project. Skill-wise, I developed both technical abilities, such as financial planning and marketing strategy, and interpersonal skills, including leadership. As Burns (2016) explains, these combined skills are critical for managing the complexities of new ventures.</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b w:val="1"/>
          <w:i w:val="1"/>
          <w:sz w:val="24"/>
          <w:szCs w:val="24"/>
          <w:u w:val="single"/>
        </w:rPr>
      </w:pPr>
      <w:r w:rsidDel="00000000" w:rsidR="00000000" w:rsidRPr="00000000">
        <w:rPr>
          <w:rtl w:val="0"/>
        </w:rPr>
      </w:r>
    </w:p>
    <w:p w:rsidR="00000000" w:rsidDel="00000000" w:rsidP="00000000" w:rsidRDefault="00000000" w:rsidRPr="00000000" w14:paraId="00000016">
      <w:pPr>
        <w:rPr>
          <w:b w:val="1"/>
          <w:i w:val="1"/>
          <w:sz w:val="24"/>
          <w:szCs w:val="24"/>
          <w:u w:val="single"/>
        </w:rPr>
      </w:pPr>
      <w:r w:rsidDel="00000000" w:rsidR="00000000" w:rsidRPr="00000000">
        <w:rPr>
          <w:b w:val="1"/>
          <w:i w:val="1"/>
          <w:sz w:val="24"/>
          <w:szCs w:val="24"/>
          <w:u w:val="single"/>
          <w:rtl w:val="0"/>
        </w:rPr>
        <w:t xml:space="preserve">EntreComp Model</w:t>
      </w:r>
    </w:p>
    <w:p w:rsidR="00000000" w:rsidDel="00000000" w:rsidP="00000000" w:rsidRDefault="00000000" w:rsidRPr="00000000" w14:paraId="00000017">
      <w:pPr>
        <w:rPr>
          <w:sz w:val="24"/>
          <w:szCs w:val="24"/>
          <w:highlight w:val="white"/>
        </w:rPr>
      </w:pPr>
      <w:r w:rsidDel="00000000" w:rsidR="00000000" w:rsidRPr="00000000">
        <w:rPr>
          <w:sz w:val="24"/>
          <w:szCs w:val="24"/>
          <w:rtl w:val="0"/>
        </w:rPr>
        <w:t xml:space="preserve">The European Commission’s EntreComp Framework (2016) provides a comprehensive view of entrepreneurial competence across three key areas: Ideas and Opportunities, Resources, and Into Action. Reflecting on my enterprise project, I can identify development in competencies from each area. </w:t>
      </w:r>
      <w:r w:rsidDel="00000000" w:rsidR="00000000" w:rsidRPr="00000000">
        <w:rPr>
          <w:sz w:val="24"/>
          <w:szCs w:val="24"/>
          <w:rtl w:val="0"/>
        </w:rPr>
        <w:t xml:space="preserve">In the Ideas and Opportunities dimension, I demonstrated creativity by adapting my business concept to better address market needs and ethical thinking by considering environmental sustainability as a core value. </w:t>
      </w:r>
      <w:r w:rsidDel="00000000" w:rsidR="00000000" w:rsidRPr="00000000">
        <w:rPr>
          <w:sz w:val="24"/>
          <w:szCs w:val="24"/>
          <w:highlight w:val="white"/>
          <w:rtl w:val="0"/>
        </w:rPr>
        <w:t xml:space="preserve">The Resources area required mobilising others; I engaged peers and mentors for feedback and support, while also enhancing my self-awareness by recognising my strengths and limitations throughout the project. Within the Into Action dimension, I developed skills in planning and managing my project timeline and resources, and learned to cope with uncertainty when unexpected challenges arose, such as market research difficulties. This aligns with the EntreComp emphasis on resilience and perseverance.</w:t>
      </w:r>
    </w:p>
    <w:p w:rsidR="00000000" w:rsidDel="00000000" w:rsidP="00000000" w:rsidRDefault="00000000" w:rsidRPr="00000000" w14:paraId="00000018">
      <w:pPr>
        <w:spacing w:after="240" w:before="240" w:lineRule="auto"/>
        <w:rPr>
          <w:sz w:val="24"/>
          <w:szCs w:val="24"/>
          <w:highlight w:val="white"/>
        </w:rPr>
      </w:pPr>
      <w:r w:rsidDel="00000000" w:rsidR="00000000" w:rsidRPr="00000000">
        <w:rPr>
          <w:sz w:val="24"/>
          <w:szCs w:val="24"/>
          <w:highlight w:val="white"/>
          <w:rtl w:val="0"/>
        </w:rPr>
        <w:t xml:space="preserve">The EntreComp model helped frame my practical experiences into structured competencies, supporting a deeper understanding of entrepreneurial behaviour and highlighting areas for further growth.</w:t>
      </w:r>
    </w:p>
    <w:p w:rsidR="00000000" w:rsidDel="00000000" w:rsidP="00000000" w:rsidRDefault="00000000" w:rsidRPr="00000000" w14:paraId="00000019">
      <w:pPr>
        <w:rPr>
          <w:sz w:val="24"/>
          <w:szCs w:val="24"/>
          <w:highlight w:val="white"/>
        </w:rPr>
      </w:pPr>
      <w:r w:rsidDel="00000000" w:rsidR="00000000" w:rsidRPr="00000000">
        <w:rPr>
          <w:rtl w:val="0"/>
        </w:rPr>
      </w:r>
    </w:p>
    <w:p w:rsidR="00000000" w:rsidDel="00000000" w:rsidP="00000000" w:rsidRDefault="00000000" w:rsidRPr="00000000" w14:paraId="0000001A">
      <w:pPr>
        <w:rPr>
          <w:b w:val="1"/>
          <w:i w:val="1"/>
          <w:sz w:val="24"/>
          <w:szCs w:val="24"/>
          <w:u w:val="single"/>
        </w:rPr>
      </w:pPr>
      <w:r w:rsidDel="00000000" w:rsidR="00000000" w:rsidRPr="00000000">
        <w:rPr>
          <w:b w:val="1"/>
          <w:i w:val="1"/>
          <w:sz w:val="24"/>
          <w:szCs w:val="24"/>
          <w:u w:val="single"/>
          <w:rtl w:val="0"/>
        </w:rPr>
        <w:t xml:space="preserve">Key Challenges</w:t>
      </w:r>
    </w:p>
    <w:p w:rsidR="00000000" w:rsidDel="00000000" w:rsidP="00000000" w:rsidRDefault="00000000" w:rsidRPr="00000000" w14:paraId="0000001B">
      <w:pPr>
        <w:rPr>
          <w:sz w:val="24"/>
          <w:szCs w:val="24"/>
        </w:rPr>
      </w:pPr>
      <w:r w:rsidDel="00000000" w:rsidR="00000000" w:rsidRPr="00000000">
        <w:rPr>
          <w:sz w:val="24"/>
          <w:szCs w:val="24"/>
          <w:rtl w:val="0"/>
        </w:rPr>
        <w:t xml:space="preserve">The enterprise project presented a range of challenges that contributed significantly to my learning and development. One of the most difficult aspects was financial forecasting. Translating a business concept into realistic figures required a deep understanding of cost structures, pricing strategies, and revenue projections, areas where I initially lacked confidence. As Burns (2016) notes, financial competence is a crucial entrepreneurial skill that often develops through practical experience. To address this, I engaged with example business plans and financial templates, which helped me build a clearer understanding of budgeting and break-even analysis.</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Additionally, I found self-doubt to be a recurring barrier. Presenting ideas and making key decisions without external validation was difficult. Using Kolb’s (1984) model, I reflected on these moments and recognised them as part of the experiential learning cycle. Another challenge involved staying focused amidst changing ideas. As I researched similar businesses, I often questioned the originality of my concept, which led to frequent shifts in direction. While creativity is important, Bridge and O’Neill (2012) argue that sustained focus is essential in moving from idea to execution. These challenges taught me the importance of clarity, consistency, and strategic thinking skills that became stronger as the project progressed. Reflective tools like Gibbs’ cycle (1988) helped structure my learning and apply it in real time.</w:t>
      </w:r>
    </w:p>
    <w:p w:rsidR="00000000" w:rsidDel="00000000" w:rsidP="00000000" w:rsidRDefault="00000000" w:rsidRPr="00000000" w14:paraId="0000001E">
      <w:pPr>
        <w:rPr>
          <w:b w:val="1"/>
          <w:i w:val="1"/>
          <w:sz w:val="24"/>
          <w:szCs w:val="24"/>
          <w:u w:val="single"/>
        </w:rPr>
      </w:pPr>
      <w:r w:rsidDel="00000000" w:rsidR="00000000" w:rsidRPr="00000000">
        <w:rPr>
          <w:rtl w:val="0"/>
        </w:rPr>
      </w:r>
    </w:p>
    <w:p w:rsidR="00000000" w:rsidDel="00000000" w:rsidP="00000000" w:rsidRDefault="00000000" w:rsidRPr="00000000" w14:paraId="0000001F">
      <w:pPr>
        <w:rPr>
          <w:b w:val="1"/>
          <w:i w:val="1"/>
          <w:sz w:val="24"/>
          <w:szCs w:val="24"/>
          <w:u w:val="single"/>
        </w:rPr>
      </w:pPr>
      <w:r w:rsidDel="00000000" w:rsidR="00000000" w:rsidRPr="00000000">
        <w:rPr>
          <w:rtl w:val="0"/>
        </w:rPr>
      </w:r>
    </w:p>
    <w:p w:rsidR="00000000" w:rsidDel="00000000" w:rsidP="00000000" w:rsidRDefault="00000000" w:rsidRPr="00000000" w14:paraId="00000020">
      <w:pPr>
        <w:rPr>
          <w:b w:val="1"/>
          <w:i w:val="1"/>
          <w:sz w:val="24"/>
          <w:szCs w:val="24"/>
          <w:u w:val="single"/>
        </w:rPr>
      </w:pPr>
      <w:r w:rsidDel="00000000" w:rsidR="00000000" w:rsidRPr="00000000">
        <w:rPr>
          <w:b w:val="1"/>
          <w:i w:val="1"/>
          <w:sz w:val="24"/>
          <w:szCs w:val="24"/>
          <w:u w:val="single"/>
          <w:rtl w:val="0"/>
        </w:rPr>
        <w:t xml:space="preserve">Reflection </w:t>
      </w:r>
    </w:p>
    <w:p w:rsidR="00000000" w:rsidDel="00000000" w:rsidP="00000000" w:rsidRDefault="00000000" w:rsidRPr="00000000" w14:paraId="00000021">
      <w:pPr>
        <w:rPr>
          <w:sz w:val="24"/>
          <w:szCs w:val="24"/>
        </w:rPr>
      </w:pPr>
      <w:r w:rsidDel="00000000" w:rsidR="00000000" w:rsidRPr="00000000">
        <w:rPr>
          <w:sz w:val="24"/>
          <w:szCs w:val="24"/>
          <w:rtl w:val="0"/>
        </w:rPr>
        <w:t xml:space="preserve">I think during the project, I learnt a lot of valuable key skills I can take on in the future. Gibbs’ (1988) reflective cycle added further structure to my thinking, particularly when evaluating key moments such as pitching or receiving peer feedback. It prompted me to consider not just what happened, but how I felt, what worked, and what I would change. This process of structured reflection encouraged deeper learning and helped me respond more effectively to complex or unfamiliar tasks. Working on a real business plan showed me the value of learning through doing, echoing Dewey’s (1933) belief that reflection on experience is central to meaningful education. Rather than simply reading about entrepreneurial traits, I had to apply them, whether through problem-solving, creative thinking, or presenting ideas. This hands-on engagement helped bridge the gap between academic theory and entrepreneurial practice.</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sz w:val="24"/>
          <w:szCs w:val="24"/>
          <w:rtl w:val="0"/>
        </w:rPr>
        <w:t xml:space="preserve">Challenges like shaping a clear concept or managing competing ideas helped strengthen core competencies such as creative thinking, adaptability, and resilience. These weren’t developed through abstract reading but by directly engaging with decisions and consequences. This experience supports Kolb’s (1984) view that active experimentation is essential in turning reflection into applied learning.</w:t>
      </w:r>
    </w:p>
    <w:p w:rsidR="00000000" w:rsidDel="00000000" w:rsidP="00000000" w:rsidRDefault="00000000" w:rsidRPr="00000000" w14:paraId="00000024">
      <w:pPr>
        <w:rPr>
          <w:b w:val="1"/>
          <w:i w:val="1"/>
          <w:sz w:val="24"/>
          <w:szCs w:val="24"/>
          <w:u w:val="single"/>
        </w:rPr>
      </w:pPr>
      <w:r w:rsidDel="00000000" w:rsidR="00000000" w:rsidRPr="00000000">
        <w:rPr>
          <w:rtl w:val="0"/>
        </w:rPr>
      </w:r>
    </w:p>
    <w:p w:rsidR="00000000" w:rsidDel="00000000" w:rsidP="00000000" w:rsidRDefault="00000000" w:rsidRPr="00000000" w14:paraId="00000025">
      <w:pPr>
        <w:rPr>
          <w:b w:val="1"/>
          <w:i w:val="1"/>
          <w:sz w:val="24"/>
          <w:szCs w:val="24"/>
          <w:u w:val="single"/>
        </w:rPr>
      </w:pPr>
      <w:r w:rsidDel="00000000" w:rsidR="00000000" w:rsidRPr="00000000">
        <w:rPr>
          <w:b w:val="1"/>
          <w:i w:val="1"/>
          <w:sz w:val="24"/>
          <w:szCs w:val="24"/>
          <w:u w:val="single"/>
          <w:rtl w:val="0"/>
        </w:rPr>
        <w:t xml:space="preserve">Conclusion</w:t>
      </w:r>
    </w:p>
    <w:p w:rsidR="00000000" w:rsidDel="00000000" w:rsidP="00000000" w:rsidRDefault="00000000" w:rsidRPr="00000000" w14:paraId="00000026">
      <w:pPr>
        <w:rPr>
          <w:sz w:val="24"/>
          <w:szCs w:val="24"/>
        </w:rPr>
      </w:pPr>
      <w:r w:rsidDel="00000000" w:rsidR="00000000" w:rsidRPr="00000000">
        <w:rPr>
          <w:sz w:val="24"/>
          <w:szCs w:val="24"/>
          <w:rtl w:val="0"/>
        </w:rPr>
        <w:t xml:space="preserve">Working through the EntreComp framework helped me recognise how entrepreneurial competencies develop through practice, feedback, and reflection. Overall, the project allowed me to connect academic models with real-world situations and better understand how entrepreneurs grow not just through success, but through challenge, failure, and reflection. Through applying reflective models like Kolb’s experiential learning cycle and Gibbs’ reflective framework, I was able to make sense of challenges and turn them into meaningful learning experiences. Overall, the project allowed me to connect academic models with real-world situations and better understand how entrepreneurs grow, not just through success, but through challenge, failure, and reflection. This reflective process has improved both my awareness and my capability to manage uncertainty and complexity in future projects.</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i w:val="1"/>
          <w:sz w:val="24"/>
          <w:szCs w:val="24"/>
          <w:u w:val="single"/>
        </w:rPr>
      </w:pPr>
      <w:r w:rsidDel="00000000" w:rsidR="00000000" w:rsidRPr="00000000">
        <w:rPr>
          <w:rtl w:val="0"/>
        </w:rPr>
      </w:r>
    </w:p>
    <w:p w:rsidR="00000000" w:rsidDel="00000000" w:rsidP="00000000" w:rsidRDefault="00000000" w:rsidRPr="00000000" w14:paraId="00000029">
      <w:pPr>
        <w:rPr>
          <w:b w:val="1"/>
          <w:i w:val="1"/>
          <w:sz w:val="24"/>
          <w:szCs w:val="24"/>
          <w:u w:val="single"/>
        </w:rPr>
      </w:pPr>
      <w:r w:rsidDel="00000000" w:rsidR="00000000" w:rsidRPr="00000000">
        <w:rPr>
          <w:b w:val="1"/>
          <w:i w:val="1"/>
          <w:sz w:val="24"/>
          <w:szCs w:val="24"/>
          <w:u w:val="single"/>
          <w:rtl w:val="0"/>
        </w:rPr>
        <w:t xml:space="preserve">Reference List </w:t>
      </w:r>
    </w:p>
    <w:p w:rsidR="00000000" w:rsidDel="00000000" w:rsidP="00000000" w:rsidRDefault="00000000" w:rsidRPr="00000000" w14:paraId="0000002A">
      <w:pPr>
        <w:numPr>
          <w:ilvl w:val="0"/>
          <w:numId w:val="1"/>
        </w:numPr>
        <w:spacing w:after="0" w:afterAutospacing="0" w:before="240" w:lineRule="auto"/>
        <w:ind w:left="720" w:hanging="360"/>
        <w:rPr>
          <w:b w:val="1"/>
          <w:i w:val="1"/>
          <w:sz w:val="24"/>
          <w:szCs w:val="24"/>
        </w:rPr>
      </w:pPr>
      <w:r w:rsidDel="00000000" w:rsidR="00000000" w:rsidRPr="00000000">
        <w:rPr>
          <w:b w:val="1"/>
          <w:i w:val="1"/>
          <w:sz w:val="24"/>
          <w:szCs w:val="24"/>
          <w:u w:val="single"/>
          <w:rtl w:val="0"/>
        </w:rPr>
        <w:t xml:space="preserve">Bolton, B. &amp; Thompson, J. (2000). Entrepreneurs: Talent, Temperament, Technique. Oxford: Butterworth-Heinemann.</w:t>
        <w:br w:type="textWrapping"/>
      </w:r>
    </w:p>
    <w:p w:rsidR="00000000" w:rsidDel="00000000" w:rsidP="00000000" w:rsidRDefault="00000000" w:rsidRPr="00000000" w14:paraId="0000002B">
      <w:pPr>
        <w:numPr>
          <w:ilvl w:val="0"/>
          <w:numId w:val="1"/>
        </w:numPr>
        <w:spacing w:after="0" w:afterAutospacing="0" w:before="0" w:beforeAutospacing="0" w:lineRule="auto"/>
        <w:ind w:left="720" w:hanging="360"/>
        <w:rPr>
          <w:b w:val="1"/>
          <w:i w:val="1"/>
          <w:sz w:val="24"/>
          <w:szCs w:val="24"/>
        </w:rPr>
      </w:pPr>
      <w:r w:rsidDel="00000000" w:rsidR="00000000" w:rsidRPr="00000000">
        <w:rPr>
          <w:b w:val="1"/>
          <w:i w:val="1"/>
          <w:sz w:val="24"/>
          <w:szCs w:val="24"/>
          <w:u w:val="single"/>
          <w:rtl w:val="0"/>
        </w:rPr>
        <w:t xml:space="preserve">Bridge, S. &amp; O’Neill, K. (2012). Understanding Enterprise: Entrepreneurship and Small Business. Basingstoke: Palgrave Macmillan.</w:t>
        <w:br w:type="textWrapping"/>
      </w:r>
    </w:p>
    <w:p w:rsidR="00000000" w:rsidDel="00000000" w:rsidP="00000000" w:rsidRDefault="00000000" w:rsidRPr="00000000" w14:paraId="0000002C">
      <w:pPr>
        <w:numPr>
          <w:ilvl w:val="0"/>
          <w:numId w:val="1"/>
        </w:numPr>
        <w:spacing w:after="0" w:afterAutospacing="0" w:before="0" w:beforeAutospacing="0" w:lineRule="auto"/>
        <w:ind w:left="720" w:hanging="360"/>
        <w:rPr>
          <w:b w:val="1"/>
          <w:i w:val="1"/>
          <w:sz w:val="24"/>
          <w:szCs w:val="24"/>
        </w:rPr>
      </w:pPr>
      <w:r w:rsidDel="00000000" w:rsidR="00000000" w:rsidRPr="00000000">
        <w:rPr>
          <w:b w:val="1"/>
          <w:i w:val="1"/>
          <w:sz w:val="24"/>
          <w:szCs w:val="24"/>
          <w:u w:val="single"/>
          <w:rtl w:val="0"/>
        </w:rPr>
        <w:t xml:space="preserve">Burns, P. (2016a). Entrepreneurship and Small Business. London: Bloomsbury Publishing.</w:t>
        <w:br w:type="textWrapping"/>
      </w:r>
    </w:p>
    <w:p w:rsidR="00000000" w:rsidDel="00000000" w:rsidP="00000000" w:rsidRDefault="00000000" w:rsidRPr="00000000" w14:paraId="0000002D">
      <w:pPr>
        <w:numPr>
          <w:ilvl w:val="0"/>
          <w:numId w:val="1"/>
        </w:numPr>
        <w:spacing w:after="0" w:afterAutospacing="0" w:before="0" w:beforeAutospacing="0" w:lineRule="auto"/>
        <w:ind w:left="720" w:hanging="360"/>
        <w:rPr>
          <w:b w:val="1"/>
          <w:i w:val="1"/>
          <w:sz w:val="24"/>
          <w:szCs w:val="24"/>
        </w:rPr>
      </w:pPr>
      <w:r w:rsidDel="00000000" w:rsidR="00000000" w:rsidRPr="00000000">
        <w:rPr>
          <w:b w:val="1"/>
          <w:i w:val="1"/>
          <w:sz w:val="24"/>
          <w:szCs w:val="24"/>
          <w:u w:val="single"/>
          <w:rtl w:val="0"/>
        </w:rPr>
        <w:t xml:space="preserve">Burns, P. (2016b). Entrepreneurship and Small Business: Start-Up, Growth and Maturity (5th ed.). Basingstoke: Palgrave Macmillan Education.</w:t>
        <w:br w:type="textWrapping"/>
      </w:r>
    </w:p>
    <w:p w:rsidR="00000000" w:rsidDel="00000000" w:rsidP="00000000" w:rsidRDefault="00000000" w:rsidRPr="00000000" w14:paraId="0000002E">
      <w:pPr>
        <w:numPr>
          <w:ilvl w:val="0"/>
          <w:numId w:val="1"/>
        </w:numPr>
        <w:spacing w:after="0" w:afterAutospacing="0" w:before="0" w:beforeAutospacing="0" w:lineRule="auto"/>
        <w:ind w:left="720" w:hanging="360"/>
        <w:rPr>
          <w:b w:val="1"/>
          <w:i w:val="1"/>
          <w:sz w:val="24"/>
          <w:szCs w:val="24"/>
        </w:rPr>
      </w:pPr>
      <w:r w:rsidDel="00000000" w:rsidR="00000000" w:rsidRPr="00000000">
        <w:rPr>
          <w:b w:val="1"/>
          <w:i w:val="1"/>
          <w:sz w:val="24"/>
          <w:szCs w:val="24"/>
          <w:u w:val="single"/>
          <w:rtl w:val="0"/>
        </w:rPr>
        <w:t xml:space="preserve">Dewey, J. (1933). How We Think: A Testament of the Relation of Reflective Thinking to the Educative Process. Boston: Heath.</w:t>
        <w:br w:type="textWrapping"/>
      </w:r>
    </w:p>
    <w:p w:rsidR="00000000" w:rsidDel="00000000" w:rsidP="00000000" w:rsidRDefault="00000000" w:rsidRPr="00000000" w14:paraId="0000002F">
      <w:pPr>
        <w:numPr>
          <w:ilvl w:val="0"/>
          <w:numId w:val="1"/>
        </w:numPr>
        <w:spacing w:after="0" w:afterAutospacing="0" w:before="0" w:beforeAutospacing="0" w:lineRule="auto"/>
        <w:ind w:left="720" w:hanging="360"/>
        <w:rPr>
          <w:b w:val="1"/>
          <w:i w:val="1"/>
          <w:sz w:val="24"/>
          <w:szCs w:val="24"/>
        </w:rPr>
      </w:pPr>
      <w:r w:rsidDel="00000000" w:rsidR="00000000" w:rsidRPr="00000000">
        <w:rPr>
          <w:b w:val="1"/>
          <w:i w:val="1"/>
          <w:sz w:val="24"/>
          <w:szCs w:val="24"/>
          <w:u w:val="single"/>
          <w:rtl w:val="0"/>
        </w:rPr>
        <w:t xml:space="preserve">European Commission. (2016). EntreComp: The Entrepreneurship Competence Framework. Available at:</w:t>
      </w:r>
      <w:hyperlink r:id="rId6">
        <w:r w:rsidDel="00000000" w:rsidR="00000000" w:rsidRPr="00000000">
          <w:rPr>
            <w:b w:val="1"/>
            <w:i w:val="1"/>
            <w:sz w:val="24"/>
            <w:szCs w:val="24"/>
            <w:u w:val="single"/>
            <w:rtl w:val="0"/>
          </w:rPr>
          <w:t xml:space="preserve"> </w:t>
        </w:r>
      </w:hyperlink>
      <w:hyperlink r:id="rId7">
        <w:r w:rsidDel="00000000" w:rsidR="00000000" w:rsidRPr="00000000">
          <w:rPr>
            <w:b w:val="1"/>
            <w:i w:val="1"/>
            <w:color w:val="1155cc"/>
            <w:sz w:val="24"/>
            <w:szCs w:val="24"/>
            <w:u w:val="single"/>
            <w:rtl w:val="0"/>
          </w:rPr>
          <w:t xml:space="preserve">https://joint-research-centre.ec.europa.eu/entrecomp-entrepreneurship-competence-framework_en</w:t>
        </w:r>
      </w:hyperlink>
      <w:r w:rsidDel="00000000" w:rsidR="00000000" w:rsidRPr="00000000">
        <w:rPr>
          <w:b w:val="1"/>
          <w:i w:val="1"/>
          <w:sz w:val="24"/>
          <w:szCs w:val="24"/>
          <w:u w:val="single"/>
          <w:rtl w:val="0"/>
        </w:rPr>
        <w:t xml:space="preserve"> (Accessed: [Insert Date Accessed]).</w:t>
        <w:br w:type="textWrapping"/>
      </w:r>
    </w:p>
    <w:p w:rsidR="00000000" w:rsidDel="00000000" w:rsidP="00000000" w:rsidRDefault="00000000" w:rsidRPr="00000000" w14:paraId="00000030">
      <w:pPr>
        <w:numPr>
          <w:ilvl w:val="0"/>
          <w:numId w:val="1"/>
        </w:numPr>
        <w:spacing w:after="0" w:afterAutospacing="0" w:before="0" w:beforeAutospacing="0" w:lineRule="auto"/>
        <w:ind w:left="720" w:hanging="360"/>
        <w:rPr>
          <w:b w:val="1"/>
          <w:i w:val="1"/>
          <w:sz w:val="24"/>
          <w:szCs w:val="24"/>
        </w:rPr>
      </w:pPr>
      <w:r w:rsidDel="00000000" w:rsidR="00000000" w:rsidRPr="00000000">
        <w:rPr>
          <w:b w:val="1"/>
          <w:i w:val="1"/>
          <w:sz w:val="24"/>
          <w:szCs w:val="24"/>
          <w:u w:val="single"/>
          <w:rtl w:val="0"/>
        </w:rPr>
        <w:t xml:space="preserve">Gibbs, G. (1988). Learning by Doing: A Guide to Teaching and Learning Methods. Oxford: Further Education Unit.</w:t>
        <w:br w:type="textWrapping"/>
      </w:r>
    </w:p>
    <w:p w:rsidR="00000000" w:rsidDel="00000000" w:rsidP="00000000" w:rsidRDefault="00000000" w:rsidRPr="00000000" w14:paraId="00000031">
      <w:pPr>
        <w:numPr>
          <w:ilvl w:val="0"/>
          <w:numId w:val="1"/>
        </w:numPr>
        <w:spacing w:after="0" w:afterAutospacing="0" w:before="0" w:beforeAutospacing="0" w:lineRule="auto"/>
        <w:ind w:left="720" w:hanging="360"/>
        <w:rPr>
          <w:b w:val="1"/>
          <w:i w:val="1"/>
          <w:sz w:val="24"/>
          <w:szCs w:val="24"/>
        </w:rPr>
      </w:pPr>
      <w:r w:rsidDel="00000000" w:rsidR="00000000" w:rsidRPr="00000000">
        <w:rPr>
          <w:b w:val="1"/>
          <w:i w:val="1"/>
          <w:sz w:val="24"/>
          <w:szCs w:val="24"/>
          <w:u w:val="single"/>
          <w:rtl w:val="0"/>
        </w:rPr>
        <w:t xml:space="preserve">Kolb, D.A. (1984a). Experiential Learning: Experience as the Source of Learning and Development. Upper Saddle River, NJ: Pearson Education Inc.</w:t>
        <w:br w:type="textWrapping"/>
      </w:r>
    </w:p>
    <w:p w:rsidR="00000000" w:rsidDel="00000000" w:rsidP="00000000" w:rsidRDefault="00000000" w:rsidRPr="00000000" w14:paraId="00000032">
      <w:pPr>
        <w:numPr>
          <w:ilvl w:val="0"/>
          <w:numId w:val="1"/>
        </w:numPr>
        <w:spacing w:after="0" w:afterAutospacing="0" w:before="0" w:beforeAutospacing="0" w:lineRule="auto"/>
        <w:ind w:left="720" w:hanging="360"/>
        <w:rPr>
          <w:b w:val="1"/>
          <w:i w:val="1"/>
          <w:sz w:val="24"/>
          <w:szCs w:val="24"/>
        </w:rPr>
      </w:pPr>
      <w:r w:rsidDel="00000000" w:rsidR="00000000" w:rsidRPr="00000000">
        <w:rPr>
          <w:b w:val="1"/>
          <w:i w:val="1"/>
          <w:sz w:val="24"/>
          <w:szCs w:val="24"/>
          <w:u w:val="single"/>
          <w:rtl w:val="0"/>
        </w:rPr>
        <w:t xml:space="preserve">Kolb, D.A. (1984b). Experiential Learning: Experience as the Source of Learning and Development. London: Prentice-Hall.</w:t>
        <w:br w:type="textWrapping"/>
      </w:r>
    </w:p>
    <w:p w:rsidR="00000000" w:rsidDel="00000000" w:rsidP="00000000" w:rsidRDefault="00000000" w:rsidRPr="00000000" w14:paraId="00000033">
      <w:pPr>
        <w:numPr>
          <w:ilvl w:val="0"/>
          <w:numId w:val="1"/>
        </w:numPr>
        <w:spacing w:after="240" w:before="0" w:beforeAutospacing="0" w:lineRule="auto"/>
        <w:ind w:left="720" w:hanging="360"/>
        <w:rPr>
          <w:b w:val="1"/>
          <w:i w:val="1"/>
          <w:sz w:val="24"/>
          <w:szCs w:val="24"/>
        </w:rPr>
      </w:pPr>
      <w:r w:rsidDel="00000000" w:rsidR="00000000" w:rsidRPr="00000000">
        <w:rPr>
          <w:b w:val="1"/>
          <w:i w:val="1"/>
          <w:sz w:val="24"/>
          <w:szCs w:val="24"/>
          <w:u w:val="single"/>
          <w:rtl w:val="0"/>
        </w:rPr>
        <w:t xml:space="preserve">McClelland, D.C. (1961). The Achieving Society. Mansfield Centre, CT: Martino Publishing.</w:t>
        <w:br w:type="textWrapping"/>
      </w:r>
    </w:p>
    <w:p w:rsidR="00000000" w:rsidDel="00000000" w:rsidP="00000000" w:rsidRDefault="00000000" w:rsidRPr="00000000" w14:paraId="00000034">
      <w:pPr>
        <w:spacing w:after="240" w:before="240" w:lineRule="auto"/>
        <w:rPr>
          <w:b w:val="1"/>
          <w:i w:val="1"/>
          <w:sz w:val="24"/>
          <w:szCs w:val="24"/>
          <w:u w:val="single"/>
        </w:rPr>
      </w:pPr>
      <w:r w:rsidDel="00000000" w:rsidR="00000000" w:rsidRPr="00000000">
        <w:rPr>
          <w:rtl w:val="0"/>
        </w:rPr>
      </w:r>
    </w:p>
    <w:p w:rsidR="00000000" w:rsidDel="00000000" w:rsidP="00000000" w:rsidRDefault="00000000" w:rsidRPr="00000000" w14:paraId="00000035">
      <w:pPr>
        <w:rPr>
          <w:b w:val="1"/>
          <w:i w:val="1"/>
          <w:sz w:val="24"/>
          <w:szCs w:val="24"/>
          <w:u w:val="singl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joint-research-centre.ec.europa.eu/entrecomp-entrepreneurship-competence-framework_en" TargetMode="External"/><Relationship Id="rId7" Type="http://schemas.openxmlformats.org/officeDocument/2006/relationships/hyperlink" Target="https://joint-research-centre.ec.europa.eu/entrecomp-entrepreneurship-competence-framework_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