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2977E" w14:textId="77777777" w:rsidR="00D108B8" w:rsidRDefault="00000000">
      <w:pPr>
        <w:numPr>
          <w:ilvl w:val="0"/>
          <w:numId w:val="1"/>
        </w:numPr>
        <w:pBdr>
          <w:top w:val="nil"/>
          <w:left w:val="nil"/>
          <w:bottom w:val="nil"/>
          <w:right w:val="nil"/>
          <w:between w:val="nil"/>
        </w:pBdr>
        <w:spacing w:after="0" w:line="360" w:lineRule="auto"/>
        <w:jc w:val="both"/>
        <w:rPr>
          <w:rFonts w:ascii="Arial" w:eastAsia="Arial" w:hAnsi="Arial" w:cs="Arial"/>
          <w:i/>
          <w:sz w:val="24"/>
          <w:szCs w:val="24"/>
        </w:rPr>
      </w:pPr>
      <w:r>
        <w:rPr>
          <w:rFonts w:ascii="Arial" w:eastAsia="Arial" w:hAnsi="Arial" w:cs="Arial"/>
          <w:b/>
          <w:i/>
          <w:sz w:val="24"/>
          <w:szCs w:val="24"/>
        </w:rPr>
        <w:t>Introduction</w:t>
      </w:r>
    </w:p>
    <w:p w14:paraId="341AC392" w14:textId="77777777" w:rsidR="00D108B8" w:rsidRDefault="00D108B8">
      <w:pPr>
        <w:pBdr>
          <w:top w:val="nil"/>
          <w:left w:val="nil"/>
          <w:bottom w:val="nil"/>
          <w:right w:val="nil"/>
          <w:between w:val="nil"/>
        </w:pBdr>
        <w:spacing w:after="0" w:line="360" w:lineRule="auto"/>
        <w:ind w:left="360"/>
        <w:jc w:val="both"/>
        <w:rPr>
          <w:rFonts w:ascii="Arial" w:eastAsia="Arial" w:hAnsi="Arial" w:cs="Arial"/>
          <w:i/>
          <w:sz w:val="24"/>
          <w:szCs w:val="24"/>
        </w:rPr>
      </w:pPr>
    </w:p>
    <w:p w14:paraId="01CD8931"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Clinical decision support (CDS) is designed by experts to enhance clinical decisions, aiming to improve healthcare delivery by enhancing the efficiency and effectiveness. CDS uses intelligently processed and appropriately filtered data, delivered via specialist apps or alerts to the appropriate person at the point of care. Promise of CDS delivering ‘scalable and sustained’ value within cardiovascular care has huge potential but is still in its </w:t>
      </w:r>
      <w:proofErr w:type="gramStart"/>
      <w:r>
        <w:rPr>
          <w:rFonts w:ascii="Arial" w:eastAsia="Arial" w:hAnsi="Arial" w:cs="Arial"/>
          <w:sz w:val="24"/>
          <w:szCs w:val="24"/>
        </w:rPr>
        <w:t>infancy  (</w:t>
      </w:r>
      <w:proofErr w:type="gramEnd"/>
      <w:r>
        <w:rPr>
          <w:rFonts w:ascii="Arial" w:eastAsia="Arial" w:hAnsi="Arial" w:cs="Arial"/>
          <w:sz w:val="24"/>
          <w:szCs w:val="24"/>
        </w:rPr>
        <w:t xml:space="preserve">Lu, Melnick &amp; </w:t>
      </w:r>
      <w:proofErr w:type="spellStart"/>
      <w:r>
        <w:rPr>
          <w:rFonts w:ascii="Arial" w:eastAsia="Arial" w:hAnsi="Arial" w:cs="Arial"/>
          <w:sz w:val="24"/>
          <w:szCs w:val="24"/>
        </w:rPr>
        <w:t>Krumholz</w:t>
      </w:r>
      <w:proofErr w:type="spellEnd"/>
      <w:r>
        <w:rPr>
          <w:rFonts w:ascii="Arial" w:eastAsia="Arial" w:hAnsi="Arial" w:cs="Arial"/>
          <w:sz w:val="24"/>
          <w:szCs w:val="24"/>
        </w:rPr>
        <w:t>, 2022).</w:t>
      </w:r>
    </w:p>
    <w:p w14:paraId="4514C569"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Cardiopulmonary bypass (CPB), a ‘heart and lung’ machine is required for cardiac surgery operations. The patient’s circulatory system is attached to the CPB machine and operated by a clinical perfusion scientist (perfusionist). This allows the surgeon to operate on a still ‘non beating’ heart which can be operated on, without blood loss whilst the CPB machine provides blood circulation to the rest of the body. All clinical decisions when conducting CPB are done by the perfusionist or as a multidisciplinary team. </w:t>
      </w:r>
    </w:p>
    <w:p w14:paraId="48E63838" w14:textId="77777777" w:rsidR="00D108B8" w:rsidRDefault="00000000">
      <w:pPr>
        <w:spacing w:line="360" w:lineRule="auto"/>
        <w:jc w:val="both"/>
        <w:rPr>
          <w:rFonts w:ascii="Arial" w:eastAsia="Arial" w:hAnsi="Arial" w:cs="Arial"/>
          <w:sz w:val="24"/>
          <w:szCs w:val="24"/>
        </w:rPr>
      </w:pPr>
      <w:r>
        <w:rPr>
          <w:rFonts w:ascii="Arial" w:eastAsia="Arial" w:hAnsi="Arial" w:cs="Arial"/>
          <w:noProof/>
          <w:sz w:val="24"/>
          <w:szCs w:val="24"/>
        </w:rPr>
        <w:drawing>
          <wp:inline distT="0" distB="0" distL="0" distR="0" wp14:anchorId="1E0271EA" wp14:editId="5ED8EF14">
            <wp:extent cx="3700463" cy="361020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700463" cy="3610207"/>
                    </a:xfrm>
                    <a:prstGeom prst="rect">
                      <a:avLst/>
                    </a:prstGeom>
                    <a:ln/>
                  </pic:spPr>
                </pic:pic>
              </a:graphicData>
            </a:graphic>
          </wp:inline>
        </w:drawing>
      </w:r>
    </w:p>
    <w:p w14:paraId="43079C7A" w14:textId="77777777" w:rsidR="00D108B8" w:rsidRDefault="00000000">
      <w:pPr>
        <w:spacing w:line="360" w:lineRule="auto"/>
        <w:jc w:val="both"/>
        <w:rPr>
          <w:rFonts w:ascii="Arial" w:eastAsia="Arial" w:hAnsi="Arial" w:cs="Arial"/>
          <w:i/>
          <w:sz w:val="24"/>
          <w:szCs w:val="24"/>
        </w:rPr>
      </w:pPr>
      <w:r>
        <w:rPr>
          <w:rFonts w:ascii="Arial" w:eastAsia="Arial" w:hAnsi="Arial" w:cs="Arial"/>
          <w:i/>
          <w:sz w:val="24"/>
          <w:szCs w:val="24"/>
        </w:rPr>
        <w:t>Figure 1: Cardiopulmonary bypass machine (CPB), within cardiac surgery theatre</w:t>
      </w:r>
    </w:p>
    <w:p w14:paraId="160ACFE3"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This essay will look at where clinical decision support (CDS) could be utilised within cardiac surgery focussing on the CPB machine.</w:t>
      </w:r>
    </w:p>
    <w:p w14:paraId="37D5E998" w14:textId="77777777" w:rsidR="00D108B8" w:rsidRDefault="00000000">
      <w:pPr>
        <w:spacing w:line="360" w:lineRule="auto"/>
        <w:jc w:val="both"/>
        <w:rPr>
          <w:rFonts w:ascii="Arial" w:eastAsia="Arial" w:hAnsi="Arial" w:cs="Arial"/>
          <w:i/>
          <w:sz w:val="24"/>
          <w:szCs w:val="24"/>
        </w:rPr>
      </w:pPr>
      <w:r>
        <w:rPr>
          <w:rFonts w:ascii="Arial" w:eastAsia="Arial" w:hAnsi="Arial" w:cs="Arial"/>
          <w:i/>
          <w:noProof/>
          <w:sz w:val="24"/>
          <w:szCs w:val="24"/>
        </w:rPr>
        <w:lastRenderedPageBreak/>
        <w:drawing>
          <wp:inline distT="0" distB="0" distL="0" distR="0" wp14:anchorId="4358C0A3" wp14:editId="3EE2F60C">
            <wp:extent cx="3155527" cy="2299346"/>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3155527" cy="2299346"/>
                    </a:xfrm>
                    <a:prstGeom prst="rect">
                      <a:avLst/>
                    </a:prstGeom>
                    <a:ln/>
                  </pic:spPr>
                </pic:pic>
              </a:graphicData>
            </a:graphic>
          </wp:inline>
        </w:drawing>
      </w:r>
    </w:p>
    <w:p w14:paraId="246F338D" w14:textId="77777777" w:rsidR="00D108B8" w:rsidRDefault="00000000">
      <w:pPr>
        <w:spacing w:line="360" w:lineRule="auto"/>
        <w:jc w:val="both"/>
        <w:rPr>
          <w:rFonts w:ascii="Arial" w:eastAsia="Arial" w:hAnsi="Arial" w:cs="Arial"/>
          <w:i/>
          <w:sz w:val="24"/>
          <w:szCs w:val="24"/>
        </w:rPr>
      </w:pPr>
      <w:r>
        <w:rPr>
          <w:rFonts w:ascii="Arial" w:eastAsia="Arial" w:hAnsi="Arial" w:cs="Arial"/>
          <w:i/>
          <w:sz w:val="24"/>
          <w:szCs w:val="24"/>
        </w:rPr>
        <w:t xml:space="preserve">Figure </w:t>
      </w:r>
      <w:proofErr w:type="gramStart"/>
      <w:r>
        <w:rPr>
          <w:rFonts w:ascii="Arial" w:eastAsia="Arial" w:hAnsi="Arial" w:cs="Arial"/>
          <w:i/>
          <w:sz w:val="24"/>
          <w:szCs w:val="24"/>
        </w:rPr>
        <w:t>2 .Data</w:t>
      </w:r>
      <w:proofErr w:type="gramEnd"/>
      <w:r>
        <w:rPr>
          <w:rFonts w:ascii="Arial" w:eastAsia="Arial" w:hAnsi="Arial" w:cs="Arial"/>
          <w:i/>
          <w:sz w:val="24"/>
          <w:szCs w:val="24"/>
        </w:rPr>
        <w:t xml:space="preserve"> Management System, DMS. ‘Connect’ </w:t>
      </w:r>
      <w:proofErr w:type="spellStart"/>
      <w:r>
        <w:rPr>
          <w:rFonts w:ascii="Arial" w:eastAsia="Arial" w:hAnsi="Arial" w:cs="Arial"/>
          <w:i/>
          <w:sz w:val="24"/>
          <w:szCs w:val="24"/>
        </w:rPr>
        <w:t>Liva</w:t>
      </w:r>
      <w:proofErr w:type="spellEnd"/>
      <w:r>
        <w:rPr>
          <w:rFonts w:ascii="Arial" w:eastAsia="Arial" w:hAnsi="Arial" w:cs="Arial"/>
          <w:i/>
          <w:sz w:val="24"/>
          <w:szCs w:val="24"/>
        </w:rPr>
        <w:t xml:space="preserve"> Nova. A </w:t>
      </w:r>
      <w:proofErr w:type="spellStart"/>
      <w:r>
        <w:rPr>
          <w:rFonts w:ascii="Arial" w:eastAsia="Arial" w:hAnsi="Arial" w:cs="Arial"/>
          <w:i/>
          <w:sz w:val="24"/>
          <w:szCs w:val="24"/>
        </w:rPr>
        <w:t>datapad</w:t>
      </w:r>
      <w:proofErr w:type="spellEnd"/>
      <w:r>
        <w:rPr>
          <w:rFonts w:ascii="Arial" w:eastAsia="Arial" w:hAnsi="Arial" w:cs="Arial"/>
          <w:i/>
          <w:sz w:val="24"/>
          <w:szCs w:val="24"/>
        </w:rPr>
        <w:t xml:space="preserve"> mounted on the CPB machine directly in front of the perfusionist.</w:t>
      </w:r>
    </w:p>
    <w:p w14:paraId="59197F10"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Connect DMS system is linked to the CPB machine, the anaesthetic machine and is updated continuously by the perfusionist during surgery providing a ‘time stamped’ record of data, </w:t>
      </w:r>
      <w:proofErr w:type="gramStart"/>
      <w:r>
        <w:rPr>
          <w:rFonts w:ascii="Arial" w:eastAsia="Arial" w:hAnsi="Arial" w:cs="Arial"/>
          <w:sz w:val="24"/>
          <w:szCs w:val="24"/>
        </w:rPr>
        <w:t>events</w:t>
      </w:r>
      <w:proofErr w:type="gramEnd"/>
      <w:r>
        <w:rPr>
          <w:rFonts w:ascii="Arial" w:eastAsia="Arial" w:hAnsi="Arial" w:cs="Arial"/>
          <w:sz w:val="24"/>
          <w:szCs w:val="24"/>
        </w:rPr>
        <w:t xml:space="preserve"> and clinical decisions. It has the potential to incorporate CDS to advance this digital platform. The integration of CDS into the existing system and workflow means that users are already trained and familiar with the DMS platform and data storage is already authorised by a secure licenced server which is leased by the trust. </w:t>
      </w:r>
    </w:p>
    <w:p w14:paraId="422C76A8"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CDS, incorporated into workflow, provided at ‘the time and location of decision making’ is an independent predictor for improved clinical practice (Kawamoto &amp; Houlihan et al, 2005). </w:t>
      </w:r>
      <w:proofErr w:type="spellStart"/>
      <w:r>
        <w:rPr>
          <w:rFonts w:ascii="Arial" w:eastAsia="Arial" w:hAnsi="Arial" w:cs="Arial"/>
          <w:sz w:val="24"/>
          <w:szCs w:val="24"/>
        </w:rPr>
        <w:t>Osheroff</w:t>
      </w:r>
      <w:proofErr w:type="spellEnd"/>
      <w:r>
        <w:rPr>
          <w:rFonts w:ascii="Arial" w:eastAsia="Arial" w:hAnsi="Arial" w:cs="Arial"/>
          <w:sz w:val="24"/>
          <w:szCs w:val="24"/>
        </w:rPr>
        <w:t xml:space="preserve"> et al, 2021, stated that both commercially and locally developed systems can be utilised to improve process measures. Implementation would be at a local level however this would need to be authorised by </w:t>
      </w:r>
      <w:proofErr w:type="spellStart"/>
      <w:r>
        <w:rPr>
          <w:rFonts w:ascii="Arial" w:eastAsia="Arial" w:hAnsi="Arial" w:cs="Arial"/>
          <w:sz w:val="24"/>
          <w:szCs w:val="24"/>
        </w:rPr>
        <w:t>Liva</w:t>
      </w:r>
      <w:proofErr w:type="spellEnd"/>
      <w:r>
        <w:rPr>
          <w:rFonts w:ascii="Arial" w:eastAsia="Arial" w:hAnsi="Arial" w:cs="Arial"/>
          <w:sz w:val="24"/>
          <w:szCs w:val="24"/>
        </w:rPr>
        <w:t xml:space="preserve"> Nova as the DMS is a commercially developed product. There is scope for large scale change internationally using CDS within CPB DMS. </w:t>
      </w:r>
    </w:p>
    <w:p w14:paraId="3ED0EFCF"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DMS/CDS would receive data actively by the perfusionist or the CPB machine producing an action or output based on the </w:t>
      </w:r>
      <w:proofErr w:type="gramStart"/>
      <w:r>
        <w:rPr>
          <w:rFonts w:ascii="Arial" w:eastAsia="Arial" w:hAnsi="Arial" w:cs="Arial"/>
          <w:sz w:val="24"/>
          <w:szCs w:val="24"/>
        </w:rPr>
        <w:t>knowledge based</w:t>
      </w:r>
      <w:proofErr w:type="gramEnd"/>
      <w:r>
        <w:rPr>
          <w:rFonts w:ascii="Arial" w:eastAsia="Arial" w:hAnsi="Arial" w:cs="Arial"/>
          <w:sz w:val="24"/>
          <w:szCs w:val="24"/>
        </w:rPr>
        <w:t xml:space="preserve"> rules incorporated by the designer. Rules may derive from expert consensus, </w:t>
      </w:r>
      <w:proofErr w:type="gramStart"/>
      <w:r>
        <w:rPr>
          <w:rFonts w:ascii="Arial" w:eastAsia="Arial" w:hAnsi="Arial" w:cs="Arial"/>
          <w:sz w:val="24"/>
          <w:szCs w:val="24"/>
        </w:rPr>
        <w:t>literature</w:t>
      </w:r>
      <w:proofErr w:type="gramEnd"/>
      <w:r>
        <w:rPr>
          <w:rFonts w:ascii="Arial" w:eastAsia="Arial" w:hAnsi="Arial" w:cs="Arial"/>
          <w:sz w:val="24"/>
          <w:szCs w:val="24"/>
        </w:rPr>
        <w:t xml:space="preserve"> or guidelines. Clinicians should approach all CDS with critical analysis regardless of origin </w:t>
      </w:r>
      <w:r>
        <w:rPr>
          <w:rFonts w:ascii="Arial" w:eastAsia="Arial" w:hAnsi="Arial" w:cs="Arial"/>
          <w:sz w:val="24"/>
          <w:szCs w:val="24"/>
          <w:highlight w:val="white"/>
        </w:rPr>
        <w:t>(</w:t>
      </w:r>
      <w:proofErr w:type="spellStart"/>
      <w:r>
        <w:rPr>
          <w:rFonts w:ascii="Arial" w:eastAsia="Arial" w:hAnsi="Arial" w:cs="Arial"/>
          <w:sz w:val="24"/>
          <w:szCs w:val="24"/>
          <w:highlight w:val="white"/>
        </w:rPr>
        <w:t>Gabbay</w:t>
      </w:r>
      <w:proofErr w:type="spellEnd"/>
      <w:r>
        <w:rPr>
          <w:rFonts w:ascii="Arial" w:eastAsia="Arial" w:hAnsi="Arial" w:cs="Arial"/>
          <w:sz w:val="24"/>
          <w:szCs w:val="24"/>
          <w:highlight w:val="white"/>
        </w:rPr>
        <w:t>, 2016) Medicine changes; new developments and approaches should be disseminated and incorporated into the CDS and subsequent patient care.</w:t>
      </w:r>
    </w:p>
    <w:p w14:paraId="708CBDCD"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 xml:space="preserve">The European Board of Cardiovascular Perfusion (EBCP) recently collaborated with major stakeholders (EACTA &amp; EACTS) to publish guidelines on CPB. (Wahba et al, 2019) As all guidelines they should be read critically looking for </w:t>
      </w:r>
      <w:proofErr w:type="gramStart"/>
      <w:r>
        <w:rPr>
          <w:rFonts w:ascii="Arial" w:eastAsia="Arial" w:hAnsi="Arial" w:cs="Arial"/>
          <w:sz w:val="24"/>
          <w:szCs w:val="24"/>
        </w:rPr>
        <w:t>bias, and</w:t>
      </w:r>
      <w:proofErr w:type="gramEnd"/>
      <w:r>
        <w:rPr>
          <w:rFonts w:ascii="Arial" w:eastAsia="Arial" w:hAnsi="Arial" w:cs="Arial"/>
          <w:sz w:val="24"/>
          <w:szCs w:val="24"/>
        </w:rPr>
        <w:t xml:space="preserve"> updated regularly. An example recommendation is shown below with discussion on how CDS could be applied following this. </w:t>
      </w:r>
    </w:p>
    <w:p w14:paraId="625A4700" w14:textId="77777777" w:rsidR="00D108B8" w:rsidRDefault="00000000">
      <w:pPr>
        <w:spacing w:line="360" w:lineRule="auto"/>
        <w:jc w:val="both"/>
        <w:rPr>
          <w:rFonts w:ascii="Arial" w:eastAsia="Arial" w:hAnsi="Arial" w:cs="Arial"/>
          <w:sz w:val="24"/>
          <w:szCs w:val="24"/>
        </w:rPr>
      </w:pPr>
      <w:r>
        <w:rPr>
          <w:rFonts w:ascii="Arial" w:eastAsia="Arial" w:hAnsi="Arial" w:cs="Arial"/>
          <w:noProof/>
          <w:sz w:val="24"/>
          <w:szCs w:val="24"/>
        </w:rPr>
        <w:drawing>
          <wp:inline distT="0" distB="0" distL="0" distR="0" wp14:anchorId="2405F31E" wp14:editId="134C87B0">
            <wp:extent cx="3261481" cy="2759081"/>
            <wp:effectExtent l="0" t="0" r="0" b="0"/>
            <wp:docPr id="3" name="image5.png"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png" descr="Table&#10;&#10;Description automatically generated"/>
                    <pic:cNvPicPr preferRelativeResize="0"/>
                  </pic:nvPicPr>
                  <pic:blipFill>
                    <a:blip r:embed="rId9"/>
                    <a:srcRect/>
                    <a:stretch>
                      <a:fillRect/>
                    </a:stretch>
                  </pic:blipFill>
                  <pic:spPr>
                    <a:xfrm>
                      <a:off x="0" y="0"/>
                      <a:ext cx="3261481" cy="2759081"/>
                    </a:xfrm>
                    <a:prstGeom prst="rect">
                      <a:avLst/>
                    </a:prstGeom>
                    <a:ln/>
                  </pic:spPr>
                </pic:pic>
              </a:graphicData>
            </a:graphic>
          </wp:inline>
        </w:drawing>
      </w:r>
    </w:p>
    <w:p w14:paraId="3C62A9A3" w14:textId="77777777" w:rsidR="00D108B8" w:rsidRDefault="00000000">
      <w:pPr>
        <w:spacing w:line="360" w:lineRule="auto"/>
        <w:jc w:val="both"/>
        <w:rPr>
          <w:rFonts w:ascii="Arial" w:eastAsia="Arial" w:hAnsi="Arial" w:cs="Arial"/>
          <w:i/>
          <w:sz w:val="24"/>
          <w:szCs w:val="24"/>
        </w:rPr>
      </w:pPr>
      <w:r>
        <w:rPr>
          <w:rFonts w:ascii="Arial" w:eastAsia="Arial" w:hAnsi="Arial" w:cs="Arial"/>
          <w:i/>
          <w:sz w:val="24"/>
          <w:szCs w:val="24"/>
        </w:rPr>
        <w:t>Figure 3. European Board of Cardiovascular Perfusion EBCP, 2019 Guideline.</w:t>
      </w:r>
    </w:p>
    <w:p w14:paraId="30129580"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It’s recognised that pre CPB checklists enhance </w:t>
      </w:r>
      <w:proofErr w:type="gramStart"/>
      <w:r>
        <w:rPr>
          <w:rFonts w:ascii="Arial" w:eastAsia="Arial" w:hAnsi="Arial" w:cs="Arial"/>
          <w:sz w:val="24"/>
          <w:szCs w:val="24"/>
        </w:rPr>
        <w:t>safety;</w:t>
      </w:r>
      <w:proofErr w:type="gramEnd"/>
      <w:r>
        <w:rPr>
          <w:rFonts w:ascii="Arial" w:eastAsia="Arial" w:hAnsi="Arial" w:cs="Arial"/>
          <w:sz w:val="24"/>
          <w:szCs w:val="24"/>
        </w:rPr>
        <w:t xml:space="preserve"> reducing human error and enhancing system safety practices </w:t>
      </w:r>
      <w:r>
        <w:rPr>
          <w:rFonts w:ascii="Arial" w:eastAsia="Arial" w:hAnsi="Arial" w:cs="Arial"/>
          <w:sz w:val="24"/>
          <w:szCs w:val="24"/>
          <w:highlight w:val="white"/>
        </w:rPr>
        <w:t>(</w:t>
      </w:r>
      <w:proofErr w:type="spellStart"/>
      <w:r>
        <w:rPr>
          <w:rFonts w:ascii="Arial" w:eastAsia="Arial" w:hAnsi="Arial" w:cs="Arial"/>
          <w:sz w:val="24"/>
          <w:szCs w:val="24"/>
          <w:highlight w:val="white"/>
        </w:rPr>
        <w:t>Wahr</w:t>
      </w:r>
      <w:proofErr w:type="spellEnd"/>
      <w:r>
        <w:rPr>
          <w:rFonts w:ascii="Arial" w:eastAsia="Arial" w:hAnsi="Arial" w:cs="Arial"/>
          <w:sz w:val="24"/>
          <w:szCs w:val="24"/>
          <w:highlight w:val="white"/>
        </w:rPr>
        <w:t xml:space="preserve"> et al, 2013).</w:t>
      </w:r>
      <w:r>
        <w:rPr>
          <w:rFonts w:ascii="Arial" w:eastAsia="Arial" w:hAnsi="Arial" w:cs="Arial"/>
          <w:sz w:val="24"/>
          <w:szCs w:val="24"/>
        </w:rPr>
        <w:t xml:space="preserve"> CDS could allow for the DMS to recognise if parts of the checklist have been left ‘unticked’. When the ‘CPB start’ timer is pressed an alert could say - ‘complete checklist first?’ or ‘confirm clotting time reported’ if that is the check omitted. This passive CDS requires user activation by deliberate action pressing the start key. </w:t>
      </w:r>
    </w:p>
    <w:p w14:paraId="53FE2DAF" w14:textId="77777777" w:rsidR="00D108B8" w:rsidRDefault="00D108B8">
      <w:pPr>
        <w:spacing w:line="360" w:lineRule="auto"/>
        <w:jc w:val="both"/>
        <w:rPr>
          <w:rFonts w:ascii="Arial" w:eastAsia="Arial" w:hAnsi="Arial" w:cs="Arial"/>
          <w:sz w:val="24"/>
          <w:szCs w:val="24"/>
        </w:rPr>
      </w:pPr>
    </w:p>
    <w:p w14:paraId="592B78C6" w14:textId="77777777" w:rsidR="00D108B8" w:rsidRDefault="00D108B8">
      <w:pPr>
        <w:spacing w:line="360" w:lineRule="auto"/>
        <w:jc w:val="both"/>
        <w:rPr>
          <w:rFonts w:ascii="Arial" w:eastAsia="Arial" w:hAnsi="Arial" w:cs="Arial"/>
          <w:sz w:val="24"/>
          <w:szCs w:val="24"/>
        </w:rPr>
      </w:pPr>
    </w:p>
    <w:p w14:paraId="73C53AD7" w14:textId="77777777" w:rsidR="00D108B8" w:rsidRDefault="00D108B8">
      <w:pPr>
        <w:spacing w:line="360" w:lineRule="auto"/>
        <w:jc w:val="both"/>
        <w:rPr>
          <w:rFonts w:ascii="Arial" w:eastAsia="Arial" w:hAnsi="Arial" w:cs="Arial"/>
          <w:sz w:val="24"/>
          <w:szCs w:val="24"/>
        </w:rPr>
      </w:pPr>
    </w:p>
    <w:p w14:paraId="706F2E0F" w14:textId="77777777" w:rsidR="00D108B8" w:rsidRDefault="00000000">
      <w:pPr>
        <w:spacing w:line="360" w:lineRule="auto"/>
        <w:jc w:val="both"/>
        <w:rPr>
          <w:rFonts w:ascii="Arial" w:eastAsia="Arial" w:hAnsi="Arial" w:cs="Arial"/>
          <w:sz w:val="24"/>
          <w:szCs w:val="24"/>
        </w:rPr>
      </w:pPr>
      <w:r>
        <w:rPr>
          <w:rFonts w:ascii="Arial" w:eastAsia="Arial" w:hAnsi="Arial" w:cs="Arial"/>
          <w:noProof/>
          <w:sz w:val="24"/>
          <w:szCs w:val="24"/>
        </w:rPr>
        <w:lastRenderedPageBreak/>
        <w:drawing>
          <wp:inline distT="114300" distB="114300" distL="114300" distR="114300" wp14:anchorId="79FE30D8" wp14:editId="27A4BA5E">
            <wp:extent cx="3814763" cy="2857903"/>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3814763" cy="2857903"/>
                    </a:xfrm>
                    <a:prstGeom prst="rect">
                      <a:avLst/>
                    </a:prstGeom>
                    <a:ln/>
                  </pic:spPr>
                </pic:pic>
              </a:graphicData>
            </a:graphic>
          </wp:inline>
        </w:drawing>
      </w:r>
    </w:p>
    <w:p w14:paraId="7446DB46" w14:textId="77777777" w:rsidR="00D108B8" w:rsidRDefault="00000000">
      <w:pPr>
        <w:spacing w:line="360" w:lineRule="auto"/>
        <w:jc w:val="both"/>
        <w:rPr>
          <w:rFonts w:ascii="Arial" w:eastAsia="Arial" w:hAnsi="Arial" w:cs="Arial"/>
          <w:i/>
          <w:sz w:val="24"/>
          <w:szCs w:val="24"/>
        </w:rPr>
      </w:pPr>
      <w:r>
        <w:rPr>
          <w:rFonts w:ascii="Arial" w:eastAsia="Arial" w:hAnsi="Arial" w:cs="Arial"/>
          <w:i/>
          <w:sz w:val="24"/>
          <w:szCs w:val="24"/>
        </w:rPr>
        <w:t>Figure 4 Example of ‘unticked’ checklist boxes on the DMS Connect system</w:t>
      </w:r>
    </w:p>
    <w:p w14:paraId="5D5706F0"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All CPB CDS would need to have an option to be ‘overridden’ or ‘justified disregard’ by the clinical expertise. The CDS recommendation may not recognise the dynamic and temporary patient specific factors which can determine action required. Errors could be made if clinicians deliberately omit or work around the technology however this can occur with most CDS. (Van de Veen et al, 2018)</w:t>
      </w:r>
    </w:p>
    <w:p w14:paraId="6EB1FE6D" w14:textId="77777777" w:rsidR="00D108B8" w:rsidRDefault="00000000">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Within cardiac surgery it is recognised that the drug Protamine, which is given to reverse the anticoagulation of heparin administration should be delivered slowly to reduce the risk of severe hypotension. When the ’Protamine Started’ button is clicked the CDS could alert – ‘give small slow test dose’. </w:t>
      </w:r>
    </w:p>
    <w:p w14:paraId="3D7A8240" w14:textId="77777777" w:rsidR="00D108B8" w:rsidRDefault="00D108B8">
      <w:pPr>
        <w:spacing w:line="360" w:lineRule="auto"/>
        <w:jc w:val="both"/>
        <w:rPr>
          <w:rFonts w:ascii="Arial" w:eastAsia="Arial" w:hAnsi="Arial" w:cs="Arial"/>
          <w:sz w:val="24"/>
          <w:szCs w:val="24"/>
        </w:rPr>
      </w:pPr>
    </w:p>
    <w:p w14:paraId="1FE3A566" w14:textId="77777777" w:rsidR="00D108B8" w:rsidRDefault="00000000">
      <w:pPr>
        <w:spacing w:line="360" w:lineRule="auto"/>
        <w:jc w:val="both"/>
        <w:rPr>
          <w:rFonts w:ascii="Arial" w:eastAsia="Arial" w:hAnsi="Arial" w:cs="Arial"/>
          <w:sz w:val="24"/>
          <w:szCs w:val="24"/>
        </w:rPr>
      </w:pPr>
      <w:r>
        <w:rPr>
          <w:rFonts w:ascii="Arial" w:eastAsia="Arial" w:hAnsi="Arial" w:cs="Arial"/>
          <w:noProof/>
          <w:sz w:val="24"/>
          <w:szCs w:val="24"/>
        </w:rPr>
        <w:drawing>
          <wp:inline distT="0" distB="0" distL="0" distR="0" wp14:anchorId="758E7133" wp14:editId="7499B58C">
            <wp:extent cx="1806961" cy="2184528"/>
            <wp:effectExtent l="0" t="0" r="0" b="0"/>
            <wp:docPr id="6" name="image8.png"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8.png" descr="Graphical user interface, application&#10;&#10;Description automatically generated"/>
                    <pic:cNvPicPr preferRelativeResize="0"/>
                  </pic:nvPicPr>
                  <pic:blipFill>
                    <a:blip r:embed="rId11"/>
                    <a:srcRect/>
                    <a:stretch>
                      <a:fillRect/>
                    </a:stretch>
                  </pic:blipFill>
                  <pic:spPr>
                    <a:xfrm>
                      <a:off x="0" y="0"/>
                      <a:ext cx="1806961" cy="2184528"/>
                    </a:xfrm>
                    <a:prstGeom prst="rect">
                      <a:avLst/>
                    </a:prstGeom>
                    <a:ln/>
                  </pic:spPr>
                </pic:pic>
              </a:graphicData>
            </a:graphic>
          </wp:inline>
        </w:drawing>
      </w:r>
    </w:p>
    <w:p w14:paraId="7B4CECDA" w14:textId="77777777" w:rsidR="00D108B8" w:rsidRDefault="00000000">
      <w:pPr>
        <w:spacing w:line="360" w:lineRule="auto"/>
        <w:jc w:val="both"/>
        <w:rPr>
          <w:rFonts w:ascii="Arial" w:eastAsia="Arial" w:hAnsi="Arial" w:cs="Arial"/>
          <w:i/>
          <w:sz w:val="24"/>
          <w:szCs w:val="24"/>
        </w:rPr>
      </w:pPr>
      <w:r>
        <w:rPr>
          <w:rFonts w:ascii="Arial" w:eastAsia="Arial" w:hAnsi="Arial" w:cs="Arial"/>
          <w:i/>
          <w:sz w:val="24"/>
          <w:szCs w:val="24"/>
        </w:rPr>
        <w:lastRenderedPageBreak/>
        <w:t>Figure 5 Connect DMS screen: ‘Protamine started’ is a ‘hot key’ which provides a real time data record when activated using touch screen.</w:t>
      </w:r>
    </w:p>
    <w:p w14:paraId="51276D3E" w14:textId="77777777" w:rsidR="00D108B8" w:rsidRDefault="00000000">
      <w:pPr>
        <w:spacing w:line="360" w:lineRule="auto"/>
        <w:jc w:val="both"/>
        <w:rPr>
          <w:rFonts w:ascii="Arial" w:eastAsia="Arial" w:hAnsi="Arial" w:cs="Arial"/>
          <w:sz w:val="24"/>
          <w:szCs w:val="24"/>
        </w:rPr>
      </w:pPr>
      <w:r>
        <w:rPr>
          <w:rFonts w:ascii="Arial" w:eastAsia="Arial" w:hAnsi="Arial" w:cs="Arial"/>
          <w:noProof/>
          <w:sz w:val="24"/>
          <w:szCs w:val="24"/>
        </w:rPr>
        <w:drawing>
          <wp:inline distT="0" distB="0" distL="0" distR="0" wp14:anchorId="47D6BE29" wp14:editId="1449FFF1">
            <wp:extent cx="1894092" cy="2188719"/>
            <wp:effectExtent l="0" t="0" r="0" b="0"/>
            <wp:docPr id="5" name="image10.png" descr="A screenshot of a computer screen&#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image10.png" descr="A screenshot of a computer screen&#10;&#10;Description automatically generated with low confidence"/>
                    <pic:cNvPicPr preferRelativeResize="0"/>
                  </pic:nvPicPr>
                  <pic:blipFill>
                    <a:blip r:embed="rId12"/>
                    <a:srcRect/>
                    <a:stretch>
                      <a:fillRect/>
                    </a:stretch>
                  </pic:blipFill>
                  <pic:spPr>
                    <a:xfrm>
                      <a:off x="0" y="0"/>
                      <a:ext cx="1894092" cy="2188719"/>
                    </a:xfrm>
                    <a:prstGeom prst="rect">
                      <a:avLst/>
                    </a:prstGeom>
                    <a:ln/>
                  </pic:spPr>
                </pic:pic>
              </a:graphicData>
            </a:graphic>
          </wp:inline>
        </w:drawing>
      </w:r>
    </w:p>
    <w:p w14:paraId="7096BBB6" w14:textId="77777777" w:rsidR="00D108B8" w:rsidRDefault="00000000">
      <w:pPr>
        <w:spacing w:line="360" w:lineRule="auto"/>
        <w:jc w:val="both"/>
        <w:rPr>
          <w:rFonts w:ascii="Arial" w:eastAsia="Arial" w:hAnsi="Arial" w:cs="Arial"/>
          <w:sz w:val="24"/>
          <w:szCs w:val="24"/>
        </w:rPr>
      </w:pPr>
      <w:r>
        <w:rPr>
          <w:rFonts w:ascii="Arial" w:eastAsia="Arial" w:hAnsi="Arial" w:cs="Arial"/>
          <w:i/>
          <w:sz w:val="24"/>
          <w:szCs w:val="24"/>
        </w:rPr>
        <w:t>Figure X Connect DMS screen. Notification of ‘time stamp’, confirmation of hot key pressed. An example of where CDS could add to an existing alert to improve patient safety</w:t>
      </w:r>
    </w:p>
    <w:p w14:paraId="61AC2D4D" w14:textId="77777777" w:rsidR="00D108B8" w:rsidRDefault="00000000">
      <w:pPr>
        <w:spacing w:line="360" w:lineRule="auto"/>
        <w:jc w:val="both"/>
        <w:rPr>
          <w:rFonts w:ascii="Arial" w:eastAsia="Arial" w:hAnsi="Arial" w:cs="Arial"/>
          <w:sz w:val="24"/>
          <w:szCs w:val="24"/>
          <w:highlight w:val="white"/>
        </w:rPr>
      </w:pPr>
      <w:proofErr w:type="spellStart"/>
      <w:r>
        <w:rPr>
          <w:rFonts w:ascii="Arial" w:eastAsia="Arial" w:hAnsi="Arial" w:cs="Arial"/>
          <w:sz w:val="24"/>
          <w:szCs w:val="24"/>
          <w:highlight w:val="white"/>
        </w:rPr>
        <w:t>Gabbay</w:t>
      </w:r>
      <w:proofErr w:type="spellEnd"/>
      <w:r>
        <w:rPr>
          <w:rFonts w:ascii="Arial" w:eastAsia="Arial" w:hAnsi="Arial" w:cs="Arial"/>
          <w:sz w:val="24"/>
          <w:szCs w:val="24"/>
          <w:highlight w:val="white"/>
        </w:rPr>
        <w:t xml:space="preserve"> and le </w:t>
      </w:r>
      <w:proofErr w:type="gramStart"/>
      <w:r>
        <w:rPr>
          <w:rFonts w:ascii="Arial" w:eastAsia="Arial" w:hAnsi="Arial" w:cs="Arial"/>
          <w:sz w:val="24"/>
          <w:szCs w:val="24"/>
          <w:highlight w:val="white"/>
        </w:rPr>
        <w:t>May,</w:t>
      </w:r>
      <w:proofErr w:type="gramEnd"/>
      <w:r>
        <w:rPr>
          <w:rFonts w:ascii="Arial" w:eastAsia="Arial" w:hAnsi="Arial" w:cs="Arial"/>
          <w:sz w:val="24"/>
          <w:szCs w:val="24"/>
          <w:highlight w:val="white"/>
        </w:rPr>
        <w:t xml:space="preserve"> 2004 evidenced that clinicians utilise </w:t>
      </w:r>
      <w:proofErr w:type="spellStart"/>
      <w:r>
        <w:rPr>
          <w:rFonts w:ascii="Arial" w:eastAsia="Arial" w:hAnsi="Arial" w:cs="Arial"/>
          <w:sz w:val="24"/>
          <w:szCs w:val="24"/>
          <w:highlight w:val="white"/>
        </w:rPr>
        <w:t>mindlines</w:t>
      </w:r>
      <w:proofErr w:type="spellEnd"/>
      <w:r>
        <w:rPr>
          <w:rFonts w:ascii="Arial" w:eastAsia="Arial" w:hAnsi="Arial" w:cs="Arial"/>
          <w:sz w:val="24"/>
          <w:szCs w:val="24"/>
          <w:highlight w:val="white"/>
        </w:rPr>
        <w:t xml:space="preserve">; ‘internalised and collectively reinforced tacit guidelines’ as opposed to reviewing hard copies of published guidelines routinely. Cardiac surgery relies on the sharing of experiences, peer support and knowledge transfer from experienced clinicians to those in training. </w:t>
      </w:r>
    </w:p>
    <w:p w14:paraId="2552CA4D" w14:textId="77777777" w:rsidR="00D108B8" w:rsidRDefault="00000000">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Bale et al discuss </w:t>
      </w:r>
      <w:proofErr w:type="spellStart"/>
      <w:r>
        <w:rPr>
          <w:rFonts w:ascii="Arial" w:eastAsia="Arial" w:hAnsi="Arial" w:cs="Arial"/>
          <w:sz w:val="24"/>
          <w:szCs w:val="24"/>
          <w:highlight w:val="white"/>
        </w:rPr>
        <w:t>mindlines</w:t>
      </w:r>
      <w:proofErr w:type="spellEnd"/>
      <w:r>
        <w:rPr>
          <w:rFonts w:ascii="Arial" w:eastAsia="Arial" w:hAnsi="Arial" w:cs="Arial"/>
          <w:sz w:val="24"/>
          <w:szCs w:val="24"/>
          <w:highlight w:val="white"/>
        </w:rPr>
        <w:t xml:space="preserve"> as a form of intuitive thinking ‘system 1’ – mental models are formed which allow for fast, </w:t>
      </w:r>
      <w:proofErr w:type="gramStart"/>
      <w:r>
        <w:rPr>
          <w:rFonts w:ascii="Arial" w:eastAsia="Arial" w:hAnsi="Arial" w:cs="Arial"/>
          <w:sz w:val="24"/>
          <w:szCs w:val="24"/>
          <w:highlight w:val="white"/>
        </w:rPr>
        <w:t>reactive</w:t>
      </w:r>
      <w:proofErr w:type="gramEnd"/>
      <w:r>
        <w:rPr>
          <w:rFonts w:ascii="Arial" w:eastAsia="Arial" w:hAnsi="Arial" w:cs="Arial"/>
          <w:sz w:val="24"/>
          <w:szCs w:val="24"/>
          <w:highlight w:val="white"/>
        </w:rPr>
        <w:t xml:space="preserve"> and automatic decisions. This way of working which is developed through experience and repetition is necessary within surgery where decisions are often time sensitive and critical. Critical incidents which are rare can cause the perfusionists to requite system 2 processing of ‘rational analysis and evaluation’ of the event which takes time and could lead to cognitive overload. A CDS prompt of an emergency protocol or checklist for a certain event could be useful. (Merkle et al, 2021)</w:t>
      </w:r>
    </w:p>
    <w:p w14:paraId="7427B1F4" w14:textId="77777777" w:rsidR="00D108B8" w:rsidRDefault="00000000">
      <w:pPr>
        <w:spacing w:line="360" w:lineRule="auto"/>
        <w:jc w:val="both"/>
        <w:rPr>
          <w:rFonts w:ascii="Arial" w:eastAsia="Arial" w:hAnsi="Arial" w:cs="Arial"/>
          <w:sz w:val="24"/>
          <w:szCs w:val="24"/>
          <w:highlight w:val="white"/>
        </w:rPr>
      </w:pPr>
      <w:r>
        <w:rPr>
          <w:rFonts w:ascii="Arial" w:eastAsia="Arial" w:hAnsi="Arial" w:cs="Arial"/>
          <w:noProof/>
          <w:sz w:val="24"/>
          <w:szCs w:val="24"/>
          <w:highlight w:val="white"/>
        </w:rPr>
        <w:lastRenderedPageBreak/>
        <w:drawing>
          <wp:inline distT="114300" distB="114300" distL="114300" distR="114300" wp14:anchorId="75EC7A3E" wp14:editId="0C1A977C">
            <wp:extent cx="3900488" cy="4658662"/>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3900488" cy="4658662"/>
                    </a:xfrm>
                    <a:prstGeom prst="rect">
                      <a:avLst/>
                    </a:prstGeom>
                    <a:ln/>
                  </pic:spPr>
                </pic:pic>
              </a:graphicData>
            </a:graphic>
          </wp:inline>
        </w:drawing>
      </w:r>
    </w:p>
    <w:p w14:paraId="31E2D082" w14:textId="77777777" w:rsidR="00D108B8" w:rsidRDefault="00000000">
      <w:pPr>
        <w:spacing w:line="360" w:lineRule="auto"/>
        <w:jc w:val="both"/>
        <w:rPr>
          <w:rFonts w:ascii="Arial" w:eastAsia="Arial" w:hAnsi="Arial" w:cs="Arial"/>
          <w:i/>
          <w:sz w:val="24"/>
          <w:szCs w:val="24"/>
          <w:highlight w:val="white"/>
        </w:rPr>
      </w:pPr>
      <w:r>
        <w:rPr>
          <w:rFonts w:ascii="Arial" w:eastAsia="Arial" w:hAnsi="Arial" w:cs="Arial"/>
          <w:i/>
          <w:sz w:val="24"/>
          <w:szCs w:val="24"/>
          <w:highlight w:val="white"/>
        </w:rPr>
        <w:t xml:space="preserve">Figure 6, Taken from Merkle et al, 2021. Critical Incident, Hypoxia on CPB checklist </w:t>
      </w:r>
    </w:p>
    <w:p w14:paraId="6565D03C" w14:textId="77777777" w:rsidR="00D108B8" w:rsidRDefault="00000000">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This critical event checklist, utilised by Merkle et al, 2019 during simulation training of oxygenation failure ‘improves the probability of correct decision making and shortens the correct decision time’. The full checklist could arrive as an alert to low oxygen or in stages ‘attach spare oxygen cylinder’ as immediate CDS alert. There could also be an active CDS key to request to view clinical protocols stored on the DMS (Nair et al, 2016).</w:t>
      </w:r>
    </w:p>
    <w:p w14:paraId="0DF272CE"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CDS is an evolving practice which is growing exponentially. </w:t>
      </w:r>
      <w:proofErr w:type="gramStart"/>
      <w:r>
        <w:rPr>
          <w:rFonts w:ascii="Arial" w:eastAsia="Arial" w:hAnsi="Arial" w:cs="Arial"/>
          <w:sz w:val="24"/>
          <w:szCs w:val="24"/>
        </w:rPr>
        <w:t>The majority of</w:t>
      </w:r>
      <w:proofErr w:type="gramEnd"/>
      <w:r>
        <w:rPr>
          <w:rFonts w:ascii="Arial" w:eastAsia="Arial" w:hAnsi="Arial" w:cs="Arial"/>
          <w:sz w:val="24"/>
          <w:szCs w:val="24"/>
        </w:rPr>
        <w:t xml:space="preserve"> alerts would be standardised however patient specific recommendations can be presented to support decisions (Sutton &amp; </w:t>
      </w:r>
      <w:proofErr w:type="spellStart"/>
      <w:r>
        <w:rPr>
          <w:rFonts w:ascii="Arial" w:eastAsia="Arial" w:hAnsi="Arial" w:cs="Arial"/>
          <w:sz w:val="24"/>
          <w:szCs w:val="24"/>
        </w:rPr>
        <w:t>Pincock</w:t>
      </w:r>
      <w:proofErr w:type="spellEnd"/>
      <w:r>
        <w:rPr>
          <w:rFonts w:ascii="Arial" w:eastAsia="Arial" w:hAnsi="Arial" w:cs="Arial"/>
          <w:sz w:val="24"/>
          <w:szCs w:val="24"/>
        </w:rPr>
        <w:t xml:space="preserve">, 2020). Pre CPB, key patient information is </w:t>
      </w:r>
      <w:proofErr w:type="gramStart"/>
      <w:r>
        <w:rPr>
          <w:rFonts w:ascii="Arial" w:eastAsia="Arial" w:hAnsi="Arial" w:cs="Arial"/>
          <w:sz w:val="24"/>
          <w:szCs w:val="24"/>
        </w:rPr>
        <w:t>input;</w:t>
      </w:r>
      <w:proofErr w:type="gramEnd"/>
      <w:r>
        <w:rPr>
          <w:rFonts w:ascii="Arial" w:eastAsia="Arial" w:hAnsi="Arial" w:cs="Arial"/>
          <w:sz w:val="24"/>
          <w:szCs w:val="24"/>
        </w:rPr>
        <w:t xml:space="preserve"> including specific allergies such as penicillin. If during the operation the perfusionist clicked the ‘administer antibiotics’ hot key, an alert to remind of this allergy could be shown. An advanced system would link existing EHR allergy data directly to the CPB DMS so that if this was missed on the day of surgery the alert would still </w:t>
      </w:r>
      <w:r>
        <w:rPr>
          <w:rFonts w:ascii="Arial" w:eastAsia="Arial" w:hAnsi="Arial" w:cs="Arial"/>
          <w:sz w:val="24"/>
          <w:szCs w:val="24"/>
        </w:rPr>
        <w:lastRenderedPageBreak/>
        <w:t xml:space="preserve">appear. </w:t>
      </w:r>
      <w:proofErr w:type="spellStart"/>
      <w:r>
        <w:rPr>
          <w:rFonts w:ascii="Arial" w:eastAsia="Arial" w:hAnsi="Arial" w:cs="Arial"/>
          <w:sz w:val="24"/>
          <w:szCs w:val="24"/>
        </w:rPr>
        <w:t>Mahonet</w:t>
      </w:r>
      <w:proofErr w:type="spellEnd"/>
      <w:r>
        <w:rPr>
          <w:rFonts w:ascii="Arial" w:eastAsia="Arial" w:hAnsi="Arial" w:cs="Arial"/>
          <w:sz w:val="24"/>
          <w:szCs w:val="24"/>
        </w:rPr>
        <w:t xml:space="preserve"> et al, 2007, showed that combining data from electronic health records (EHR) with drug safeguards reduced prescribing error rates for drug allergies. </w:t>
      </w:r>
    </w:p>
    <w:p w14:paraId="292AF69E"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highlight w:val="white"/>
        </w:rPr>
        <w:t>The DMS rules builder module will be modified following feedback and changes in practice and needs to be adaptable, ideally not hard code into the CDS software. An advanced system should be able to prioritise rules and allow the user to select the notification modality (audio, visual etc).</w:t>
      </w:r>
    </w:p>
    <w:p w14:paraId="7043E48F" w14:textId="77777777" w:rsidR="00D108B8" w:rsidRDefault="00000000">
      <w:pPr>
        <w:spacing w:line="360" w:lineRule="auto"/>
        <w:jc w:val="both"/>
        <w:rPr>
          <w:rFonts w:ascii="Arial" w:eastAsia="Arial" w:hAnsi="Arial" w:cs="Arial"/>
          <w:i/>
          <w:sz w:val="24"/>
          <w:szCs w:val="24"/>
          <w:u w:val="single"/>
        </w:rPr>
      </w:pPr>
      <w:r>
        <w:rPr>
          <w:rFonts w:ascii="Arial" w:eastAsia="Arial" w:hAnsi="Arial" w:cs="Arial"/>
          <w:i/>
          <w:sz w:val="24"/>
          <w:szCs w:val="24"/>
          <w:u w:val="single"/>
        </w:rPr>
        <w:t>Future Considerations</w:t>
      </w:r>
    </w:p>
    <w:p w14:paraId="77A447FE"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Future advances could include a software’s ability to ‘listen’ and provide a transcript of surgical commands. Hazlehurst et al, 2006 discuss distributed cognition in the heart room ‘How situational awareness arises from coordinated communications during cardiac surgery’. Heart surgery relies on clinical expertise, attention, </w:t>
      </w:r>
      <w:proofErr w:type="gramStart"/>
      <w:r>
        <w:rPr>
          <w:rFonts w:ascii="Arial" w:eastAsia="Arial" w:hAnsi="Arial" w:cs="Arial"/>
          <w:sz w:val="24"/>
          <w:szCs w:val="24"/>
        </w:rPr>
        <w:t>equipment</w:t>
      </w:r>
      <w:proofErr w:type="gramEnd"/>
      <w:r>
        <w:rPr>
          <w:rFonts w:ascii="Arial" w:eastAsia="Arial" w:hAnsi="Arial" w:cs="Arial"/>
          <w:sz w:val="24"/>
          <w:szCs w:val="24"/>
        </w:rPr>
        <w:t xml:space="preserve"> and perception amongst other things to deliver an optimal procedure; coordination, appropriate responses and actions including ‘closed loop communication’. Human performance in complex socio-technical systems could be enhanced by CDS which would allow for a command to be missed by the perfusionist but picked up by the CPB machine. </w:t>
      </w:r>
    </w:p>
    <w:p w14:paraId="746AD9D3"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Live transcription could allow the perfusionist to ‘read and confirm’ the task. The surgical team is reliant on effective translation of information between the surgeons who have visual access to the surgical field and the perfusionist who is monitoring all patient parameters (Hazlehurst et al, 2006). This CDS may prompt decision making reducing the likelihood of ‘slow response’ or errors by omission or distraction. It may provide inaccurate data so the clinician would have to use clinical judgement and check. </w:t>
      </w:r>
    </w:p>
    <w:p w14:paraId="42336BEA"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In the future advances could incorporate adaptive user interface development where cognitive behaviour knowledge is working in the background to optimise user design. Eye tracking glasses have been utilised during critical incident training research where eye trackers generate ‘areas of interest’ from gaze data. (Merkle et al, 2021)</w:t>
      </w:r>
    </w:p>
    <w:p w14:paraId="49BFB803"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An attractive CDS for the future would include proactive and predictive data instead of simply reactive which is the standard. CDS acting as an early warning that recognises deterioration, pooling various parameters of a dangerous situation avoiding crisis could have huge potential benefits. (Nair et al, 2016).</w:t>
      </w:r>
    </w:p>
    <w:p w14:paraId="5B033A48" w14:textId="77777777" w:rsidR="00D108B8" w:rsidRDefault="00D108B8">
      <w:pPr>
        <w:spacing w:line="360" w:lineRule="auto"/>
        <w:jc w:val="both"/>
        <w:rPr>
          <w:rFonts w:ascii="Arial" w:eastAsia="Arial" w:hAnsi="Arial" w:cs="Arial"/>
          <w:sz w:val="24"/>
          <w:szCs w:val="24"/>
        </w:rPr>
      </w:pPr>
    </w:p>
    <w:p w14:paraId="25DFCB47" w14:textId="77777777" w:rsidR="00D108B8" w:rsidRDefault="00000000">
      <w:pPr>
        <w:numPr>
          <w:ilvl w:val="0"/>
          <w:numId w:val="1"/>
        </w:numPr>
        <w:pBdr>
          <w:top w:val="nil"/>
          <w:left w:val="nil"/>
          <w:bottom w:val="nil"/>
          <w:right w:val="nil"/>
          <w:between w:val="nil"/>
        </w:pBdr>
        <w:spacing w:after="0" w:line="360" w:lineRule="auto"/>
        <w:jc w:val="both"/>
        <w:rPr>
          <w:rFonts w:ascii="Arial" w:eastAsia="Arial" w:hAnsi="Arial" w:cs="Arial"/>
          <w:i/>
          <w:sz w:val="24"/>
          <w:szCs w:val="24"/>
        </w:rPr>
      </w:pPr>
      <w:r>
        <w:rPr>
          <w:rFonts w:ascii="Arial" w:eastAsia="Arial" w:hAnsi="Arial" w:cs="Arial"/>
          <w:b/>
          <w:i/>
          <w:sz w:val="24"/>
          <w:szCs w:val="24"/>
        </w:rPr>
        <w:t xml:space="preserve">Evidence </w:t>
      </w:r>
      <w:proofErr w:type="gramStart"/>
      <w:r>
        <w:rPr>
          <w:rFonts w:ascii="Arial" w:eastAsia="Arial" w:hAnsi="Arial" w:cs="Arial"/>
          <w:b/>
          <w:i/>
          <w:sz w:val="24"/>
          <w:szCs w:val="24"/>
        </w:rPr>
        <w:t>review</w:t>
      </w:r>
      <w:proofErr w:type="gramEnd"/>
    </w:p>
    <w:p w14:paraId="15862495" w14:textId="77777777" w:rsidR="00D108B8" w:rsidRDefault="00D108B8">
      <w:pPr>
        <w:pBdr>
          <w:top w:val="nil"/>
          <w:left w:val="nil"/>
          <w:bottom w:val="nil"/>
          <w:right w:val="nil"/>
          <w:between w:val="nil"/>
        </w:pBdr>
        <w:spacing w:after="0" w:line="360" w:lineRule="auto"/>
        <w:ind w:left="360"/>
        <w:jc w:val="both"/>
        <w:rPr>
          <w:rFonts w:ascii="Arial" w:eastAsia="Arial" w:hAnsi="Arial" w:cs="Arial"/>
          <w:i/>
          <w:sz w:val="24"/>
          <w:szCs w:val="24"/>
        </w:rPr>
      </w:pPr>
    </w:p>
    <w:p w14:paraId="56362E09"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Initial literature searches used the USWTD library advanced search for ‘clinical decision support’ and ‘cardiopulmonary bypass’. This provided 10 results of which 2 were relevant, 1 study and 1 review. Wider searches were undertaken which included cardiac surgery and perioperative CDS. This provided 325 articles however reading the titles and abstracts identified just one study with reference to CPB. 2 studies were chosen for in depth analysis, one utilised CDS within the CPB DMS (alternative supplier) and the other focussed on anaesthetic perioperative CDS following separation from the CPB machine during cardiac surgery. </w:t>
      </w:r>
    </w:p>
    <w:p w14:paraId="7790FB2A" w14:textId="77777777" w:rsidR="00D108B8" w:rsidRDefault="00000000">
      <w:pPr>
        <w:spacing w:line="360" w:lineRule="auto"/>
        <w:jc w:val="both"/>
        <w:rPr>
          <w:rFonts w:ascii="Arial" w:eastAsia="Arial" w:hAnsi="Arial" w:cs="Arial"/>
          <w:sz w:val="24"/>
          <w:szCs w:val="24"/>
          <w:u w:val="single"/>
        </w:rPr>
      </w:pPr>
      <w:r>
        <w:rPr>
          <w:rFonts w:ascii="Arial" w:eastAsia="Arial" w:hAnsi="Arial" w:cs="Arial"/>
          <w:sz w:val="24"/>
          <w:szCs w:val="24"/>
          <w:u w:val="single"/>
        </w:rPr>
        <w:t xml:space="preserve">Paper 1 </w:t>
      </w:r>
    </w:p>
    <w:p w14:paraId="100069AE"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Beck and Fung et al, 2015, undertook a single centre study (New York Presbyterian Hospital) to conclude that ‘Real-time data acquisition and alerts may reduce reaction time and improve perfusionist performance during cardiopulmonary bypass’. </w:t>
      </w:r>
    </w:p>
    <w:p w14:paraId="7AE2EF94"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Compliance alerts (CA); a </w:t>
      </w:r>
      <w:proofErr w:type="gramStart"/>
      <w:r>
        <w:rPr>
          <w:rFonts w:ascii="Arial" w:eastAsia="Arial" w:hAnsi="Arial" w:cs="Arial"/>
          <w:sz w:val="24"/>
          <w:szCs w:val="24"/>
        </w:rPr>
        <w:t>pop up</w:t>
      </w:r>
      <w:proofErr w:type="gramEnd"/>
      <w:r>
        <w:rPr>
          <w:rFonts w:ascii="Arial" w:eastAsia="Arial" w:hAnsi="Arial" w:cs="Arial"/>
          <w:sz w:val="24"/>
          <w:szCs w:val="24"/>
        </w:rPr>
        <w:t xml:space="preserve"> banner with audio and visual components would notify the perfusionist when clinical parameters deviated outside of the predetermined range. 2 groups were randomised; Each group undertook 10 standard adult CPB cases. Group 1 included CA (97), Group 2 shared CA (86) with a proctor but the perfusionist was blinded to the alert. The proctor recorded the time from alert until recognition. </w:t>
      </w:r>
    </w:p>
    <w:p w14:paraId="6F0E09E2"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Group 2, without alerts, had a reaction time that averaged 10 times that of the compliance alert Group </w:t>
      </w:r>
      <w:proofErr w:type="gramStart"/>
      <w:r>
        <w:rPr>
          <w:rFonts w:ascii="Arial" w:eastAsia="Arial" w:hAnsi="Arial" w:cs="Arial"/>
          <w:sz w:val="24"/>
          <w:szCs w:val="24"/>
        </w:rPr>
        <w:t>1,(</w:t>
      </w:r>
      <w:proofErr w:type="gramEnd"/>
      <w:r>
        <w:rPr>
          <w:rFonts w:ascii="Arial" w:eastAsia="Arial" w:hAnsi="Arial" w:cs="Arial"/>
          <w:sz w:val="24"/>
          <w:szCs w:val="24"/>
        </w:rPr>
        <w:t xml:space="preserve"> CA - 3.6 seconds). These results support the argument for real time data acquisition combined with alerts to improve performance and potentially patient safety.  </w:t>
      </w:r>
    </w:p>
    <w:p w14:paraId="089E0C88"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This paper demonstrates the capability of the proposed intervention discussed in part 1. Spectrum medical, have designed an integrated DMS coordinated with the heart lung machine to allow for compliance alerts to have high and lower limits on various clinical parameters. The CDS allows for the perfusionist to continue in ‘</w:t>
      </w:r>
      <w:proofErr w:type="spellStart"/>
      <w:proofErr w:type="gramStart"/>
      <w:r>
        <w:rPr>
          <w:rFonts w:ascii="Arial" w:eastAsia="Arial" w:hAnsi="Arial" w:cs="Arial"/>
          <w:sz w:val="24"/>
          <w:szCs w:val="24"/>
        </w:rPr>
        <w:t>non compliance</w:t>
      </w:r>
      <w:proofErr w:type="spellEnd"/>
      <w:proofErr w:type="gramEnd"/>
      <w:r>
        <w:rPr>
          <w:rFonts w:ascii="Arial" w:eastAsia="Arial" w:hAnsi="Arial" w:cs="Arial"/>
          <w:sz w:val="24"/>
          <w:szCs w:val="24"/>
        </w:rPr>
        <w:t xml:space="preserve"> mode’ if that decision is chosen. </w:t>
      </w:r>
    </w:p>
    <w:p w14:paraId="32536066" w14:textId="77777777" w:rsidR="00D108B8" w:rsidRDefault="00000000">
      <w:pPr>
        <w:spacing w:line="360" w:lineRule="auto"/>
        <w:jc w:val="both"/>
        <w:rPr>
          <w:rFonts w:ascii="Arial" w:eastAsia="Arial" w:hAnsi="Arial" w:cs="Arial"/>
          <w:sz w:val="24"/>
          <w:szCs w:val="24"/>
        </w:rPr>
      </w:pPr>
      <w:r>
        <w:rPr>
          <w:rFonts w:ascii="Arial" w:eastAsia="Arial" w:hAnsi="Arial" w:cs="Arial"/>
          <w:noProof/>
          <w:sz w:val="24"/>
          <w:szCs w:val="24"/>
        </w:rPr>
        <w:lastRenderedPageBreak/>
        <w:drawing>
          <wp:inline distT="114300" distB="114300" distL="114300" distR="114300" wp14:anchorId="7332265E" wp14:editId="65F6D86F">
            <wp:extent cx="3428271" cy="5574147"/>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3428271" cy="5574147"/>
                    </a:xfrm>
                    <a:prstGeom prst="rect">
                      <a:avLst/>
                    </a:prstGeom>
                    <a:ln/>
                  </pic:spPr>
                </pic:pic>
              </a:graphicData>
            </a:graphic>
          </wp:inline>
        </w:drawing>
      </w:r>
    </w:p>
    <w:p w14:paraId="43A5FC3A" w14:textId="77777777" w:rsidR="00D108B8" w:rsidRDefault="00000000">
      <w:pPr>
        <w:spacing w:line="360" w:lineRule="auto"/>
        <w:jc w:val="both"/>
        <w:rPr>
          <w:rFonts w:ascii="Arial" w:eastAsia="Arial" w:hAnsi="Arial" w:cs="Arial"/>
          <w:i/>
          <w:sz w:val="24"/>
          <w:szCs w:val="24"/>
        </w:rPr>
      </w:pPr>
      <w:r>
        <w:rPr>
          <w:rFonts w:ascii="Arial" w:eastAsia="Arial" w:hAnsi="Arial" w:cs="Arial"/>
          <w:i/>
          <w:sz w:val="24"/>
          <w:szCs w:val="24"/>
        </w:rPr>
        <w:t xml:space="preserve">Figure 7. Taken from Beck </w:t>
      </w:r>
      <w:proofErr w:type="spellStart"/>
      <w:r>
        <w:rPr>
          <w:rFonts w:ascii="Arial" w:eastAsia="Arial" w:hAnsi="Arial" w:cs="Arial"/>
          <w:i/>
          <w:sz w:val="24"/>
          <w:szCs w:val="24"/>
        </w:rPr>
        <w:t>etal</w:t>
      </w:r>
      <w:proofErr w:type="spellEnd"/>
      <w:r>
        <w:rPr>
          <w:rFonts w:ascii="Arial" w:eastAsia="Arial" w:hAnsi="Arial" w:cs="Arial"/>
          <w:i/>
          <w:sz w:val="24"/>
          <w:szCs w:val="24"/>
        </w:rPr>
        <w:t>, 2015. High and Low compliance alert chart</w:t>
      </w:r>
    </w:p>
    <w:p w14:paraId="51CA085F"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research is novel and answers the question posed pushing forward CDS research in this area. The intervention is compared to ‘cockpit warnings that alert pilots’ to ‘incoming weather and air turbulence’ with a reference list that utilises predominantly non-medical sources such as aviation and engineering. The small reference list (8) using original sources (1986- 2002) highlights the lack of specific research published on CDS and CPB but also that these authors haven’t linked to recent alternative perioperative CDS sources which could have been beneficial. </w:t>
      </w:r>
    </w:p>
    <w:p w14:paraId="4EB01368"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A proctor is used to measure the reaction time in the </w:t>
      </w:r>
      <w:proofErr w:type="spellStart"/>
      <w:proofErr w:type="gramStart"/>
      <w:r>
        <w:rPr>
          <w:rFonts w:ascii="Arial" w:eastAsia="Arial" w:hAnsi="Arial" w:cs="Arial"/>
          <w:sz w:val="24"/>
          <w:szCs w:val="24"/>
        </w:rPr>
        <w:t>non CA</w:t>
      </w:r>
      <w:proofErr w:type="spellEnd"/>
      <w:proofErr w:type="gramEnd"/>
      <w:r>
        <w:rPr>
          <w:rFonts w:ascii="Arial" w:eastAsia="Arial" w:hAnsi="Arial" w:cs="Arial"/>
          <w:sz w:val="24"/>
          <w:szCs w:val="24"/>
        </w:rPr>
        <w:t xml:space="preserve"> group. It is not noted if this individual was supplied by the Spectrum company or funded by them. The perfusionist must ‘verbally’ tell the proctor when they acknowledge the parameter </w:t>
      </w:r>
      <w:r>
        <w:rPr>
          <w:rFonts w:ascii="Arial" w:eastAsia="Arial" w:hAnsi="Arial" w:cs="Arial"/>
          <w:sz w:val="24"/>
          <w:szCs w:val="24"/>
        </w:rPr>
        <w:lastRenderedPageBreak/>
        <w:t xml:space="preserve">change; this conversation may take longer than simply clicking an alert. It may also not be appropriate to verbally exchange this information particularly if communicating to the surgeon. The study isn’t a ‘true control’ as the perfusionist will be aware of the proctor standing behind them, they will be extra vigilant to the specific parameter changes not wanting to be ‘beaten’ by the CDS. This hyper vigilance may mean however that the true reaction time could be even slower which would support CDS further. </w:t>
      </w:r>
    </w:p>
    <w:p w14:paraId="53E55007"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Key to note is that 4 perfusionists were involved in both group 1 &amp; 2. This demonstrates that results are not only down to perfusionist ability and experience. Future studies could use the same perfusionists in both groups entirely. The authors declare no conflict of interest or funding sources however they do state ‘We have incorporated the use of Spectrum monitoring system into our daily caseload, including adult, paediatric and all ECMO cases’. Spectrum may have offered support to conduct research in terms of </w:t>
      </w:r>
      <w:proofErr w:type="gramStart"/>
      <w:r>
        <w:rPr>
          <w:rFonts w:ascii="Arial" w:eastAsia="Arial" w:hAnsi="Arial" w:cs="Arial"/>
          <w:sz w:val="24"/>
          <w:szCs w:val="24"/>
        </w:rPr>
        <w:t>equipment</w:t>
      </w:r>
      <w:proofErr w:type="gramEnd"/>
      <w:r>
        <w:rPr>
          <w:rFonts w:ascii="Arial" w:eastAsia="Arial" w:hAnsi="Arial" w:cs="Arial"/>
          <w:sz w:val="24"/>
          <w:szCs w:val="24"/>
        </w:rPr>
        <w:t xml:space="preserve"> but this isn’t mentioned. The purchase of a Spectrum HLM is approximately £300,000 so a unit fully dependent on them would be a significant customer.</w:t>
      </w:r>
    </w:p>
    <w:p w14:paraId="1F3BEED1"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‘Only the time to identify the parameter outside of the predetermined value was recorded’ confirmation and corrective actions were not. This is significant as a perfusionist could quickly click on the CA to acknowledge the alert however the way and timeframe it is managed are of more clinical significance. Response time therefore could be ‘to the alert’ as opposed to the actual data, there is no way of knowing if the specific alert was ‘observed and acted upon’ or simply ‘ticked’. Future design could include notes which link to DMS/CA so that if an alert stated ‘mean arterial blood pressure (MAP) below 45mmHg’ – this could be logged with a hot key ‘low flow, surgical request’ which would document that the low MAP is necessary for the procedure. Further advances could monitor the time taken to achieve an appropriate MAP and how this was accomplished (increase in pump flow or vasoconstrictive drugs administered). </w:t>
      </w:r>
    </w:p>
    <w:p w14:paraId="59458C56"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alert levels chosen are ones observed as standard in </w:t>
      </w:r>
      <w:proofErr w:type="gramStart"/>
      <w:r>
        <w:rPr>
          <w:rFonts w:ascii="Arial" w:eastAsia="Arial" w:hAnsi="Arial" w:cs="Arial"/>
          <w:sz w:val="24"/>
          <w:szCs w:val="24"/>
        </w:rPr>
        <w:t>the majority of</w:t>
      </w:r>
      <w:proofErr w:type="gramEnd"/>
      <w:r>
        <w:rPr>
          <w:rFonts w:ascii="Arial" w:eastAsia="Arial" w:hAnsi="Arial" w:cs="Arial"/>
          <w:sz w:val="24"/>
          <w:szCs w:val="24"/>
        </w:rPr>
        <w:t xml:space="preserve"> cardiac surgery cases. They are set up following institutional </w:t>
      </w:r>
      <w:proofErr w:type="gramStart"/>
      <w:r>
        <w:rPr>
          <w:rFonts w:ascii="Arial" w:eastAsia="Arial" w:hAnsi="Arial" w:cs="Arial"/>
          <w:sz w:val="24"/>
          <w:szCs w:val="24"/>
        </w:rPr>
        <w:t>policy</w:t>
      </w:r>
      <w:proofErr w:type="gramEnd"/>
      <w:r>
        <w:rPr>
          <w:rFonts w:ascii="Arial" w:eastAsia="Arial" w:hAnsi="Arial" w:cs="Arial"/>
          <w:sz w:val="24"/>
          <w:szCs w:val="24"/>
        </w:rPr>
        <w:t xml:space="preserve"> but these parameters could use published guidelines and be implemented internationally.</w:t>
      </w:r>
    </w:p>
    <w:p w14:paraId="5C2592DC"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Group1 and 2 were randomised on the day using a ‘shuffled set of 20 sealed envelopes’ which is appropriate. Critically all perfusionists had at least 4 months of prior experience with the ‘Viper’ DMS which validates the method.</w:t>
      </w:r>
    </w:p>
    <w:p w14:paraId="287FF709"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There are 10 cases in each group. The large difference in reaction time (seconds) means that the sample size is appropriate however a power calculation prediction should have been done and provided. Some parameters listed are very unlikely to occur; arterial saturation &lt;70%, line pressure high limit 390mmHg, as such you’d need a much larger sample size to draw conclusions.</w:t>
      </w:r>
    </w:p>
    <w:p w14:paraId="5034EA70"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In summary the huge benefit of this study is that it demonstrates the possibility of real time CDS linked to the CPB machine. It evidences that perfusionists are quick to respond to alerts and this may have clinical significance however there are limitations. It’s paramount to remember that CDS compliance does not necessarily equate to quality much like ‘fast responders’ does not mean better perfusionist. </w:t>
      </w:r>
    </w:p>
    <w:p w14:paraId="1912A02F"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CDS which enhances decision making using clinical knowledge to improve healthcare delivery must have meaningful use; reducing errors, improve efficiency and outcomes whilst enhancing workflow (Campbell, 2013). Intraoperative decision support may improve quality of care, patient safety and compliance. Including real time alerts can promote evidence based standardised care (Nair, 2017)</w:t>
      </w:r>
    </w:p>
    <w:p w14:paraId="7A97E836" w14:textId="77777777" w:rsidR="00D108B8" w:rsidRDefault="00000000">
      <w:pPr>
        <w:spacing w:line="360" w:lineRule="auto"/>
        <w:jc w:val="both"/>
        <w:rPr>
          <w:rFonts w:ascii="Arial" w:eastAsia="Arial" w:hAnsi="Arial" w:cs="Arial"/>
          <w:sz w:val="24"/>
          <w:szCs w:val="24"/>
          <w:u w:val="single"/>
        </w:rPr>
      </w:pPr>
      <w:r>
        <w:rPr>
          <w:rFonts w:ascii="Arial" w:eastAsia="Arial" w:hAnsi="Arial" w:cs="Arial"/>
          <w:sz w:val="24"/>
          <w:szCs w:val="24"/>
          <w:u w:val="single"/>
        </w:rPr>
        <w:t>Paper 2</w:t>
      </w:r>
    </w:p>
    <w:p w14:paraId="30B46836"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Anaesthesia information management systems (AIMS), now a routine part of anaesthesia, has opened the door to the addition of CDS to deliver immediate alerts and guidance to promote optimal care perioperatively. CDS can detect clinical variances or deviations from best practice protocols. (Nair et al, 2016)</w:t>
      </w:r>
    </w:p>
    <w:p w14:paraId="140EBE8E"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Eden at </w:t>
      </w:r>
      <w:proofErr w:type="spellStart"/>
      <w:r>
        <w:rPr>
          <w:rFonts w:ascii="Arial" w:eastAsia="Arial" w:hAnsi="Arial" w:cs="Arial"/>
          <w:sz w:val="24"/>
          <w:szCs w:val="24"/>
        </w:rPr>
        <w:t>al</w:t>
      </w:r>
      <w:proofErr w:type="spellEnd"/>
      <w:r>
        <w:rPr>
          <w:rFonts w:ascii="Arial" w:eastAsia="Arial" w:hAnsi="Arial" w:cs="Arial"/>
          <w:sz w:val="24"/>
          <w:szCs w:val="24"/>
        </w:rPr>
        <w:t xml:space="preserve">, 2009 carried out a single centre study (Lady Davies, Haifa, Israel) to assess ‘The impact on an electronic reminder on the use of alarms after separation from cardiopulmonary bypass’. The team recognised that there was a unique patient safety concern during cardiac surgery when the patient transitioned from CPB to being ventilated by the anaesthetist. Physiological alarm systems linked to the anaesthetic machine are often disabled during CPB due to their detection of asystole and a lack of blood pressure (continuous flow pump). Manual reactivation by the anaesthetist is required. They designed a CDS algorithm that recognised when the patient was off </w:t>
      </w:r>
      <w:r>
        <w:rPr>
          <w:rFonts w:ascii="Arial" w:eastAsia="Arial" w:hAnsi="Arial" w:cs="Arial"/>
          <w:sz w:val="24"/>
          <w:szCs w:val="24"/>
        </w:rPr>
        <w:lastRenderedPageBreak/>
        <w:t>CPB and sent an alert for ‘reactivation’. They discuss the implementation of the CDS which subsequently led to improved compliance.</w:t>
      </w:r>
    </w:p>
    <w:p w14:paraId="14B10662" w14:textId="77777777" w:rsidR="00D108B8" w:rsidRDefault="00D108B8">
      <w:pPr>
        <w:spacing w:line="360" w:lineRule="auto"/>
        <w:jc w:val="both"/>
        <w:rPr>
          <w:rFonts w:ascii="Arial" w:eastAsia="Arial" w:hAnsi="Arial" w:cs="Arial"/>
          <w:sz w:val="24"/>
          <w:szCs w:val="24"/>
        </w:rPr>
      </w:pPr>
    </w:p>
    <w:p w14:paraId="664EAB4D" w14:textId="77777777" w:rsidR="00D108B8" w:rsidRDefault="00000000">
      <w:pPr>
        <w:spacing w:line="360" w:lineRule="auto"/>
        <w:jc w:val="both"/>
        <w:rPr>
          <w:rFonts w:ascii="Arial" w:eastAsia="Arial" w:hAnsi="Arial" w:cs="Arial"/>
          <w:sz w:val="24"/>
          <w:szCs w:val="24"/>
        </w:rPr>
      </w:pPr>
      <w:r>
        <w:rPr>
          <w:rFonts w:ascii="Arial" w:eastAsia="Arial" w:hAnsi="Arial" w:cs="Arial"/>
          <w:noProof/>
          <w:sz w:val="24"/>
          <w:szCs w:val="24"/>
        </w:rPr>
        <w:drawing>
          <wp:inline distT="114300" distB="114300" distL="114300" distR="114300" wp14:anchorId="49DA16EE" wp14:editId="4EAE84EC">
            <wp:extent cx="5731200" cy="6870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731200" cy="6870700"/>
                    </a:xfrm>
                    <a:prstGeom prst="rect">
                      <a:avLst/>
                    </a:prstGeom>
                    <a:ln/>
                  </pic:spPr>
                </pic:pic>
              </a:graphicData>
            </a:graphic>
          </wp:inline>
        </w:drawing>
      </w:r>
    </w:p>
    <w:p w14:paraId="730E90AC" w14:textId="77777777" w:rsidR="00D108B8" w:rsidRDefault="00000000">
      <w:pPr>
        <w:spacing w:line="360" w:lineRule="auto"/>
        <w:jc w:val="both"/>
        <w:rPr>
          <w:rFonts w:ascii="Arial" w:eastAsia="Arial" w:hAnsi="Arial" w:cs="Arial"/>
          <w:sz w:val="24"/>
          <w:szCs w:val="24"/>
        </w:rPr>
      </w:pPr>
      <w:r>
        <w:rPr>
          <w:rFonts w:ascii="Arial" w:eastAsia="Arial" w:hAnsi="Arial" w:cs="Arial"/>
          <w:i/>
          <w:sz w:val="24"/>
          <w:szCs w:val="24"/>
        </w:rPr>
        <w:t>Figure 8, taken from Eden et al, 2009 demonstrating the synchronous near real time parameters monitored and linked to provide an accurate alert. Combination of required data reduces the likelihood of inaccurate alerts.</w:t>
      </w:r>
    </w:p>
    <w:p w14:paraId="10D0FF50"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 xml:space="preserve">. This active CDS continuously and automatically checks parameters without clinician initiation, the goal being to detect changes and raise attention using a visual alert. Corrective action can be undertaken immediately directly impacting treatment. The alert may need to be significant to capture the attention of the anaesthetist as surgery can be complex and at times loud. This paper does not mention if an audible alarm was also present. </w:t>
      </w:r>
    </w:p>
    <w:p w14:paraId="3CDF5809"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At stage 1 only 22.4% of Anaesthetists reactivated the safety alarms post CPB. This figure highlights the need for the CDS development </w:t>
      </w:r>
      <w:proofErr w:type="gramStart"/>
      <w:r>
        <w:rPr>
          <w:rFonts w:ascii="Arial" w:eastAsia="Arial" w:hAnsi="Arial" w:cs="Arial"/>
          <w:sz w:val="24"/>
          <w:szCs w:val="24"/>
        </w:rPr>
        <w:t>and also</w:t>
      </w:r>
      <w:proofErr w:type="gramEnd"/>
      <w:r>
        <w:rPr>
          <w:rFonts w:ascii="Arial" w:eastAsia="Arial" w:hAnsi="Arial" w:cs="Arial"/>
          <w:sz w:val="24"/>
          <w:szCs w:val="24"/>
        </w:rPr>
        <w:t xml:space="preserve"> required change of safety practice. The percentage increases at each stage resulting in a compliance rate of 83% by the end of the research. The methodology was strong using all anaesthetists on all cardiac surgery cases providing large samples and evaluating at definitive time points. Cases were not randomised as this wasn't an RCT but more an evaluation of Anaesthetist practice and quality improvement. </w:t>
      </w:r>
    </w:p>
    <w:p w14:paraId="5F411F0B" w14:textId="77777777" w:rsidR="00D108B8" w:rsidRDefault="00D108B8">
      <w:pPr>
        <w:spacing w:line="360" w:lineRule="auto"/>
        <w:jc w:val="both"/>
        <w:rPr>
          <w:rFonts w:ascii="Arial" w:eastAsia="Arial" w:hAnsi="Arial" w:cs="Arial"/>
          <w:sz w:val="24"/>
          <w:szCs w:val="24"/>
        </w:rPr>
      </w:pPr>
    </w:p>
    <w:p w14:paraId="6050D7AA" w14:textId="77777777" w:rsidR="00D108B8" w:rsidRDefault="00000000">
      <w:pPr>
        <w:spacing w:line="360" w:lineRule="auto"/>
        <w:jc w:val="both"/>
        <w:rPr>
          <w:rFonts w:ascii="Arial" w:eastAsia="Arial" w:hAnsi="Arial" w:cs="Arial"/>
          <w:sz w:val="24"/>
          <w:szCs w:val="24"/>
        </w:rPr>
      </w:pPr>
      <w:r>
        <w:rPr>
          <w:rFonts w:ascii="Arial" w:eastAsia="Arial" w:hAnsi="Arial" w:cs="Arial"/>
          <w:noProof/>
          <w:sz w:val="24"/>
          <w:szCs w:val="24"/>
        </w:rPr>
        <w:drawing>
          <wp:inline distT="114300" distB="114300" distL="114300" distR="114300" wp14:anchorId="182E311F" wp14:editId="3F1F2E81">
            <wp:extent cx="5731200" cy="1689100"/>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731200" cy="1689100"/>
                    </a:xfrm>
                    <a:prstGeom prst="rect">
                      <a:avLst/>
                    </a:prstGeom>
                    <a:ln/>
                  </pic:spPr>
                </pic:pic>
              </a:graphicData>
            </a:graphic>
          </wp:inline>
        </w:drawing>
      </w:r>
    </w:p>
    <w:p w14:paraId="186E7977" w14:textId="77777777" w:rsidR="00D108B8" w:rsidRDefault="00000000">
      <w:pPr>
        <w:spacing w:line="360" w:lineRule="auto"/>
        <w:jc w:val="both"/>
        <w:rPr>
          <w:rFonts w:ascii="Arial" w:eastAsia="Arial" w:hAnsi="Arial" w:cs="Arial"/>
          <w:i/>
          <w:sz w:val="24"/>
          <w:szCs w:val="24"/>
        </w:rPr>
      </w:pPr>
      <w:r>
        <w:rPr>
          <w:rFonts w:ascii="Arial" w:eastAsia="Arial" w:hAnsi="Arial" w:cs="Arial"/>
          <w:i/>
          <w:sz w:val="24"/>
          <w:szCs w:val="24"/>
        </w:rPr>
        <w:t>Figure 9. Taken from Eden et al, 2009. System performance by implementation stage.</w:t>
      </w:r>
    </w:p>
    <w:p w14:paraId="61368280"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They included the ‘number of reminders per patient’ which is useful as it demonstrates that a single alert may not have created such significant results. This CDS intervention follows an effective strategy of providing the correct information to the right person at the right time as recommended by the ‘Five Rights’ (Campbell, 2013)</w:t>
      </w:r>
    </w:p>
    <w:p w14:paraId="03395227"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Immediately post CPB is a period of high cognitive overload for the anaesthetist and it’s not surprising that these alarms would be left disabled however this could contribute to an adverse patient outcome (Wanderer et al, 2013). Surgery creates a dynamic environment where a patient's status can change rapidly and need immediate action; the rapid pace means following protocols in real time can be difficult but working </w:t>
      </w:r>
      <w:r>
        <w:rPr>
          <w:rFonts w:ascii="Arial" w:eastAsia="Arial" w:hAnsi="Arial" w:cs="Arial"/>
          <w:sz w:val="24"/>
          <w:szCs w:val="24"/>
        </w:rPr>
        <w:lastRenderedPageBreak/>
        <w:t>within fixed parameters is accepted (Nair et al, 2016).</w:t>
      </w:r>
      <w:r>
        <w:rPr>
          <w:rFonts w:ascii="Arial" w:eastAsia="Arial" w:hAnsi="Arial" w:cs="Arial"/>
          <w:sz w:val="24"/>
          <w:szCs w:val="24"/>
          <w:highlight w:val="white"/>
        </w:rPr>
        <w:t xml:space="preserve"> CDS alerts can promote situational awareness (SA) studies have shown that the majority of preventable adverse events during surgery are from failures in </w:t>
      </w:r>
      <w:proofErr w:type="spellStart"/>
      <w:proofErr w:type="gramStart"/>
      <w:r>
        <w:rPr>
          <w:rFonts w:ascii="Arial" w:eastAsia="Arial" w:hAnsi="Arial" w:cs="Arial"/>
          <w:sz w:val="24"/>
          <w:szCs w:val="24"/>
          <w:highlight w:val="white"/>
        </w:rPr>
        <w:t>non technical</w:t>
      </w:r>
      <w:proofErr w:type="spellEnd"/>
      <w:proofErr w:type="gramEnd"/>
      <w:r>
        <w:rPr>
          <w:rFonts w:ascii="Arial" w:eastAsia="Arial" w:hAnsi="Arial" w:cs="Arial"/>
          <w:sz w:val="24"/>
          <w:szCs w:val="24"/>
          <w:highlight w:val="white"/>
        </w:rPr>
        <w:t xml:space="preserve"> skills such as SA and communication and not deficiencies in medical knowledge. (</w:t>
      </w:r>
      <w:proofErr w:type="spellStart"/>
      <w:r>
        <w:rPr>
          <w:rFonts w:ascii="Arial" w:eastAsia="Arial" w:hAnsi="Arial" w:cs="Arial"/>
          <w:sz w:val="24"/>
          <w:szCs w:val="24"/>
          <w:highlight w:val="white"/>
        </w:rPr>
        <w:t>Youngson</w:t>
      </w:r>
      <w:proofErr w:type="spellEnd"/>
      <w:r>
        <w:rPr>
          <w:rFonts w:ascii="Arial" w:eastAsia="Arial" w:hAnsi="Arial" w:cs="Arial"/>
          <w:sz w:val="24"/>
          <w:szCs w:val="24"/>
          <w:highlight w:val="white"/>
        </w:rPr>
        <w:t xml:space="preserve"> et al, 2016)</w:t>
      </w:r>
    </w:p>
    <w:p w14:paraId="491159FD"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Following the </w:t>
      </w:r>
      <w:proofErr w:type="gramStart"/>
      <w:r>
        <w:rPr>
          <w:rFonts w:ascii="Arial" w:eastAsia="Arial" w:hAnsi="Arial" w:cs="Arial"/>
          <w:sz w:val="24"/>
          <w:szCs w:val="24"/>
        </w:rPr>
        <w:t>intervention</w:t>
      </w:r>
      <w:proofErr w:type="gramEnd"/>
      <w:r>
        <w:rPr>
          <w:rFonts w:ascii="Arial" w:eastAsia="Arial" w:hAnsi="Arial" w:cs="Arial"/>
          <w:sz w:val="24"/>
          <w:szCs w:val="24"/>
        </w:rPr>
        <w:t xml:space="preserve"> the rate of spontaneous alarm reactivation, done without a CDS alert or prompt increased from 19% to 42% which observes a change of practice in addition to the successful reactivation following an alert. A secondary benefit of this behaviour modification is that as clinicians change and reactivate the alarm settings </w:t>
      </w:r>
      <w:proofErr w:type="gramStart"/>
      <w:r>
        <w:rPr>
          <w:rFonts w:ascii="Arial" w:eastAsia="Arial" w:hAnsi="Arial" w:cs="Arial"/>
          <w:sz w:val="24"/>
          <w:szCs w:val="24"/>
        </w:rPr>
        <w:t>unprompted</w:t>
      </w:r>
      <w:proofErr w:type="gramEnd"/>
      <w:r>
        <w:rPr>
          <w:rFonts w:ascii="Arial" w:eastAsia="Arial" w:hAnsi="Arial" w:cs="Arial"/>
          <w:sz w:val="24"/>
          <w:szCs w:val="24"/>
        </w:rPr>
        <w:t xml:space="preserve"> they will simultaneously reduce the amount of alarm fatigue experienced. (Wanderer et al, 2013)</w:t>
      </w:r>
    </w:p>
    <w:p w14:paraId="39B6251E"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study included the percentage of false positives (4/449) and false negatives (24/449) reported with rationale which is useful for researchers to know. False negatives, where a reminder failed to appear was due to clinical situation or human error not the CDS; IABP </w:t>
      </w:r>
      <w:proofErr w:type="spellStart"/>
      <w:r>
        <w:rPr>
          <w:rFonts w:ascii="Arial" w:eastAsia="Arial" w:hAnsi="Arial" w:cs="Arial"/>
          <w:sz w:val="24"/>
          <w:szCs w:val="24"/>
        </w:rPr>
        <w:t>counterpulsation</w:t>
      </w:r>
      <w:proofErr w:type="spellEnd"/>
      <w:r>
        <w:rPr>
          <w:rFonts w:ascii="Arial" w:eastAsia="Arial" w:hAnsi="Arial" w:cs="Arial"/>
          <w:sz w:val="24"/>
          <w:szCs w:val="24"/>
        </w:rPr>
        <w:t xml:space="preserve"> creating an arterial waveform during CPB or failure to record start of CPB. Future advances that promote interoperability linking CPB data to the AIMS could improve monitoring further. At present the AIMS can be slaved to the CPB machine but this isn’t utilised in reverse</w:t>
      </w:r>
      <w:r>
        <w:rPr>
          <w:rFonts w:ascii="Roboto" w:eastAsia="Roboto" w:hAnsi="Roboto" w:cs="Roboto"/>
          <w:color w:val="212121"/>
          <w:sz w:val="24"/>
          <w:szCs w:val="24"/>
          <w:highlight w:val="white"/>
        </w:rPr>
        <w:t xml:space="preserve"> (Goldman et al, 2005). </w:t>
      </w:r>
      <w:r>
        <w:rPr>
          <w:rFonts w:ascii="Arial" w:eastAsia="Arial" w:hAnsi="Arial" w:cs="Arial"/>
          <w:sz w:val="24"/>
          <w:szCs w:val="24"/>
        </w:rPr>
        <w:t>False negative notifications should be documented as these represent a false documentation of issues which may potentially lead to mistakes by clinicians, user frustration and poor acceptance of CDS (Nair et al, 2016).</w:t>
      </w:r>
    </w:p>
    <w:p w14:paraId="1BBAB117"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This study combined the introduction of CDS with education. In stage 1 an education meeting was delivered to raise awareness of the concern. At the start of stage 3 a second was delivered during which the results of stage 1 &amp; 2 were reported. This combination of education likely improved the ‘buy in’ and subsequent improved results which is beneficial to patient care however it’s challenging to quantify what percentage is attributable to the CDS only. </w:t>
      </w:r>
      <w:proofErr w:type="gramStart"/>
      <w:r>
        <w:rPr>
          <w:rFonts w:ascii="Arial" w:eastAsia="Arial" w:hAnsi="Arial" w:cs="Arial"/>
          <w:sz w:val="24"/>
          <w:szCs w:val="24"/>
        </w:rPr>
        <w:t>However</w:t>
      </w:r>
      <w:proofErr w:type="gramEnd"/>
      <w:r>
        <w:rPr>
          <w:rFonts w:ascii="Arial" w:eastAsia="Arial" w:hAnsi="Arial" w:cs="Arial"/>
          <w:sz w:val="24"/>
          <w:szCs w:val="24"/>
        </w:rPr>
        <w:t xml:space="preserve"> CDS should be utilised for the patient and proactively optimised by ‘champions’ and those wanting to create change including educational methods. </w:t>
      </w:r>
    </w:p>
    <w:p w14:paraId="642873E1"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Further evaluation of this tool could be done by extending the CDS to other cardiac surgery departments. One of the authors (Final name, </w:t>
      </w:r>
      <w:proofErr w:type="spellStart"/>
      <w:r>
        <w:rPr>
          <w:rFonts w:ascii="Arial" w:eastAsia="Arial" w:hAnsi="Arial" w:cs="Arial"/>
          <w:sz w:val="24"/>
          <w:szCs w:val="24"/>
        </w:rPr>
        <w:t>Perel</w:t>
      </w:r>
      <w:proofErr w:type="spellEnd"/>
      <w:r>
        <w:rPr>
          <w:rFonts w:ascii="Arial" w:eastAsia="Arial" w:hAnsi="Arial" w:cs="Arial"/>
          <w:sz w:val="24"/>
          <w:szCs w:val="24"/>
        </w:rPr>
        <w:t xml:space="preserve">, A) is a paid consultant to </w:t>
      </w:r>
      <w:proofErr w:type="spellStart"/>
      <w:r>
        <w:rPr>
          <w:rFonts w:ascii="Arial" w:eastAsia="Arial" w:hAnsi="Arial" w:cs="Arial"/>
          <w:sz w:val="24"/>
          <w:szCs w:val="24"/>
        </w:rPr>
        <w:t>ImDsoft</w:t>
      </w:r>
      <w:proofErr w:type="spellEnd"/>
      <w:r>
        <w:rPr>
          <w:rFonts w:ascii="Arial" w:eastAsia="Arial" w:hAnsi="Arial" w:cs="Arial"/>
          <w:sz w:val="24"/>
          <w:szCs w:val="24"/>
        </w:rPr>
        <w:t xml:space="preserve">, Israel, commercial developers of the </w:t>
      </w:r>
      <w:proofErr w:type="spellStart"/>
      <w:r>
        <w:rPr>
          <w:rFonts w:ascii="Arial" w:eastAsia="Arial" w:hAnsi="Arial" w:cs="Arial"/>
          <w:sz w:val="24"/>
          <w:szCs w:val="24"/>
        </w:rPr>
        <w:t>MetaVision</w:t>
      </w:r>
      <w:proofErr w:type="spellEnd"/>
      <w:r>
        <w:rPr>
          <w:rFonts w:ascii="Arial" w:eastAsia="Arial" w:hAnsi="Arial" w:cs="Arial"/>
          <w:sz w:val="24"/>
          <w:szCs w:val="24"/>
        </w:rPr>
        <w:t xml:space="preserve"> DMS utilised. This has the potential to introduce bias.</w:t>
      </w:r>
    </w:p>
    <w:p w14:paraId="7EF2653D"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 xml:space="preserve">This research provided new </w:t>
      </w:r>
      <w:proofErr w:type="gramStart"/>
      <w:r>
        <w:rPr>
          <w:rFonts w:ascii="Arial" w:eastAsia="Arial" w:hAnsi="Arial" w:cs="Arial"/>
          <w:sz w:val="24"/>
          <w:szCs w:val="24"/>
        </w:rPr>
        <w:t>factual information</w:t>
      </w:r>
      <w:proofErr w:type="gramEnd"/>
      <w:r>
        <w:rPr>
          <w:rFonts w:ascii="Arial" w:eastAsia="Arial" w:hAnsi="Arial" w:cs="Arial"/>
          <w:sz w:val="24"/>
          <w:szCs w:val="24"/>
        </w:rPr>
        <w:t xml:space="preserve"> which answered the hypothesis whilst promoting a patient safety culture using CDS to modify behaviour. This study combined unique algorithm development CDS and utilisation of digital platforms which has the potential to influence future care internationally for this patient group. Eden et al, discussed what the results meant in terms of current research advances and included relevant observations combined with a thorough discussion on the limitations in a transparent manner linked in with other relevant literature.</w:t>
      </w:r>
    </w:p>
    <w:p w14:paraId="3422C195" w14:textId="77777777" w:rsidR="00D108B8" w:rsidRDefault="00D108B8">
      <w:pPr>
        <w:spacing w:line="360" w:lineRule="auto"/>
        <w:jc w:val="both"/>
        <w:rPr>
          <w:rFonts w:ascii="Arial" w:eastAsia="Arial" w:hAnsi="Arial" w:cs="Arial"/>
          <w:sz w:val="24"/>
          <w:szCs w:val="24"/>
        </w:rPr>
      </w:pPr>
    </w:p>
    <w:p w14:paraId="346944AD" w14:textId="77777777" w:rsidR="00D108B8" w:rsidRDefault="00000000">
      <w:pPr>
        <w:numPr>
          <w:ilvl w:val="0"/>
          <w:numId w:val="1"/>
        </w:numPr>
        <w:pBdr>
          <w:top w:val="nil"/>
          <w:left w:val="nil"/>
          <w:bottom w:val="nil"/>
          <w:right w:val="nil"/>
          <w:between w:val="nil"/>
        </w:pBdr>
        <w:spacing w:after="0" w:line="360" w:lineRule="auto"/>
        <w:jc w:val="both"/>
        <w:rPr>
          <w:rFonts w:ascii="Arial" w:eastAsia="Arial" w:hAnsi="Arial" w:cs="Arial"/>
          <w:i/>
          <w:sz w:val="24"/>
          <w:szCs w:val="24"/>
        </w:rPr>
      </w:pPr>
      <w:r>
        <w:rPr>
          <w:rFonts w:ascii="Arial" w:eastAsia="Arial" w:hAnsi="Arial" w:cs="Arial"/>
          <w:b/>
          <w:i/>
          <w:sz w:val="24"/>
          <w:szCs w:val="24"/>
        </w:rPr>
        <w:t>Implementation issues</w:t>
      </w:r>
    </w:p>
    <w:p w14:paraId="457C68A1" w14:textId="77777777" w:rsidR="00D108B8" w:rsidRDefault="00D108B8">
      <w:pPr>
        <w:pBdr>
          <w:top w:val="nil"/>
          <w:left w:val="nil"/>
          <w:bottom w:val="nil"/>
          <w:right w:val="nil"/>
          <w:between w:val="nil"/>
        </w:pBdr>
        <w:spacing w:after="0" w:line="360" w:lineRule="auto"/>
        <w:ind w:left="360"/>
        <w:jc w:val="both"/>
        <w:rPr>
          <w:rFonts w:ascii="Arial" w:eastAsia="Arial" w:hAnsi="Arial" w:cs="Arial"/>
          <w:i/>
          <w:sz w:val="24"/>
          <w:szCs w:val="24"/>
        </w:rPr>
      </w:pPr>
    </w:p>
    <w:p w14:paraId="50C6C2C7"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Lu et al, 2020 reviewed the evidence published on CDS in cardiovascular </w:t>
      </w:r>
      <w:proofErr w:type="gramStart"/>
      <w:r>
        <w:rPr>
          <w:rFonts w:ascii="Arial" w:eastAsia="Arial" w:hAnsi="Arial" w:cs="Arial"/>
          <w:sz w:val="24"/>
          <w:szCs w:val="24"/>
        </w:rPr>
        <w:t>medicine;</w:t>
      </w:r>
      <w:proofErr w:type="gramEnd"/>
      <w:r>
        <w:rPr>
          <w:rFonts w:ascii="Arial" w:eastAsia="Arial" w:hAnsi="Arial" w:cs="Arial"/>
          <w:sz w:val="24"/>
          <w:szCs w:val="24"/>
        </w:rPr>
        <w:t xml:space="preserve"> recognising the potential value by improving the efficiency and effectiveness of delivery of care. The barriers to implementation, assessed by post intervention interviews and surveys show similar themes including resource constraints, incompatibility with workflow, time and discordance between the complex sociotechnical clinical setting and guideline recommendations.</w:t>
      </w:r>
    </w:p>
    <w:p w14:paraId="742B2169"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All recommendations and proposed alerts will be discussed by the cardiac surgeon, perfusionist and anaesthetist. Guideline based CDS is acknowledged as an important quality improvement intervention enhanced when designed and implemented by the multidisciplinary team who discuss concerns and reach consensus on follow up actions. (Velde, 2018)</w:t>
      </w:r>
    </w:p>
    <w:p w14:paraId="35ADA02C"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Key stakeholders will be engaged from the start and involved with all stages of development and implementation. Interoperability between the DMS and AIMS will be crucial, this may require specific anaesthetic machines and data cabling ports to be installed. Dataset mapping needs to be standardised to collect correct and accurate data from the start. A significant barrier would be cost, potentially no business case to advance CDS support within the NHS budget and so research grants via local universities and manufacturers may be sought. </w:t>
      </w:r>
    </w:p>
    <w:p w14:paraId="60E68888"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Campbell, 2013 states that during early stage CDS intervention refrain from interventions based solely on expert opinion, however current guidelines within cardiac surgery and perfusion largely evolve from consensus opinion however there is a move to data/</w:t>
      </w:r>
      <w:proofErr w:type="gramStart"/>
      <w:r>
        <w:rPr>
          <w:rFonts w:ascii="Arial" w:eastAsia="Arial" w:hAnsi="Arial" w:cs="Arial"/>
          <w:sz w:val="24"/>
          <w:szCs w:val="24"/>
        </w:rPr>
        <w:t>evidence based</w:t>
      </w:r>
      <w:proofErr w:type="gramEnd"/>
      <w:r>
        <w:rPr>
          <w:rFonts w:ascii="Arial" w:eastAsia="Arial" w:hAnsi="Arial" w:cs="Arial"/>
          <w:sz w:val="24"/>
          <w:szCs w:val="24"/>
        </w:rPr>
        <w:t xml:space="preserve"> practice. If advice isn’t universally agreed upon it may </w:t>
      </w:r>
      <w:r>
        <w:rPr>
          <w:rFonts w:ascii="Arial" w:eastAsia="Arial" w:hAnsi="Arial" w:cs="Arial"/>
          <w:sz w:val="24"/>
          <w:szCs w:val="24"/>
        </w:rPr>
        <w:lastRenderedPageBreak/>
        <w:t xml:space="preserve">influence the CDS compliance. (Campbell, 2013) Knowledge delivered at the point of care needs to be transparent and constantly updated which would require a </w:t>
      </w:r>
      <w:proofErr w:type="gramStart"/>
      <w:r>
        <w:rPr>
          <w:rFonts w:ascii="Arial" w:eastAsia="Arial" w:hAnsi="Arial" w:cs="Arial"/>
          <w:sz w:val="24"/>
          <w:szCs w:val="24"/>
        </w:rPr>
        <w:t>long term</w:t>
      </w:r>
      <w:proofErr w:type="gramEnd"/>
      <w:r>
        <w:rPr>
          <w:rFonts w:ascii="Arial" w:eastAsia="Arial" w:hAnsi="Arial" w:cs="Arial"/>
          <w:sz w:val="24"/>
          <w:szCs w:val="24"/>
        </w:rPr>
        <w:t xml:space="preserve"> plan and monitoring during implementation. </w:t>
      </w:r>
    </w:p>
    <w:p w14:paraId="0710AD5D"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Poor semantics can lead to ambiguity in understanding the knowledge and potential safety issues if diverted to an inaccurate response. Standardised terminology will be utilised and piloted amongst users ahead of full implementation. Cardiac surgery utilises specific language often in a ‘closed loop’ fashion routinely to reduce error. Coordination is required amongst surgical team members with concise commands and delivery of information to reduce cognitive load. The organisation of ‘cognitive labour’ must be considered when designing CDS; unnecessary alerts must be avoided and those chosen, done so, with consideration to the user, the </w:t>
      </w:r>
      <w:proofErr w:type="gramStart"/>
      <w:r>
        <w:rPr>
          <w:rFonts w:ascii="Arial" w:eastAsia="Arial" w:hAnsi="Arial" w:cs="Arial"/>
          <w:sz w:val="24"/>
          <w:szCs w:val="24"/>
        </w:rPr>
        <w:t>patient</w:t>
      </w:r>
      <w:proofErr w:type="gramEnd"/>
      <w:r>
        <w:rPr>
          <w:rFonts w:ascii="Arial" w:eastAsia="Arial" w:hAnsi="Arial" w:cs="Arial"/>
          <w:sz w:val="24"/>
          <w:szCs w:val="24"/>
        </w:rPr>
        <w:t xml:space="preserve"> and the wider operating team. Most alerts would be visual only so as not to distract the surgeons. Critical safety alerts would be linked to </w:t>
      </w:r>
      <w:proofErr w:type="gramStart"/>
      <w:r>
        <w:rPr>
          <w:rFonts w:ascii="Arial" w:eastAsia="Arial" w:hAnsi="Arial" w:cs="Arial"/>
          <w:sz w:val="24"/>
          <w:szCs w:val="24"/>
        </w:rPr>
        <w:t>audio</w:t>
      </w:r>
      <w:proofErr w:type="gramEnd"/>
      <w:r>
        <w:rPr>
          <w:rFonts w:ascii="Arial" w:eastAsia="Arial" w:hAnsi="Arial" w:cs="Arial"/>
          <w:sz w:val="24"/>
          <w:szCs w:val="24"/>
        </w:rPr>
        <w:t xml:space="preserve"> but the volume could be chosen. (Hazlehurst et al, 2006)</w:t>
      </w:r>
    </w:p>
    <w:p w14:paraId="25D7881A"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This CDS is specific and reaches the right person (one autonomous </w:t>
      </w:r>
      <w:proofErr w:type="gramStart"/>
      <w:r>
        <w:rPr>
          <w:rFonts w:ascii="Arial" w:eastAsia="Arial" w:hAnsi="Arial" w:cs="Arial"/>
          <w:sz w:val="24"/>
          <w:szCs w:val="24"/>
        </w:rPr>
        <w:t>perfusionist  through</w:t>
      </w:r>
      <w:proofErr w:type="gramEnd"/>
      <w:r>
        <w:rPr>
          <w:rFonts w:ascii="Arial" w:eastAsia="Arial" w:hAnsi="Arial" w:cs="Arial"/>
          <w:sz w:val="24"/>
          <w:szCs w:val="24"/>
        </w:rPr>
        <w:t xml:space="preserve"> the right channel, (real time data management console) at the right point in the workflow. This final point where the right information is delivered at the right time is crucial and factored into the design of hot keys for quick transfer of data (Campbell, 2013).</w:t>
      </w:r>
    </w:p>
    <w:p w14:paraId="588D1394"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The alert will contain only enough information for the user to act on. Alert fatigue where clinicians dismiss CDS alerts as the frequency is too high or detail irrelevant can harm the overall system, as such those added will be selected intently choosing those with the greatest impact to the patient and perfusionist. (Sutton &amp; </w:t>
      </w:r>
      <w:proofErr w:type="spellStart"/>
      <w:r>
        <w:rPr>
          <w:rFonts w:ascii="Arial" w:eastAsia="Arial" w:hAnsi="Arial" w:cs="Arial"/>
          <w:sz w:val="24"/>
          <w:szCs w:val="24"/>
        </w:rPr>
        <w:t>Pincock</w:t>
      </w:r>
      <w:proofErr w:type="spellEnd"/>
      <w:r>
        <w:rPr>
          <w:rFonts w:ascii="Arial" w:eastAsia="Arial" w:hAnsi="Arial" w:cs="Arial"/>
          <w:sz w:val="24"/>
          <w:szCs w:val="24"/>
        </w:rPr>
        <w:t xml:space="preserve"> et al, 2020</w:t>
      </w:r>
      <w:proofErr w:type="gramStart"/>
      <w:r>
        <w:rPr>
          <w:rFonts w:ascii="Arial" w:eastAsia="Arial" w:hAnsi="Arial" w:cs="Arial"/>
          <w:sz w:val="24"/>
          <w:szCs w:val="24"/>
        </w:rPr>
        <w:t>)  Alerts</w:t>
      </w:r>
      <w:proofErr w:type="gramEnd"/>
      <w:r>
        <w:rPr>
          <w:rFonts w:ascii="Arial" w:eastAsia="Arial" w:hAnsi="Arial" w:cs="Arial"/>
          <w:sz w:val="24"/>
          <w:szCs w:val="24"/>
        </w:rPr>
        <w:t xml:space="preserve"> must not distract from the current workflow as there is the potential to reduce patient safety (Yuan Lu, 2022).</w:t>
      </w:r>
    </w:p>
    <w:p w14:paraId="3734EF34"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Design filters and incorporating decision logic into the software will reduce the likelihood of a failure to issue an alert or provide one that is misinterpreted. If this occurs a record of deficiencies must be kept </w:t>
      </w:r>
      <w:proofErr w:type="gramStart"/>
      <w:r>
        <w:rPr>
          <w:rFonts w:ascii="Arial" w:eastAsia="Arial" w:hAnsi="Arial" w:cs="Arial"/>
          <w:sz w:val="24"/>
          <w:szCs w:val="24"/>
        </w:rPr>
        <w:t>to support</w:t>
      </w:r>
      <w:proofErr w:type="gramEnd"/>
      <w:r>
        <w:rPr>
          <w:rFonts w:ascii="Arial" w:eastAsia="Arial" w:hAnsi="Arial" w:cs="Arial"/>
          <w:sz w:val="24"/>
          <w:szCs w:val="24"/>
        </w:rPr>
        <w:t xml:space="preserve"> refinement of the system. (Nair et al, 2016)</w:t>
      </w:r>
    </w:p>
    <w:p w14:paraId="04C980F3"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Integration into the software and surgical environment will be considered during both design and implementation so that there isn’t an integration mismatch between software and user. Clinicians need to articulate exactly what is required during </w:t>
      </w:r>
      <w:r>
        <w:rPr>
          <w:rFonts w:ascii="Arial" w:eastAsia="Arial" w:hAnsi="Arial" w:cs="Arial"/>
          <w:sz w:val="24"/>
          <w:szCs w:val="24"/>
        </w:rPr>
        <w:lastRenderedPageBreak/>
        <w:t>stakeholder consultations. Vasey et al, 2022, suggest that this exploratory stage of surgical innovation can be used to analyse operator’s learning curves and variation of operator on effectiveness prospectively.</w:t>
      </w:r>
    </w:p>
    <w:p w14:paraId="4164A2B3"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Cloud based </w:t>
      </w:r>
      <w:proofErr w:type="gramStart"/>
      <w:r>
        <w:rPr>
          <w:rFonts w:ascii="Arial" w:eastAsia="Arial" w:hAnsi="Arial" w:cs="Arial"/>
          <w:sz w:val="24"/>
          <w:szCs w:val="24"/>
        </w:rPr>
        <w:t>service oriented</w:t>
      </w:r>
      <w:proofErr w:type="gramEnd"/>
      <w:r>
        <w:rPr>
          <w:rFonts w:ascii="Arial" w:eastAsia="Arial" w:hAnsi="Arial" w:cs="Arial"/>
          <w:sz w:val="24"/>
          <w:szCs w:val="24"/>
        </w:rPr>
        <w:t xml:space="preserve"> architecture, modular data collection can separate data and send it to researchers for added value. Data will be reviewed during implementation and not left until final outcomes review so that missing data can be spotted early. Perfusionists are familiar with the DMS system but may require some training to raise specific CDS digital literacy to optimise implementation. </w:t>
      </w:r>
    </w:p>
    <w:p w14:paraId="4CC27E40"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The team needs to want to implement the system, reluctant staff will hinder implementation; acknowledge frustrations and offer continuous access to training. Support from local leaders will be vital.</w:t>
      </w:r>
    </w:p>
    <w:p w14:paraId="5C723331" w14:textId="77777777" w:rsidR="00D108B8" w:rsidRDefault="00000000">
      <w:pPr>
        <w:spacing w:line="360" w:lineRule="auto"/>
        <w:jc w:val="both"/>
        <w:rPr>
          <w:rFonts w:ascii="Arial" w:eastAsia="Arial" w:hAnsi="Arial" w:cs="Arial"/>
          <w:sz w:val="24"/>
          <w:szCs w:val="24"/>
          <w:highlight w:val="white"/>
        </w:rPr>
      </w:pPr>
      <w:r>
        <w:rPr>
          <w:rFonts w:ascii="Arial" w:eastAsia="Arial" w:hAnsi="Arial" w:cs="Arial"/>
          <w:sz w:val="24"/>
          <w:szCs w:val="24"/>
        </w:rPr>
        <w:t xml:space="preserve">Perfusionists may feel threatened by the CDS and not want to change their existing schema and work in practice. </w:t>
      </w:r>
      <w:proofErr w:type="spellStart"/>
      <w:r>
        <w:rPr>
          <w:rFonts w:ascii="Arial" w:eastAsia="Arial" w:hAnsi="Arial" w:cs="Arial"/>
          <w:sz w:val="24"/>
          <w:szCs w:val="24"/>
        </w:rPr>
        <w:t>Mindlines</w:t>
      </w:r>
      <w:proofErr w:type="spellEnd"/>
      <w:r>
        <w:rPr>
          <w:rFonts w:ascii="Arial" w:eastAsia="Arial" w:hAnsi="Arial" w:cs="Arial"/>
          <w:sz w:val="24"/>
          <w:szCs w:val="24"/>
        </w:rPr>
        <w:t xml:space="preserve"> develop through training and experience to provide a competent practitioner with knowledge attained from clinical situations, team discussions and experience. </w:t>
      </w:r>
      <w:proofErr w:type="spellStart"/>
      <w:r>
        <w:rPr>
          <w:rFonts w:ascii="Arial" w:eastAsia="Arial" w:hAnsi="Arial" w:cs="Arial"/>
          <w:sz w:val="24"/>
          <w:szCs w:val="24"/>
          <w:highlight w:val="white"/>
        </w:rPr>
        <w:t>Mindlines</w:t>
      </w:r>
      <w:proofErr w:type="spellEnd"/>
      <w:r>
        <w:rPr>
          <w:rFonts w:ascii="Arial" w:eastAsia="Arial" w:hAnsi="Arial" w:cs="Arial"/>
          <w:sz w:val="24"/>
          <w:szCs w:val="24"/>
          <w:highlight w:val="white"/>
        </w:rPr>
        <w:t xml:space="preserve"> when combined with clinical debriefing propose the opportunity to translate ‘formal codified knowledge’ as discussed within Nonaka and Takeuchi’s knowledge creation cycle into ‘meaningful and applicable practice’. Clinical debriefing provides an opportunity for teams to raise concerns and problem solve together to improve patient care. External knowledge and guidelines can be ‘validated through informal team discourse and modified for application’ (Argyris and Schon, 1996)</w:t>
      </w:r>
    </w:p>
    <w:p w14:paraId="2422C5C1" w14:textId="77777777" w:rsidR="00D108B8" w:rsidRDefault="00000000">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During implementation, a debrief following use would be undertaken to confirm that the decisions and recommendations provided fit within the clinicians </w:t>
      </w:r>
      <w:proofErr w:type="spellStart"/>
      <w:r>
        <w:rPr>
          <w:rFonts w:ascii="Arial" w:eastAsia="Arial" w:hAnsi="Arial" w:cs="Arial"/>
          <w:sz w:val="24"/>
          <w:szCs w:val="24"/>
          <w:highlight w:val="white"/>
        </w:rPr>
        <w:t>mindlines</w:t>
      </w:r>
      <w:proofErr w:type="spellEnd"/>
      <w:r>
        <w:rPr>
          <w:rFonts w:ascii="Arial" w:eastAsia="Arial" w:hAnsi="Arial" w:cs="Arial"/>
          <w:sz w:val="24"/>
          <w:szCs w:val="24"/>
          <w:highlight w:val="white"/>
        </w:rPr>
        <w:t>. Clinical decisions rely on scientific evidence but also ethical and resource considerations. (</w:t>
      </w:r>
      <w:proofErr w:type="spellStart"/>
      <w:r>
        <w:rPr>
          <w:rFonts w:ascii="Arial" w:eastAsia="Arial" w:hAnsi="Arial" w:cs="Arial"/>
          <w:sz w:val="24"/>
          <w:szCs w:val="24"/>
          <w:highlight w:val="white"/>
        </w:rPr>
        <w:t>Wieringa</w:t>
      </w:r>
      <w:proofErr w:type="spellEnd"/>
      <w:r>
        <w:rPr>
          <w:rFonts w:ascii="Arial" w:eastAsia="Arial" w:hAnsi="Arial" w:cs="Arial"/>
          <w:sz w:val="24"/>
          <w:szCs w:val="24"/>
          <w:highlight w:val="white"/>
        </w:rPr>
        <w:t xml:space="preserve"> &amp; Greenhalgh, 2015) </w:t>
      </w:r>
    </w:p>
    <w:p w14:paraId="6509469E"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highlight w:val="white"/>
        </w:rPr>
        <w:t>Cardiac surgery relies on guidelines but also clinicians ‘hard learned clinical judgement’ (</w:t>
      </w:r>
      <w:proofErr w:type="spellStart"/>
      <w:r>
        <w:rPr>
          <w:rFonts w:ascii="Arial" w:eastAsia="Arial" w:hAnsi="Arial" w:cs="Arial"/>
          <w:sz w:val="24"/>
          <w:szCs w:val="24"/>
          <w:highlight w:val="white"/>
        </w:rPr>
        <w:t>Gabbay</w:t>
      </w:r>
      <w:proofErr w:type="spellEnd"/>
      <w:r>
        <w:rPr>
          <w:rFonts w:ascii="Arial" w:eastAsia="Arial" w:hAnsi="Arial" w:cs="Arial"/>
          <w:sz w:val="24"/>
          <w:szCs w:val="24"/>
          <w:highlight w:val="white"/>
        </w:rPr>
        <w:t xml:space="preserve">, 2016) The progression from ‘coffee room chat’ to ‘clinical debriefing’ allows agency to this learning conversation promoting the sharing of knowledge combined with peer support (Diaz Navarro, 2021). At best </w:t>
      </w:r>
      <w:proofErr w:type="spellStart"/>
      <w:r>
        <w:rPr>
          <w:rFonts w:ascii="Arial" w:eastAsia="Arial" w:hAnsi="Arial" w:cs="Arial"/>
          <w:sz w:val="24"/>
          <w:szCs w:val="24"/>
          <w:highlight w:val="white"/>
        </w:rPr>
        <w:t>mindlines</w:t>
      </w:r>
      <w:proofErr w:type="spellEnd"/>
      <w:r>
        <w:rPr>
          <w:rFonts w:ascii="Arial" w:eastAsia="Arial" w:hAnsi="Arial" w:cs="Arial"/>
          <w:sz w:val="24"/>
          <w:szCs w:val="24"/>
          <w:highlight w:val="white"/>
        </w:rPr>
        <w:t xml:space="preserve"> manifest as expertise however at worst they can lead to bias, </w:t>
      </w:r>
      <w:proofErr w:type="gramStart"/>
      <w:r>
        <w:rPr>
          <w:rFonts w:ascii="Arial" w:eastAsia="Arial" w:hAnsi="Arial" w:cs="Arial"/>
          <w:sz w:val="24"/>
          <w:szCs w:val="24"/>
          <w:highlight w:val="white"/>
        </w:rPr>
        <w:t>error</w:t>
      </w:r>
      <w:proofErr w:type="gramEnd"/>
      <w:r>
        <w:rPr>
          <w:rFonts w:ascii="Arial" w:eastAsia="Arial" w:hAnsi="Arial" w:cs="Arial"/>
          <w:sz w:val="24"/>
          <w:szCs w:val="24"/>
          <w:highlight w:val="white"/>
        </w:rPr>
        <w:t xml:space="preserve"> and preventable patient harm (Loftus et al, 2020)</w:t>
      </w:r>
    </w:p>
    <w:p w14:paraId="2FE6FC82"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CDS utilising current cardiac surgery and perfusion guidelines may increase knowledge and accelerate the rate of change and adoption of new evidence driven practice. The Guides checklist, developed by experts on CDS implementation guides teams to undertake successful implementation by preventing the absence of key factors. If the checklist is completed ahead of implementation areas that need more work can be prioritised and included which can be both cost and time efficient (Velde, 2018).</w:t>
      </w:r>
    </w:p>
    <w:p w14:paraId="4B71CA49" w14:textId="77777777" w:rsidR="00D108B8" w:rsidRDefault="00D108B8">
      <w:pPr>
        <w:spacing w:line="360" w:lineRule="auto"/>
        <w:jc w:val="both"/>
        <w:rPr>
          <w:rFonts w:ascii="Arial" w:eastAsia="Arial" w:hAnsi="Arial" w:cs="Arial"/>
          <w:sz w:val="24"/>
          <w:szCs w:val="24"/>
        </w:rPr>
      </w:pPr>
    </w:p>
    <w:p w14:paraId="676A4229" w14:textId="77777777" w:rsidR="00D108B8" w:rsidRDefault="00000000">
      <w:pPr>
        <w:numPr>
          <w:ilvl w:val="0"/>
          <w:numId w:val="1"/>
        </w:numPr>
        <w:pBdr>
          <w:top w:val="nil"/>
          <w:left w:val="nil"/>
          <w:bottom w:val="nil"/>
          <w:right w:val="nil"/>
          <w:between w:val="nil"/>
        </w:pBdr>
        <w:spacing w:after="0" w:line="360" w:lineRule="auto"/>
        <w:jc w:val="both"/>
        <w:rPr>
          <w:rFonts w:ascii="Arial" w:eastAsia="Arial" w:hAnsi="Arial" w:cs="Arial"/>
          <w:i/>
          <w:sz w:val="24"/>
          <w:szCs w:val="24"/>
        </w:rPr>
      </w:pPr>
      <w:r>
        <w:rPr>
          <w:rFonts w:ascii="Arial" w:eastAsia="Arial" w:hAnsi="Arial" w:cs="Arial"/>
          <w:b/>
          <w:i/>
          <w:sz w:val="24"/>
          <w:szCs w:val="24"/>
        </w:rPr>
        <w:t>Evaluation</w:t>
      </w:r>
    </w:p>
    <w:p w14:paraId="72791175" w14:textId="77777777" w:rsidR="00D108B8" w:rsidRDefault="00D108B8">
      <w:pPr>
        <w:pBdr>
          <w:top w:val="nil"/>
          <w:left w:val="nil"/>
          <w:bottom w:val="nil"/>
          <w:right w:val="nil"/>
          <w:between w:val="nil"/>
        </w:pBdr>
        <w:spacing w:after="0" w:line="360" w:lineRule="auto"/>
        <w:ind w:left="360"/>
        <w:jc w:val="both"/>
        <w:rPr>
          <w:rFonts w:ascii="Arial" w:eastAsia="Arial" w:hAnsi="Arial" w:cs="Arial"/>
          <w:i/>
          <w:sz w:val="24"/>
          <w:szCs w:val="24"/>
        </w:rPr>
      </w:pPr>
    </w:p>
    <w:p w14:paraId="299FAB4B" w14:textId="77777777" w:rsidR="00D108B8" w:rsidRDefault="00000000">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Large systematic reviews conclude that CDS is more likely to be successful when evaluated by the developers (</w:t>
      </w:r>
      <w:proofErr w:type="spellStart"/>
      <w:r>
        <w:rPr>
          <w:rFonts w:ascii="Arial" w:eastAsia="Arial" w:hAnsi="Arial" w:cs="Arial"/>
          <w:sz w:val="24"/>
          <w:szCs w:val="24"/>
          <w:highlight w:val="white"/>
        </w:rPr>
        <w:t>Roshanov</w:t>
      </w:r>
      <w:proofErr w:type="spellEnd"/>
      <w:r>
        <w:rPr>
          <w:rFonts w:ascii="Arial" w:eastAsia="Arial" w:hAnsi="Arial" w:cs="Arial"/>
          <w:sz w:val="24"/>
          <w:szCs w:val="24"/>
          <w:highlight w:val="white"/>
        </w:rPr>
        <w:t xml:space="preserve"> PS &amp; Fernandes et al, 2013). Evaluations will occur at 3 timepoints; 1 &amp; 3 months followed by a final evaluation at 12 months. Vasey &amp; </w:t>
      </w:r>
      <w:proofErr w:type="spellStart"/>
      <w:r>
        <w:rPr>
          <w:rFonts w:ascii="Arial" w:eastAsia="Arial" w:hAnsi="Arial" w:cs="Arial"/>
          <w:sz w:val="24"/>
          <w:szCs w:val="24"/>
          <w:highlight w:val="white"/>
        </w:rPr>
        <w:t>Nagendran</w:t>
      </w:r>
      <w:proofErr w:type="spellEnd"/>
      <w:r>
        <w:rPr>
          <w:rFonts w:ascii="Arial" w:eastAsia="Arial" w:hAnsi="Arial" w:cs="Arial"/>
          <w:sz w:val="24"/>
          <w:szCs w:val="24"/>
          <w:highlight w:val="white"/>
        </w:rPr>
        <w:t xml:space="preserve"> et al, 2022 recommend evaluation during the initial ‘small scale’ implementation period. They devised a </w:t>
      </w:r>
      <w:proofErr w:type="gramStart"/>
      <w:r>
        <w:rPr>
          <w:rFonts w:ascii="Arial" w:eastAsia="Arial" w:hAnsi="Arial" w:cs="Arial"/>
          <w:sz w:val="24"/>
          <w:szCs w:val="24"/>
          <w:highlight w:val="white"/>
        </w:rPr>
        <w:t>17 point</w:t>
      </w:r>
      <w:proofErr w:type="gramEnd"/>
      <w:r>
        <w:rPr>
          <w:rFonts w:ascii="Arial" w:eastAsia="Arial" w:hAnsi="Arial" w:cs="Arial"/>
          <w:sz w:val="24"/>
          <w:szCs w:val="24"/>
          <w:highlight w:val="white"/>
        </w:rPr>
        <w:t xml:space="preserve"> checklist to assist ‘early stage clinical evaluation of decision support systems driven by AI. The DECIDE-AI paper suggests combining human factors evaluation early to ensure safety and a fast pace of iterative change. The disadvantage of this would be if the CDS is being implemented as a trial with a protocol which shouldn’t be altered however the objective of early clinical evaluation is not to conclude definitive effectiveness but allow progression which tailors intervention to the user and patients. Providing data doesn’t replace final summative evaluation; it is a key part of the intervention. </w:t>
      </w:r>
    </w:p>
    <w:p w14:paraId="6D7B2466" w14:textId="77777777" w:rsidR="00D108B8" w:rsidRDefault="00000000">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This CDS at a local level involves working in silos undertaking a huge amount of work; enhanced connectedness with others doing similar research sharing knowledge may reduce the project burden and speed up progress (Middleton et al, 2016). As healthcare moves towards </w:t>
      </w:r>
      <w:proofErr w:type="gramStart"/>
      <w:r>
        <w:rPr>
          <w:rFonts w:ascii="Arial" w:eastAsia="Arial" w:hAnsi="Arial" w:cs="Arial"/>
          <w:sz w:val="24"/>
          <w:szCs w:val="24"/>
          <w:highlight w:val="white"/>
        </w:rPr>
        <w:t>value based</w:t>
      </w:r>
      <w:proofErr w:type="gramEnd"/>
      <w:r>
        <w:rPr>
          <w:rFonts w:ascii="Arial" w:eastAsia="Arial" w:hAnsi="Arial" w:cs="Arial"/>
          <w:sz w:val="24"/>
          <w:szCs w:val="24"/>
          <w:highlight w:val="white"/>
        </w:rPr>
        <w:t xml:space="preserve"> care, the effective use of CDS can speed up the sharing of new initiatives or best practices to promote quality (Middleton et al, 2016). Measuring the effectiveness of this specific CDS could be approached from several angles, each quantifying success differently for a broad analysis. </w:t>
      </w:r>
    </w:p>
    <w:p w14:paraId="28305A30" w14:textId="77777777" w:rsidR="00D108B8"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Human factor/ ergonomic analysis would be done to evaluate the impact of </w:t>
      </w:r>
      <w:proofErr w:type="gramStart"/>
      <w:r>
        <w:rPr>
          <w:rFonts w:ascii="Arial" w:eastAsia="Arial" w:hAnsi="Arial" w:cs="Arial"/>
          <w:sz w:val="24"/>
          <w:szCs w:val="24"/>
        </w:rPr>
        <w:t>CDS  on</w:t>
      </w:r>
      <w:proofErr w:type="gramEnd"/>
      <w:r>
        <w:rPr>
          <w:rFonts w:ascii="Arial" w:eastAsia="Arial" w:hAnsi="Arial" w:cs="Arial"/>
          <w:sz w:val="24"/>
          <w:szCs w:val="24"/>
        </w:rPr>
        <w:t xml:space="preserve"> users physical and cognitive performance in addition to how it fits within the system. (Vasey </w:t>
      </w:r>
      <w:r>
        <w:rPr>
          <w:rFonts w:ascii="Arial" w:eastAsia="Arial" w:hAnsi="Arial" w:cs="Arial"/>
          <w:sz w:val="24"/>
          <w:szCs w:val="24"/>
          <w:highlight w:val="white"/>
        </w:rPr>
        <w:t xml:space="preserve">&amp; </w:t>
      </w:r>
      <w:proofErr w:type="spellStart"/>
      <w:r>
        <w:rPr>
          <w:rFonts w:ascii="Arial" w:eastAsia="Arial" w:hAnsi="Arial" w:cs="Arial"/>
          <w:sz w:val="24"/>
          <w:szCs w:val="24"/>
          <w:highlight w:val="white"/>
        </w:rPr>
        <w:t>Nagendran</w:t>
      </w:r>
      <w:proofErr w:type="spellEnd"/>
      <w:r>
        <w:rPr>
          <w:rFonts w:ascii="Arial" w:eastAsia="Arial" w:hAnsi="Arial" w:cs="Arial"/>
          <w:sz w:val="24"/>
          <w:szCs w:val="24"/>
        </w:rPr>
        <w:t xml:space="preserve"> et al, 2022) Alert satisfaction will be evaluated; the alert itself has </w:t>
      </w:r>
      <w:r>
        <w:rPr>
          <w:rFonts w:ascii="Arial" w:eastAsia="Arial" w:hAnsi="Arial" w:cs="Arial"/>
          <w:sz w:val="24"/>
          <w:szCs w:val="24"/>
        </w:rPr>
        <w:lastRenderedPageBreak/>
        <w:t xml:space="preserve">the potential to change the </w:t>
      </w:r>
      <w:proofErr w:type="gramStart"/>
      <w:r>
        <w:rPr>
          <w:rFonts w:ascii="Arial" w:eastAsia="Arial" w:hAnsi="Arial" w:cs="Arial"/>
          <w:sz w:val="24"/>
          <w:szCs w:val="24"/>
        </w:rPr>
        <w:t>users</w:t>
      </w:r>
      <w:proofErr w:type="gramEnd"/>
      <w:r>
        <w:rPr>
          <w:rFonts w:ascii="Arial" w:eastAsia="Arial" w:hAnsi="Arial" w:cs="Arial"/>
          <w:sz w:val="24"/>
          <w:szCs w:val="24"/>
        </w:rPr>
        <w:t xml:space="preserve"> thoughts and behaviours, it needs to prompt a response but not cause undue stress, distraction to user or surgical team. How the advice is presented may affect compliance. (Medlock et al, 2016)</w:t>
      </w:r>
    </w:p>
    <w:p w14:paraId="6200A419" w14:textId="77777777" w:rsidR="00D108B8" w:rsidRDefault="00000000">
      <w:pPr>
        <w:spacing w:line="360" w:lineRule="auto"/>
        <w:jc w:val="both"/>
        <w:rPr>
          <w:rFonts w:ascii="Arial" w:eastAsia="Arial" w:hAnsi="Arial" w:cs="Arial"/>
          <w:sz w:val="24"/>
          <w:szCs w:val="24"/>
          <w:highlight w:val="white"/>
        </w:rPr>
      </w:pPr>
      <w:r>
        <w:rPr>
          <w:rFonts w:ascii="Arial" w:eastAsia="Arial" w:hAnsi="Arial" w:cs="Arial"/>
          <w:sz w:val="24"/>
          <w:szCs w:val="24"/>
        </w:rPr>
        <w:t xml:space="preserve">User experience would be extracted using feedback surveys, usability scoring, debriefing </w:t>
      </w:r>
      <w:proofErr w:type="gramStart"/>
      <w:r>
        <w:rPr>
          <w:rFonts w:ascii="Arial" w:eastAsia="Arial" w:hAnsi="Arial" w:cs="Arial"/>
          <w:sz w:val="24"/>
          <w:szCs w:val="24"/>
        </w:rPr>
        <w:t>discussions</w:t>
      </w:r>
      <w:proofErr w:type="gramEnd"/>
      <w:r>
        <w:rPr>
          <w:rFonts w:ascii="Arial" w:eastAsia="Arial" w:hAnsi="Arial" w:cs="Arial"/>
          <w:sz w:val="24"/>
          <w:szCs w:val="24"/>
        </w:rPr>
        <w:t xml:space="preserve"> and focus groups with semi structured interviews. User acceptance is critical to success, effective CDS may need to tailor the prompts to departmental user </w:t>
      </w:r>
      <w:proofErr w:type="gramStart"/>
      <w:r>
        <w:rPr>
          <w:rFonts w:ascii="Arial" w:eastAsia="Arial" w:hAnsi="Arial" w:cs="Arial"/>
          <w:sz w:val="24"/>
          <w:szCs w:val="24"/>
        </w:rPr>
        <w:t>preferences</w:t>
      </w:r>
      <w:r>
        <w:rPr>
          <w:rFonts w:ascii="Arial" w:eastAsia="Arial" w:hAnsi="Arial" w:cs="Arial"/>
          <w:sz w:val="24"/>
          <w:szCs w:val="24"/>
          <w:highlight w:val="white"/>
        </w:rPr>
        <w:t>.(</w:t>
      </w:r>
      <w:proofErr w:type="gramEnd"/>
      <w:r>
        <w:rPr>
          <w:rFonts w:ascii="Arial" w:eastAsia="Arial" w:hAnsi="Arial" w:cs="Arial"/>
          <w:sz w:val="24"/>
          <w:szCs w:val="24"/>
          <w:highlight w:val="white"/>
        </w:rPr>
        <w:t>Nair, Gabel et al 2017)</w:t>
      </w:r>
    </w:p>
    <w:p w14:paraId="4DA449EB" w14:textId="77777777" w:rsidR="00D108B8" w:rsidRDefault="00000000">
      <w:pPr>
        <w:spacing w:line="360" w:lineRule="auto"/>
        <w:jc w:val="both"/>
        <w:rPr>
          <w:rFonts w:ascii="Arial" w:eastAsia="Arial" w:hAnsi="Arial" w:cs="Arial"/>
          <w:color w:val="FF0000"/>
          <w:sz w:val="24"/>
          <w:szCs w:val="24"/>
          <w:highlight w:val="white"/>
        </w:rPr>
      </w:pPr>
      <w:r>
        <w:rPr>
          <w:rFonts w:ascii="Arial" w:eastAsia="Arial" w:hAnsi="Arial" w:cs="Arial"/>
          <w:sz w:val="24"/>
          <w:szCs w:val="24"/>
          <w:highlight w:val="white"/>
        </w:rPr>
        <w:t>System ‘uptime’, where the CDS is reliably working is critical. Both reliable operating and downtime must be measured (scheduled and unscheduled) as a high performing CDS which is out of action due to security updates or system failures is of no use clinically. (Nair, Gabel et al 2017)</w:t>
      </w:r>
    </w:p>
    <w:p w14:paraId="32B4995C" w14:textId="77777777" w:rsidR="00D108B8" w:rsidRDefault="00000000">
      <w:pPr>
        <w:spacing w:line="360" w:lineRule="auto"/>
        <w:jc w:val="both"/>
        <w:rPr>
          <w:rFonts w:ascii="Arial" w:eastAsia="Arial" w:hAnsi="Arial" w:cs="Arial"/>
          <w:sz w:val="24"/>
          <w:szCs w:val="24"/>
          <w:highlight w:val="white"/>
          <w:u w:val="single"/>
        </w:rPr>
      </w:pPr>
      <w:r>
        <w:rPr>
          <w:rFonts w:ascii="Arial" w:eastAsia="Arial" w:hAnsi="Arial" w:cs="Arial"/>
          <w:sz w:val="24"/>
          <w:szCs w:val="24"/>
          <w:highlight w:val="white"/>
          <w:u w:val="single"/>
        </w:rPr>
        <w:t>Performance Measures</w:t>
      </w:r>
    </w:p>
    <w:p w14:paraId="556C21DB" w14:textId="77777777" w:rsidR="00D108B8" w:rsidRDefault="00000000">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CDS accuracy and specificity is vital especially when utilised in a high-stake surgical environment. An optimal CDS would score 100% for both however latency, software defects and poorly constructed design could affect this. The CDS design would need to detect the specific clinical event and trigger the alert at the correct time in addition to having few false notifications or missed events. (Wright, Hickman et al, 2016) A record of these negative events should be logged, ideally in real time, if an inaccurate alert is observed the user should be able to click ‘disagree’ or ‘incorrect’ for further review. Include details of rate of </w:t>
      </w:r>
      <w:proofErr w:type="gramStart"/>
      <w:r>
        <w:rPr>
          <w:rFonts w:ascii="Arial" w:eastAsia="Arial" w:hAnsi="Arial" w:cs="Arial"/>
          <w:sz w:val="24"/>
          <w:szCs w:val="24"/>
          <w:highlight w:val="white"/>
        </w:rPr>
        <w:t>occurrence, if</w:t>
      </w:r>
      <w:proofErr w:type="gramEnd"/>
      <w:r>
        <w:rPr>
          <w:rFonts w:ascii="Arial" w:eastAsia="Arial" w:hAnsi="Arial" w:cs="Arial"/>
          <w:sz w:val="24"/>
          <w:szCs w:val="24"/>
          <w:highlight w:val="white"/>
        </w:rPr>
        <w:t xml:space="preserve"> it could be corrected or overridden and apparent cause. Changes to workflow due to the intervention must be documented and CDS errors and malfunctions identified and defined alongside if this caused risk or harm to a patient. (Vasey &amp; </w:t>
      </w:r>
      <w:proofErr w:type="spellStart"/>
      <w:r>
        <w:rPr>
          <w:rFonts w:ascii="Arial" w:eastAsia="Arial" w:hAnsi="Arial" w:cs="Arial"/>
          <w:sz w:val="24"/>
          <w:szCs w:val="24"/>
          <w:highlight w:val="white"/>
        </w:rPr>
        <w:t>Nagendran</w:t>
      </w:r>
      <w:proofErr w:type="spellEnd"/>
      <w:r>
        <w:rPr>
          <w:rFonts w:ascii="Arial" w:eastAsia="Arial" w:hAnsi="Arial" w:cs="Arial"/>
          <w:sz w:val="24"/>
          <w:szCs w:val="24"/>
          <w:highlight w:val="white"/>
        </w:rPr>
        <w:t>, 2022)</w:t>
      </w:r>
    </w:p>
    <w:p w14:paraId="305BBAAE" w14:textId="77777777" w:rsidR="00D108B8" w:rsidRDefault="00000000">
      <w:pPr>
        <w:spacing w:line="360" w:lineRule="auto"/>
        <w:jc w:val="both"/>
        <w:rPr>
          <w:rFonts w:ascii="Arial" w:eastAsia="Arial" w:hAnsi="Arial" w:cs="Arial"/>
          <w:sz w:val="24"/>
          <w:szCs w:val="24"/>
          <w:highlight w:val="white"/>
          <w:u w:val="single"/>
        </w:rPr>
      </w:pPr>
      <w:r>
        <w:rPr>
          <w:rFonts w:ascii="Arial" w:eastAsia="Arial" w:hAnsi="Arial" w:cs="Arial"/>
          <w:sz w:val="24"/>
          <w:szCs w:val="24"/>
          <w:highlight w:val="white"/>
          <w:u w:val="single"/>
        </w:rPr>
        <w:t>Process Measures</w:t>
      </w:r>
    </w:p>
    <w:p w14:paraId="4A15832C" w14:textId="77777777" w:rsidR="00D108B8" w:rsidRDefault="00000000">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Process measures can study the direct effect of the CDS on clinician behaviour. This is useful for specific guidelines where the action is monitored to see if it matches the recommended CDS advice. </w:t>
      </w:r>
    </w:p>
    <w:p w14:paraId="36560048" w14:textId="77777777" w:rsidR="00D108B8" w:rsidRDefault="00000000">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The CDS alert ‘protamine started’ hot key activated (part 1 ‘give small slow test dose’) could be triggered and followed by analysis. The time taken to deliver the Protamine could be observed alongside the physiological parameters of the patient scanning for a reduction in blood pressure, raising central venous pressure (CVP) which could alert </w:t>
      </w:r>
      <w:r>
        <w:rPr>
          <w:rFonts w:ascii="Arial" w:eastAsia="Arial" w:hAnsi="Arial" w:cs="Arial"/>
          <w:sz w:val="24"/>
          <w:szCs w:val="24"/>
          <w:highlight w:val="white"/>
        </w:rPr>
        <w:lastRenderedPageBreak/>
        <w:t>the team to a struggling right ventricle due to the drug response. Active CDS could recognise the hypotension using high data sampling to allow early detection of adverse events. (Nair et al, 2016)</w:t>
      </w:r>
    </w:p>
    <w:p w14:paraId="1C55A712" w14:textId="77777777" w:rsidR="00D108B8" w:rsidRDefault="00000000">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The process measure would be the compliance of the clinician following the alert. This could be further linked with outcome measures; has there been a reduction in severe hypotension necessitating the requirement to return to cardiopulmonary bypass (CPB) for haemodynamic support. Effectiveness may be measured by a reduction in ‘return to CPB post protamine’. Decisions on specific target measures should be decided at the start, there will be a huge amount of data.</w:t>
      </w:r>
    </w:p>
    <w:p w14:paraId="1CF71A02" w14:textId="77777777" w:rsidR="00D108B8" w:rsidRDefault="00000000">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There may be valid reasons that the clinician didn’t follow the recommended alert; didn’t see it, was distracted due to clinical situation or disagreement with the advice. An acknowledge button following alert would verify that it had been seen, combined with a data field for justification or documentation of decision to ignore would be valuable for evaluation. (Nair &amp; Gabel et al, 2017)</w:t>
      </w:r>
    </w:p>
    <w:p w14:paraId="4EAD889B" w14:textId="77777777" w:rsidR="00D108B8" w:rsidRDefault="00000000">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Specific goals will be chosen; organisational or national priorities need a direct link to be made between the potential impact and how the evidence will demonstrate this goal. Intervention measurements may correspond directly with clinical quality measures which are strategic priorities for trusts allowing funding to be diverted to the project or support the wider goal of ‘meaningful use’ (Campbell, 2013). </w:t>
      </w:r>
    </w:p>
    <w:p w14:paraId="725E7FE4" w14:textId="77777777" w:rsidR="00D108B8" w:rsidRDefault="00000000">
      <w:pPr>
        <w:spacing w:line="360" w:lineRule="auto"/>
        <w:jc w:val="both"/>
        <w:rPr>
          <w:rFonts w:ascii="Arial" w:eastAsia="Arial" w:hAnsi="Arial" w:cs="Arial"/>
          <w:sz w:val="24"/>
          <w:szCs w:val="24"/>
          <w:highlight w:val="white"/>
          <w:u w:val="single"/>
        </w:rPr>
      </w:pPr>
      <w:r>
        <w:rPr>
          <w:rFonts w:ascii="Arial" w:eastAsia="Arial" w:hAnsi="Arial" w:cs="Arial"/>
          <w:sz w:val="24"/>
          <w:szCs w:val="24"/>
          <w:highlight w:val="white"/>
          <w:u w:val="single"/>
        </w:rPr>
        <w:t>Outcome Measures</w:t>
      </w:r>
    </w:p>
    <w:p w14:paraId="2E5D4903" w14:textId="77777777" w:rsidR="00D108B8" w:rsidRDefault="00000000">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The ultimate goal is to improve patient </w:t>
      </w:r>
      <w:proofErr w:type="gramStart"/>
      <w:r>
        <w:rPr>
          <w:rFonts w:ascii="Arial" w:eastAsia="Arial" w:hAnsi="Arial" w:cs="Arial"/>
          <w:sz w:val="24"/>
          <w:szCs w:val="24"/>
          <w:highlight w:val="white"/>
        </w:rPr>
        <w:t>outcome,</w:t>
      </w:r>
      <w:proofErr w:type="gramEnd"/>
      <w:r>
        <w:rPr>
          <w:rFonts w:ascii="Arial" w:eastAsia="Arial" w:hAnsi="Arial" w:cs="Arial"/>
          <w:sz w:val="24"/>
          <w:szCs w:val="24"/>
          <w:highlight w:val="white"/>
        </w:rPr>
        <w:t xml:space="preserve"> however it is difficult to correlate CDS with patient outcome as this is multifactorial and hard to attribute to CDS alone. Single targets which are measurable may be evaluated (Nair et al, 2016) however guideline adherence can be measured but if an increased compliance is achieved alongside increased time, </w:t>
      </w:r>
      <w:proofErr w:type="gramStart"/>
      <w:r>
        <w:rPr>
          <w:rFonts w:ascii="Arial" w:eastAsia="Arial" w:hAnsi="Arial" w:cs="Arial"/>
          <w:sz w:val="24"/>
          <w:szCs w:val="24"/>
          <w:highlight w:val="white"/>
        </w:rPr>
        <w:t>effort</w:t>
      </w:r>
      <w:proofErr w:type="gramEnd"/>
      <w:r>
        <w:rPr>
          <w:rFonts w:ascii="Arial" w:eastAsia="Arial" w:hAnsi="Arial" w:cs="Arial"/>
          <w:sz w:val="24"/>
          <w:szCs w:val="24"/>
          <w:highlight w:val="white"/>
        </w:rPr>
        <w:t xml:space="preserve"> and cognitive load of clinicians this isn’t necessarily success (Medlock et al, 2016). Standardising care through guidelines and protocols will minimise variations in care which could be classed as an outcome however true patient outcome parameters are often too complex to attribute to a CDS intervention</w:t>
      </w:r>
      <w:r>
        <w:rPr>
          <w:rFonts w:ascii="Arial" w:eastAsia="Arial" w:hAnsi="Arial" w:cs="Arial"/>
          <w:color w:val="FF0000"/>
          <w:sz w:val="24"/>
          <w:szCs w:val="24"/>
          <w:highlight w:val="white"/>
        </w:rPr>
        <w:t xml:space="preserve"> </w:t>
      </w:r>
      <w:r>
        <w:rPr>
          <w:rFonts w:ascii="Arial" w:eastAsia="Arial" w:hAnsi="Arial" w:cs="Arial"/>
          <w:sz w:val="24"/>
          <w:szCs w:val="24"/>
          <w:highlight w:val="white"/>
        </w:rPr>
        <w:t>(Nair &amp; Gabel et al, 2017)</w:t>
      </w:r>
    </w:p>
    <w:p w14:paraId="4BC6C33E" w14:textId="77777777" w:rsidR="00D108B8" w:rsidRDefault="00000000">
      <w:pPr>
        <w:spacing w:line="360" w:lineRule="auto"/>
        <w:jc w:val="both"/>
        <w:rPr>
          <w:rFonts w:ascii="Arial" w:eastAsia="Arial" w:hAnsi="Arial" w:cs="Arial"/>
          <w:sz w:val="24"/>
          <w:szCs w:val="24"/>
          <w:highlight w:val="white"/>
        </w:rPr>
      </w:pPr>
      <w:r>
        <w:rPr>
          <w:rFonts w:ascii="Arial" w:eastAsia="Arial" w:hAnsi="Arial" w:cs="Arial"/>
          <w:sz w:val="24"/>
          <w:szCs w:val="24"/>
        </w:rPr>
        <w:t xml:space="preserve">CDS is considered a ‘learning health system’, initially starting with data, assembly combined with analysis and interpretation. The final change requires actions resulting </w:t>
      </w:r>
      <w:r>
        <w:rPr>
          <w:rFonts w:ascii="Arial" w:eastAsia="Arial" w:hAnsi="Arial" w:cs="Arial"/>
          <w:sz w:val="24"/>
          <w:szCs w:val="24"/>
        </w:rPr>
        <w:lastRenderedPageBreak/>
        <w:t>in a change in practice, positive safety culture changes by clinicians and teams are an optimal outcome measure.</w:t>
      </w:r>
      <w:r>
        <w:rPr>
          <w:rFonts w:ascii="Arial" w:eastAsia="Arial" w:hAnsi="Arial" w:cs="Arial"/>
          <w:sz w:val="24"/>
          <w:szCs w:val="24"/>
          <w:highlight w:val="white"/>
        </w:rPr>
        <w:t xml:space="preserve"> CDS may improve processes and practitioner performance without additional utilisation of healthcare resources, and ultimately results in improvement of patient outcomes (Kawamoto et al, 2005). </w:t>
      </w:r>
    </w:p>
    <w:p w14:paraId="233D027C" w14:textId="77777777" w:rsidR="00D108B8" w:rsidRDefault="00000000">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Future scope will be expanded as advanced systems will reduce latency and perioperative data </w:t>
      </w:r>
      <w:proofErr w:type="gramStart"/>
      <w:r>
        <w:rPr>
          <w:rFonts w:ascii="Arial" w:eastAsia="Arial" w:hAnsi="Arial" w:cs="Arial"/>
          <w:sz w:val="24"/>
          <w:szCs w:val="24"/>
          <w:highlight w:val="white"/>
        </w:rPr>
        <w:t>management  innovations</w:t>
      </w:r>
      <w:proofErr w:type="gramEnd"/>
      <w:r>
        <w:rPr>
          <w:rFonts w:ascii="Arial" w:eastAsia="Arial" w:hAnsi="Arial" w:cs="Arial"/>
          <w:sz w:val="24"/>
          <w:szCs w:val="24"/>
          <w:highlight w:val="white"/>
        </w:rPr>
        <w:t xml:space="preserve"> will allow more physiological data to be collected in real time. (Wanderer &amp; Ehrenfeld, 2013) High fidelity and high frequency data capture can improve diagnostic precision, which when combined with optimal CDS data display could improve clinician comprehension, reduce cognitive overload supporting clinicians to make appropriate and timely decisions. (Goldsmith et al, 2020) </w:t>
      </w:r>
    </w:p>
    <w:p w14:paraId="7695042B" w14:textId="77777777" w:rsidR="00D108B8" w:rsidRDefault="00000000">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CDS is complex and requires a multidisciplinary approach. The regulatory environment, including guidance on scientific evaluation, legislation, and privacy issues needs to evolve within this emerging field of healthcare. Perioperative CDS will continue to advance as more cardiac surgery departments adopt DMS. These systems will continue to require expert guidance for development, </w:t>
      </w:r>
      <w:proofErr w:type="gramStart"/>
      <w:r>
        <w:rPr>
          <w:rFonts w:ascii="Arial" w:eastAsia="Arial" w:hAnsi="Arial" w:cs="Arial"/>
          <w:sz w:val="24"/>
          <w:szCs w:val="24"/>
          <w:highlight w:val="white"/>
        </w:rPr>
        <w:t>implementation</w:t>
      </w:r>
      <w:proofErr w:type="gramEnd"/>
      <w:r>
        <w:rPr>
          <w:rFonts w:ascii="Arial" w:eastAsia="Arial" w:hAnsi="Arial" w:cs="Arial"/>
          <w:sz w:val="24"/>
          <w:szCs w:val="24"/>
          <w:highlight w:val="white"/>
        </w:rPr>
        <w:t xml:space="preserve"> and evaluation. </w:t>
      </w:r>
    </w:p>
    <w:p w14:paraId="4DCDDD81" w14:textId="77777777" w:rsidR="00D108B8" w:rsidRDefault="00D108B8">
      <w:pPr>
        <w:spacing w:line="360" w:lineRule="auto"/>
        <w:jc w:val="both"/>
        <w:rPr>
          <w:rFonts w:ascii="Arial" w:eastAsia="Arial" w:hAnsi="Arial" w:cs="Arial"/>
          <w:sz w:val="24"/>
          <w:szCs w:val="24"/>
          <w:highlight w:val="white"/>
        </w:rPr>
      </w:pPr>
    </w:p>
    <w:p w14:paraId="6DB78FAD" w14:textId="77777777" w:rsidR="00D108B8" w:rsidRDefault="00D108B8">
      <w:pPr>
        <w:spacing w:line="360" w:lineRule="auto"/>
        <w:jc w:val="both"/>
        <w:rPr>
          <w:rFonts w:ascii="Arial" w:eastAsia="Arial" w:hAnsi="Arial" w:cs="Arial"/>
          <w:sz w:val="24"/>
          <w:szCs w:val="24"/>
          <w:highlight w:val="white"/>
        </w:rPr>
      </w:pPr>
    </w:p>
    <w:p w14:paraId="360FDCAE" w14:textId="77777777" w:rsidR="00D108B8" w:rsidRDefault="00D108B8">
      <w:pPr>
        <w:spacing w:line="360" w:lineRule="auto"/>
        <w:jc w:val="both"/>
        <w:rPr>
          <w:rFonts w:ascii="Arial" w:eastAsia="Arial" w:hAnsi="Arial" w:cs="Arial"/>
          <w:sz w:val="24"/>
          <w:szCs w:val="24"/>
          <w:highlight w:val="white"/>
        </w:rPr>
      </w:pPr>
    </w:p>
    <w:p w14:paraId="1991CA5E" w14:textId="77777777" w:rsidR="00D108B8" w:rsidRDefault="00D108B8">
      <w:pPr>
        <w:spacing w:line="360" w:lineRule="auto"/>
        <w:jc w:val="both"/>
        <w:rPr>
          <w:rFonts w:ascii="Arial" w:eastAsia="Arial" w:hAnsi="Arial" w:cs="Arial"/>
          <w:sz w:val="24"/>
          <w:szCs w:val="24"/>
          <w:highlight w:val="white"/>
        </w:rPr>
      </w:pPr>
    </w:p>
    <w:p w14:paraId="090D32BF" w14:textId="77777777" w:rsidR="00D108B8" w:rsidRDefault="00D108B8">
      <w:pPr>
        <w:spacing w:line="360" w:lineRule="auto"/>
        <w:jc w:val="both"/>
        <w:rPr>
          <w:rFonts w:ascii="Arial" w:eastAsia="Arial" w:hAnsi="Arial" w:cs="Arial"/>
          <w:sz w:val="24"/>
          <w:szCs w:val="24"/>
          <w:highlight w:val="white"/>
        </w:rPr>
      </w:pPr>
    </w:p>
    <w:p w14:paraId="5A607E82" w14:textId="77777777" w:rsidR="00D108B8" w:rsidRDefault="00D108B8">
      <w:pPr>
        <w:spacing w:line="360" w:lineRule="auto"/>
        <w:jc w:val="both"/>
        <w:rPr>
          <w:rFonts w:ascii="Arial" w:eastAsia="Arial" w:hAnsi="Arial" w:cs="Arial"/>
          <w:i/>
          <w:sz w:val="24"/>
          <w:szCs w:val="24"/>
        </w:rPr>
      </w:pPr>
    </w:p>
    <w:p w14:paraId="42E2391D" w14:textId="77777777" w:rsidR="00D108B8" w:rsidRDefault="00000000">
      <w:pPr>
        <w:spacing w:line="276" w:lineRule="auto"/>
        <w:jc w:val="both"/>
        <w:rPr>
          <w:rFonts w:ascii="Arial" w:eastAsia="Arial" w:hAnsi="Arial" w:cs="Arial"/>
          <w:b/>
          <w:sz w:val="24"/>
          <w:szCs w:val="24"/>
          <w:highlight w:val="white"/>
          <w:u w:val="single"/>
        </w:rPr>
      </w:pPr>
      <w:r>
        <w:rPr>
          <w:rFonts w:ascii="Arial" w:eastAsia="Arial" w:hAnsi="Arial" w:cs="Arial"/>
          <w:b/>
          <w:sz w:val="24"/>
          <w:szCs w:val="24"/>
          <w:highlight w:val="white"/>
          <w:u w:val="single"/>
        </w:rPr>
        <w:t xml:space="preserve">References </w:t>
      </w:r>
    </w:p>
    <w:p w14:paraId="7BB5D8FC" w14:textId="77777777" w:rsidR="00D108B8" w:rsidRDefault="00000000">
      <w:pPr>
        <w:spacing w:after="0" w:line="276" w:lineRule="auto"/>
        <w:jc w:val="both"/>
        <w:rPr>
          <w:rFonts w:ascii="Arial" w:eastAsia="Arial" w:hAnsi="Arial" w:cs="Arial"/>
          <w:sz w:val="24"/>
          <w:szCs w:val="24"/>
          <w:highlight w:val="white"/>
        </w:rPr>
      </w:pPr>
      <w:r>
        <w:rPr>
          <w:rFonts w:ascii="Arial" w:eastAsia="Arial" w:hAnsi="Arial" w:cs="Arial"/>
          <w:sz w:val="24"/>
          <w:szCs w:val="24"/>
          <w:highlight w:val="white"/>
        </w:rPr>
        <w:t xml:space="preserve">Argyris, C., &amp; Schön, D. A. (1996). Organizational Learning II: Theory, </w:t>
      </w:r>
      <w:proofErr w:type="gramStart"/>
      <w:r>
        <w:rPr>
          <w:rFonts w:ascii="Arial" w:eastAsia="Arial" w:hAnsi="Arial" w:cs="Arial"/>
          <w:sz w:val="24"/>
          <w:szCs w:val="24"/>
          <w:highlight w:val="white"/>
        </w:rPr>
        <w:t>Method</w:t>
      </w:r>
      <w:proofErr w:type="gramEnd"/>
      <w:r>
        <w:rPr>
          <w:rFonts w:ascii="Arial" w:eastAsia="Arial" w:hAnsi="Arial" w:cs="Arial"/>
          <w:sz w:val="24"/>
          <w:szCs w:val="24"/>
          <w:highlight w:val="white"/>
        </w:rPr>
        <w:t xml:space="preserve"> and Practice. Boston, MA: Addison-Wesley.</w:t>
      </w:r>
    </w:p>
    <w:p w14:paraId="0A523862" w14:textId="77777777" w:rsidR="00D108B8" w:rsidRDefault="00D108B8">
      <w:pPr>
        <w:spacing w:after="0" w:line="276" w:lineRule="auto"/>
        <w:jc w:val="both"/>
        <w:rPr>
          <w:rFonts w:ascii="Arial" w:eastAsia="Arial" w:hAnsi="Arial" w:cs="Arial"/>
          <w:sz w:val="24"/>
          <w:szCs w:val="24"/>
          <w:highlight w:val="white"/>
        </w:rPr>
      </w:pPr>
    </w:p>
    <w:p w14:paraId="0F49AC65" w14:textId="77777777" w:rsidR="00D108B8" w:rsidRDefault="00000000">
      <w:pPr>
        <w:spacing w:after="0" w:line="276" w:lineRule="auto"/>
        <w:jc w:val="both"/>
        <w:rPr>
          <w:rFonts w:ascii="Arial" w:eastAsia="Arial" w:hAnsi="Arial" w:cs="Arial"/>
          <w:sz w:val="24"/>
          <w:szCs w:val="24"/>
          <w:highlight w:val="white"/>
        </w:rPr>
      </w:pPr>
      <w:r>
        <w:rPr>
          <w:rFonts w:ascii="Arial" w:eastAsia="Arial" w:hAnsi="Arial" w:cs="Arial"/>
          <w:sz w:val="24"/>
          <w:szCs w:val="24"/>
          <w:highlight w:val="white"/>
        </w:rPr>
        <w:t xml:space="preserve">Bate L, Hutchinson A, Underhill J, </w:t>
      </w:r>
      <w:proofErr w:type="spellStart"/>
      <w:r>
        <w:rPr>
          <w:rFonts w:ascii="Arial" w:eastAsia="Arial" w:hAnsi="Arial" w:cs="Arial"/>
          <w:sz w:val="24"/>
          <w:szCs w:val="24"/>
          <w:highlight w:val="white"/>
        </w:rPr>
        <w:t>Maskrey</w:t>
      </w:r>
      <w:proofErr w:type="spellEnd"/>
      <w:r>
        <w:rPr>
          <w:rFonts w:ascii="Arial" w:eastAsia="Arial" w:hAnsi="Arial" w:cs="Arial"/>
          <w:sz w:val="24"/>
          <w:szCs w:val="24"/>
          <w:highlight w:val="white"/>
        </w:rPr>
        <w:t xml:space="preserve"> </w:t>
      </w:r>
      <w:proofErr w:type="gramStart"/>
      <w:r>
        <w:rPr>
          <w:rFonts w:ascii="Arial" w:eastAsia="Arial" w:hAnsi="Arial" w:cs="Arial"/>
          <w:sz w:val="24"/>
          <w:szCs w:val="24"/>
          <w:highlight w:val="white"/>
        </w:rPr>
        <w:t>N.(</w:t>
      </w:r>
      <w:proofErr w:type="gramEnd"/>
      <w:r>
        <w:rPr>
          <w:rFonts w:ascii="Arial" w:eastAsia="Arial" w:hAnsi="Arial" w:cs="Arial"/>
          <w:sz w:val="24"/>
          <w:szCs w:val="24"/>
          <w:highlight w:val="white"/>
        </w:rPr>
        <w:t xml:space="preserve">2012) How clinical decisions are made. </w:t>
      </w:r>
      <w:r>
        <w:rPr>
          <w:rFonts w:ascii="Arial" w:eastAsia="Arial" w:hAnsi="Arial" w:cs="Arial"/>
          <w:i/>
          <w:sz w:val="24"/>
          <w:szCs w:val="24"/>
          <w:highlight w:val="white"/>
        </w:rPr>
        <w:t xml:space="preserve">Br J Clin </w:t>
      </w:r>
      <w:proofErr w:type="spellStart"/>
      <w:r>
        <w:rPr>
          <w:rFonts w:ascii="Arial" w:eastAsia="Arial" w:hAnsi="Arial" w:cs="Arial"/>
          <w:i/>
          <w:sz w:val="24"/>
          <w:szCs w:val="24"/>
          <w:highlight w:val="white"/>
        </w:rPr>
        <w:t>Pharmacol</w:t>
      </w:r>
      <w:proofErr w:type="spellEnd"/>
      <w:r>
        <w:rPr>
          <w:rFonts w:ascii="Arial" w:eastAsia="Arial" w:hAnsi="Arial" w:cs="Arial"/>
          <w:sz w:val="24"/>
          <w:szCs w:val="24"/>
          <w:highlight w:val="white"/>
        </w:rPr>
        <w:t>; 74(4</w:t>
      </w:r>
      <w:proofErr w:type="gramStart"/>
      <w:r>
        <w:rPr>
          <w:rFonts w:ascii="Arial" w:eastAsia="Arial" w:hAnsi="Arial" w:cs="Arial"/>
          <w:sz w:val="24"/>
          <w:szCs w:val="24"/>
          <w:highlight w:val="white"/>
        </w:rPr>
        <w:t>):pp</w:t>
      </w:r>
      <w:proofErr w:type="gramEnd"/>
      <w:r>
        <w:rPr>
          <w:rFonts w:ascii="Arial" w:eastAsia="Arial" w:hAnsi="Arial" w:cs="Arial"/>
          <w:sz w:val="24"/>
          <w:szCs w:val="24"/>
          <w:highlight w:val="white"/>
        </w:rPr>
        <w:t xml:space="preserve"> 614-20. </w:t>
      </w:r>
    </w:p>
    <w:p w14:paraId="1867594A" w14:textId="77777777" w:rsidR="00D108B8" w:rsidRDefault="00D108B8">
      <w:pPr>
        <w:spacing w:after="0" w:line="276" w:lineRule="auto"/>
        <w:jc w:val="both"/>
        <w:rPr>
          <w:rFonts w:ascii="Arial" w:eastAsia="Arial" w:hAnsi="Arial" w:cs="Arial"/>
          <w:sz w:val="24"/>
          <w:szCs w:val="24"/>
          <w:highlight w:val="white"/>
        </w:rPr>
      </w:pPr>
    </w:p>
    <w:p w14:paraId="4FD92102" w14:textId="77777777" w:rsidR="00D108B8" w:rsidRDefault="00000000">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 xml:space="preserve">Beck JR, Fung K, Lopez H 2nd, </w:t>
      </w:r>
      <w:proofErr w:type="spellStart"/>
      <w:r>
        <w:rPr>
          <w:rFonts w:ascii="Arial" w:eastAsia="Arial" w:hAnsi="Arial" w:cs="Arial"/>
          <w:sz w:val="24"/>
          <w:szCs w:val="24"/>
          <w:highlight w:val="white"/>
        </w:rPr>
        <w:t>Mongero</w:t>
      </w:r>
      <w:proofErr w:type="spellEnd"/>
      <w:r>
        <w:rPr>
          <w:rFonts w:ascii="Arial" w:eastAsia="Arial" w:hAnsi="Arial" w:cs="Arial"/>
          <w:sz w:val="24"/>
          <w:szCs w:val="24"/>
          <w:highlight w:val="white"/>
        </w:rPr>
        <w:t xml:space="preserve"> LB, </w:t>
      </w:r>
      <w:proofErr w:type="spellStart"/>
      <w:r>
        <w:rPr>
          <w:rFonts w:ascii="Arial" w:eastAsia="Arial" w:hAnsi="Arial" w:cs="Arial"/>
          <w:sz w:val="24"/>
          <w:szCs w:val="24"/>
          <w:highlight w:val="white"/>
        </w:rPr>
        <w:t>Argenziano</w:t>
      </w:r>
      <w:proofErr w:type="spellEnd"/>
      <w:r>
        <w:rPr>
          <w:rFonts w:ascii="Arial" w:eastAsia="Arial" w:hAnsi="Arial" w:cs="Arial"/>
          <w:sz w:val="24"/>
          <w:szCs w:val="24"/>
          <w:highlight w:val="white"/>
        </w:rPr>
        <w:t xml:space="preserve"> M. (2015) Real-time data acquisition and alerts may reduce reaction time and improve perfusionist performance during cardiopulmonary bypass. </w:t>
      </w:r>
      <w:r>
        <w:rPr>
          <w:rFonts w:ascii="Arial" w:eastAsia="Arial" w:hAnsi="Arial" w:cs="Arial"/>
          <w:i/>
          <w:sz w:val="24"/>
          <w:szCs w:val="24"/>
          <w:highlight w:val="white"/>
        </w:rPr>
        <w:t>Perfusion.</w:t>
      </w:r>
      <w:r>
        <w:rPr>
          <w:rFonts w:ascii="Arial" w:eastAsia="Arial" w:hAnsi="Arial" w:cs="Arial"/>
          <w:sz w:val="24"/>
          <w:szCs w:val="24"/>
          <w:highlight w:val="white"/>
        </w:rPr>
        <w:t xml:space="preserve"> ;30(1):41-4. </w:t>
      </w:r>
    </w:p>
    <w:p w14:paraId="57D41B3F" w14:textId="77777777" w:rsidR="00D108B8" w:rsidRDefault="00000000">
      <w:pPr>
        <w:spacing w:line="276" w:lineRule="auto"/>
        <w:jc w:val="both"/>
        <w:rPr>
          <w:rFonts w:ascii="Arial" w:eastAsia="Arial" w:hAnsi="Arial" w:cs="Arial"/>
          <w:sz w:val="24"/>
          <w:szCs w:val="24"/>
          <w:highlight w:val="white"/>
        </w:rPr>
      </w:pPr>
      <w:r>
        <w:rPr>
          <w:rFonts w:ascii="Arial" w:eastAsia="Arial" w:hAnsi="Arial" w:cs="Arial"/>
          <w:sz w:val="24"/>
          <w:szCs w:val="24"/>
        </w:rPr>
        <w:lastRenderedPageBreak/>
        <w:t xml:space="preserve">Campbell, Robert </w:t>
      </w:r>
      <w:proofErr w:type="gramStart"/>
      <w:r>
        <w:rPr>
          <w:rFonts w:ascii="Arial" w:eastAsia="Arial" w:hAnsi="Arial" w:cs="Arial"/>
          <w:sz w:val="24"/>
          <w:szCs w:val="24"/>
        </w:rPr>
        <w:t>James.(</w:t>
      </w:r>
      <w:proofErr w:type="gramEnd"/>
      <w:r>
        <w:rPr>
          <w:rFonts w:ascii="Arial" w:eastAsia="Arial" w:hAnsi="Arial" w:cs="Arial"/>
          <w:sz w:val="24"/>
          <w:szCs w:val="24"/>
        </w:rPr>
        <w:t xml:space="preserve">2013) “The Five rights of Clinical Decision Support: CDS Tools Helpful for Meaningful Use” </w:t>
      </w:r>
      <w:r>
        <w:rPr>
          <w:rFonts w:ascii="Arial" w:eastAsia="Arial" w:hAnsi="Arial" w:cs="Arial"/>
          <w:i/>
          <w:sz w:val="24"/>
          <w:szCs w:val="24"/>
        </w:rPr>
        <w:t>AHIMA</w:t>
      </w:r>
      <w:r>
        <w:rPr>
          <w:rFonts w:ascii="Arial" w:eastAsia="Arial" w:hAnsi="Arial" w:cs="Arial"/>
          <w:sz w:val="24"/>
          <w:szCs w:val="24"/>
        </w:rPr>
        <w:t xml:space="preserve"> 84 (Vol 10) pp 42-47.</w:t>
      </w:r>
    </w:p>
    <w:p w14:paraId="7F2631B3" w14:textId="77777777" w:rsidR="00D108B8" w:rsidRDefault="00000000">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 xml:space="preserve">Charles D. Mahoney, M.S., Christine M. </w:t>
      </w:r>
      <w:proofErr w:type="spellStart"/>
      <w:r>
        <w:rPr>
          <w:rFonts w:ascii="Arial" w:eastAsia="Arial" w:hAnsi="Arial" w:cs="Arial"/>
          <w:sz w:val="24"/>
          <w:szCs w:val="24"/>
          <w:highlight w:val="white"/>
        </w:rPr>
        <w:t>Berard</w:t>
      </w:r>
      <w:proofErr w:type="spellEnd"/>
      <w:r>
        <w:rPr>
          <w:rFonts w:ascii="Arial" w:eastAsia="Arial" w:hAnsi="Arial" w:cs="Arial"/>
          <w:sz w:val="24"/>
          <w:szCs w:val="24"/>
          <w:highlight w:val="white"/>
        </w:rPr>
        <w:t xml:space="preserve">-Collins, M.B.A., Reid Coleman, M.D., Joseph F. Amaral, M.D., Carole M. Cotter, Effects of an integrated clinical information system on medication safety in a multi-hospital setting, </w:t>
      </w:r>
      <w:r>
        <w:rPr>
          <w:rFonts w:ascii="Arial" w:eastAsia="Arial" w:hAnsi="Arial" w:cs="Arial"/>
          <w:i/>
          <w:sz w:val="24"/>
          <w:szCs w:val="24"/>
          <w:highlight w:val="white"/>
        </w:rPr>
        <w:t>American Journal of Health-System Pharmacy</w:t>
      </w:r>
      <w:r>
        <w:rPr>
          <w:rFonts w:ascii="Arial" w:eastAsia="Arial" w:hAnsi="Arial" w:cs="Arial"/>
          <w:sz w:val="24"/>
          <w:szCs w:val="24"/>
          <w:highlight w:val="white"/>
        </w:rPr>
        <w:t>, Volume 64, Issue 18, 15 September 2007, Pages 1969–1977</w:t>
      </w:r>
    </w:p>
    <w:p w14:paraId="774D9CDB" w14:textId="77777777" w:rsidR="00D108B8" w:rsidRDefault="00000000">
      <w:pPr>
        <w:spacing w:after="0" w:line="276" w:lineRule="auto"/>
        <w:jc w:val="both"/>
        <w:rPr>
          <w:rFonts w:ascii="Arial" w:eastAsia="Arial" w:hAnsi="Arial" w:cs="Arial"/>
          <w:sz w:val="24"/>
          <w:szCs w:val="24"/>
        </w:rPr>
      </w:pPr>
      <w:r>
        <w:rPr>
          <w:rFonts w:ascii="Arial" w:eastAsia="Arial" w:hAnsi="Arial" w:cs="Arial"/>
          <w:sz w:val="24"/>
          <w:szCs w:val="24"/>
        </w:rPr>
        <w:t>Diaz-Navarro, Cristina &amp; Leon-</w:t>
      </w:r>
      <w:proofErr w:type="spellStart"/>
      <w:r>
        <w:rPr>
          <w:rFonts w:ascii="Arial" w:eastAsia="Arial" w:hAnsi="Arial" w:cs="Arial"/>
          <w:sz w:val="24"/>
          <w:szCs w:val="24"/>
        </w:rPr>
        <w:t>Castelao</w:t>
      </w:r>
      <w:proofErr w:type="spellEnd"/>
      <w:r>
        <w:rPr>
          <w:rFonts w:ascii="Arial" w:eastAsia="Arial" w:hAnsi="Arial" w:cs="Arial"/>
          <w:sz w:val="24"/>
          <w:szCs w:val="24"/>
        </w:rPr>
        <w:t xml:space="preserve">, Esther &amp; Hadfield, Andrew &amp; Pierce, Sonia &amp; </w:t>
      </w:r>
      <w:proofErr w:type="spellStart"/>
      <w:r>
        <w:rPr>
          <w:rFonts w:ascii="Arial" w:eastAsia="Arial" w:hAnsi="Arial" w:cs="Arial"/>
          <w:sz w:val="24"/>
          <w:szCs w:val="24"/>
        </w:rPr>
        <w:t>Szyld</w:t>
      </w:r>
      <w:proofErr w:type="spellEnd"/>
      <w:r>
        <w:rPr>
          <w:rFonts w:ascii="Arial" w:eastAsia="Arial" w:hAnsi="Arial" w:cs="Arial"/>
          <w:sz w:val="24"/>
          <w:szCs w:val="24"/>
        </w:rPr>
        <w:t xml:space="preserve">, </w:t>
      </w:r>
      <w:proofErr w:type="spellStart"/>
      <w:r>
        <w:rPr>
          <w:rFonts w:ascii="Arial" w:eastAsia="Arial" w:hAnsi="Arial" w:cs="Arial"/>
          <w:sz w:val="24"/>
          <w:szCs w:val="24"/>
        </w:rPr>
        <w:t>Demian</w:t>
      </w:r>
      <w:proofErr w:type="spellEnd"/>
      <w:r>
        <w:rPr>
          <w:rFonts w:ascii="Arial" w:eastAsia="Arial" w:hAnsi="Arial" w:cs="Arial"/>
          <w:sz w:val="24"/>
          <w:szCs w:val="24"/>
        </w:rPr>
        <w:t xml:space="preserve">. (2021). Clinical debriefing: TALK© to learn and improve together in healthcare environments. Trends in Anaesthesia and Critical Care. 40. 10.1016/j.tacc.2021.07.004. </w:t>
      </w:r>
    </w:p>
    <w:p w14:paraId="77876F12" w14:textId="77777777" w:rsidR="00D108B8" w:rsidRDefault="00D108B8">
      <w:pPr>
        <w:spacing w:after="0" w:line="276" w:lineRule="auto"/>
        <w:jc w:val="both"/>
        <w:rPr>
          <w:rFonts w:ascii="Arial" w:eastAsia="Arial" w:hAnsi="Arial" w:cs="Arial"/>
          <w:sz w:val="24"/>
          <w:szCs w:val="24"/>
          <w:shd w:val="clear" w:color="auto" w:fill="F0F0F0"/>
        </w:rPr>
      </w:pPr>
    </w:p>
    <w:p w14:paraId="21BD0CF0" w14:textId="77777777" w:rsidR="00D108B8" w:rsidRDefault="00000000">
      <w:pPr>
        <w:shd w:val="clear" w:color="auto" w:fill="FFFFFF"/>
        <w:spacing w:after="0" w:line="276" w:lineRule="auto"/>
        <w:jc w:val="both"/>
        <w:rPr>
          <w:rFonts w:ascii="Arial" w:eastAsia="Arial" w:hAnsi="Arial" w:cs="Arial"/>
          <w:sz w:val="24"/>
          <w:szCs w:val="24"/>
          <w:highlight w:val="white"/>
        </w:rPr>
      </w:pPr>
      <w:r>
        <w:rPr>
          <w:rFonts w:ascii="Arial" w:eastAsia="Arial" w:hAnsi="Arial" w:cs="Arial"/>
          <w:sz w:val="24"/>
          <w:szCs w:val="24"/>
          <w:highlight w:val="white"/>
        </w:rPr>
        <w:t xml:space="preserve">Eden, </w:t>
      </w:r>
      <w:proofErr w:type="spellStart"/>
      <w:r>
        <w:rPr>
          <w:rFonts w:ascii="Arial" w:eastAsia="Arial" w:hAnsi="Arial" w:cs="Arial"/>
          <w:sz w:val="24"/>
          <w:szCs w:val="24"/>
          <w:highlight w:val="white"/>
        </w:rPr>
        <w:t>Arieh</w:t>
      </w:r>
      <w:proofErr w:type="spellEnd"/>
      <w:r>
        <w:rPr>
          <w:rFonts w:ascii="Arial" w:eastAsia="Arial" w:hAnsi="Arial" w:cs="Arial"/>
          <w:sz w:val="24"/>
          <w:szCs w:val="24"/>
          <w:highlight w:val="white"/>
        </w:rPr>
        <w:t xml:space="preserve"> MD*; </w:t>
      </w:r>
      <w:proofErr w:type="spellStart"/>
      <w:r>
        <w:rPr>
          <w:rFonts w:ascii="Arial" w:eastAsia="Arial" w:hAnsi="Arial" w:cs="Arial"/>
          <w:sz w:val="24"/>
          <w:szCs w:val="24"/>
          <w:highlight w:val="white"/>
        </w:rPr>
        <w:t>Pizov</w:t>
      </w:r>
      <w:proofErr w:type="spellEnd"/>
      <w:r>
        <w:rPr>
          <w:rFonts w:ascii="Arial" w:eastAsia="Arial" w:hAnsi="Arial" w:cs="Arial"/>
          <w:sz w:val="24"/>
          <w:szCs w:val="24"/>
          <w:highlight w:val="white"/>
        </w:rPr>
        <w:t xml:space="preserve">, Reuven MD*; </w:t>
      </w:r>
      <w:proofErr w:type="spellStart"/>
      <w:r>
        <w:rPr>
          <w:rFonts w:ascii="Arial" w:eastAsia="Arial" w:hAnsi="Arial" w:cs="Arial"/>
          <w:sz w:val="24"/>
          <w:szCs w:val="24"/>
          <w:highlight w:val="white"/>
        </w:rPr>
        <w:t>Toderis</w:t>
      </w:r>
      <w:proofErr w:type="spellEnd"/>
      <w:r>
        <w:rPr>
          <w:rFonts w:ascii="Arial" w:eastAsia="Arial" w:hAnsi="Arial" w:cs="Arial"/>
          <w:sz w:val="24"/>
          <w:szCs w:val="24"/>
          <w:highlight w:val="white"/>
        </w:rPr>
        <w:t xml:space="preserve">, </w:t>
      </w:r>
      <w:proofErr w:type="spellStart"/>
      <w:r>
        <w:rPr>
          <w:rFonts w:ascii="Arial" w:eastAsia="Arial" w:hAnsi="Arial" w:cs="Arial"/>
          <w:sz w:val="24"/>
          <w:szCs w:val="24"/>
          <w:highlight w:val="white"/>
        </w:rPr>
        <w:t>Liat</w:t>
      </w:r>
      <w:proofErr w:type="spellEnd"/>
      <w:r>
        <w:rPr>
          <w:rFonts w:ascii="Arial" w:eastAsia="Arial" w:hAnsi="Arial" w:cs="Arial"/>
          <w:sz w:val="24"/>
          <w:szCs w:val="24"/>
          <w:highlight w:val="white"/>
        </w:rPr>
        <w:t xml:space="preserve"> RN, MPH†; Kantor, Gareth MB, ChB‡; </w:t>
      </w:r>
      <w:proofErr w:type="spellStart"/>
      <w:r>
        <w:rPr>
          <w:rFonts w:ascii="Arial" w:eastAsia="Arial" w:hAnsi="Arial" w:cs="Arial"/>
          <w:sz w:val="24"/>
          <w:szCs w:val="24"/>
          <w:highlight w:val="white"/>
        </w:rPr>
        <w:t>Perel</w:t>
      </w:r>
      <w:proofErr w:type="spellEnd"/>
      <w:r>
        <w:rPr>
          <w:rFonts w:ascii="Arial" w:eastAsia="Arial" w:hAnsi="Arial" w:cs="Arial"/>
          <w:sz w:val="24"/>
          <w:szCs w:val="24"/>
          <w:highlight w:val="white"/>
        </w:rPr>
        <w:t xml:space="preserve">, </w:t>
      </w:r>
      <w:proofErr w:type="spellStart"/>
      <w:r>
        <w:rPr>
          <w:rFonts w:ascii="Arial" w:eastAsia="Arial" w:hAnsi="Arial" w:cs="Arial"/>
          <w:sz w:val="24"/>
          <w:szCs w:val="24"/>
          <w:highlight w:val="white"/>
        </w:rPr>
        <w:t>Azriel</w:t>
      </w:r>
      <w:proofErr w:type="spellEnd"/>
      <w:r>
        <w:rPr>
          <w:rFonts w:ascii="Arial" w:eastAsia="Arial" w:hAnsi="Arial" w:cs="Arial"/>
          <w:sz w:val="24"/>
          <w:szCs w:val="24"/>
          <w:highlight w:val="white"/>
        </w:rPr>
        <w:t xml:space="preserve"> MD</w:t>
      </w:r>
      <w:proofErr w:type="gramStart"/>
      <w:r>
        <w:rPr>
          <w:rFonts w:ascii="Arial" w:eastAsia="Arial" w:hAnsi="Arial" w:cs="Arial"/>
          <w:sz w:val="24"/>
          <w:szCs w:val="24"/>
          <w:highlight w:val="white"/>
        </w:rPr>
        <w:t>†.(</w:t>
      </w:r>
      <w:proofErr w:type="gramEnd"/>
      <w:r>
        <w:rPr>
          <w:rFonts w:ascii="Arial" w:eastAsia="Arial" w:hAnsi="Arial" w:cs="Arial"/>
          <w:sz w:val="24"/>
          <w:szCs w:val="24"/>
          <w:highlight w:val="white"/>
        </w:rPr>
        <w:t xml:space="preserve">2009) The Impact of an Electronic Reminder on the Use of Alarms After Separation from Cardiopulmonary Bypass. </w:t>
      </w:r>
      <w:proofErr w:type="spellStart"/>
      <w:r>
        <w:rPr>
          <w:rFonts w:ascii="Arial" w:eastAsia="Arial" w:hAnsi="Arial" w:cs="Arial"/>
          <w:sz w:val="24"/>
          <w:szCs w:val="24"/>
          <w:highlight w:val="white"/>
        </w:rPr>
        <w:t>Anesthesia</w:t>
      </w:r>
      <w:proofErr w:type="spellEnd"/>
      <w:r>
        <w:rPr>
          <w:rFonts w:ascii="Arial" w:eastAsia="Arial" w:hAnsi="Arial" w:cs="Arial"/>
          <w:sz w:val="24"/>
          <w:szCs w:val="24"/>
          <w:highlight w:val="white"/>
        </w:rPr>
        <w:t xml:space="preserve"> &amp; Analgesia 108(4</w:t>
      </w:r>
      <w:proofErr w:type="gramStart"/>
      <w:r>
        <w:rPr>
          <w:rFonts w:ascii="Arial" w:eastAsia="Arial" w:hAnsi="Arial" w:cs="Arial"/>
          <w:sz w:val="24"/>
          <w:szCs w:val="24"/>
          <w:highlight w:val="white"/>
        </w:rPr>
        <w:t>):p</w:t>
      </w:r>
      <w:proofErr w:type="gramEnd"/>
      <w:r>
        <w:rPr>
          <w:rFonts w:ascii="Arial" w:eastAsia="Arial" w:hAnsi="Arial" w:cs="Arial"/>
          <w:sz w:val="24"/>
          <w:szCs w:val="24"/>
          <w:highlight w:val="white"/>
        </w:rPr>
        <w:t xml:space="preserve"> 1203-1208</w:t>
      </w:r>
    </w:p>
    <w:p w14:paraId="6CA60F5A" w14:textId="77777777" w:rsidR="00D108B8" w:rsidRDefault="00D108B8">
      <w:pPr>
        <w:spacing w:after="0" w:line="276" w:lineRule="auto"/>
        <w:jc w:val="both"/>
        <w:rPr>
          <w:rFonts w:ascii="Arial" w:eastAsia="Arial" w:hAnsi="Arial" w:cs="Arial"/>
          <w:sz w:val="24"/>
          <w:szCs w:val="24"/>
          <w:highlight w:val="white"/>
        </w:rPr>
      </w:pPr>
    </w:p>
    <w:p w14:paraId="39A7EA6E" w14:textId="77777777" w:rsidR="00D108B8" w:rsidRDefault="00000000">
      <w:pPr>
        <w:spacing w:after="0" w:line="276" w:lineRule="auto"/>
        <w:jc w:val="both"/>
        <w:rPr>
          <w:rFonts w:ascii="Arial" w:eastAsia="Arial" w:hAnsi="Arial" w:cs="Arial"/>
          <w:sz w:val="24"/>
          <w:szCs w:val="24"/>
          <w:highlight w:val="white"/>
        </w:rPr>
      </w:pPr>
      <w:proofErr w:type="spellStart"/>
      <w:r>
        <w:rPr>
          <w:rFonts w:ascii="Arial" w:eastAsia="Arial" w:hAnsi="Arial" w:cs="Arial"/>
          <w:sz w:val="24"/>
          <w:szCs w:val="24"/>
          <w:highlight w:val="white"/>
        </w:rPr>
        <w:t>Gabbay</w:t>
      </w:r>
      <w:proofErr w:type="spellEnd"/>
      <w:r>
        <w:rPr>
          <w:rFonts w:ascii="Arial" w:eastAsia="Arial" w:hAnsi="Arial" w:cs="Arial"/>
          <w:sz w:val="24"/>
          <w:szCs w:val="24"/>
          <w:highlight w:val="white"/>
        </w:rPr>
        <w:t xml:space="preserve"> J, Le May A. (2004) Evidence based guidelines or collectively constructed “</w:t>
      </w:r>
      <w:proofErr w:type="spellStart"/>
      <w:r>
        <w:rPr>
          <w:rFonts w:ascii="Arial" w:eastAsia="Arial" w:hAnsi="Arial" w:cs="Arial"/>
          <w:sz w:val="24"/>
          <w:szCs w:val="24"/>
          <w:highlight w:val="white"/>
        </w:rPr>
        <w:t>mindlines</w:t>
      </w:r>
      <w:proofErr w:type="spellEnd"/>
      <w:r>
        <w:rPr>
          <w:rFonts w:ascii="Arial" w:eastAsia="Arial" w:hAnsi="Arial" w:cs="Arial"/>
          <w:sz w:val="24"/>
          <w:szCs w:val="24"/>
          <w:highlight w:val="white"/>
        </w:rPr>
        <w:t xml:space="preserve">?” Ethnographic study of knowledge management in primary care. </w:t>
      </w:r>
      <w:r>
        <w:rPr>
          <w:rFonts w:ascii="Arial" w:eastAsia="Arial" w:hAnsi="Arial" w:cs="Arial"/>
          <w:i/>
          <w:sz w:val="24"/>
          <w:szCs w:val="24"/>
          <w:highlight w:val="white"/>
        </w:rPr>
        <w:t>BMJ Br Med J</w:t>
      </w:r>
      <w:r>
        <w:rPr>
          <w:rFonts w:ascii="Arial" w:eastAsia="Arial" w:hAnsi="Arial" w:cs="Arial"/>
          <w:sz w:val="24"/>
          <w:szCs w:val="24"/>
          <w:highlight w:val="white"/>
        </w:rPr>
        <w:t>. 329:1013.</w:t>
      </w:r>
    </w:p>
    <w:p w14:paraId="79D945D0" w14:textId="77777777" w:rsidR="00D108B8" w:rsidRDefault="00D108B8">
      <w:pPr>
        <w:spacing w:after="0" w:line="276" w:lineRule="auto"/>
        <w:jc w:val="both"/>
        <w:rPr>
          <w:rFonts w:ascii="Arial" w:eastAsia="Arial" w:hAnsi="Arial" w:cs="Arial"/>
          <w:sz w:val="24"/>
          <w:szCs w:val="24"/>
          <w:highlight w:val="white"/>
        </w:rPr>
      </w:pPr>
    </w:p>
    <w:p w14:paraId="1F58442F" w14:textId="77777777" w:rsidR="00D108B8" w:rsidRDefault="00000000">
      <w:pPr>
        <w:spacing w:after="0" w:line="276" w:lineRule="auto"/>
        <w:jc w:val="both"/>
        <w:rPr>
          <w:rFonts w:ascii="Arial" w:eastAsia="Arial" w:hAnsi="Arial" w:cs="Arial"/>
          <w:color w:val="212121"/>
          <w:sz w:val="24"/>
          <w:szCs w:val="24"/>
          <w:highlight w:val="white"/>
        </w:rPr>
      </w:pPr>
      <w:r>
        <w:rPr>
          <w:rFonts w:ascii="Arial" w:eastAsia="Arial" w:hAnsi="Arial" w:cs="Arial"/>
          <w:color w:val="212121"/>
          <w:sz w:val="24"/>
          <w:szCs w:val="24"/>
          <w:highlight w:val="white"/>
        </w:rPr>
        <w:t xml:space="preserve">Goldman JM, </w:t>
      </w:r>
      <w:proofErr w:type="spellStart"/>
      <w:r>
        <w:rPr>
          <w:rFonts w:ascii="Arial" w:eastAsia="Arial" w:hAnsi="Arial" w:cs="Arial"/>
          <w:color w:val="212121"/>
          <w:sz w:val="24"/>
          <w:szCs w:val="24"/>
          <w:highlight w:val="white"/>
        </w:rPr>
        <w:t>Schrenker</w:t>
      </w:r>
      <w:proofErr w:type="spellEnd"/>
      <w:r>
        <w:rPr>
          <w:rFonts w:ascii="Arial" w:eastAsia="Arial" w:hAnsi="Arial" w:cs="Arial"/>
          <w:color w:val="212121"/>
          <w:sz w:val="24"/>
          <w:szCs w:val="24"/>
          <w:highlight w:val="white"/>
        </w:rPr>
        <w:t xml:space="preserve"> RA, Jackson JL, Whitehead SF. (2005) Plug-and-play in the operating room of the future. </w:t>
      </w:r>
      <w:r>
        <w:rPr>
          <w:rFonts w:ascii="Arial" w:eastAsia="Arial" w:hAnsi="Arial" w:cs="Arial"/>
          <w:i/>
          <w:color w:val="212121"/>
          <w:sz w:val="24"/>
          <w:szCs w:val="24"/>
          <w:highlight w:val="white"/>
        </w:rPr>
        <w:t xml:space="preserve">Biomed </w:t>
      </w:r>
      <w:proofErr w:type="spellStart"/>
      <w:r>
        <w:rPr>
          <w:rFonts w:ascii="Arial" w:eastAsia="Arial" w:hAnsi="Arial" w:cs="Arial"/>
          <w:i/>
          <w:color w:val="212121"/>
          <w:sz w:val="24"/>
          <w:szCs w:val="24"/>
          <w:highlight w:val="white"/>
        </w:rPr>
        <w:t>Instrum</w:t>
      </w:r>
      <w:proofErr w:type="spellEnd"/>
      <w:r>
        <w:rPr>
          <w:rFonts w:ascii="Arial" w:eastAsia="Arial" w:hAnsi="Arial" w:cs="Arial"/>
          <w:i/>
          <w:color w:val="212121"/>
          <w:sz w:val="24"/>
          <w:szCs w:val="24"/>
          <w:highlight w:val="white"/>
        </w:rPr>
        <w:t xml:space="preserve"> Technol</w:t>
      </w:r>
      <w:r>
        <w:rPr>
          <w:rFonts w:ascii="Arial" w:eastAsia="Arial" w:hAnsi="Arial" w:cs="Arial"/>
          <w:color w:val="212121"/>
          <w:sz w:val="24"/>
          <w:szCs w:val="24"/>
          <w:highlight w:val="white"/>
        </w:rPr>
        <w:t>. ;39(3):194-9</w:t>
      </w:r>
    </w:p>
    <w:p w14:paraId="183C9039" w14:textId="77777777" w:rsidR="00D108B8" w:rsidRDefault="00D108B8">
      <w:pPr>
        <w:spacing w:after="0" w:line="276" w:lineRule="auto"/>
        <w:jc w:val="both"/>
        <w:rPr>
          <w:rFonts w:ascii="Arial" w:eastAsia="Arial" w:hAnsi="Arial" w:cs="Arial"/>
          <w:color w:val="222222"/>
          <w:sz w:val="24"/>
          <w:szCs w:val="24"/>
          <w:highlight w:val="white"/>
        </w:rPr>
      </w:pPr>
    </w:p>
    <w:p w14:paraId="6675A9AE" w14:textId="77777777" w:rsidR="00D108B8" w:rsidRDefault="00000000">
      <w:pPr>
        <w:spacing w:after="0" w:line="276" w:lineRule="auto"/>
        <w:jc w:val="both"/>
        <w:rPr>
          <w:rFonts w:ascii="Arial" w:eastAsia="Arial" w:hAnsi="Arial" w:cs="Arial"/>
          <w:color w:val="212121"/>
          <w:sz w:val="24"/>
          <w:szCs w:val="24"/>
          <w:highlight w:val="white"/>
        </w:rPr>
      </w:pPr>
      <w:r>
        <w:rPr>
          <w:rFonts w:ascii="Arial" w:eastAsia="Arial" w:hAnsi="Arial" w:cs="Arial"/>
          <w:color w:val="222222"/>
          <w:sz w:val="24"/>
          <w:szCs w:val="24"/>
          <w:highlight w:val="white"/>
        </w:rPr>
        <w:t xml:space="preserve">Goldsmith, Michael P., Emily J. Schwartz, and David A. Hehir (2020). "Data analytics in </w:t>
      </w:r>
      <w:proofErr w:type="spellStart"/>
      <w:r>
        <w:rPr>
          <w:rFonts w:ascii="Arial" w:eastAsia="Arial" w:hAnsi="Arial" w:cs="Arial"/>
          <w:color w:val="222222"/>
          <w:sz w:val="24"/>
          <w:szCs w:val="24"/>
          <w:highlight w:val="white"/>
        </w:rPr>
        <w:t>pediatric</w:t>
      </w:r>
      <w:proofErr w:type="spellEnd"/>
      <w:r>
        <w:rPr>
          <w:rFonts w:ascii="Arial" w:eastAsia="Arial" w:hAnsi="Arial" w:cs="Arial"/>
          <w:color w:val="222222"/>
          <w:sz w:val="24"/>
          <w:szCs w:val="24"/>
          <w:highlight w:val="white"/>
        </w:rPr>
        <w:t xml:space="preserve"> cardiac intensive care: How and what can we learn to improve care." </w:t>
      </w:r>
      <w:r>
        <w:rPr>
          <w:rFonts w:ascii="Arial" w:eastAsia="Arial" w:hAnsi="Arial" w:cs="Arial"/>
          <w:i/>
          <w:color w:val="222222"/>
          <w:sz w:val="24"/>
          <w:szCs w:val="24"/>
          <w:highlight w:val="white"/>
        </w:rPr>
        <w:t xml:space="preserve">Progress in </w:t>
      </w:r>
      <w:proofErr w:type="spellStart"/>
      <w:r>
        <w:rPr>
          <w:rFonts w:ascii="Arial" w:eastAsia="Arial" w:hAnsi="Arial" w:cs="Arial"/>
          <w:i/>
          <w:color w:val="222222"/>
          <w:sz w:val="24"/>
          <w:szCs w:val="24"/>
          <w:highlight w:val="white"/>
        </w:rPr>
        <w:t>Pediatric</w:t>
      </w:r>
      <w:proofErr w:type="spellEnd"/>
      <w:r>
        <w:rPr>
          <w:rFonts w:ascii="Arial" w:eastAsia="Arial" w:hAnsi="Arial" w:cs="Arial"/>
          <w:i/>
          <w:color w:val="222222"/>
          <w:sz w:val="24"/>
          <w:szCs w:val="24"/>
          <w:highlight w:val="white"/>
        </w:rPr>
        <w:t xml:space="preserve"> Cardiology</w:t>
      </w:r>
      <w:r>
        <w:rPr>
          <w:rFonts w:ascii="Arial" w:eastAsia="Arial" w:hAnsi="Arial" w:cs="Arial"/>
          <w:color w:val="222222"/>
          <w:sz w:val="24"/>
          <w:szCs w:val="24"/>
          <w:highlight w:val="white"/>
        </w:rPr>
        <w:t xml:space="preserve"> </w:t>
      </w:r>
      <w:proofErr w:type="gramStart"/>
      <w:r>
        <w:rPr>
          <w:rFonts w:ascii="Arial" w:eastAsia="Arial" w:hAnsi="Arial" w:cs="Arial"/>
          <w:color w:val="222222"/>
          <w:sz w:val="24"/>
          <w:szCs w:val="24"/>
          <w:highlight w:val="white"/>
        </w:rPr>
        <w:t>59 :</w:t>
      </w:r>
      <w:proofErr w:type="gramEnd"/>
      <w:r>
        <w:rPr>
          <w:rFonts w:ascii="Arial" w:eastAsia="Arial" w:hAnsi="Arial" w:cs="Arial"/>
          <w:color w:val="222222"/>
          <w:sz w:val="24"/>
          <w:szCs w:val="24"/>
          <w:highlight w:val="white"/>
        </w:rPr>
        <w:t xml:space="preserve"> 101317.</w:t>
      </w:r>
    </w:p>
    <w:p w14:paraId="4AFB6348" w14:textId="77777777" w:rsidR="00D108B8" w:rsidRDefault="00D108B8">
      <w:pPr>
        <w:spacing w:after="0" w:line="276" w:lineRule="auto"/>
        <w:jc w:val="both"/>
        <w:rPr>
          <w:rFonts w:ascii="Arial" w:eastAsia="Arial" w:hAnsi="Arial" w:cs="Arial"/>
          <w:color w:val="212121"/>
          <w:sz w:val="24"/>
          <w:szCs w:val="24"/>
          <w:highlight w:val="white"/>
        </w:rPr>
      </w:pPr>
    </w:p>
    <w:p w14:paraId="291CB0A7" w14:textId="77777777" w:rsidR="00D108B8" w:rsidRDefault="00000000">
      <w:pPr>
        <w:shd w:val="clear" w:color="auto" w:fill="FFFFFF"/>
        <w:spacing w:after="0" w:line="276" w:lineRule="auto"/>
        <w:jc w:val="both"/>
        <w:rPr>
          <w:rFonts w:ascii="Arial" w:eastAsia="Arial" w:hAnsi="Arial" w:cs="Arial"/>
          <w:sz w:val="24"/>
          <w:szCs w:val="24"/>
          <w:highlight w:val="white"/>
        </w:rPr>
      </w:pPr>
      <w:hyperlink r:id="rId17">
        <w:r>
          <w:rPr>
            <w:rFonts w:ascii="Arial" w:eastAsia="Arial" w:hAnsi="Arial" w:cs="Arial"/>
            <w:sz w:val="24"/>
            <w:szCs w:val="24"/>
            <w:highlight w:val="white"/>
          </w:rPr>
          <w:t xml:space="preserve">Joyce A. </w:t>
        </w:r>
        <w:proofErr w:type="spellStart"/>
        <w:r>
          <w:rPr>
            <w:rFonts w:ascii="Arial" w:eastAsia="Arial" w:hAnsi="Arial" w:cs="Arial"/>
            <w:sz w:val="24"/>
            <w:szCs w:val="24"/>
            <w:highlight w:val="white"/>
          </w:rPr>
          <w:t>Wahr</w:t>
        </w:r>
        <w:proofErr w:type="spellEnd"/>
      </w:hyperlink>
      <w:r>
        <w:rPr>
          <w:rFonts w:ascii="Arial" w:eastAsia="Arial" w:hAnsi="Arial" w:cs="Arial"/>
          <w:sz w:val="24"/>
          <w:szCs w:val="24"/>
          <w:highlight w:val="white"/>
        </w:rPr>
        <w:t xml:space="preserve">, </w:t>
      </w:r>
      <w:hyperlink r:id="rId18">
        <w:r>
          <w:rPr>
            <w:rFonts w:ascii="Arial" w:eastAsia="Arial" w:hAnsi="Arial" w:cs="Arial"/>
            <w:sz w:val="24"/>
            <w:szCs w:val="24"/>
            <w:highlight w:val="white"/>
          </w:rPr>
          <w:t>Richard L. Prager</w:t>
        </w:r>
      </w:hyperlink>
      <w:r>
        <w:rPr>
          <w:rFonts w:ascii="Arial" w:eastAsia="Arial" w:hAnsi="Arial" w:cs="Arial"/>
          <w:sz w:val="24"/>
          <w:szCs w:val="24"/>
          <w:highlight w:val="white"/>
        </w:rPr>
        <w:t xml:space="preserve">, </w:t>
      </w:r>
      <w:hyperlink r:id="rId19">
        <w:r>
          <w:rPr>
            <w:rFonts w:ascii="Arial" w:eastAsia="Arial" w:hAnsi="Arial" w:cs="Arial"/>
            <w:sz w:val="24"/>
            <w:szCs w:val="24"/>
            <w:highlight w:val="white"/>
          </w:rPr>
          <w:t xml:space="preserve">J.H. </w:t>
        </w:r>
        <w:proofErr w:type="spellStart"/>
        <w:r>
          <w:rPr>
            <w:rFonts w:ascii="Arial" w:eastAsia="Arial" w:hAnsi="Arial" w:cs="Arial"/>
            <w:sz w:val="24"/>
            <w:szCs w:val="24"/>
            <w:highlight w:val="white"/>
          </w:rPr>
          <w:t>AbernathyIII</w:t>
        </w:r>
        <w:proofErr w:type="spellEnd"/>
      </w:hyperlink>
      <w:r>
        <w:rPr>
          <w:rFonts w:ascii="Arial" w:eastAsia="Arial" w:hAnsi="Arial" w:cs="Arial"/>
          <w:sz w:val="24"/>
          <w:szCs w:val="24"/>
          <w:highlight w:val="white"/>
        </w:rPr>
        <w:t xml:space="preserve">, </w:t>
      </w:r>
      <w:hyperlink r:id="rId20">
        <w:r>
          <w:rPr>
            <w:rFonts w:ascii="Arial" w:eastAsia="Arial" w:hAnsi="Arial" w:cs="Arial"/>
            <w:sz w:val="24"/>
            <w:szCs w:val="24"/>
            <w:highlight w:val="white"/>
          </w:rPr>
          <w:t>Elizabeth A. Martinez</w:t>
        </w:r>
      </w:hyperlink>
      <w:r>
        <w:rPr>
          <w:rFonts w:ascii="Arial" w:eastAsia="Arial" w:hAnsi="Arial" w:cs="Arial"/>
          <w:sz w:val="24"/>
          <w:szCs w:val="24"/>
          <w:highlight w:val="white"/>
        </w:rPr>
        <w:t xml:space="preserve">, </w:t>
      </w:r>
      <w:hyperlink r:id="rId21">
        <w:r>
          <w:rPr>
            <w:rFonts w:ascii="Arial" w:eastAsia="Arial" w:hAnsi="Arial" w:cs="Arial"/>
            <w:sz w:val="24"/>
            <w:szCs w:val="24"/>
            <w:highlight w:val="white"/>
          </w:rPr>
          <w:t>Eduardo Salas</w:t>
        </w:r>
      </w:hyperlink>
      <w:r>
        <w:rPr>
          <w:rFonts w:ascii="Arial" w:eastAsia="Arial" w:hAnsi="Arial" w:cs="Arial"/>
          <w:sz w:val="24"/>
          <w:szCs w:val="24"/>
          <w:highlight w:val="white"/>
        </w:rPr>
        <w:t xml:space="preserve">, </w:t>
      </w:r>
      <w:hyperlink r:id="rId22">
        <w:r>
          <w:rPr>
            <w:rFonts w:ascii="Arial" w:eastAsia="Arial" w:hAnsi="Arial" w:cs="Arial"/>
            <w:sz w:val="24"/>
            <w:szCs w:val="24"/>
            <w:highlight w:val="white"/>
          </w:rPr>
          <w:t>Patricia C</w:t>
        </w:r>
      </w:hyperlink>
      <w:r>
        <w:rPr>
          <w:rFonts w:ascii="Arial" w:eastAsia="Arial" w:hAnsi="Arial" w:cs="Arial"/>
          <w:sz w:val="24"/>
          <w:szCs w:val="24"/>
          <w:highlight w:val="white"/>
        </w:rPr>
        <w:t xml:space="preserve"> et al. (2013) Patient Safety in the Cardiac Operating Room: Human Factors and Teamwork. A Scientific Statement </w:t>
      </w:r>
      <w:proofErr w:type="gramStart"/>
      <w:r>
        <w:rPr>
          <w:rFonts w:ascii="Arial" w:eastAsia="Arial" w:hAnsi="Arial" w:cs="Arial"/>
          <w:sz w:val="24"/>
          <w:szCs w:val="24"/>
          <w:highlight w:val="white"/>
        </w:rPr>
        <w:t>From</w:t>
      </w:r>
      <w:proofErr w:type="gramEnd"/>
      <w:r>
        <w:rPr>
          <w:rFonts w:ascii="Arial" w:eastAsia="Arial" w:hAnsi="Arial" w:cs="Arial"/>
          <w:sz w:val="24"/>
          <w:szCs w:val="24"/>
          <w:highlight w:val="white"/>
        </w:rPr>
        <w:t xml:space="preserve"> the American Heart Association. </w:t>
      </w:r>
      <w:r>
        <w:rPr>
          <w:rFonts w:ascii="Arial" w:eastAsia="Arial" w:hAnsi="Arial" w:cs="Arial"/>
          <w:i/>
          <w:sz w:val="24"/>
          <w:szCs w:val="24"/>
          <w:highlight w:val="white"/>
        </w:rPr>
        <w:t>Circulation.</w:t>
      </w:r>
      <w:r>
        <w:rPr>
          <w:rFonts w:ascii="Arial" w:eastAsia="Arial" w:hAnsi="Arial" w:cs="Arial"/>
          <w:sz w:val="24"/>
          <w:szCs w:val="24"/>
          <w:highlight w:val="white"/>
        </w:rPr>
        <w:t xml:space="preserve"> Vol 128 pp1139-1169</w:t>
      </w:r>
    </w:p>
    <w:p w14:paraId="4CB1B4EF" w14:textId="77777777" w:rsidR="00D108B8" w:rsidRDefault="00D108B8">
      <w:pPr>
        <w:shd w:val="clear" w:color="auto" w:fill="FFFFFF"/>
        <w:spacing w:after="0" w:line="276" w:lineRule="auto"/>
        <w:jc w:val="both"/>
        <w:rPr>
          <w:rFonts w:ascii="Arial" w:eastAsia="Arial" w:hAnsi="Arial" w:cs="Arial"/>
          <w:sz w:val="24"/>
          <w:szCs w:val="24"/>
          <w:highlight w:val="white"/>
        </w:rPr>
      </w:pPr>
    </w:p>
    <w:p w14:paraId="58770C7D" w14:textId="77777777" w:rsidR="00D108B8" w:rsidRDefault="00000000">
      <w:pPr>
        <w:spacing w:after="0" w:line="276" w:lineRule="auto"/>
        <w:jc w:val="both"/>
        <w:rPr>
          <w:rFonts w:ascii="Arial" w:eastAsia="Arial" w:hAnsi="Arial" w:cs="Arial"/>
          <w:sz w:val="24"/>
          <w:szCs w:val="24"/>
          <w:highlight w:val="white"/>
        </w:rPr>
      </w:pPr>
      <w:r>
        <w:rPr>
          <w:rFonts w:ascii="Arial" w:eastAsia="Arial" w:hAnsi="Arial" w:cs="Arial"/>
          <w:sz w:val="24"/>
          <w:szCs w:val="24"/>
          <w:highlight w:val="white"/>
        </w:rPr>
        <w:t xml:space="preserve">Kawamoto K, Houlihan CA, </w:t>
      </w:r>
      <w:proofErr w:type="spellStart"/>
      <w:r>
        <w:rPr>
          <w:rFonts w:ascii="Arial" w:eastAsia="Arial" w:hAnsi="Arial" w:cs="Arial"/>
          <w:sz w:val="24"/>
          <w:szCs w:val="24"/>
          <w:highlight w:val="white"/>
        </w:rPr>
        <w:t>Balas</w:t>
      </w:r>
      <w:proofErr w:type="spellEnd"/>
      <w:r>
        <w:rPr>
          <w:rFonts w:ascii="Arial" w:eastAsia="Arial" w:hAnsi="Arial" w:cs="Arial"/>
          <w:sz w:val="24"/>
          <w:szCs w:val="24"/>
          <w:highlight w:val="white"/>
        </w:rPr>
        <w:t xml:space="preserve"> EA, </w:t>
      </w:r>
      <w:proofErr w:type="spellStart"/>
      <w:r>
        <w:rPr>
          <w:rFonts w:ascii="Arial" w:eastAsia="Arial" w:hAnsi="Arial" w:cs="Arial"/>
          <w:sz w:val="24"/>
          <w:szCs w:val="24"/>
          <w:highlight w:val="white"/>
        </w:rPr>
        <w:t>Lobach</w:t>
      </w:r>
      <w:proofErr w:type="spellEnd"/>
      <w:r>
        <w:rPr>
          <w:rFonts w:ascii="Arial" w:eastAsia="Arial" w:hAnsi="Arial" w:cs="Arial"/>
          <w:sz w:val="24"/>
          <w:szCs w:val="24"/>
          <w:highlight w:val="white"/>
        </w:rPr>
        <w:t xml:space="preserve"> DF. (2005) Improving clinical practice using clinical decision support systems: a systematic review of trials to identify features critical to success.</w:t>
      </w:r>
      <w:r>
        <w:rPr>
          <w:rFonts w:ascii="Arial" w:eastAsia="Arial" w:hAnsi="Arial" w:cs="Arial"/>
          <w:i/>
          <w:sz w:val="24"/>
          <w:szCs w:val="24"/>
          <w:highlight w:val="white"/>
        </w:rPr>
        <w:t xml:space="preserve"> BMJ</w:t>
      </w:r>
      <w:r>
        <w:rPr>
          <w:rFonts w:ascii="Arial" w:eastAsia="Arial" w:hAnsi="Arial" w:cs="Arial"/>
          <w:sz w:val="24"/>
          <w:szCs w:val="24"/>
          <w:highlight w:val="white"/>
        </w:rPr>
        <w:t>. 2;330(7494):765.</w:t>
      </w:r>
    </w:p>
    <w:p w14:paraId="6A27052E" w14:textId="77777777" w:rsidR="00D108B8" w:rsidRDefault="00D108B8">
      <w:pPr>
        <w:spacing w:after="0" w:line="276" w:lineRule="auto"/>
        <w:jc w:val="both"/>
        <w:rPr>
          <w:rFonts w:ascii="Arial" w:eastAsia="Arial" w:hAnsi="Arial" w:cs="Arial"/>
          <w:sz w:val="24"/>
          <w:szCs w:val="24"/>
          <w:highlight w:val="white"/>
        </w:rPr>
      </w:pPr>
    </w:p>
    <w:p w14:paraId="75FE9385" w14:textId="77777777" w:rsidR="00D108B8" w:rsidRDefault="00000000">
      <w:pPr>
        <w:spacing w:after="0" w:line="276" w:lineRule="auto"/>
        <w:jc w:val="both"/>
        <w:rPr>
          <w:rFonts w:ascii="Arial" w:eastAsia="Arial" w:hAnsi="Arial" w:cs="Arial"/>
          <w:sz w:val="24"/>
          <w:szCs w:val="24"/>
          <w:highlight w:val="white"/>
        </w:rPr>
      </w:pPr>
      <w:r>
        <w:rPr>
          <w:rFonts w:ascii="Arial" w:eastAsia="Arial" w:hAnsi="Arial" w:cs="Arial"/>
          <w:sz w:val="24"/>
          <w:szCs w:val="24"/>
          <w:shd w:val="clear" w:color="auto" w:fill="FCFCFC"/>
        </w:rPr>
        <w:t>Li, L.C., Grimshaw, J.M., Nielsen, C. </w:t>
      </w:r>
      <w:r>
        <w:rPr>
          <w:rFonts w:ascii="Arial" w:eastAsia="Arial" w:hAnsi="Arial" w:cs="Arial"/>
          <w:i/>
          <w:sz w:val="24"/>
          <w:szCs w:val="24"/>
        </w:rPr>
        <w:t>et al.</w:t>
      </w:r>
      <w:r>
        <w:rPr>
          <w:rFonts w:ascii="Arial" w:eastAsia="Arial" w:hAnsi="Arial" w:cs="Arial"/>
          <w:sz w:val="24"/>
          <w:szCs w:val="24"/>
          <w:shd w:val="clear" w:color="auto" w:fill="FCFCFC"/>
        </w:rPr>
        <w:t xml:space="preserve"> (2009). Evolution of Wenger's concept of community of practice. </w:t>
      </w:r>
      <w:r>
        <w:rPr>
          <w:rFonts w:ascii="Arial" w:eastAsia="Arial" w:hAnsi="Arial" w:cs="Arial"/>
          <w:i/>
          <w:sz w:val="24"/>
          <w:szCs w:val="24"/>
        </w:rPr>
        <w:t>Implementation Science</w:t>
      </w:r>
      <w:r>
        <w:rPr>
          <w:rFonts w:ascii="Arial" w:eastAsia="Arial" w:hAnsi="Arial" w:cs="Arial"/>
          <w:sz w:val="24"/>
          <w:szCs w:val="24"/>
          <w:shd w:val="clear" w:color="auto" w:fill="FCFCFC"/>
        </w:rPr>
        <w:t> </w:t>
      </w:r>
      <w:r>
        <w:rPr>
          <w:rFonts w:ascii="Arial" w:eastAsia="Arial" w:hAnsi="Arial" w:cs="Arial"/>
          <w:b/>
          <w:sz w:val="24"/>
          <w:szCs w:val="24"/>
        </w:rPr>
        <w:t>4</w:t>
      </w:r>
      <w:r>
        <w:rPr>
          <w:rFonts w:ascii="Arial" w:eastAsia="Arial" w:hAnsi="Arial" w:cs="Arial"/>
          <w:sz w:val="24"/>
          <w:szCs w:val="24"/>
          <w:shd w:val="clear" w:color="auto" w:fill="FCFCFC"/>
        </w:rPr>
        <w:t xml:space="preserve">, 11 </w:t>
      </w:r>
    </w:p>
    <w:p w14:paraId="426E3F0A" w14:textId="77777777" w:rsidR="00D108B8" w:rsidRDefault="00D108B8">
      <w:pPr>
        <w:shd w:val="clear" w:color="auto" w:fill="FFFFFF"/>
        <w:spacing w:after="0" w:line="276" w:lineRule="auto"/>
        <w:jc w:val="both"/>
        <w:rPr>
          <w:rFonts w:ascii="Arial" w:eastAsia="Arial" w:hAnsi="Arial" w:cs="Arial"/>
          <w:sz w:val="24"/>
          <w:szCs w:val="24"/>
          <w:highlight w:val="white"/>
        </w:rPr>
      </w:pPr>
    </w:p>
    <w:p w14:paraId="1A7547DD" w14:textId="77777777" w:rsidR="00D108B8" w:rsidRDefault="00000000">
      <w:pPr>
        <w:spacing w:line="276" w:lineRule="auto"/>
        <w:jc w:val="both"/>
        <w:rPr>
          <w:rFonts w:ascii="Arial" w:eastAsia="Arial" w:hAnsi="Arial" w:cs="Arial"/>
          <w:sz w:val="24"/>
          <w:szCs w:val="24"/>
        </w:rPr>
      </w:pPr>
      <w:r>
        <w:rPr>
          <w:rFonts w:ascii="Arial" w:eastAsia="Arial" w:hAnsi="Arial" w:cs="Arial"/>
          <w:sz w:val="24"/>
          <w:szCs w:val="24"/>
        </w:rPr>
        <w:t xml:space="preserve">Lu Y, Melnick E R, </w:t>
      </w:r>
      <w:proofErr w:type="spellStart"/>
      <w:r>
        <w:rPr>
          <w:rFonts w:ascii="Arial" w:eastAsia="Arial" w:hAnsi="Arial" w:cs="Arial"/>
          <w:sz w:val="24"/>
          <w:szCs w:val="24"/>
        </w:rPr>
        <w:t>Krumholz</w:t>
      </w:r>
      <w:proofErr w:type="spellEnd"/>
      <w:r>
        <w:rPr>
          <w:rFonts w:ascii="Arial" w:eastAsia="Arial" w:hAnsi="Arial" w:cs="Arial"/>
          <w:sz w:val="24"/>
          <w:szCs w:val="24"/>
        </w:rPr>
        <w:t xml:space="preserve"> H </w:t>
      </w:r>
      <w:proofErr w:type="gramStart"/>
      <w:r>
        <w:rPr>
          <w:rFonts w:ascii="Arial" w:eastAsia="Arial" w:hAnsi="Arial" w:cs="Arial"/>
          <w:sz w:val="24"/>
          <w:szCs w:val="24"/>
        </w:rPr>
        <w:t>M.(</w:t>
      </w:r>
      <w:proofErr w:type="gramEnd"/>
      <w:r>
        <w:rPr>
          <w:rFonts w:ascii="Arial" w:eastAsia="Arial" w:hAnsi="Arial" w:cs="Arial"/>
          <w:sz w:val="24"/>
          <w:szCs w:val="24"/>
        </w:rPr>
        <w:t xml:space="preserve">2022) Clinical decision support in cardiovascular medicine </w:t>
      </w:r>
      <w:r>
        <w:rPr>
          <w:rFonts w:ascii="Arial" w:eastAsia="Arial" w:hAnsi="Arial" w:cs="Arial"/>
          <w:i/>
          <w:sz w:val="24"/>
          <w:szCs w:val="24"/>
        </w:rPr>
        <w:t>BMJ</w:t>
      </w:r>
      <w:r>
        <w:rPr>
          <w:rFonts w:ascii="Arial" w:eastAsia="Arial" w:hAnsi="Arial" w:cs="Arial"/>
          <w:sz w:val="24"/>
          <w:szCs w:val="24"/>
        </w:rPr>
        <w:t>; 377</w:t>
      </w:r>
    </w:p>
    <w:p w14:paraId="2052ABF9" w14:textId="77777777" w:rsidR="00D108B8" w:rsidRDefault="00000000">
      <w:pPr>
        <w:spacing w:line="276" w:lineRule="auto"/>
        <w:jc w:val="both"/>
        <w:rPr>
          <w:rFonts w:ascii="Arial" w:eastAsia="Arial" w:hAnsi="Arial" w:cs="Arial"/>
          <w:sz w:val="24"/>
          <w:szCs w:val="24"/>
        </w:rPr>
      </w:pPr>
      <w:r>
        <w:rPr>
          <w:rFonts w:ascii="Arial" w:eastAsia="Arial" w:hAnsi="Arial" w:cs="Arial"/>
          <w:color w:val="212121"/>
          <w:sz w:val="24"/>
          <w:szCs w:val="24"/>
          <w:highlight w:val="white"/>
        </w:rPr>
        <w:lastRenderedPageBreak/>
        <w:t xml:space="preserve">Loftus TJ, Tighe PJ, Filiberto AC, </w:t>
      </w:r>
      <w:proofErr w:type="spellStart"/>
      <w:r>
        <w:rPr>
          <w:rFonts w:ascii="Arial" w:eastAsia="Arial" w:hAnsi="Arial" w:cs="Arial"/>
          <w:color w:val="212121"/>
          <w:sz w:val="24"/>
          <w:szCs w:val="24"/>
          <w:highlight w:val="white"/>
        </w:rPr>
        <w:t>Efron</w:t>
      </w:r>
      <w:proofErr w:type="spellEnd"/>
      <w:r>
        <w:rPr>
          <w:rFonts w:ascii="Arial" w:eastAsia="Arial" w:hAnsi="Arial" w:cs="Arial"/>
          <w:color w:val="212121"/>
          <w:sz w:val="24"/>
          <w:szCs w:val="24"/>
          <w:highlight w:val="white"/>
        </w:rPr>
        <w:t xml:space="preserve"> PA, </w:t>
      </w:r>
      <w:proofErr w:type="spellStart"/>
      <w:r>
        <w:rPr>
          <w:rFonts w:ascii="Arial" w:eastAsia="Arial" w:hAnsi="Arial" w:cs="Arial"/>
          <w:color w:val="212121"/>
          <w:sz w:val="24"/>
          <w:szCs w:val="24"/>
          <w:highlight w:val="white"/>
        </w:rPr>
        <w:t>Brakenridge</w:t>
      </w:r>
      <w:proofErr w:type="spellEnd"/>
      <w:r>
        <w:rPr>
          <w:rFonts w:ascii="Arial" w:eastAsia="Arial" w:hAnsi="Arial" w:cs="Arial"/>
          <w:color w:val="212121"/>
          <w:sz w:val="24"/>
          <w:szCs w:val="24"/>
          <w:highlight w:val="white"/>
        </w:rPr>
        <w:t xml:space="preserve"> SC, Mohr AM, Rashidi P, Upchurch GR Jr, </w:t>
      </w:r>
      <w:proofErr w:type="spellStart"/>
      <w:r>
        <w:rPr>
          <w:rFonts w:ascii="Arial" w:eastAsia="Arial" w:hAnsi="Arial" w:cs="Arial"/>
          <w:color w:val="212121"/>
          <w:sz w:val="24"/>
          <w:szCs w:val="24"/>
          <w:highlight w:val="white"/>
        </w:rPr>
        <w:t>Bihorac</w:t>
      </w:r>
      <w:proofErr w:type="spellEnd"/>
      <w:r>
        <w:rPr>
          <w:rFonts w:ascii="Arial" w:eastAsia="Arial" w:hAnsi="Arial" w:cs="Arial"/>
          <w:color w:val="212121"/>
          <w:sz w:val="24"/>
          <w:szCs w:val="24"/>
          <w:highlight w:val="white"/>
        </w:rPr>
        <w:t xml:space="preserve"> A. (2020) Artificial Intelligence and Surgical Decision-making. JAMA Surg. 1;155(2):148-158.</w:t>
      </w:r>
    </w:p>
    <w:p w14:paraId="1E9C3C43" w14:textId="77777777" w:rsidR="00D108B8" w:rsidRDefault="00000000">
      <w:pPr>
        <w:spacing w:line="276" w:lineRule="auto"/>
        <w:jc w:val="both"/>
        <w:rPr>
          <w:rFonts w:ascii="Arial" w:eastAsia="Arial" w:hAnsi="Arial" w:cs="Arial"/>
          <w:sz w:val="24"/>
          <w:szCs w:val="24"/>
          <w:shd w:val="clear" w:color="auto" w:fill="EEEEEE"/>
        </w:rPr>
      </w:pPr>
      <w:r>
        <w:rPr>
          <w:rFonts w:ascii="Arial" w:eastAsia="Arial" w:hAnsi="Arial" w:cs="Arial"/>
          <w:color w:val="222222"/>
          <w:sz w:val="24"/>
          <w:szCs w:val="24"/>
          <w:highlight w:val="white"/>
        </w:rPr>
        <w:t>Medlock, Stephanie, et al. (2016</w:t>
      </w:r>
      <w:proofErr w:type="gramStart"/>
      <w:r>
        <w:rPr>
          <w:rFonts w:ascii="Arial" w:eastAsia="Arial" w:hAnsi="Arial" w:cs="Arial"/>
          <w:color w:val="222222"/>
          <w:sz w:val="24"/>
          <w:szCs w:val="24"/>
          <w:highlight w:val="white"/>
        </w:rPr>
        <w:t>)  "</w:t>
      </w:r>
      <w:proofErr w:type="gramEnd"/>
      <w:r>
        <w:rPr>
          <w:rFonts w:ascii="Arial" w:eastAsia="Arial" w:hAnsi="Arial" w:cs="Arial"/>
          <w:color w:val="222222"/>
          <w:sz w:val="24"/>
          <w:szCs w:val="24"/>
          <w:highlight w:val="white"/>
        </w:rPr>
        <w:t xml:space="preserve">Modelling information flows in clinical decision support: key insights for enhancing system effectiveness." </w:t>
      </w:r>
      <w:r>
        <w:rPr>
          <w:rFonts w:ascii="Arial" w:eastAsia="Arial" w:hAnsi="Arial" w:cs="Arial"/>
          <w:i/>
          <w:color w:val="222222"/>
          <w:sz w:val="24"/>
          <w:szCs w:val="24"/>
          <w:highlight w:val="white"/>
        </w:rPr>
        <w:t>Journal of the American Medical Informatics Association</w:t>
      </w:r>
      <w:r>
        <w:rPr>
          <w:rFonts w:ascii="Arial" w:eastAsia="Arial" w:hAnsi="Arial" w:cs="Arial"/>
          <w:color w:val="222222"/>
          <w:sz w:val="24"/>
          <w:szCs w:val="24"/>
          <w:highlight w:val="white"/>
        </w:rPr>
        <w:t xml:space="preserve"> 23.5: 1001-1006.</w:t>
      </w:r>
    </w:p>
    <w:p w14:paraId="6AC090C8" w14:textId="77777777" w:rsidR="00D108B8" w:rsidRDefault="00000000">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 xml:space="preserve">Merkle, F., </w:t>
      </w:r>
      <w:proofErr w:type="spellStart"/>
      <w:r>
        <w:rPr>
          <w:rFonts w:ascii="Arial" w:eastAsia="Arial" w:hAnsi="Arial" w:cs="Arial"/>
          <w:sz w:val="24"/>
          <w:szCs w:val="24"/>
          <w:highlight w:val="white"/>
        </w:rPr>
        <w:t>Kurtovic</w:t>
      </w:r>
      <w:proofErr w:type="spellEnd"/>
      <w:r>
        <w:rPr>
          <w:rFonts w:ascii="Arial" w:eastAsia="Arial" w:hAnsi="Arial" w:cs="Arial"/>
          <w:sz w:val="24"/>
          <w:szCs w:val="24"/>
          <w:highlight w:val="white"/>
        </w:rPr>
        <w:t xml:space="preserve">, D., </w:t>
      </w:r>
      <w:proofErr w:type="spellStart"/>
      <w:r>
        <w:rPr>
          <w:rFonts w:ascii="Arial" w:eastAsia="Arial" w:hAnsi="Arial" w:cs="Arial"/>
          <w:sz w:val="24"/>
          <w:szCs w:val="24"/>
          <w:highlight w:val="white"/>
        </w:rPr>
        <w:t>Starck</w:t>
      </w:r>
      <w:proofErr w:type="spellEnd"/>
      <w:r>
        <w:rPr>
          <w:rFonts w:ascii="Arial" w:eastAsia="Arial" w:hAnsi="Arial" w:cs="Arial"/>
          <w:sz w:val="24"/>
          <w:szCs w:val="24"/>
          <w:highlight w:val="white"/>
        </w:rPr>
        <w:t xml:space="preserve">, C et al. (2021) Simulation-based training of critical events during cardiopulmonary bypass: importance of a critical events checklist. </w:t>
      </w:r>
      <w:r>
        <w:rPr>
          <w:rFonts w:ascii="Arial" w:eastAsia="Arial" w:hAnsi="Arial" w:cs="Arial"/>
          <w:i/>
          <w:sz w:val="24"/>
          <w:szCs w:val="24"/>
          <w:highlight w:val="white"/>
        </w:rPr>
        <w:t>Perfusion.</w:t>
      </w:r>
      <w:r>
        <w:rPr>
          <w:rFonts w:ascii="Arial" w:eastAsia="Arial" w:hAnsi="Arial" w:cs="Arial"/>
          <w:sz w:val="24"/>
          <w:szCs w:val="24"/>
          <w:highlight w:val="white"/>
        </w:rPr>
        <w:t xml:space="preserve"> Vol 36, 3. </w:t>
      </w:r>
    </w:p>
    <w:p w14:paraId="787F3C91" w14:textId="77777777" w:rsidR="00D108B8" w:rsidRDefault="00000000">
      <w:pPr>
        <w:spacing w:line="276" w:lineRule="auto"/>
        <w:jc w:val="both"/>
        <w:rPr>
          <w:rFonts w:ascii="Arial" w:eastAsia="Arial" w:hAnsi="Arial" w:cs="Arial"/>
          <w:sz w:val="24"/>
          <w:szCs w:val="24"/>
          <w:highlight w:val="white"/>
        </w:rPr>
      </w:pPr>
      <w:r>
        <w:rPr>
          <w:rFonts w:ascii="Roboto" w:eastAsia="Roboto" w:hAnsi="Roboto" w:cs="Roboto"/>
          <w:color w:val="212121"/>
          <w:sz w:val="24"/>
          <w:szCs w:val="24"/>
          <w:highlight w:val="white"/>
        </w:rPr>
        <w:t xml:space="preserve">Middleton B, </w:t>
      </w:r>
      <w:proofErr w:type="spellStart"/>
      <w:r>
        <w:rPr>
          <w:rFonts w:ascii="Roboto" w:eastAsia="Roboto" w:hAnsi="Roboto" w:cs="Roboto"/>
          <w:color w:val="212121"/>
          <w:sz w:val="24"/>
          <w:szCs w:val="24"/>
          <w:highlight w:val="white"/>
        </w:rPr>
        <w:t>Sittig</w:t>
      </w:r>
      <w:proofErr w:type="spellEnd"/>
      <w:r>
        <w:rPr>
          <w:rFonts w:ascii="Roboto" w:eastAsia="Roboto" w:hAnsi="Roboto" w:cs="Roboto"/>
          <w:color w:val="212121"/>
          <w:sz w:val="24"/>
          <w:szCs w:val="24"/>
          <w:highlight w:val="white"/>
        </w:rPr>
        <w:t xml:space="preserve"> DF, Wright </w:t>
      </w:r>
      <w:proofErr w:type="gramStart"/>
      <w:r>
        <w:rPr>
          <w:rFonts w:ascii="Roboto" w:eastAsia="Roboto" w:hAnsi="Roboto" w:cs="Roboto"/>
          <w:color w:val="212121"/>
          <w:sz w:val="24"/>
          <w:szCs w:val="24"/>
          <w:highlight w:val="white"/>
        </w:rPr>
        <w:t>A.(</w:t>
      </w:r>
      <w:proofErr w:type="gramEnd"/>
      <w:r>
        <w:rPr>
          <w:rFonts w:ascii="Roboto" w:eastAsia="Roboto" w:hAnsi="Roboto" w:cs="Roboto"/>
          <w:color w:val="212121"/>
          <w:sz w:val="24"/>
          <w:szCs w:val="24"/>
          <w:highlight w:val="white"/>
        </w:rPr>
        <w:t xml:space="preserve">2016) Clinical Decision Support: a 25 Year Retrospective and a 25 Year Vision. </w:t>
      </w:r>
      <w:proofErr w:type="spellStart"/>
      <w:r>
        <w:rPr>
          <w:rFonts w:ascii="Roboto" w:eastAsia="Roboto" w:hAnsi="Roboto" w:cs="Roboto"/>
          <w:color w:val="212121"/>
          <w:sz w:val="24"/>
          <w:szCs w:val="24"/>
          <w:highlight w:val="white"/>
        </w:rPr>
        <w:t>Yearb</w:t>
      </w:r>
      <w:proofErr w:type="spellEnd"/>
      <w:r>
        <w:rPr>
          <w:rFonts w:ascii="Roboto" w:eastAsia="Roboto" w:hAnsi="Roboto" w:cs="Roboto"/>
          <w:color w:val="212121"/>
          <w:sz w:val="24"/>
          <w:szCs w:val="24"/>
          <w:highlight w:val="white"/>
        </w:rPr>
        <w:t xml:space="preserve"> Med Inform.  </w:t>
      </w:r>
      <w:proofErr w:type="gramStart"/>
      <w:r>
        <w:rPr>
          <w:rFonts w:ascii="Roboto" w:eastAsia="Roboto" w:hAnsi="Roboto" w:cs="Roboto"/>
          <w:color w:val="212121"/>
          <w:sz w:val="24"/>
          <w:szCs w:val="24"/>
          <w:highlight w:val="white"/>
        </w:rPr>
        <w:t>2;Suppl</w:t>
      </w:r>
      <w:proofErr w:type="gramEnd"/>
      <w:r>
        <w:rPr>
          <w:rFonts w:ascii="Roboto" w:eastAsia="Roboto" w:hAnsi="Roboto" w:cs="Roboto"/>
          <w:color w:val="212121"/>
          <w:sz w:val="24"/>
          <w:szCs w:val="24"/>
          <w:highlight w:val="white"/>
        </w:rPr>
        <w:t xml:space="preserve"> 1(</w:t>
      </w:r>
      <w:proofErr w:type="spellStart"/>
      <w:r>
        <w:rPr>
          <w:rFonts w:ascii="Roboto" w:eastAsia="Roboto" w:hAnsi="Roboto" w:cs="Roboto"/>
          <w:color w:val="212121"/>
          <w:sz w:val="24"/>
          <w:szCs w:val="24"/>
          <w:highlight w:val="white"/>
        </w:rPr>
        <w:t>Suppl</w:t>
      </w:r>
      <w:proofErr w:type="spellEnd"/>
      <w:r>
        <w:rPr>
          <w:rFonts w:ascii="Roboto" w:eastAsia="Roboto" w:hAnsi="Roboto" w:cs="Roboto"/>
          <w:color w:val="212121"/>
          <w:sz w:val="24"/>
          <w:szCs w:val="24"/>
          <w:highlight w:val="white"/>
        </w:rPr>
        <w:t xml:space="preserve"> 1):S103-16</w:t>
      </w:r>
    </w:p>
    <w:p w14:paraId="444386CE" w14:textId="77777777" w:rsidR="00D108B8" w:rsidRDefault="00000000">
      <w:pPr>
        <w:spacing w:line="276" w:lineRule="auto"/>
        <w:jc w:val="both"/>
        <w:rPr>
          <w:rFonts w:ascii="Arial" w:eastAsia="Arial" w:hAnsi="Arial" w:cs="Arial"/>
          <w:sz w:val="24"/>
          <w:szCs w:val="24"/>
        </w:rPr>
      </w:pPr>
      <w:r>
        <w:rPr>
          <w:rFonts w:ascii="Arial" w:eastAsia="Arial" w:hAnsi="Arial" w:cs="Arial"/>
          <w:sz w:val="24"/>
          <w:szCs w:val="24"/>
          <w:highlight w:val="white"/>
        </w:rPr>
        <w:t xml:space="preserve">Nair BG, Gabel E, Hofer I, </w:t>
      </w:r>
      <w:proofErr w:type="spellStart"/>
      <w:r>
        <w:rPr>
          <w:rFonts w:ascii="Arial" w:eastAsia="Arial" w:hAnsi="Arial" w:cs="Arial"/>
          <w:sz w:val="24"/>
          <w:szCs w:val="24"/>
          <w:highlight w:val="white"/>
        </w:rPr>
        <w:t>Schwid</w:t>
      </w:r>
      <w:proofErr w:type="spellEnd"/>
      <w:r>
        <w:rPr>
          <w:rFonts w:ascii="Arial" w:eastAsia="Arial" w:hAnsi="Arial" w:cs="Arial"/>
          <w:sz w:val="24"/>
          <w:szCs w:val="24"/>
          <w:highlight w:val="white"/>
        </w:rPr>
        <w:t xml:space="preserve"> HA, </w:t>
      </w:r>
      <w:proofErr w:type="spellStart"/>
      <w:r>
        <w:rPr>
          <w:rFonts w:ascii="Arial" w:eastAsia="Arial" w:hAnsi="Arial" w:cs="Arial"/>
          <w:sz w:val="24"/>
          <w:szCs w:val="24"/>
          <w:highlight w:val="white"/>
        </w:rPr>
        <w:t>Cannesson</w:t>
      </w:r>
      <w:proofErr w:type="spellEnd"/>
      <w:r>
        <w:rPr>
          <w:rFonts w:ascii="Arial" w:eastAsia="Arial" w:hAnsi="Arial" w:cs="Arial"/>
          <w:sz w:val="24"/>
          <w:szCs w:val="24"/>
          <w:highlight w:val="white"/>
        </w:rPr>
        <w:t xml:space="preserve"> M. (2017) Intraoperative Clinical Decision Support for </w:t>
      </w:r>
      <w:proofErr w:type="spellStart"/>
      <w:r>
        <w:rPr>
          <w:rFonts w:ascii="Arial" w:eastAsia="Arial" w:hAnsi="Arial" w:cs="Arial"/>
          <w:sz w:val="24"/>
          <w:szCs w:val="24"/>
          <w:highlight w:val="white"/>
        </w:rPr>
        <w:t>Anesthesia</w:t>
      </w:r>
      <w:proofErr w:type="spellEnd"/>
      <w:r>
        <w:rPr>
          <w:rFonts w:ascii="Arial" w:eastAsia="Arial" w:hAnsi="Arial" w:cs="Arial"/>
          <w:sz w:val="24"/>
          <w:szCs w:val="24"/>
          <w:highlight w:val="white"/>
        </w:rPr>
        <w:t xml:space="preserve">: A Narrative Review of Available Systems. </w:t>
      </w:r>
      <w:proofErr w:type="spellStart"/>
      <w:r>
        <w:rPr>
          <w:rFonts w:ascii="Arial" w:eastAsia="Arial" w:hAnsi="Arial" w:cs="Arial"/>
          <w:i/>
          <w:sz w:val="24"/>
          <w:szCs w:val="24"/>
          <w:highlight w:val="white"/>
        </w:rPr>
        <w:t>Anesth</w:t>
      </w:r>
      <w:proofErr w:type="spellEnd"/>
      <w:r>
        <w:rPr>
          <w:rFonts w:ascii="Arial" w:eastAsia="Arial" w:hAnsi="Arial" w:cs="Arial"/>
          <w:i/>
          <w:sz w:val="24"/>
          <w:szCs w:val="24"/>
          <w:highlight w:val="white"/>
        </w:rPr>
        <w:t xml:space="preserve"> </w:t>
      </w:r>
      <w:proofErr w:type="spellStart"/>
      <w:r>
        <w:rPr>
          <w:rFonts w:ascii="Arial" w:eastAsia="Arial" w:hAnsi="Arial" w:cs="Arial"/>
          <w:i/>
          <w:sz w:val="24"/>
          <w:szCs w:val="24"/>
          <w:highlight w:val="white"/>
        </w:rPr>
        <w:t>Analg</w:t>
      </w:r>
      <w:proofErr w:type="spellEnd"/>
      <w:r>
        <w:rPr>
          <w:rFonts w:ascii="Arial" w:eastAsia="Arial" w:hAnsi="Arial" w:cs="Arial"/>
          <w:i/>
          <w:sz w:val="24"/>
          <w:szCs w:val="24"/>
          <w:highlight w:val="white"/>
        </w:rPr>
        <w:t xml:space="preserve">.  </w:t>
      </w:r>
      <w:r>
        <w:rPr>
          <w:rFonts w:ascii="Arial" w:eastAsia="Arial" w:hAnsi="Arial" w:cs="Arial"/>
          <w:sz w:val="24"/>
          <w:szCs w:val="24"/>
          <w:highlight w:val="white"/>
        </w:rPr>
        <w:t xml:space="preserve">124(2): pp603-617. </w:t>
      </w:r>
    </w:p>
    <w:p w14:paraId="6D9757B0" w14:textId="77777777" w:rsidR="00D108B8" w:rsidRDefault="00000000">
      <w:pPr>
        <w:spacing w:after="0" w:line="276" w:lineRule="auto"/>
        <w:jc w:val="both"/>
        <w:rPr>
          <w:rFonts w:ascii="Arial" w:eastAsia="Arial" w:hAnsi="Arial" w:cs="Arial"/>
          <w:sz w:val="24"/>
          <w:szCs w:val="24"/>
          <w:shd w:val="clear" w:color="auto" w:fill="F9F8F6"/>
        </w:rPr>
      </w:pPr>
      <w:proofErr w:type="spellStart"/>
      <w:r>
        <w:rPr>
          <w:rFonts w:ascii="Arial" w:eastAsia="Arial" w:hAnsi="Arial" w:cs="Arial"/>
          <w:sz w:val="24"/>
          <w:szCs w:val="24"/>
          <w:shd w:val="clear" w:color="auto" w:fill="F9F8F6"/>
        </w:rPr>
        <w:t>Osheroff</w:t>
      </w:r>
      <w:proofErr w:type="spellEnd"/>
      <w:r>
        <w:rPr>
          <w:rFonts w:ascii="Arial" w:eastAsia="Arial" w:hAnsi="Arial" w:cs="Arial"/>
          <w:sz w:val="24"/>
          <w:szCs w:val="24"/>
          <w:shd w:val="clear" w:color="auto" w:fill="F9F8F6"/>
        </w:rPr>
        <w:t>, Jerome. </w:t>
      </w:r>
      <w:r>
        <w:rPr>
          <w:rFonts w:ascii="Arial" w:eastAsia="Arial" w:hAnsi="Arial" w:cs="Arial"/>
          <w:i/>
          <w:sz w:val="24"/>
          <w:szCs w:val="24"/>
        </w:rPr>
        <w:t>et al.</w:t>
      </w:r>
      <w:r>
        <w:rPr>
          <w:rFonts w:ascii="Arial" w:eastAsia="Arial" w:hAnsi="Arial" w:cs="Arial"/>
          <w:sz w:val="24"/>
          <w:szCs w:val="24"/>
          <w:shd w:val="clear" w:color="auto" w:fill="F9F8F6"/>
        </w:rPr>
        <w:t> (2021) </w:t>
      </w:r>
      <w:r>
        <w:rPr>
          <w:rFonts w:ascii="Arial" w:eastAsia="Arial" w:hAnsi="Arial" w:cs="Arial"/>
          <w:i/>
          <w:sz w:val="24"/>
          <w:szCs w:val="24"/>
        </w:rPr>
        <w:t>Improving Outcomes with Clinical Decision Support</w:t>
      </w:r>
      <w:r>
        <w:rPr>
          <w:rFonts w:ascii="Arial" w:eastAsia="Arial" w:hAnsi="Arial" w:cs="Arial"/>
          <w:sz w:val="24"/>
          <w:szCs w:val="24"/>
          <w:shd w:val="clear" w:color="auto" w:fill="F9F8F6"/>
        </w:rPr>
        <w:t xml:space="preserve">. 2nd edition. Taylor and Francis. </w:t>
      </w:r>
    </w:p>
    <w:p w14:paraId="620BE662" w14:textId="77777777" w:rsidR="00D108B8" w:rsidRDefault="00D108B8">
      <w:pPr>
        <w:spacing w:after="0" w:line="276" w:lineRule="auto"/>
        <w:jc w:val="both"/>
        <w:rPr>
          <w:rFonts w:ascii="Arial" w:eastAsia="Arial" w:hAnsi="Arial" w:cs="Arial"/>
          <w:sz w:val="24"/>
          <w:szCs w:val="24"/>
          <w:shd w:val="clear" w:color="auto" w:fill="F9F8F6"/>
        </w:rPr>
      </w:pPr>
    </w:p>
    <w:p w14:paraId="7D9229B8" w14:textId="77777777" w:rsidR="00D108B8" w:rsidRDefault="00000000">
      <w:pPr>
        <w:spacing w:after="0" w:line="276" w:lineRule="auto"/>
        <w:jc w:val="both"/>
        <w:rPr>
          <w:rFonts w:ascii="Arial" w:eastAsia="Arial" w:hAnsi="Arial" w:cs="Arial"/>
          <w:sz w:val="24"/>
          <w:szCs w:val="24"/>
          <w:highlight w:val="white"/>
        </w:rPr>
      </w:pPr>
      <w:proofErr w:type="spellStart"/>
      <w:r>
        <w:rPr>
          <w:rFonts w:ascii="Arial" w:eastAsia="Arial" w:hAnsi="Arial" w:cs="Arial"/>
          <w:sz w:val="24"/>
          <w:szCs w:val="24"/>
          <w:highlight w:val="white"/>
        </w:rPr>
        <w:t>Roshanov</w:t>
      </w:r>
      <w:proofErr w:type="spellEnd"/>
      <w:r>
        <w:rPr>
          <w:rFonts w:ascii="Arial" w:eastAsia="Arial" w:hAnsi="Arial" w:cs="Arial"/>
          <w:sz w:val="24"/>
          <w:szCs w:val="24"/>
          <w:highlight w:val="white"/>
        </w:rPr>
        <w:t>, Pavel S. et al. (2013) “Features of effective computerised clinical decision support systems: meta-regression of 162 randomised trials.” </w:t>
      </w:r>
      <w:proofErr w:type="gramStart"/>
      <w:r>
        <w:rPr>
          <w:rFonts w:ascii="Arial" w:eastAsia="Arial" w:hAnsi="Arial" w:cs="Arial"/>
          <w:i/>
          <w:sz w:val="24"/>
          <w:szCs w:val="24"/>
          <w:highlight w:val="white"/>
        </w:rPr>
        <w:t>BMJ :</w:t>
      </w:r>
      <w:proofErr w:type="gramEnd"/>
      <w:r>
        <w:rPr>
          <w:rFonts w:ascii="Arial" w:eastAsia="Arial" w:hAnsi="Arial" w:cs="Arial"/>
          <w:i/>
          <w:sz w:val="24"/>
          <w:szCs w:val="24"/>
          <w:highlight w:val="white"/>
        </w:rPr>
        <w:t xml:space="preserve"> British Medical Journal</w:t>
      </w:r>
      <w:r>
        <w:rPr>
          <w:rFonts w:ascii="Arial" w:eastAsia="Arial" w:hAnsi="Arial" w:cs="Arial"/>
          <w:sz w:val="24"/>
          <w:szCs w:val="24"/>
          <w:highlight w:val="white"/>
        </w:rPr>
        <w:t> 346</w:t>
      </w:r>
    </w:p>
    <w:p w14:paraId="6B577C2A" w14:textId="77777777" w:rsidR="00D108B8" w:rsidRDefault="00D108B8">
      <w:pPr>
        <w:spacing w:after="0" w:line="276" w:lineRule="auto"/>
        <w:jc w:val="both"/>
        <w:rPr>
          <w:rFonts w:ascii="Arial" w:eastAsia="Arial" w:hAnsi="Arial" w:cs="Arial"/>
          <w:sz w:val="24"/>
          <w:szCs w:val="24"/>
          <w:highlight w:val="white"/>
        </w:rPr>
      </w:pPr>
    </w:p>
    <w:p w14:paraId="16434F12" w14:textId="77777777" w:rsidR="00D108B8" w:rsidRDefault="00000000">
      <w:pPr>
        <w:spacing w:line="276" w:lineRule="auto"/>
        <w:jc w:val="both"/>
        <w:rPr>
          <w:rFonts w:ascii="Arial" w:eastAsia="Arial" w:hAnsi="Arial" w:cs="Arial"/>
          <w:sz w:val="24"/>
          <w:szCs w:val="24"/>
          <w:highlight w:val="white"/>
        </w:rPr>
      </w:pPr>
      <w:r>
        <w:rPr>
          <w:rFonts w:ascii="Arial" w:eastAsia="Arial" w:hAnsi="Arial" w:cs="Arial"/>
          <w:sz w:val="24"/>
          <w:szCs w:val="24"/>
        </w:rPr>
        <w:t>Vasey B, </w:t>
      </w:r>
      <w:proofErr w:type="spellStart"/>
      <w:r>
        <w:rPr>
          <w:rFonts w:ascii="Arial" w:eastAsia="Arial" w:hAnsi="Arial" w:cs="Arial"/>
          <w:sz w:val="24"/>
          <w:szCs w:val="24"/>
        </w:rPr>
        <w:t>Nagendran</w:t>
      </w:r>
      <w:proofErr w:type="spellEnd"/>
      <w:r>
        <w:rPr>
          <w:rFonts w:ascii="Arial" w:eastAsia="Arial" w:hAnsi="Arial" w:cs="Arial"/>
          <w:sz w:val="24"/>
          <w:szCs w:val="24"/>
        </w:rPr>
        <w:t> M, Campbell B, Clifton D A, Collins G S, </w:t>
      </w:r>
      <w:proofErr w:type="spellStart"/>
      <w:r>
        <w:rPr>
          <w:rFonts w:ascii="Arial" w:eastAsia="Arial" w:hAnsi="Arial" w:cs="Arial"/>
          <w:sz w:val="24"/>
          <w:szCs w:val="24"/>
        </w:rPr>
        <w:t>Denaxas</w:t>
      </w:r>
      <w:proofErr w:type="spellEnd"/>
      <w:r>
        <w:rPr>
          <w:rFonts w:ascii="Arial" w:eastAsia="Arial" w:hAnsi="Arial" w:cs="Arial"/>
          <w:sz w:val="24"/>
          <w:szCs w:val="24"/>
        </w:rPr>
        <w:t> S et al. (2022) Reporting guideline for the early stage clinical evaluation of decision support systems driven by artificial intelligence: DECIDE-</w:t>
      </w:r>
      <w:proofErr w:type="gramStart"/>
      <w:r>
        <w:rPr>
          <w:rFonts w:ascii="Arial" w:eastAsia="Arial" w:hAnsi="Arial" w:cs="Arial"/>
          <w:sz w:val="24"/>
          <w:szCs w:val="24"/>
        </w:rPr>
        <w:t>AI</w:t>
      </w:r>
      <w:r>
        <w:rPr>
          <w:rFonts w:ascii="Arial" w:eastAsia="Arial" w:hAnsi="Arial" w:cs="Arial"/>
          <w:sz w:val="24"/>
          <w:szCs w:val="24"/>
          <w:shd w:val="clear" w:color="auto" w:fill="EEEEEE"/>
        </w:rPr>
        <w:t xml:space="preserve">  </w:t>
      </w:r>
      <w:r>
        <w:rPr>
          <w:rFonts w:ascii="Arial" w:eastAsia="Arial" w:hAnsi="Arial" w:cs="Arial"/>
          <w:i/>
          <w:sz w:val="24"/>
          <w:szCs w:val="24"/>
        </w:rPr>
        <w:t>BMJ</w:t>
      </w:r>
      <w:proofErr w:type="gramEnd"/>
      <w:r>
        <w:rPr>
          <w:rFonts w:ascii="Arial" w:eastAsia="Arial" w:hAnsi="Arial" w:cs="Arial"/>
          <w:i/>
          <w:sz w:val="24"/>
          <w:szCs w:val="24"/>
        </w:rPr>
        <w:t> </w:t>
      </w:r>
      <w:r>
        <w:rPr>
          <w:rFonts w:ascii="Arial" w:eastAsia="Arial" w:hAnsi="Arial" w:cs="Arial"/>
          <w:sz w:val="24"/>
          <w:szCs w:val="24"/>
        </w:rPr>
        <w:t>;  377 </w:t>
      </w:r>
    </w:p>
    <w:p w14:paraId="2F3D2A1A" w14:textId="77777777" w:rsidR="00D108B8" w:rsidRDefault="00000000">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 xml:space="preserve">Van Der Veen, Willem, </w:t>
      </w:r>
      <w:proofErr w:type="gramStart"/>
      <w:r>
        <w:rPr>
          <w:rFonts w:ascii="Arial" w:eastAsia="Arial" w:hAnsi="Arial" w:cs="Arial"/>
          <w:sz w:val="24"/>
          <w:szCs w:val="24"/>
          <w:highlight w:val="white"/>
        </w:rPr>
        <w:t>et al.(</w:t>
      </w:r>
      <w:proofErr w:type="gramEnd"/>
      <w:r>
        <w:rPr>
          <w:rFonts w:ascii="Arial" w:eastAsia="Arial" w:hAnsi="Arial" w:cs="Arial"/>
          <w:sz w:val="24"/>
          <w:szCs w:val="24"/>
          <w:highlight w:val="white"/>
        </w:rPr>
        <w:t xml:space="preserve">2018) Association between workarounds and medication administration errors in bar-code-assisted medication administration in hospitals. </w:t>
      </w:r>
      <w:r>
        <w:rPr>
          <w:rFonts w:ascii="Arial" w:eastAsia="Arial" w:hAnsi="Arial" w:cs="Arial"/>
          <w:i/>
          <w:sz w:val="24"/>
          <w:szCs w:val="24"/>
          <w:highlight w:val="white"/>
        </w:rPr>
        <w:t>Journal of the American Medical Informatics Association</w:t>
      </w:r>
      <w:r>
        <w:rPr>
          <w:rFonts w:ascii="Arial" w:eastAsia="Arial" w:hAnsi="Arial" w:cs="Arial"/>
          <w:sz w:val="24"/>
          <w:szCs w:val="24"/>
          <w:highlight w:val="white"/>
        </w:rPr>
        <w:t xml:space="preserve"> </w:t>
      </w:r>
      <w:proofErr w:type="gramStart"/>
      <w:r>
        <w:rPr>
          <w:rFonts w:ascii="Arial" w:eastAsia="Arial" w:hAnsi="Arial" w:cs="Arial"/>
          <w:sz w:val="24"/>
          <w:szCs w:val="24"/>
          <w:highlight w:val="white"/>
        </w:rPr>
        <w:t>25.4 :</w:t>
      </w:r>
      <w:proofErr w:type="gramEnd"/>
      <w:r>
        <w:rPr>
          <w:rFonts w:ascii="Arial" w:eastAsia="Arial" w:hAnsi="Arial" w:cs="Arial"/>
          <w:sz w:val="24"/>
          <w:szCs w:val="24"/>
          <w:highlight w:val="white"/>
        </w:rPr>
        <w:t xml:space="preserve"> 385-392.</w:t>
      </w:r>
    </w:p>
    <w:p w14:paraId="5884E2A3" w14:textId="77777777" w:rsidR="00D108B8" w:rsidRDefault="00000000">
      <w:pPr>
        <w:spacing w:line="276" w:lineRule="auto"/>
        <w:jc w:val="both"/>
        <w:rPr>
          <w:rFonts w:ascii="Arial" w:eastAsia="Arial" w:hAnsi="Arial" w:cs="Arial"/>
          <w:sz w:val="24"/>
          <w:szCs w:val="24"/>
          <w:highlight w:val="white"/>
        </w:rPr>
      </w:pPr>
      <w:r>
        <w:rPr>
          <w:rFonts w:ascii="Arial" w:eastAsia="Arial" w:hAnsi="Arial" w:cs="Arial"/>
          <w:sz w:val="24"/>
          <w:szCs w:val="24"/>
          <w:highlight w:val="white"/>
        </w:rPr>
        <w:t xml:space="preserve">Wahba A, </w:t>
      </w:r>
      <w:proofErr w:type="spellStart"/>
      <w:r>
        <w:rPr>
          <w:rFonts w:ascii="Arial" w:eastAsia="Arial" w:hAnsi="Arial" w:cs="Arial"/>
          <w:sz w:val="24"/>
          <w:szCs w:val="24"/>
          <w:highlight w:val="white"/>
        </w:rPr>
        <w:t>Milojevic</w:t>
      </w:r>
      <w:proofErr w:type="spellEnd"/>
      <w:r>
        <w:rPr>
          <w:rFonts w:ascii="Arial" w:eastAsia="Arial" w:hAnsi="Arial" w:cs="Arial"/>
          <w:sz w:val="24"/>
          <w:szCs w:val="24"/>
          <w:highlight w:val="white"/>
        </w:rPr>
        <w:t xml:space="preserve"> M, Boer C, De </w:t>
      </w:r>
      <w:proofErr w:type="spellStart"/>
      <w:r>
        <w:rPr>
          <w:rFonts w:ascii="Arial" w:eastAsia="Arial" w:hAnsi="Arial" w:cs="Arial"/>
          <w:sz w:val="24"/>
          <w:szCs w:val="24"/>
          <w:highlight w:val="white"/>
        </w:rPr>
        <w:t>Somer</w:t>
      </w:r>
      <w:proofErr w:type="spellEnd"/>
      <w:r>
        <w:rPr>
          <w:rFonts w:ascii="Arial" w:eastAsia="Arial" w:hAnsi="Arial" w:cs="Arial"/>
          <w:sz w:val="24"/>
          <w:szCs w:val="24"/>
          <w:highlight w:val="white"/>
        </w:rPr>
        <w:t xml:space="preserve"> FMJJ, </w:t>
      </w:r>
      <w:proofErr w:type="spellStart"/>
      <w:r>
        <w:rPr>
          <w:rFonts w:ascii="Arial" w:eastAsia="Arial" w:hAnsi="Arial" w:cs="Arial"/>
          <w:sz w:val="24"/>
          <w:szCs w:val="24"/>
          <w:highlight w:val="white"/>
        </w:rPr>
        <w:t>Gudbjartsson</w:t>
      </w:r>
      <w:proofErr w:type="spellEnd"/>
      <w:r>
        <w:rPr>
          <w:rFonts w:ascii="Arial" w:eastAsia="Arial" w:hAnsi="Arial" w:cs="Arial"/>
          <w:sz w:val="24"/>
          <w:szCs w:val="24"/>
          <w:highlight w:val="white"/>
        </w:rPr>
        <w:t xml:space="preserve"> T, van den </w:t>
      </w:r>
      <w:proofErr w:type="spellStart"/>
      <w:r>
        <w:rPr>
          <w:rFonts w:ascii="Arial" w:eastAsia="Arial" w:hAnsi="Arial" w:cs="Arial"/>
          <w:sz w:val="24"/>
          <w:szCs w:val="24"/>
          <w:highlight w:val="white"/>
        </w:rPr>
        <w:t>Goor</w:t>
      </w:r>
      <w:proofErr w:type="spellEnd"/>
      <w:r>
        <w:rPr>
          <w:rFonts w:ascii="Arial" w:eastAsia="Arial" w:hAnsi="Arial" w:cs="Arial"/>
          <w:sz w:val="24"/>
          <w:szCs w:val="24"/>
          <w:highlight w:val="white"/>
        </w:rPr>
        <w:t xml:space="preserve"> J et al.   (2020) EACTS/EACTA/EBCP guidelines on cardiopulmonary bypass in adult cardiac surgery. </w:t>
      </w:r>
      <w:proofErr w:type="spellStart"/>
      <w:r>
        <w:rPr>
          <w:rFonts w:ascii="Arial" w:eastAsia="Arial" w:hAnsi="Arial" w:cs="Arial"/>
          <w:i/>
          <w:sz w:val="24"/>
          <w:szCs w:val="24"/>
          <w:highlight w:val="white"/>
        </w:rPr>
        <w:t>Eur</w:t>
      </w:r>
      <w:proofErr w:type="spellEnd"/>
      <w:r>
        <w:rPr>
          <w:rFonts w:ascii="Arial" w:eastAsia="Arial" w:hAnsi="Arial" w:cs="Arial"/>
          <w:i/>
          <w:sz w:val="24"/>
          <w:szCs w:val="24"/>
          <w:highlight w:val="white"/>
        </w:rPr>
        <w:t xml:space="preserve"> J </w:t>
      </w:r>
      <w:proofErr w:type="spellStart"/>
      <w:r>
        <w:rPr>
          <w:rFonts w:ascii="Arial" w:eastAsia="Arial" w:hAnsi="Arial" w:cs="Arial"/>
          <w:i/>
          <w:sz w:val="24"/>
          <w:szCs w:val="24"/>
          <w:highlight w:val="white"/>
        </w:rPr>
        <w:t>Cardiothorac</w:t>
      </w:r>
      <w:proofErr w:type="spellEnd"/>
      <w:r>
        <w:rPr>
          <w:rFonts w:ascii="Arial" w:eastAsia="Arial" w:hAnsi="Arial" w:cs="Arial"/>
          <w:i/>
          <w:sz w:val="24"/>
          <w:szCs w:val="24"/>
          <w:highlight w:val="white"/>
        </w:rPr>
        <w:t xml:space="preserve"> </w:t>
      </w:r>
      <w:proofErr w:type="spellStart"/>
      <w:r>
        <w:rPr>
          <w:rFonts w:ascii="Arial" w:eastAsia="Arial" w:hAnsi="Arial" w:cs="Arial"/>
          <w:i/>
          <w:sz w:val="24"/>
          <w:szCs w:val="24"/>
          <w:highlight w:val="white"/>
        </w:rPr>
        <w:t>Surg</w:t>
      </w:r>
      <w:proofErr w:type="spellEnd"/>
      <w:r>
        <w:rPr>
          <w:rFonts w:ascii="Arial" w:eastAsia="Arial" w:hAnsi="Arial" w:cs="Arial"/>
          <w:sz w:val="24"/>
          <w:szCs w:val="24"/>
          <w:highlight w:val="white"/>
        </w:rPr>
        <w:t xml:space="preserve">; Vol </w:t>
      </w:r>
      <w:proofErr w:type="gramStart"/>
      <w:r>
        <w:rPr>
          <w:rFonts w:ascii="Arial" w:eastAsia="Arial" w:hAnsi="Arial" w:cs="Arial"/>
          <w:sz w:val="24"/>
          <w:szCs w:val="24"/>
          <w:highlight w:val="white"/>
        </w:rPr>
        <w:t>57:pp</w:t>
      </w:r>
      <w:proofErr w:type="gramEnd"/>
      <w:r>
        <w:rPr>
          <w:rFonts w:ascii="Arial" w:eastAsia="Arial" w:hAnsi="Arial" w:cs="Arial"/>
          <w:sz w:val="24"/>
          <w:szCs w:val="24"/>
          <w:highlight w:val="white"/>
        </w:rPr>
        <w:t>210-251.</w:t>
      </w:r>
    </w:p>
    <w:p w14:paraId="7CF77415" w14:textId="77777777" w:rsidR="00D108B8" w:rsidRDefault="00000000">
      <w:pPr>
        <w:spacing w:after="0" w:line="276" w:lineRule="auto"/>
        <w:jc w:val="both"/>
        <w:rPr>
          <w:rFonts w:ascii="Arial" w:eastAsia="Arial" w:hAnsi="Arial" w:cs="Arial"/>
          <w:sz w:val="24"/>
          <w:szCs w:val="24"/>
        </w:rPr>
      </w:pPr>
      <w:r>
        <w:rPr>
          <w:rFonts w:ascii="Arial" w:eastAsia="Arial" w:hAnsi="Arial" w:cs="Arial"/>
          <w:sz w:val="24"/>
          <w:szCs w:val="24"/>
          <w:highlight w:val="white"/>
        </w:rPr>
        <w:t>Wanderer, Jonathan P., and Jesse M. Ehrenfeld. (2013) "Clinical decision support for perioperative information management systems." </w:t>
      </w:r>
      <w:r>
        <w:rPr>
          <w:rFonts w:ascii="Arial" w:eastAsia="Arial" w:hAnsi="Arial" w:cs="Arial"/>
          <w:i/>
          <w:sz w:val="24"/>
          <w:szCs w:val="24"/>
        </w:rPr>
        <w:t xml:space="preserve">Seminars in cardiothoracic and vascular </w:t>
      </w:r>
      <w:proofErr w:type="spellStart"/>
      <w:r>
        <w:rPr>
          <w:rFonts w:ascii="Arial" w:eastAsia="Arial" w:hAnsi="Arial" w:cs="Arial"/>
          <w:i/>
          <w:sz w:val="24"/>
          <w:szCs w:val="24"/>
        </w:rPr>
        <w:t>anesthesia</w:t>
      </w:r>
      <w:proofErr w:type="spellEnd"/>
      <w:r>
        <w:rPr>
          <w:rFonts w:ascii="Arial" w:eastAsia="Arial" w:hAnsi="Arial" w:cs="Arial"/>
          <w:sz w:val="24"/>
          <w:szCs w:val="24"/>
          <w:highlight w:val="white"/>
        </w:rPr>
        <w:t>. Vol. 17. No. 4. Sage CA: Los Angeles, CA: SAGE Publications.</w:t>
      </w:r>
    </w:p>
    <w:p w14:paraId="3C2D46E9" w14:textId="77777777" w:rsidR="00D108B8" w:rsidRDefault="00D108B8">
      <w:pPr>
        <w:shd w:val="clear" w:color="auto" w:fill="FFFFFF"/>
        <w:spacing w:after="0" w:line="276" w:lineRule="auto"/>
        <w:jc w:val="both"/>
        <w:rPr>
          <w:rFonts w:ascii="Arial" w:eastAsia="Arial" w:hAnsi="Arial" w:cs="Arial"/>
          <w:sz w:val="24"/>
          <w:szCs w:val="24"/>
          <w:highlight w:val="white"/>
        </w:rPr>
      </w:pPr>
    </w:p>
    <w:p w14:paraId="30062719" w14:textId="77777777" w:rsidR="00D108B8" w:rsidRDefault="00000000">
      <w:pPr>
        <w:spacing w:after="0" w:line="276" w:lineRule="auto"/>
        <w:jc w:val="both"/>
        <w:rPr>
          <w:rFonts w:ascii="Arial" w:eastAsia="Arial" w:hAnsi="Arial" w:cs="Arial"/>
          <w:sz w:val="24"/>
          <w:szCs w:val="24"/>
          <w:highlight w:val="white"/>
        </w:rPr>
      </w:pPr>
      <w:proofErr w:type="spellStart"/>
      <w:r>
        <w:rPr>
          <w:rFonts w:ascii="Arial" w:eastAsia="Arial" w:hAnsi="Arial" w:cs="Arial"/>
          <w:sz w:val="24"/>
          <w:szCs w:val="24"/>
          <w:highlight w:val="white"/>
        </w:rPr>
        <w:t>Wieringa</w:t>
      </w:r>
      <w:proofErr w:type="spellEnd"/>
      <w:r>
        <w:rPr>
          <w:rFonts w:ascii="Arial" w:eastAsia="Arial" w:hAnsi="Arial" w:cs="Arial"/>
          <w:sz w:val="24"/>
          <w:szCs w:val="24"/>
          <w:highlight w:val="white"/>
        </w:rPr>
        <w:t xml:space="preserve">, S., Greenhalgh, T. (2015) 10 years of </w:t>
      </w:r>
      <w:proofErr w:type="spellStart"/>
      <w:r>
        <w:rPr>
          <w:rFonts w:ascii="Arial" w:eastAsia="Arial" w:hAnsi="Arial" w:cs="Arial"/>
          <w:sz w:val="24"/>
          <w:szCs w:val="24"/>
          <w:highlight w:val="white"/>
        </w:rPr>
        <w:t>mindlines</w:t>
      </w:r>
      <w:proofErr w:type="spellEnd"/>
      <w:r>
        <w:rPr>
          <w:rFonts w:ascii="Arial" w:eastAsia="Arial" w:hAnsi="Arial" w:cs="Arial"/>
          <w:sz w:val="24"/>
          <w:szCs w:val="24"/>
          <w:highlight w:val="white"/>
        </w:rPr>
        <w:t>: a systematic review and commentary. </w:t>
      </w:r>
      <w:r>
        <w:rPr>
          <w:rFonts w:ascii="Arial" w:eastAsia="Arial" w:hAnsi="Arial" w:cs="Arial"/>
          <w:i/>
          <w:sz w:val="24"/>
          <w:szCs w:val="24"/>
        </w:rPr>
        <w:t>Implementation Science</w:t>
      </w:r>
      <w:r>
        <w:rPr>
          <w:rFonts w:ascii="Arial" w:eastAsia="Arial" w:hAnsi="Arial" w:cs="Arial"/>
          <w:sz w:val="24"/>
          <w:szCs w:val="24"/>
          <w:highlight w:val="white"/>
        </w:rPr>
        <w:t xml:space="preserve"> Vol </w:t>
      </w:r>
      <w:r>
        <w:rPr>
          <w:rFonts w:ascii="Arial" w:eastAsia="Arial" w:hAnsi="Arial" w:cs="Arial"/>
          <w:b/>
          <w:sz w:val="24"/>
          <w:szCs w:val="24"/>
        </w:rPr>
        <w:t>10</w:t>
      </w:r>
      <w:r>
        <w:rPr>
          <w:rFonts w:ascii="Arial" w:eastAsia="Arial" w:hAnsi="Arial" w:cs="Arial"/>
          <w:sz w:val="24"/>
          <w:szCs w:val="24"/>
          <w:highlight w:val="white"/>
        </w:rPr>
        <w:t>, 45.</w:t>
      </w:r>
    </w:p>
    <w:p w14:paraId="7716A460" w14:textId="77777777" w:rsidR="00D108B8" w:rsidRDefault="00D108B8">
      <w:pPr>
        <w:spacing w:after="0" w:line="276" w:lineRule="auto"/>
        <w:jc w:val="both"/>
        <w:rPr>
          <w:rFonts w:ascii="Arial" w:eastAsia="Arial" w:hAnsi="Arial" w:cs="Arial"/>
          <w:sz w:val="24"/>
          <w:szCs w:val="24"/>
          <w:highlight w:val="white"/>
        </w:rPr>
      </w:pPr>
    </w:p>
    <w:p w14:paraId="3AACDCDA" w14:textId="77777777" w:rsidR="00D108B8" w:rsidRDefault="00000000">
      <w:pPr>
        <w:spacing w:after="0" w:line="276" w:lineRule="auto"/>
        <w:jc w:val="both"/>
        <w:rPr>
          <w:rFonts w:ascii="Arial" w:eastAsia="Arial" w:hAnsi="Arial" w:cs="Arial"/>
          <w:sz w:val="24"/>
          <w:szCs w:val="24"/>
          <w:highlight w:val="white"/>
        </w:rPr>
      </w:pPr>
      <w:r>
        <w:rPr>
          <w:rFonts w:ascii="Arial" w:eastAsia="Arial" w:hAnsi="Arial" w:cs="Arial"/>
          <w:sz w:val="24"/>
          <w:szCs w:val="24"/>
          <w:highlight w:val="white"/>
        </w:rPr>
        <w:t>Wright, Adam, et al. (2016) "Analysis of clinical decision support system malfunctions: a case series and survey." </w:t>
      </w:r>
      <w:r>
        <w:rPr>
          <w:rFonts w:ascii="Arial" w:eastAsia="Arial" w:hAnsi="Arial" w:cs="Arial"/>
          <w:i/>
          <w:sz w:val="24"/>
          <w:szCs w:val="24"/>
        </w:rPr>
        <w:t>Journal of the American Medical Informatics Association</w:t>
      </w:r>
      <w:r>
        <w:rPr>
          <w:rFonts w:ascii="Arial" w:eastAsia="Arial" w:hAnsi="Arial" w:cs="Arial"/>
          <w:sz w:val="24"/>
          <w:szCs w:val="24"/>
          <w:highlight w:val="white"/>
        </w:rPr>
        <w:t> 23.6 pp 1068-1076.</w:t>
      </w:r>
    </w:p>
    <w:p w14:paraId="14A17948" w14:textId="77777777" w:rsidR="00D108B8" w:rsidRDefault="00D108B8">
      <w:pPr>
        <w:spacing w:after="0" w:line="276" w:lineRule="auto"/>
        <w:jc w:val="both"/>
        <w:rPr>
          <w:rFonts w:ascii="Arial" w:eastAsia="Arial" w:hAnsi="Arial" w:cs="Arial"/>
          <w:color w:val="212121"/>
          <w:sz w:val="24"/>
          <w:szCs w:val="24"/>
          <w:highlight w:val="white"/>
        </w:rPr>
      </w:pPr>
    </w:p>
    <w:p w14:paraId="11B669B8" w14:textId="77777777" w:rsidR="00D108B8" w:rsidRDefault="00000000">
      <w:pPr>
        <w:spacing w:after="0" w:line="276" w:lineRule="auto"/>
        <w:jc w:val="both"/>
        <w:rPr>
          <w:rFonts w:ascii="Arial" w:eastAsia="Arial" w:hAnsi="Arial" w:cs="Arial"/>
          <w:color w:val="212121"/>
          <w:sz w:val="24"/>
          <w:szCs w:val="24"/>
          <w:highlight w:val="white"/>
        </w:rPr>
      </w:pPr>
      <w:proofErr w:type="spellStart"/>
      <w:r>
        <w:rPr>
          <w:rFonts w:ascii="Arial" w:eastAsia="Arial" w:hAnsi="Arial" w:cs="Arial"/>
          <w:color w:val="222222"/>
          <w:sz w:val="24"/>
          <w:szCs w:val="24"/>
          <w:highlight w:val="white"/>
        </w:rPr>
        <w:t>Youngson</w:t>
      </w:r>
      <w:proofErr w:type="spellEnd"/>
      <w:r>
        <w:rPr>
          <w:rFonts w:ascii="Arial" w:eastAsia="Arial" w:hAnsi="Arial" w:cs="Arial"/>
          <w:color w:val="222222"/>
          <w:sz w:val="24"/>
          <w:szCs w:val="24"/>
          <w:highlight w:val="white"/>
        </w:rPr>
        <w:t xml:space="preserve">, George G. (2016) "Intraoperative performance, non-technical skills and surgical safety." </w:t>
      </w:r>
      <w:r>
        <w:rPr>
          <w:rFonts w:ascii="Arial" w:eastAsia="Arial" w:hAnsi="Arial" w:cs="Arial"/>
          <w:i/>
          <w:color w:val="222222"/>
          <w:sz w:val="24"/>
          <w:szCs w:val="24"/>
          <w:highlight w:val="white"/>
        </w:rPr>
        <w:t xml:space="preserve">Enhancing surgical performance: a primer in non-technical skills. CRC Press, </w:t>
      </w:r>
      <w:proofErr w:type="gramStart"/>
      <w:r>
        <w:rPr>
          <w:rFonts w:ascii="Arial" w:eastAsia="Arial" w:hAnsi="Arial" w:cs="Arial"/>
          <w:i/>
          <w:color w:val="222222"/>
          <w:sz w:val="24"/>
          <w:szCs w:val="24"/>
          <w:highlight w:val="white"/>
        </w:rPr>
        <w:t>London</w:t>
      </w:r>
      <w:r>
        <w:rPr>
          <w:rFonts w:ascii="Arial" w:eastAsia="Arial" w:hAnsi="Arial" w:cs="Arial"/>
          <w:color w:val="222222"/>
          <w:sz w:val="24"/>
          <w:szCs w:val="24"/>
          <w:highlight w:val="white"/>
        </w:rPr>
        <w:t xml:space="preserve"> :</w:t>
      </w:r>
      <w:proofErr w:type="gramEnd"/>
      <w:r>
        <w:rPr>
          <w:rFonts w:ascii="Arial" w:eastAsia="Arial" w:hAnsi="Arial" w:cs="Arial"/>
          <w:color w:val="222222"/>
          <w:sz w:val="24"/>
          <w:szCs w:val="24"/>
          <w:highlight w:val="white"/>
        </w:rPr>
        <w:t xml:space="preserve"> 3-16.</w:t>
      </w:r>
    </w:p>
    <w:sectPr w:rsidR="00D108B8">
      <w:headerReference w:type="default" r:id="rId23"/>
      <w:footerReference w:type="default" r:id="rId2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C7C76" w14:textId="77777777" w:rsidR="0011103F" w:rsidRDefault="0011103F">
      <w:pPr>
        <w:spacing w:after="0" w:line="240" w:lineRule="auto"/>
      </w:pPr>
      <w:r>
        <w:separator/>
      </w:r>
    </w:p>
  </w:endnote>
  <w:endnote w:type="continuationSeparator" w:id="0">
    <w:p w14:paraId="7E5D0A6E" w14:textId="77777777" w:rsidR="0011103F" w:rsidRDefault="001110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Roboto">
    <w:panose1 w:val="020B0604020202020204"/>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9E8C9" w14:textId="77777777" w:rsidR="00D108B8" w:rsidRDefault="00000000">
    <w:pPr>
      <w:jc w:val="right"/>
    </w:pPr>
    <w:r>
      <w:fldChar w:fldCharType="begin"/>
    </w:r>
    <w:r>
      <w:instrText>PAGE</w:instrText>
    </w:r>
    <w:r>
      <w:fldChar w:fldCharType="separate"/>
    </w:r>
    <w:r w:rsidR="00525476">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95345" w14:textId="77777777" w:rsidR="0011103F" w:rsidRDefault="0011103F">
      <w:pPr>
        <w:spacing w:after="0" w:line="240" w:lineRule="auto"/>
      </w:pPr>
      <w:r>
        <w:separator/>
      </w:r>
    </w:p>
  </w:footnote>
  <w:footnote w:type="continuationSeparator" w:id="0">
    <w:p w14:paraId="2A7F24BF" w14:textId="77777777" w:rsidR="0011103F" w:rsidRDefault="001110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0F6D95" w14:textId="77777777" w:rsidR="00D108B8" w:rsidRDefault="00000000">
    <w:r>
      <w:t xml:space="preserve">2114088 Critical Analysis of Decision Support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906"/>
    <w:multiLevelType w:val="multilevel"/>
    <w:tmpl w:val="BF8AC39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1442216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08B8"/>
    <w:rsid w:val="0011103F"/>
    <w:rsid w:val="00525476"/>
    <w:rsid w:val="00D10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30CD9D"/>
  <w15:docId w15:val="{D1A1C04E-2F8A-F644-8C9E-45803D618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ahajournals.org/doi/full/10.1161/CIR.0b013e3182a38efa"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ahajournals.org/doi/full/10.1161/CIR.0b013e3182a38efa"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ahajournals.org/doi/full/10.1161/CIR.0b013e3182a38efa"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ahajournals.org/doi/full/10.1161/CIR.0b013e3182a38ef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www.ahajournals.org/doi/full/10.1161/CIR.0b013e3182a38efa"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ahajournals.org/doi/full/10.1161/CIR.0b013e3182a38ef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24</Pages>
  <Words>6406</Words>
  <Characters>35652</Characters>
  <Application>Microsoft Office Word</Application>
  <DocSecurity>0</DocSecurity>
  <Lines>609</Lines>
  <Paragraphs>123</Paragraphs>
  <ScaleCrop>false</ScaleCrop>
  <Company/>
  <LinksUpToDate>false</LinksUpToDate>
  <CharactersWithSpaces>41994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Jody Stafford</cp:lastModifiedBy>
  <cp:revision>2</cp:revision>
  <dcterms:created xsi:type="dcterms:W3CDTF">2023-02-24T15:03:00Z</dcterms:created>
  <dcterms:modified xsi:type="dcterms:W3CDTF">2023-02-24T15:03:00Z</dcterms:modified>
</cp:coreProperties>
</file>