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AAF018" w14:textId="77777777" w:rsidR="00684C56" w:rsidRDefault="00000000">
      <w:pPr>
        <w:spacing w:after="410" w:line="259" w:lineRule="auto"/>
        <w:ind w:left="0" w:right="0" w:firstLine="0"/>
        <w:jc w:val="left"/>
      </w:pPr>
      <w:r>
        <w:t xml:space="preserve"> </w:t>
      </w:r>
    </w:p>
    <w:p w14:paraId="39C9CB78" w14:textId="77777777" w:rsidR="00684C56" w:rsidRDefault="00000000">
      <w:pPr>
        <w:spacing w:after="685" w:line="259" w:lineRule="auto"/>
        <w:ind w:left="0" w:right="0" w:firstLine="0"/>
        <w:jc w:val="left"/>
      </w:pPr>
      <w:r>
        <w:t xml:space="preserve"> </w:t>
      </w:r>
    </w:p>
    <w:p w14:paraId="0D8F9316" w14:textId="77777777" w:rsidR="00684C56" w:rsidRDefault="00000000">
      <w:pPr>
        <w:spacing w:after="0" w:line="259" w:lineRule="auto"/>
        <w:ind w:right="77"/>
        <w:jc w:val="center"/>
      </w:pPr>
      <w:r>
        <w:rPr>
          <w:rFonts w:ascii="Calibri" w:eastAsia="Calibri" w:hAnsi="Calibri" w:cs="Calibri"/>
          <w:color w:val="323E4F"/>
          <w:sz w:val="52"/>
        </w:rPr>
        <w:t xml:space="preserve">Research Project Proposal </w:t>
      </w:r>
    </w:p>
    <w:p w14:paraId="580A7A53" w14:textId="77777777" w:rsidR="00684C56" w:rsidRDefault="00000000">
      <w:pPr>
        <w:spacing w:after="312" w:line="259" w:lineRule="auto"/>
        <w:ind w:left="-30" w:right="0" w:firstLine="0"/>
        <w:jc w:val="left"/>
      </w:pPr>
      <w:r>
        <w:rPr>
          <w:rFonts w:ascii="Calibri" w:eastAsia="Calibri" w:hAnsi="Calibri" w:cs="Calibri"/>
          <w:noProof/>
          <w:sz w:val="22"/>
        </w:rPr>
        <mc:AlternateContent>
          <mc:Choice Requires="wpg">
            <w:drawing>
              <wp:inline distT="0" distB="0" distL="0" distR="0" wp14:anchorId="6C4B78AE" wp14:editId="2661AA24">
                <wp:extent cx="5984241" cy="12700"/>
                <wp:effectExtent l="0" t="0" r="0" b="0"/>
                <wp:docPr id="6504" name="Group 6504"/>
                <wp:cNvGraphicFramePr/>
                <a:graphic xmlns:a="http://schemas.openxmlformats.org/drawingml/2006/main">
                  <a:graphicData uri="http://schemas.microsoft.com/office/word/2010/wordprocessingGroup">
                    <wpg:wgp>
                      <wpg:cNvGrpSpPr/>
                      <wpg:grpSpPr>
                        <a:xfrm>
                          <a:off x="0" y="0"/>
                          <a:ext cx="5984241" cy="12700"/>
                          <a:chOff x="0" y="0"/>
                          <a:chExt cx="5984241" cy="12700"/>
                        </a:xfrm>
                      </wpg:grpSpPr>
                      <wps:wsp>
                        <wps:cNvPr id="7909" name="Shape 7909"/>
                        <wps:cNvSpPr/>
                        <wps:spPr>
                          <a:xfrm>
                            <a:off x="0" y="0"/>
                            <a:ext cx="5984241" cy="12700"/>
                          </a:xfrm>
                          <a:custGeom>
                            <a:avLst/>
                            <a:gdLst/>
                            <a:ahLst/>
                            <a:cxnLst/>
                            <a:rect l="0" t="0" r="0" b="0"/>
                            <a:pathLst>
                              <a:path w="5984241" h="12700">
                                <a:moveTo>
                                  <a:pt x="0" y="0"/>
                                </a:moveTo>
                                <a:lnTo>
                                  <a:pt x="5984241" y="0"/>
                                </a:lnTo>
                                <a:lnTo>
                                  <a:pt x="5984241" y="12700"/>
                                </a:lnTo>
                                <a:lnTo>
                                  <a:pt x="0" y="12700"/>
                                </a:lnTo>
                                <a:lnTo>
                                  <a:pt x="0" y="0"/>
                                </a:lnTo>
                              </a:path>
                            </a:pathLst>
                          </a:custGeom>
                          <a:ln w="0" cap="flat">
                            <a:miter lim="127000"/>
                          </a:ln>
                        </wps:spPr>
                        <wps:style>
                          <a:lnRef idx="0">
                            <a:srgbClr val="000000">
                              <a:alpha val="0"/>
                            </a:srgbClr>
                          </a:lnRef>
                          <a:fillRef idx="1">
                            <a:srgbClr val="5B9BD5"/>
                          </a:fillRef>
                          <a:effectRef idx="0">
                            <a:scrgbClr r="0" g="0" b="0"/>
                          </a:effectRef>
                          <a:fontRef idx="none"/>
                        </wps:style>
                        <wps:bodyPr/>
                      </wps:wsp>
                    </wpg:wgp>
                  </a:graphicData>
                </a:graphic>
              </wp:inline>
            </w:drawing>
          </mc:Choice>
          <mc:Fallback xmlns:a="http://schemas.openxmlformats.org/drawingml/2006/main">
            <w:pict>
              <v:group id="Group 6504" style="width:471.2pt;height:1pt;mso-position-horizontal-relative:char;mso-position-vertical-relative:line" coordsize="59842,127">
                <v:shape id="Shape 7910" style="position:absolute;width:59842;height:127;left:0;top:0;" coordsize="5984241,12700" path="m0,0l5984241,0l5984241,12700l0,12700l0,0">
                  <v:stroke weight="0pt" endcap="flat" joinstyle="miter" miterlimit="10" on="false" color="#000000" opacity="0"/>
                  <v:fill on="true" color="#5b9bd5"/>
                </v:shape>
              </v:group>
            </w:pict>
          </mc:Fallback>
        </mc:AlternateContent>
      </w:r>
    </w:p>
    <w:p w14:paraId="250398FF" w14:textId="77777777" w:rsidR="00684C56" w:rsidRDefault="00000000">
      <w:pPr>
        <w:spacing w:after="680" w:line="259" w:lineRule="auto"/>
        <w:ind w:left="0" w:right="0" w:firstLine="0"/>
        <w:jc w:val="left"/>
      </w:pPr>
      <w:r>
        <w:t xml:space="preserve"> </w:t>
      </w:r>
    </w:p>
    <w:p w14:paraId="1611361F" w14:textId="77777777" w:rsidR="00684C56" w:rsidRDefault="00000000">
      <w:pPr>
        <w:spacing w:after="0" w:line="259" w:lineRule="auto"/>
        <w:ind w:left="441" w:right="0" w:firstLine="0"/>
        <w:jc w:val="left"/>
      </w:pPr>
      <w:r>
        <w:rPr>
          <w:rFonts w:ascii="Calibri" w:eastAsia="Calibri" w:hAnsi="Calibri" w:cs="Calibri"/>
          <w:color w:val="323E4F"/>
          <w:sz w:val="52"/>
        </w:rPr>
        <w:t xml:space="preserve">Personnel Resourcing and Development  </w:t>
      </w:r>
    </w:p>
    <w:p w14:paraId="2D5601AE" w14:textId="77777777" w:rsidR="00684C56" w:rsidRDefault="00000000">
      <w:pPr>
        <w:spacing w:after="312" w:line="259" w:lineRule="auto"/>
        <w:ind w:left="-30" w:right="0" w:firstLine="0"/>
        <w:jc w:val="left"/>
      </w:pPr>
      <w:r>
        <w:rPr>
          <w:rFonts w:ascii="Calibri" w:eastAsia="Calibri" w:hAnsi="Calibri" w:cs="Calibri"/>
          <w:noProof/>
          <w:sz w:val="22"/>
        </w:rPr>
        <mc:AlternateContent>
          <mc:Choice Requires="wpg">
            <w:drawing>
              <wp:inline distT="0" distB="0" distL="0" distR="0" wp14:anchorId="0BC8F562" wp14:editId="377A5CF6">
                <wp:extent cx="5984241" cy="12700"/>
                <wp:effectExtent l="0" t="0" r="0" b="0"/>
                <wp:docPr id="6505" name="Group 6505"/>
                <wp:cNvGraphicFramePr/>
                <a:graphic xmlns:a="http://schemas.openxmlformats.org/drawingml/2006/main">
                  <a:graphicData uri="http://schemas.microsoft.com/office/word/2010/wordprocessingGroup">
                    <wpg:wgp>
                      <wpg:cNvGrpSpPr/>
                      <wpg:grpSpPr>
                        <a:xfrm>
                          <a:off x="0" y="0"/>
                          <a:ext cx="5984241" cy="12700"/>
                          <a:chOff x="0" y="0"/>
                          <a:chExt cx="5984241" cy="12700"/>
                        </a:xfrm>
                      </wpg:grpSpPr>
                      <wps:wsp>
                        <wps:cNvPr id="7911" name="Shape 7911"/>
                        <wps:cNvSpPr/>
                        <wps:spPr>
                          <a:xfrm>
                            <a:off x="0" y="0"/>
                            <a:ext cx="5984241" cy="12700"/>
                          </a:xfrm>
                          <a:custGeom>
                            <a:avLst/>
                            <a:gdLst/>
                            <a:ahLst/>
                            <a:cxnLst/>
                            <a:rect l="0" t="0" r="0" b="0"/>
                            <a:pathLst>
                              <a:path w="5984241" h="12700">
                                <a:moveTo>
                                  <a:pt x="0" y="0"/>
                                </a:moveTo>
                                <a:lnTo>
                                  <a:pt x="5984241" y="0"/>
                                </a:lnTo>
                                <a:lnTo>
                                  <a:pt x="5984241" y="12700"/>
                                </a:lnTo>
                                <a:lnTo>
                                  <a:pt x="0" y="12700"/>
                                </a:lnTo>
                                <a:lnTo>
                                  <a:pt x="0" y="0"/>
                                </a:lnTo>
                              </a:path>
                            </a:pathLst>
                          </a:custGeom>
                          <a:ln w="0" cap="flat">
                            <a:miter lim="127000"/>
                          </a:ln>
                        </wps:spPr>
                        <wps:style>
                          <a:lnRef idx="0">
                            <a:srgbClr val="000000">
                              <a:alpha val="0"/>
                            </a:srgbClr>
                          </a:lnRef>
                          <a:fillRef idx="1">
                            <a:srgbClr val="5B9BD5"/>
                          </a:fillRef>
                          <a:effectRef idx="0">
                            <a:scrgbClr r="0" g="0" b="0"/>
                          </a:effectRef>
                          <a:fontRef idx="none"/>
                        </wps:style>
                        <wps:bodyPr/>
                      </wps:wsp>
                    </wpg:wgp>
                  </a:graphicData>
                </a:graphic>
              </wp:inline>
            </w:drawing>
          </mc:Choice>
          <mc:Fallback xmlns:a="http://schemas.openxmlformats.org/drawingml/2006/main">
            <w:pict>
              <v:group id="Group 6505" style="width:471.2pt;height:1pt;mso-position-horizontal-relative:char;mso-position-vertical-relative:line" coordsize="59842,127">
                <v:shape id="Shape 7912" style="position:absolute;width:59842;height:127;left:0;top:0;" coordsize="5984241,12700" path="m0,0l5984241,0l5984241,12700l0,12700l0,0">
                  <v:stroke weight="0pt" endcap="flat" joinstyle="miter" miterlimit="10" on="false" color="#000000" opacity="0"/>
                  <v:fill on="true" color="#5b9bd5"/>
                </v:shape>
              </v:group>
            </w:pict>
          </mc:Fallback>
        </mc:AlternateContent>
      </w:r>
    </w:p>
    <w:p w14:paraId="578B2F73" w14:textId="77777777" w:rsidR="00684C56" w:rsidRDefault="00000000">
      <w:pPr>
        <w:spacing w:after="680" w:line="259" w:lineRule="auto"/>
        <w:ind w:left="0" w:right="0" w:firstLine="0"/>
        <w:jc w:val="left"/>
      </w:pPr>
      <w:r>
        <w:t xml:space="preserve"> </w:t>
      </w:r>
    </w:p>
    <w:p w14:paraId="11A8344F" w14:textId="77777777" w:rsidR="00684C56" w:rsidRDefault="00000000">
      <w:pPr>
        <w:spacing w:after="0" w:line="259" w:lineRule="auto"/>
        <w:ind w:left="58" w:right="0" w:firstLine="0"/>
        <w:jc w:val="center"/>
      </w:pPr>
      <w:r>
        <w:rPr>
          <w:rFonts w:ascii="Calibri" w:eastAsia="Calibri" w:hAnsi="Calibri" w:cs="Calibri"/>
          <w:color w:val="323E4F"/>
          <w:sz w:val="52"/>
        </w:rPr>
        <w:t xml:space="preserve"> </w:t>
      </w:r>
    </w:p>
    <w:p w14:paraId="7CEB72E4" w14:textId="77777777" w:rsidR="00684C56" w:rsidRDefault="00000000">
      <w:pPr>
        <w:spacing w:after="0" w:line="259" w:lineRule="auto"/>
        <w:ind w:right="74"/>
        <w:jc w:val="center"/>
      </w:pPr>
      <w:r>
        <w:rPr>
          <w:rFonts w:ascii="Calibri" w:eastAsia="Calibri" w:hAnsi="Calibri" w:cs="Calibri"/>
          <w:color w:val="323E4F"/>
          <w:sz w:val="52"/>
        </w:rPr>
        <w:t xml:space="preserve">Student Number: 2121099 </w:t>
      </w:r>
    </w:p>
    <w:p w14:paraId="6FA39DDF" w14:textId="77777777" w:rsidR="00684C56" w:rsidRDefault="00000000">
      <w:pPr>
        <w:spacing w:after="311" w:line="259" w:lineRule="auto"/>
        <w:ind w:left="-30" w:right="0" w:firstLine="0"/>
        <w:jc w:val="left"/>
      </w:pPr>
      <w:r>
        <w:rPr>
          <w:rFonts w:ascii="Calibri" w:eastAsia="Calibri" w:hAnsi="Calibri" w:cs="Calibri"/>
          <w:noProof/>
          <w:sz w:val="22"/>
        </w:rPr>
        <mc:AlternateContent>
          <mc:Choice Requires="wpg">
            <w:drawing>
              <wp:inline distT="0" distB="0" distL="0" distR="0" wp14:anchorId="6C4D1139" wp14:editId="639A98F6">
                <wp:extent cx="5984241" cy="12700"/>
                <wp:effectExtent l="0" t="0" r="0" b="0"/>
                <wp:docPr id="6506" name="Group 6506"/>
                <wp:cNvGraphicFramePr/>
                <a:graphic xmlns:a="http://schemas.openxmlformats.org/drawingml/2006/main">
                  <a:graphicData uri="http://schemas.microsoft.com/office/word/2010/wordprocessingGroup">
                    <wpg:wgp>
                      <wpg:cNvGrpSpPr/>
                      <wpg:grpSpPr>
                        <a:xfrm>
                          <a:off x="0" y="0"/>
                          <a:ext cx="5984241" cy="12700"/>
                          <a:chOff x="0" y="0"/>
                          <a:chExt cx="5984241" cy="12700"/>
                        </a:xfrm>
                      </wpg:grpSpPr>
                      <wps:wsp>
                        <wps:cNvPr id="7913" name="Shape 7913"/>
                        <wps:cNvSpPr/>
                        <wps:spPr>
                          <a:xfrm>
                            <a:off x="0" y="0"/>
                            <a:ext cx="5984241" cy="12700"/>
                          </a:xfrm>
                          <a:custGeom>
                            <a:avLst/>
                            <a:gdLst/>
                            <a:ahLst/>
                            <a:cxnLst/>
                            <a:rect l="0" t="0" r="0" b="0"/>
                            <a:pathLst>
                              <a:path w="5984241" h="12700">
                                <a:moveTo>
                                  <a:pt x="0" y="0"/>
                                </a:moveTo>
                                <a:lnTo>
                                  <a:pt x="5984241" y="0"/>
                                </a:lnTo>
                                <a:lnTo>
                                  <a:pt x="5984241" y="12700"/>
                                </a:lnTo>
                                <a:lnTo>
                                  <a:pt x="0" y="12700"/>
                                </a:lnTo>
                                <a:lnTo>
                                  <a:pt x="0" y="0"/>
                                </a:lnTo>
                              </a:path>
                            </a:pathLst>
                          </a:custGeom>
                          <a:ln w="0" cap="flat">
                            <a:miter lim="127000"/>
                          </a:ln>
                        </wps:spPr>
                        <wps:style>
                          <a:lnRef idx="0">
                            <a:srgbClr val="000000">
                              <a:alpha val="0"/>
                            </a:srgbClr>
                          </a:lnRef>
                          <a:fillRef idx="1">
                            <a:srgbClr val="5B9BD5"/>
                          </a:fillRef>
                          <a:effectRef idx="0">
                            <a:scrgbClr r="0" g="0" b="0"/>
                          </a:effectRef>
                          <a:fontRef idx="none"/>
                        </wps:style>
                        <wps:bodyPr/>
                      </wps:wsp>
                    </wpg:wgp>
                  </a:graphicData>
                </a:graphic>
              </wp:inline>
            </w:drawing>
          </mc:Choice>
          <mc:Fallback xmlns:a="http://schemas.openxmlformats.org/drawingml/2006/main">
            <w:pict>
              <v:group id="Group 6506" style="width:471.2pt;height:1pt;mso-position-horizontal-relative:char;mso-position-vertical-relative:line" coordsize="59842,127">
                <v:shape id="Shape 7914" style="position:absolute;width:59842;height:127;left:0;top:0;" coordsize="5984241,12700" path="m0,0l5984241,0l5984241,12700l0,12700l0,0">
                  <v:stroke weight="0pt" endcap="flat" joinstyle="miter" miterlimit="10" on="false" color="#000000" opacity="0"/>
                  <v:fill on="true" color="#5b9bd5"/>
                </v:shape>
              </v:group>
            </w:pict>
          </mc:Fallback>
        </mc:AlternateContent>
      </w:r>
    </w:p>
    <w:p w14:paraId="72EC5664" w14:textId="77777777" w:rsidR="00684C56" w:rsidRDefault="00000000">
      <w:pPr>
        <w:spacing w:after="415" w:line="259" w:lineRule="auto"/>
        <w:ind w:left="0" w:right="0" w:firstLine="0"/>
        <w:jc w:val="left"/>
      </w:pPr>
      <w:r>
        <w:t xml:space="preserve"> </w:t>
      </w:r>
    </w:p>
    <w:p w14:paraId="6FBB2732" w14:textId="6C310623" w:rsidR="00684C56" w:rsidRDefault="00EE7197">
      <w:pPr>
        <w:spacing w:after="410" w:line="259" w:lineRule="auto"/>
        <w:ind w:left="0" w:right="0" w:firstLine="0"/>
        <w:jc w:val="center"/>
      </w:pPr>
      <w:r>
        <w:t>HASNA BEGUM KOLPONA</w:t>
      </w:r>
      <w:r w:rsidR="00000000">
        <w:t xml:space="preserve"> </w:t>
      </w:r>
    </w:p>
    <w:p w14:paraId="67AB9249" w14:textId="3C17F421" w:rsidR="00B0560B" w:rsidRDefault="00000000">
      <w:pPr>
        <w:spacing w:after="415" w:line="259" w:lineRule="auto"/>
        <w:ind w:left="0" w:right="0" w:firstLine="0"/>
        <w:jc w:val="left"/>
      </w:pPr>
      <w:r>
        <w:t xml:space="preserve"> </w:t>
      </w:r>
    </w:p>
    <w:p w14:paraId="7A9011CE" w14:textId="77777777" w:rsidR="00684C56" w:rsidRDefault="00000000">
      <w:pPr>
        <w:spacing w:after="410" w:line="259" w:lineRule="auto"/>
        <w:ind w:left="0" w:right="0" w:firstLine="0"/>
        <w:jc w:val="left"/>
      </w:pPr>
      <w:r>
        <w:t xml:space="preserve"> </w:t>
      </w:r>
    </w:p>
    <w:p w14:paraId="040815C8" w14:textId="77777777" w:rsidR="00684C56" w:rsidRDefault="00000000">
      <w:pPr>
        <w:spacing w:after="410" w:line="259" w:lineRule="auto"/>
        <w:ind w:left="0" w:right="0" w:firstLine="0"/>
        <w:jc w:val="left"/>
      </w:pPr>
      <w:r>
        <w:t xml:space="preserve"> </w:t>
      </w:r>
    </w:p>
    <w:p w14:paraId="45385C91" w14:textId="77777777" w:rsidR="00684C56" w:rsidRDefault="00000000">
      <w:pPr>
        <w:spacing w:after="415" w:line="259" w:lineRule="auto"/>
        <w:ind w:left="0" w:right="0" w:firstLine="0"/>
        <w:jc w:val="left"/>
      </w:pPr>
      <w:r>
        <w:t xml:space="preserve"> </w:t>
      </w:r>
    </w:p>
    <w:p w14:paraId="1E440862" w14:textId="77777777" w:rsidR="00684C56" w:rsidRDefault="00000000">
      <w:pPr>
        <w:spacing w:after="0" w:line="259" w:lineRule="auto"/>
        <w:ind w:left="0" w:right="0" w:firstLine="0"/>
        <w:jc w:val="left"/>
      </w:pPr>
      <w:r>
        <w:t xml:space="preserve"> </w:t>
      </w:r>
    </w:p>
    <w:p w14:paraId="33026C0C" w14:textId="77777777" w:rsidR="00684C56" w:rsidRDefault="00000000">
      <w:pPr>
        <w:pStyle w:val="Heading1"/>
      </w:pPr>
      <w:r>
        <w:t xml:space="preserve">Introduction </w:t>
      </w:r>
    </w:p>
    <w:p w14:paraId="7EF7D708" w14:textId="77777777" w:rsidR="00684C56" w:rsidRDefault="00000000">
      <w:pPr>
        <w:ind w:left="-5" w:right="60"/>
      </w:pPr>
      <w:r>
        <w:t>This research details the variables influencing Marriot International Hotel, Inc.'s employee retention and recruiting. The corporate headquarters of Marriott International, Inc. are in “Bethesda, Maryland in the United States. J. Willard Marriott and his wife Alice S. Marriott established the business in 1927”. In Washington, D.C., “a nine-seat A&amp;W Root Beer kiosk” served as the first Marriott hotel (</w:t>
      </w:r>
      <w:proofErr w:type="spellStart"/>
      <w:r>
        <w:t>Dhir</w:t>
      </w:r>
      <w:proofErr w:type="spellEnd"/>
      <w:r>
        <w:t xml:space="preserve">, 2019). The Marriott family built the company over time into a prosperous hotel network. The Twin Bridges Marriott Motor Hotel, Marriott's first establishment, debuted in Arlington, Virginia, in 1957. The business quickly developed during the 1960s and 1970s, opening hotels both domestically and abroad. </w:t>
      </w:r>
    </w:p>
    <w:p w14:paraId="05014379" w14:textId="77777777" w:rsidR="00684C56" w:rsidRDefault="00000000">
      <w:pPr>
        <w:spacing w:after="193"/>
        <w:ind w:left="-5" w:right="60"/>
      </w:pPr>
      <w:r>
        <w:t xml:space="preserve">As it entered the food service sector and introduced new hotel brands in the 1980s, Marriott continued to expand and diversify its business. Through the creation of its own registration system, the introduction of in-room televisions, and other innovations, the company also became a pioneer in the use of technology in the hospitality sector. With more than 7,600 hotels spread throughout 133 countries and territories, Marriott International is one of the biggest hotel companies in the world </w:t>
      </w:r>
      <w:proofErr w:type="spellStart"/>
      <w:proofErr w:type="gramStart"/>
      <w:r>
        <w:t>today.Marriott</w:t>
      </w:r>
      <w:proofErr w:type="spellEnd"/>
      <w:proofErr w:type="gramEnd"/>
      <w:r>
        <w:t xml:space="preserve"> Hotels, Sheraton, Westin, W Hotels, St. Regis, Renaissance Hotels, Courtyard, Residence Inn, Fairfield Inn &amp; Suites, and numerous other hotel chains are among the company's brands (</w:t>
      </w:r>
      <w:proofErr w:type="spellStart"/>
      <w:r>
        <w:t>Neimela</w:t>
      </w:r>
      <w:proofErr w:type="spellEnd"/>
      <w:r>
        <w:t xml:space="preserve">, 2019). </w:t>
      </w:r>
    </w:p>
    <w:p w14:paraId="1C862C49" w14:textId="77777777" w:rsidR="00684C56" w:rsidRDefault="00000000">
      <w:pPr>
        <w:pStyle w:val="Heading1"/>
        <w:ind w:right="64"/>
      </w:pPr>
      <w:r>
        <w:t xml:space="preserve">Hospitality Industry </w:t>
      </w:r>
    </w:p>
    <w:p w14:paraId="625DB041" w14:textId="77777777" w:rsidR="00684C56" w:rsidRDefault="00000000">
      <w:pPr>
        <w:spacing w:after="198"/>
        <w:ind w:left="-5" w:right="60"/>
      </w:pPr>
      <w:r>
        <w:t>With numerous businesses competing for a worldwide share of the market, the hotel sector is extremely competitive. The business offers a wide variety of lodging options, including anything from five-star hotels to low-cost motels, as well as numerous additional forms of lodging such as resort condos, hostels, as well as guesthouses. Pricing, reliability, position, facilities, as well as brand equity, are just a few of the things that influence the hotel industry's level of competition. Customers are more likely to be drawn to and stayed at hotels that can provide reasonable prices while upholding high standards, offering convenient locations and appealing amenities, and developing strong brand recognition (</w:t>
      </w:r>
      <w:proofErr w:type="spellStart"/>
      <w:r>
        <w:t>Casado</w:t>
      </w:r>
      <w:proofErr w:type="spellEnd"/>
      <w:r>
        <w:t xml:space="preserve"> </w:t>
      </w:r>
      <w:proofErr w:type="spellStart"/>
      <w:r>
        <w:t>Salguero</w:t>
      </w:r>
      <w:proofErr w:type="spellEnd"/>
      <w:r>
        <w:t>, 2019). By giving consumers additional choices as well as increased transparency regarding pricing and availability, the emergence of internet booking platforms like Expedia, Airbnb, and Booking.com has heightened competition in the market (</w:t>
      </w:r>
      <w:proofErr w:type="spellStart"/>
      <w:r>
        <w:t>Cennamo</w:t>
      </w:r>
      <w:proofErr w:type="spellEnd"/>
      <w:r>
        <w:t xml:space="preserve">, 2021). </w:t>
      </w:r>
    </w:p>
    <w:p w14:paraId="3F3F8F3F" w14:textId="77777777" w:rsidR="00684C56" w:rsidRDefault="00000000">
      <w:pPr>
        <w:pStyle w:val="Heading1"/>
        <w:ind w:right="62"/>
      </w:pPr>
      <w:r>
        <w:t xml:space="preserve">Employee retention and recruitment </w:t>
      </w:r>
    </w:p>
    <w:p w14:paraId="0467315E" w14:textId="77777777" w:rsidR="00684C56" w:rsidRDefault="00000000">
      <w:pPr>
        <w:ind w:left="-5" w:right="60"/>
      </w:pPr>
      <w:r>
        <w:t xml:space="preserve">The hotel business faces serious problems with employee retention and recruitment. Low growth and low visitor satisfaction can result from high employee turnover, which can also increase recruitment and training costs. The following elements may have an impact on hiring and employee retention in the hotel sector: </w:t>
      </w:r>
    </w:p>
    <w:p w14:paraId="05DD8F96" w14:textId="77777777" w:rsidR="00684C56" w:rsidRDefault="00000000">
      <w:pPr>
        <w:ind w:left="-5" w:right="60"/>
      </w:pPr>
      <w:r>
        <w:t xml:space="preserve">Lack of labor: Due to a number of circumstances, including the COVID-19 epidemic, which has decreased the availability of workers, and the growing demand for workers in other industries, the hotel business is currently experiencing a labor shortage.  </w:t>
      </w:r>
    </w:p>
    <w:p w14:paraId="1FDA15F5" w14:textId="77777777" w:rsidR="00684C56" w:rsidRDefault="00000000">
      <w:pPr>
        <w:ind w:left="-5" w:right="60"/>
      </w:pPr>
      <w:r>
        <w:t xml:space="preserve">High rates of turnover:  High rates of staff turnover are common in the hospitality sector, which can be expensive for hotels and result in a staffing shortage. Poor working conditions, lengthy hours, and low compensation are frequently the causes of high turnover rates (Ghani, 2022). </w:t>
      </w:r>
    </w:p>
    <w:p w14:paraId="0C890EC8" w14:textId="77777777" w:rsidR="00684C56" w:rsidRDefault="00000000">
      <w:pPr>
        <w:ind w:left="-5" w:right="60"/>
      </w:pPr>
      <w:r>
        <w:t xml:space="preserve">Pressure on wages: Hotels are experiencing salary pressure as a result of the tightening labor market, especially in regions with high costs of living. Hotels may find it difficult to recruit and keep personnel because of this. </w:t>
      </w:r>
    </w:p>
    <w:p w14:paraId="0108B9AB" w14:textId="77777777" w:rsidR="00684C56" w:rsidRDefault="00000000">
      <w:pPr>
        <w:ind w:left="-5" w:right="60"/>
      </w:pPr>
      <w:r>
        <w:t xml:space="preserve">The balance between work and life: Employees may find it challenging to maintain a healthy balance between work and life because many hotel occupations entail working long hours and weekends. Frustration as well as elevated turnover rates may result from this. </w:t>
      </w:r>
    </w:p>
    <w:p w14:paraId="46C792A3" w14:textId="77777777" w:rsidR="00684C56" w:rsidRDefault="00000000">
      <w:pPr>
        <w:spacing w:after="192"/>
        <w:ind w:left="-5" w:right="60"/>
      </w:pPr>
      <w:r>
        <w:t xml:space="preserve">Developmental training:  It can be difficult to retain people and create a professional workforce when hotels struggle to offer their employees enough opportunities for development and training. </w:t>
      </w:r>
    </w:p>
    <w:p w14:paraId="715155EC" w14:textId="77777777" w:rsidR="00684C56" w:rsidRDefault="00000000">
      <w:pPr>
        <w:pStyle w:val="Heading1"/>
        <w:ind w:right="64"/>
      </w:pPr>
      <w:r>
        <w:t xml:space="preserve">PESTLE And SWOT analysis </w:t>
      </w:r>
    </w:p>
    <w:p w14:paraId="585A3AD1" w14:textId="77777777" w:rsidR="00684C56" w:rsidRDefault="00000000">
      <w:pPr>
        <w:spacing w:after="192"/>
        <w:ind w:left="-5" w:right="60"/>
      </w:pPr>
      <w:r>
        <w:t xml:space="preserve">The PESTLE analysis is carried out while taking into account the whole environmental context, which has an impact on the firm, and the changes that take place in this context. The business's strengths and weaknesses, opportunities, and threats are then identified for the SWOT analysis to be used. </w:t>
      </w:r>
    </w:p>
    <w:p w14:paraId="188F35FA" w14:textId="77777777" w:rsidR="00684C56" w:rsidRDefault="00000000">
      <w:pPr>
        <w:pStyle w:val="Heading1"/>
        <w:ind w:right="68"/>
      </w:pPr>
      <w:r>
        <w:t xml:space="preserve">PESTLE Analysis </w:t>
      </w:r>
    </w:p>
    <w:p w14:paraId="49166753" w14:textId="77777777" w:rsidR="00684C56" w:rsidRDefault="00000000">
      <w:pPr>
        <w:ind w:left="-5" w:right="60"/>
      </w:pPr>
      <w:r>
        <w:t xml:space="preserve">The external </w:t>
      </w:r>
      <w:proofErr w:type="spellStart"/>
      <w:r>
        <w:t>macroenvironmental</w:t>
      </w:r>
      <w:proofErr w:type="spellEnd"/>
      <w:r>
        <w:t xml:space="preserve"> elements that can have an impact on Marriott's operations are analyzed using the PESTLE method. Here is a PESTLE analysis of hiring and retaining staff at the Marriott Hotel.  </w:t>
      </w:r>
    </w:p>
    <w:p w14:paraId="7B86BB22" w14:textId="77777777" w:rsidR="00684C56" w:rsidRDefault="00000000">
      <w:pPr>
        <w:ind w:left="-5" w:right="60"/>
      </w:pPr>
      <w:r>
        <w:t xml:space="preserve">Political aspects: Recruitment and retention of Marriott employees may be impacted by the political climate. The ability of the business to hire and retain personnel may be impacted by changes to immigration rules, labor laws, and employment restrictions. </w:t>
      </w:r>
    </w:p>
    <w:p w14:paraId="7AC5FB56" w14:textId="77777777" w:rsidR="00684C56" w:rsidRDefault="00000000">
      <w:pPr>
        <w:ind w:left="-5" w:right="60"/>
      </w:pPr>
      <w:r>
        <w:t>Economic aspects: Employment recruitment and retention may be impacted by economic factors including inflation, unemployment rates, and economic growth. Marriott may find it more challenging to recruit and keep staff in a robust economy with low unemployment rates (</w:t>
      </w:r>
      <w:proofErr w:type="spellStart"/>
      <w:r>
        <w:t>Neupane</w:t>
      </w:r>
      <w:proofErr w:type="spellEnd"/>
      <w:r>
        <w:t xml:space="preserve">, 2022). </w:t>
      </w:r>
    </w:p>
    <w:p w14:paraId="18481957" w14:textId="77777777" w:rsidR="00684C56" w:rsidRDefault="00000000">
      <w:pPr>
        <w:ind w:left="-5" w:right="60"/>
      </w:pPr>
      <w:r>
        <w:t xml:space="preserve">Social and cultural aspects: Employee hiring and keeping may be impacted by sociocultural issues such as shifting demographic patterns, changes in lifestyle, and work-related cultural norms. In order to satisfy the shifting demands and expectations of its workers, Marriott may need to modify its recruitment and retention strategy. </w:t>
      </w:r>
    </w:p>
    <w:p w14:paraId="2100E544" w14:textId="77777777" w:rsidR="00684C56" w:rsidRDefault="00000000">
      <w:pPr>
        <w:ind w:left="-5" w:right="60"/>
      </w:pPr>
      <w:r>
        <w:t xml:space="preserve">Technology-related aspects: The recruitment and retention of employees may be impacted by technological breakthroughs including the growing usage of AI, automation, and digital technologies. To attract and keep personnel, Marriott may need to adopt new technologies. To make sure that staff members are equipped to use these technologies, Marriott may also need to offer training and development opportunities. </w:t>
      </w:r>
    </w:p>
    <w:p w14:paraId="3A682032" w14:textId="77777777" w:rsidR="00684C56" w:rsidRDefault="00000000">
      <w:pPr>
        <w:ind w:left="-5" w:right="60"/>
      </w:pPr>
      <w:r>
        <w:t xml:space="preserve">Legal aspects: Employee recruitment and retention may be impacted by changes to employment laws, regulations, and compliance standards. The legal criteria must be met by Marriott, and it must guarantee that its employees have a secure and equitable workplace. </w:t>
      </w:r>
    </w:p>
    <w:p w14:paraId="47A7E45F" w14:textId="77777777" w:rsidR="00684C56" w:rsidRDefault="00000000">
      <w:pPr>
        <w:spacing w:after="0"/>
        <w:ind w:left="-5" w:right="60"/>
      </w:pPr>
      <w:r>
        <w:t xml:space="preserve">Environmental aspects: Employee recruitment and retention may be impacted by environmental variables like changing climate, sustainability, and environmental restrictions. To draw and keep employees who are concerned about these concerns, Marriott may need to develop </w:t>
      </w:r>
    </w:p>
    <w:p w14:paraId="0EF0F1EC" w14:textId="77777777" w:rsidR="00684C56" w:rsidRDefault="00000000">
      <w:pPr>
        <w:spacing w:after="450" w:line="259" w:lineRule="auto"/>
        <w:ind w:left="-5" w:right="60"/>
      </w:pPr>
      <w:r>
        <w:t>environmentally friendly practices and regulations (</w:t>
      </w:r>
      <w:proofErr w:type="spellStart"/>
      <w:r>
        <w:t>Selin</w:t>
      </w:r>
      <w:proofErr w:type="spellEnd"/>
      <w:r>
        <w:t xml:space="preserve">, 2022). </w:t>
      </w:r>
    </w:p>
    <w:p w14:paraId="4C7DA34E" w14:textId="77777777" w:rsidR="00684C56" w:rsidRDefault="00000000">
      <w:pPr>
        <w:pStyle w:val="Heading1"/>
        <w:ind w:right="57"/>
      </w:pPr>
      <w:r>
        <w:t xml:space="preserve">SWOT Analysis </w:t>
      </w:r>
    </w:p>
    <w:p w14:paraId="0AEEC680" w14:textId="77777777" w:rsidR="00684C56" w:rsidRDefault="00000000">
      <w:pPr>
        <w:ind w:left="-5" w:right="60"/>
      </w:pPr>
      <w:r>
        <w:t xml:space="preserve">The following is a SWOT analysis of the Marriott Hotel's issues in hiring and retaining staff members: </w:t>
      </w:r>
    </w:p>
    <w:p w14:paraId="0541C3D7" w14:textId="77777777" w:rsidR="00684C56" w:rsidRDefault="00000000">
      <w:pPr>
        <w:ind w:left="-5" w:right="60"/>
      </w:pPr>
      <w:r>
        <w:t xml:space="preserve">Strengths: Marriott has a sterling reputation for its brand and is regarded as one of the best employers in the hospitality sector. Marriott provides its employees with competitive pay and benefits, such as insurance coverage, pension plans, and employee rates on hotel stays. With a strong emphasis on collaboration, diversity, and inclusion, Marriott has a strong corporate culture that may help it draw in and keep workers who share these ideals. </w:t>
      </w:r>
    </w:p>
    <w:p w14:paraId="4702D071" w14:textId="77777777" w:rsidR="00684C56" w:rsidRDefault="00000000">
      <w:pPr>
        <w:ind w:left="-5" w:right="60"/>
      </w:pPr>
      <w:proofErr w:type="spellStart"/>
      <w:proofErr w:type="gramStart"/>
      <w:r>
        <w:t>Weaknesses:Several</w:t>
      </w:r>
      <w:proofErr w:type="spellEnd"/>
      <w:proofErr w:type="gramEnd"/>
      <w:r>
        <w:t xml:space="preserve"> hospitality-related businesses compete fiercely with Marriott for top people, especially in regions with </w:t>
      </w:r>
      <w:proofErr w:type="spellStart"/>
      <w:r>
        <w:t>ahigh</w:t>
      </w:r>
      <w:proofErr w:type="spellEnd"/>
      <w:r>
        <w:t xml:space="preserve"> cost of living. Several positions at Marriott have a high turnover rate, which can be expensive and result in a shortage of experienced employees. Younger employees, who may favor more flexible work schedules and work-life balance, may have a hard time being hired and staying with Marriott. </w:t>
      </w:r>
    </w:p>
    <w:p w14:paraId="520367E0" w14:textId="77777777" w:rsidR="00684C56" w:rsidRDefault="00000000">
      <w:pPr>
        <w:ind w:left="-5" w:right="60"/>
      </w:pPr>
      <w:proofErr w:type="spellStart"/>
      <w:proofErr w:type="gramStart"/>
      <w:r>
        <w:t>Opportunities:Marriott</w:t>
      </w:r>
      <w:proofErr w:type="spellEnd"/>
      <w:proofErr w:type="gramEnd"/>
      <w:r>
        <w:t xml:space="preserve"> can draw in and maintain top people in the hotel sector by using its strong corporate culture and brand recognition. To attract younger employees who prioritize work-life balance, Marriott can provide more flexible work options, such as remote work or flexible hours. To aid in employee retention and the creation of a trained workforce, Marriott can engage in initiatives related to development and training (</w:t>
      </w:r>
      <w:proofErr w:type="spellStart"/>
      <w:r>
        <w:t>Karagiannis</w:t>
      </w:r>
      <w:proofErr w:type="spellEnd"/>
      <w:r>
        <w:t xml:space="preserve">, 2021). </w:t>
      </w:r>
    </w:p>
    <w:p w14:paraId="67B4DAA2" w14:textId="77777777" w:rsidR="00684C56" w:rsidRDefault="00000000">
      <w:pPr>
        <w:spacing w:after="197"/>
        <w:ind w:left="-5" w:right="60"/>
      </w:pPr>
      <w:proofErr w:type="spellStart"/>
      <w:proofErr w:type="gramStart"/>
      <w:r>
        <w:t>Threats:The</w:t>
      </w:r>
      <w:proofErr w:type="spellEnd"/>
      <w:proofErr w:type="gramEnd"/>
      <w:r>
        <w:t xml:space="preserve"> hotel sector is seeing an increase in new competitors, particularly from the sharing economy like Airbnb. Especially in the travel and hotel industries, economic downturns and major world events like the COVID-19 epidemic can have an effect on the hiring and retention of employees. Marriott may incur higher expenditures as a result of changes to labor laws and regulations, which may also affect its capacity to recruit and keep staff (He, 2021). </w:t>
      </w:r>
    </w:p>
    <w:p w14:paraId="20346606" w14:textId="77777777" w:rsidR="00684C56" w:rsidRDefault="00000000">
      <w:pPr>
        <w:pStyle w:val="Heading1"/>
        <w:ind w:right="63"/>
      </w:pPr>
      <w:r>
        <w:t xml:space="preserve">Retention Rate </w:t>
      </w:r>
    </w:p>
    <w:p w14:paraId="153AC09C" w14:textId="77777777" w:rsidR="00684C56" w:rsidRDefault="00000000">
      <w:pPr>
        <w:ind w:left="-5" w:right="60"/>
      </w:pPr>
      <w:r>
        <w:t xml:space="preserve">The degree to which staff retention can change depending on a number of variables, including geography, occupation, satisfaction with work, pay, and perks. In order to gauge employee happiness and pinpoint areas for development, Marriott, a major hotel chain with thousands of workers that operates internationally, occasionally conducts employee surveys. </w:t>
      </w:r>
    </w:p>
    <w:p w14:paraId="09FBDEA4" w14:textId="77777777" w:rsidR="00684C56" w:rsidRDefault="00000000">
      <w:pPr>
        <w:ind w:left="-5" w:right="60"/>
      </w:pPr>
      <w:r>
        <w:t xml:space="preserve">While evaluating the success of its recruitment and retention tactics, Marriott may utilize staff retention rates as a metric. Good employee retention rates may be a sign that Marriott is doing a good job of keeping its staff, which could lead to a more seasoned and stable team (Chung, 2021). Low retention rates, on the contrary, may suggest that Marriott has to alter its hiring and retaining tactics in order to draw and keep talent </w:t>
      </w:r>
    </w:p>
    <w:p w14:paraId="1E98F560" w14:textId="77777777" w:rsidR="00684C56" w:rsidRDefault="00000000">
      <w:pPr>
        <w:spacing w:after="320" w:line="259" w:lineRule="auto"/>
        <w:ind w:left="-1" w:right="0" w:firstLine="0"/>
        <w:jc w:val="right"/>
      </w:pPr>
      <w:r>
        <w:rPr>
          <w:noProof/>
        </w:rPr>
        <w:drawing>
          <wp:inline distT="0" distB="0" distL="0" distR="0" wp14:anchorId="3CEB0CBA" wp14:editId="205422F9">
            <wp:extent cx="5943346" cy="3123565"/>
            <wp:effectExtent l="0" t="0" r="0" b="0"/>
            <wp:docPr id="576" name="Picture 576" descr="Marriott Retention Score | Comparably"/>
            <wp:cNvGraphicFramePr/>
            <a:graphic xmlns:a="http://schemas.openxmlformats.org/drawingml/2006/main">
              <a:graphicData uri="http://schemas.openxmlformats.org/drawingml/2006/picture">
                <pic:pic xmlns:pic="http://schemas.openxmlformats.org/drawingml/2006/picture">
                  <pic:nvPicPr>
                    <pic:cNvPr id="576" name="Picture 576"/>
                    <pic:cNvPicPr/>
                  </pic:nvPicPr>
                  <pic:blipFill>
                    <a:blip r:embed="rId4"/>
                    <a:stretch>
                      <a:fillRect/>
                    </a:stretch>
                  </pic:blipFill>
                  <pic:spPr>
                    <a:xfrm>
                      <a:off x="0" y="0"/>
                      <a:ext cx="5943346" cy="3123565"/>
                    </a:xfrm>
                    <a:prstGeom prst="rect">
                      <a:avLst/>
                    </a:prstGeom>
                  </pic:spPr>
                </pic:pic>
              </a:graphicData>
            </a:graphic>
          </wp:inline>
        </w:drawing>
      </w:r>
      <w:r>
        <w:t xml:space="preserve"> </w:t>
      </w:r>
    </w:p>
    <w:p w14:paraId="6D0A1566" w14:textId="77777777" w:rsidR="00684C56" w:rsidRDefault="00000000">
      <w:pPr>
        <w:spacing w:after="220" w:line="259" w:lineRule="auto"/>
        <w:ind w:left="0" w:right="71" w:firstLine="0"/>
        <w:jc w:val="center"/>
      </w:pPr>
      <w:r>
        <w:rPr>
          <w:b/>
          <w:sz w:val="20"/>
        </w:rPr>
        <w:t xml:space="preserve">Figure 1: Marriott Retention Rate Stats, 2023 </w:t>
      </w:r>
    </w:p>
    <w:p w14:paraId="36E3ECBB" w14:textId="77777777" w:rsidR="00684C56" w:rsidRDefault="00000000">
      <w:pPr>
        <w:spacing w:after="415" w:line="259" w:lineRule="auto"/>
        <w:ind w:left="0" w:right="0" w:firstLine="0"/>
        <w:jc w:val="left"/>
      </w:pPr>
      <w:r>
        <w:t xml:space="preserve"> </w:t>
      </w:r>
    </w:p>
    <w:p w14:paraId="60FD9361" w14:textId="77777777" w:rsidR="00684C56" w:rsidRDefault="00000000">
      <w:pPr>
        <w:ind w:left="-5" w:right="60"/>
      </w:pPr>
      <w:r>
        <w:t xml:space="preserve">In terms of its capacity to keep talented people, Marriott is in the top 30% of businesses of a similar size. While 75% of employees are eager to go to work each day, 40% of employees would not leave Marriott if offered a comparable job for greater money. Overall, 42% of Marriott employees may be exploring new employment, while 58% believe the company is doing enough to keep them. While it might be challenging to locate quality staff, keeping them on board is crucial (Capuano, 2023). </w:t>
      </w:r>
    </w:p>
    <w:p w14:paraId="7B0BDB15" w14:textId="77777777" w:rsidR="00684C56" w:rsidRDefault="00000000">
      <w:pPr>
        <w:pStyle w:val="Heading1"/>
        <w:ind w:right="62"/>
      </w:pPr>
      <w:r>
        <w:t xml:space="preserve">External affairs Effects </w:t>
      </w:r>
    </w:p>
    <w:p w14:paraId="10E0B595" w14:textId="77777777" w:rsidR="00684C56" w:rsidRDefault="00000000">
      <w:pPr>
        <w:ind w:left="-5" w:right="60"/>
      </w:pPr>
      <w:r>
        <w:t xml:space="preserve">Hotel employee retention is significantly impacted by current events like </w:t>
      </w:r>
      <w:proofErr w:type="spellStart"/>
      <w:r>
        <w:t>Brexit</w:t>
      </w:r>
      <w:proofErr w:type="spellEnd"/>
      <w:r>
        <w:t xml:space="preserve">, COVID-19, and inflation. Following are some ways that show how employee retention is getting affected by these factors </w:t>
      </w:r>
    </w:p>
    <w:p w14:paraId="17A2DFD6" w14:textId="77777777" w:rsidR="00684C56" w:rsidRDefault="00000000">
      <w:pPr>
        <w:ind w:left="-5" w:right="60"/>
      </w:pPr>
      <w:proofErr w:type="spellStart"/>
      <w:r>
        <w:t>Brexit</w:t>
      </w:r>
      <w:proofErr w:type="spellEnd"/>
      <w:r>
        <w:t xml:space="preserve">: Because of uncertainties and changes in immigration laws brought on by the UK's vote to leave the European Union (EU), the hotel business may experience a shortage of competent workers. Because of the uncertainty surrounding their immigration status as well as employment security, hotels may find it difficult to keep employees on board. This has made recruiting more difficult (Peck, 2019). </w:t>
      </w:r>
    </w:p>
    <w:p w14:paraId="5E71CBE3" w14:textId="77777777" w:rsidR="00684C56" w:rsidRDefault="00000000">
      <w:pPr>
        <w:ind w:left="-5" w:right="60"/>
      </w:pPr>
      <w:r>
        <w:t>Covid-19: The hotel business has been significantly impacted by the Covid-19 epidemic, which has resulted in rising unemployment, pay cuts, as well as shortened hours of work. Due to the increased competition in the labor market, many hotels are having trouble keeping hold of workers who might otherwise be looking for further secure and stable employment (</w:t>
      </w:r>
      <w:proofErr w:type="spellStart"/>
      <w:r>
        <w:t>Alkasasbeh</w:t>
      </w:r>
      <w:proofErr w:type="spellEnd"/>
      <w:r>
        <w:t xml:space="preserve">, 2020). </w:t>
      </w:r>
    </w:p>
    <w:p w14:paraId="4EA7B7AE" w14:textId="77777777" w:rsidR="00684C56" w:rsidRDefault="00000000">
      <w:pPr>
        <w:ind w:left="-5" w:right="60"/>
      </w:pPr>
      <w:r>
        <w:t xml:space="preserve">Inflation: By lowering the buying power of wages, inflation's increasing living expenses can have an impact on employee retention. To sustain their living standards, workers may as a result look for higher-paying positions. </w:t>
      </w:r>
    </w:p>
    <w:p w14:paraId="133E5D7D" w14:textId="77777777" w:rsidR="00684C56" w:rsidRDefault="00000000">
      <w:pPr>
        <w:ind w:left="-5" w:right="60"/>
      </w:pPr>
      <w:r>
        <w:t xml:space="preserve">To tackle the problems affecting staff retention as well as recruitment, Marriott has put in place a number of strategies and initiatives. These are a few instances: </w:t>
      </w:r>
    </w:p>
    <w:p w14:paraId="5A953EA1" w14:textId="77777777" w:rsidR="00684C56" w:rsidRDefault="00000000">
      <w:pPr>
        <w:ind w:left="-5" w:right="60"/>
      </w:pPr>
      <w:r>
        <w:t xml:space="preserve">Benefits and pay that are competitive: Insurance coverage, pension plans, staff concessions on hotel accommodation, and other benefits are all part of Marriott's complete salary and perks program. As a result, Marriott is better able to recruit and keep elite hospitality professionals, maintaining its competitiveness in the field. </w:t>
      </w:r>
    </w:p>
    <w:p w14:paraId="2A908580" w14:textId="77777777" w:rsidR="00684C56" w:rsidRDefault="00000000">
      <w:pPr>
        <w:ind w:left="-5" w:right="60"/>
      </w:pPr>
      <w:r>
        <w:t>Career development is the main focus: To aid employees in developing and advancing in their careers, Marriott has engaged in training and development opportunities. This includes initiatives like “Marriott's Voyage global leadership development program”, which provides greater workers opportunities for training and growth (</w:t>
      </w:r>
      <w:proofErr w:type="spellStart"/>
      <w:r>
        <w:t>Dewi</w:t>
      </w:r>
      <w:proofErr w:type="spellEnd"/>
      <w:r>
        <w:t xml:space="preserve">, 2019). </w:t>
      </w:r>
    </w:p>
    <w:p w14:paraId="055E3F45" w14:textId="77777777" w:rsidR="00684C56" w:rsidRDefault="00000000">
      <w:pPr>
        <w:ind w:left="-5" w:right="60"/>
      </w:pPr>
      <w:r>
        <w:t xml:space="preserve">Programs for recognizing employees: With the purpose of rewarding and recognizing employees for their efforts and achievements, Marriott has put in place employee recognition programs. As an illustration, “Marriott's Spirit to Serve” program honors employees who go above and above to provide great service to guests. </w:t>
      </w:r>
    </w:p>
    <w:p w14:paraId="0BADDD49" w14:textId="77777777" w:rsidR="00684C56" w:rsidRDefault="00000000">
      <w:pPr>
        <w:spacing w:after="7"/>
        <w:ind w:left="-5" w:right="60"/>
      </w:pPr>
      <w:r>
        <w:t xml:space="preserve">Concentrate on diversity and inclusiveness: The corporate culture at Marriott places a focus on inclusiveness and diversification. Included in this are programs like the “Marriott Business </w:t>
      </w:r>
    </w:p>
    <w:p w14:paraId="280EFB3C" w14:textId="77777777" w:rsidR="00684C56" w:rsidRDefault="00000000">
      <w:pPr>
        <w:ind w:left="-5" w:right="60"/>
      </w:pPr>
      <w:r>
        <w:t>Council” employee-run organizations that support inclusion and workplace diversity (</w:t>
      </w:r>
      <w:proofErr w:type="spellStart"/>
      <w:r>
        <w:t>Neupane</w:t>
      </w:r>
      <w:proofErr w:type="spellEnd"/>
      <w:r>
        <w:t xml:space="preserve">, 2022). </w:t>
      </w:r>
    </w:p>
    <w:p w14:paraId="61C8EBBC" w14:textId="77777777" w:rsidR="00684C56" w:rsidRDefault="00000000">
      <w:pPr>
        <w:ind w:left="-5" w:right="60"/>
      </w:pPr>
      <w:r>
        <w:t xml:space="preserve">Flexibility in work schedules: To meet the needs of employees who desire work-life balance, Marriott has adopted flexible work options, such as working remotely as well as flexible work schedules. </w:t>
      </w:r>
    </w:p>
    <w:p w14:paraId="74087B50" w14:textId="77777777" w:rsidR="00684C56" w:rsidRDefault="00000000">
      <w:pPr>
        <w:ind w:left="-5" w:right="60"/>
      </w:pPr>
      <w:r>
        <w:t xml:space="preserve">Planning the workforce and retention tactics: In order to deal with labor shortages and employee turnover, Marriott has created a planning process and retention techniques. Predicting workforce needs and creating retention strategies for critical employees are part of this. </w:t>
      </w:r>
    </w:p>
    <w:p w14:paraId="046F9B1C" w14:textId="77777777" w:rsidR="00684C56" w:rsidRDefault="00000000">
      <w:pPr>
        <w:spacing w:after="450" w:line="259" w:lineRule="auto"/>
        <w:ind w:left="0" w:right="0" w:firstLine="0"/>
        <w:jc w:val="left"/>
      </w:pPr>
      <w:r>
        <w:t xml:space="preserve"> </w:t>
      </w:r>
    </w:p>
    <w:p w14:paraId="489E3BFE" w14:textId="77777777" w:rsidR="00684C56" w:rsidRDefault="00000000">
      <w:pPr>
        <w:pStyle w:val="Heading1"/>
        <w:ind w:right="60"/>
      </w:pPr>
      <w:r>
        <w:t xml:space="preserve">Conclusion </w:t>
      </w:r>
    </w:p>
    <w:p w14:paraId="7970494D" w14:textId="77777777" w:rsidR="00684C56" w:rsidRDefault="00000000">
      <w:pPr>
        <w:spacing w:after="0" w:line="477" w:lineRule="auto"/>
        <w:ind w:left="0" w:right="46" w:firstLine="0"/>
        <w:jc w:val="left"/>
      </w:pPr>
      <w:r>
        <w:t xml:space="preserve">The hotel sector as a whole is dealing with serious issues with employee retention due to a variety of external variables that are beyond the control of specific properties. Hotels may need to concentrate on fostering a healthy work atmosphere, delivering favorable benefits and wages, and providing opportunities for training and professional growth in order to meet these issues. In order to keep a steady staff, hotels may also need to be proactive in addressing employee worries about current events like inflation, </w:t>
      </w:r>
      <w:proofErr w:type="spellStart"/>
      <w:r>
        <w:t>Brexit</w:t>
      </w:r>
      <w:proofErr w:type="spellEnd"/>
      <w:r>
        <w:t>, and COVID-19.</w:t>
      </w:r>
      <w:r>
        <w:br w:type="page"/>
      </w:r>
    </w:p>
    <w:p w14:paraId="63B8FA7E" w14:textId="77777777" w:rsidR="00684C56" w:rsidRDefault="00000000">
      <w:pPr>
        <w:pStyle w:val="Heading1"/>
        <w:spacing w:after="415"/>
        <w:ind w:left="0" w:right="0" w:firstLine="0"/>
        <w:jc w:val="left"/>
      </w:pPr>
      <w:r>
        <w:t xml:space="preserve">References </w:t>
      </w:r>
    </w:p>
    <w:p w14:paraId="4A6EA6CA" w14:textId="77777777" w:rsidR="00684C56" w:rsidRDefault="00000000">
      <w:pPr>
        <w:spacing w:after="161" w:line="475" w:lineRule="auto"/>
        <w:ind w:left="-5" w:right="54"/>
      </w:pPr>
      <w:proofErr w:type="spellStart"/>
      <w:r>
        <w:rPr>
          <w:color w:val="222222"/>
        </w:rPr>
        <w:t>Dhir</w:t>
      </w:r>
      <w:proofErr w:type="spellEnd"/>
      <w:r>
        <w:rPr>
          <w:color w:val="222222"/>
        </w:rPr>
        <w:t xml:space="preserve">, S. and </w:t>
      </w:r>
      <w:proofErr w:type="spellStart"/>
      <w:r>
        <w:rPr>
          <w:color w:val="222222"/>
        </w:rPr>
        <w:t>Dhir</w:t>
      </w:r>
      <w:proofErr w:type="spellEnd"/>
      <w:r>
        <w:rPr>
          <w:color w:val="222222"/>
        </w:rPr>
        <w:t xml:space="preserve">, S., 2019 </w:t>
      </w:r>
      <w:r>
        <w:rPr>
          <w:i/>
          <w:color w:val="222222"/>
        </w:rPr>
        <w:t>Marriott Hotels. Cases in Strategic Management: A Flexibility Perspective,</w:t>
      </w:r>
      <w:r>
        <w:rPr>
          <w:color w:val="222222"/>
        </w:rPr>
        <w:t xml:space="preserve"> pp.147-162. </w:t>
      </w:r>
    </w:p>
    <w:p w14:paraId="12016642" w14:textId="77777777" w:rsidR="00684C56" w:rsidRDefault="00000000">
      <w:pPr>
        <w:spacing w:after="161" w:line="476" w:lineRule="auto"/>
        <w:ind w:left="-5" w:right="51"/>
      </w:pPr>
      <w:r>
        <w:rPr>
          <w:color w:val="222222"/>
        </w:rPr>
        <w:t xml:space="preserve">Ghani, B., </w:t>
      </w:r>
      <w:proofErr w:type="spellStart"/>
      <w:r>
        <w:rPr>
          <w:color w:val="222222"/>
        </w:rPr>
        <w:t>Zada</w:t>
      </w:r>
      <w:proofErr w:type="spellEnd"/>
      <w:r>
        <w:rPr>
          <w:color w:val="222222"/>
        </w:rPr>
        <w:t xml:space="preserve">, M., </w:t>
      </w:r>
      <w:proofErr w:type="spellStart"/>
      <w:r>
        <w:rPr>
          <w:color w:val="222222"/>
        </w:rPr>
        <w:t>Memon</w:t>
      </w:r>
      <w:proofErr w:type="spellEnd"/>
      <w:r>
        <w:rPr>
          <w:color w:val="222222"/>
        </w:rPr>
        <w:t xml:space="preserve">, K.R., </w:t>
      </w:r>
      <w:proofErr w:type="spellStart"/>
      <w:r>
        <w:rPr>
          <w:color w:val="222222"/>
        </w:rPr>
        <w:t>Ullah</w:t>
      </w:r>
      <w:proofErr w:type="spellEnd"/>
      <w:r>
        <w:rPr>
          <w:color w:val="222222"/>
        </w:rPr>
        <w:t xml:space="preserve">, R., </w:t>
      </w:r>
      <w:proofErr w:type="spellStart"/>
      <w:r>
        <w:rPr>
          <w:color w:val="222222"/>
        </w:rPr>
        <w:t>Khattak</w:t>
      </w:r>
      <w:proofErr w:type="spellEnd"/>
      <w:r>
        <w:rPr>
          <w:color w:val="222222"/>
        </w:rPr>
        <w:t xml:space="preserve">, A., Han, H., </w:t>
      </w:r>
      <w:proofErr w:type="spellStart"/>
      <w:r>
        <w:rPr>
          <w:color w:val="222222"/>
        </w:rPr>
        <w:t>Ariza</w:t>
      </w:r>
      <w:proofErr w:type="spellEnd"/>
      <w:r>
        <w:rPr>
          <w:color w:val="222222"/>
        </w:rPr>
        <w:t xml:space="preserve">-Montes, A. and </w:t>
      </w:r>
      <w:proofErr w:type="spellStart"/>
      <w:r>
        <w:rPr>
          <w:color w:val="222222"/>
        </w:rPr>
        <w:t>ArayaCastillo</w:t>
      </w:r>
      <w:proofErr w:type="spellEnd"/>
      <w:r>
        <w:rPr>
          <w:color w:val="222222"/>
        </w:rPr>
        <w:t xml:space="preserve">, L., 2022 </w:t>
      </w:r>
      <w:r>
        <w:rPr>
          <w:i/>
          <w:color w:val="222222"/>
        </w:rPr>
        <w:t>Challenges and strategies for employee retention in the hospitality industry: A review. Sustainability,</w:t>
      </w:r>
      <w:r>
        <w:rPr>
          <w:color w:val="222222"/>
        </w:rPr>
        <w:t xml:space="preserve"> </w:t>
      </w:r>
      <w:r>
        <w:rPr>
          <w:i/>
          <w:color w:val="222222"/>
        </w:rPr>
        <w:t>14</w:t>
      </w:r>
      <w:r>
        <w:rPr>
          <w:color w:val="222222"/>
        </w:rPr>
        <w:t xml:space="preserve">(5), p.2885. </w:t>
      </w:r>
    </w:p>
    <w:p w14:paraId="5ABCA168" w14:textId="77777777" w:rsidR="00684C56" w:rsidRDefault="00000000">
      <w:pPr>
        <w:spacing w:after="246" w:line="263" w:lineRule="auto"/>
        <w:ind w:left="-5" w:right="54"/>
      </w:pPr>
      <w:proofErr w:type="spellStart"/>
      <w:r>
        <w:rPr>
          <w:color w:val="222222"/>
        </w:rPr>
        <w:t>Alkasasbeh</w:t>
      </w:r>
      <w:proofErr w:type="spellEnd"/>
      <w:r>
        <w:rPr>
          <w:color w:val="222222"/>
        </w:rPr>
        <w:t xml:space="preserve">, F., 2020 </w:t>
      </w:r>
      <w:r>
        <w:rPr>
          <w:i/>
          <w:color w:val="222222"/>
        </w:rPr>
        <w:t xml:space="preserve">The effects Of COVID-19 on restaurant industry: A perspective </w:t>
      </w:r>
    </w:p>
    <w:p w14:paraId="1188EBCD" w14:textId="77777777" w:rsidR="00684C56" w:rsidRDefault="00000000">
      <w:pPr>
        <w:spacing w:after="415" w:line="259" w:lineRule="auto"/>
        <w:ind w:left="-5" w:right="51"/>
      </w:pPr>
      <w:r>
        <w:rPr>
          <w:i/>
          <w:color w:val="222222"/>
        </w:rPr>
        <w:t>article.</w:t>
      </w:r>
      <w:r>
        <w:rPr>
          <w:color w:val="222222"/>
        </w:rPr>
        <w:t xml:space="preserve"> Journal of Innovations in Digital Marketing, 1(1), pp.22-31.</w:t>
      </w:r>
      <w:r>
        <w:t xml:space="preserve"> </w:t>
      </w:r>
    </w:p>
    <w:p w14:paraId="4CCAC2DB" w14:textId="77777777" w:rsidR="00684C56" w:rsidRDefault="00000000">
      <w:pPr>
        <w:spacing w:after="171" w:line="475" w:lineRule="auto"/>
        <w:ind w:left="0" w:right="0" w:firstLine="0"/>
        <w:jc w:val="left"/>
      </w:pPr>
      <w:proofErr w:type="spellStart"/>
      <w:r>
        <w:rPr>
          <w:color w:val="222222"/>
        </w:rPr>
        <w:t>Casado</w:t>
      </w:r>
      <w:proofErr w:type="spellEnd"/>
      <w:r>
        <w:rPr>
          <w:color w:val="222222"/>
        </w:rPr>
        <w:t xml:space="preserve"> </w:t>
      </w:r>
      <w:proofErr w:type="spellStart"/>
      <w:r>
        <w:rPr>
          <w:color w:val="222222"/>
        </w:rPr>
        <w:t>Salguero</w:t>
      </w:r>
      <w:proofErr w:type="spellEnd"/>
      <w:r>
        <w:rPr>
          <w:color w:val="222222"/>
        </w:rPr>
        <w:t xml:space="preserve">, G., </w:t>
      </w:r>
      <w:proofErr w:type="spellStart"/>
      <w:r>
        <w:rPr>
          <w:color w:val="222222"/>
        </w:rPr>
        <w:t>Fernández</w:t>
      </w:r>
      <w:proofErr w:type="spellEnd"/>
      <w:r>
        <w:rPr>
          <w:color w:val="222222"/>
        </w:rPr>
        <w:t xml:space="preserve"> </w:t>
      </w:r>
      <w:proofErr w:type="spellStart"/>
      <w:r>
        <w:rPr>
          <w:color w:val="222222"/>
        </w:rPr>
        <w:t>Gámez</w:t>
      </w:r>
      <w:proofErr w:type="spellEnd"/>
      <w:r>
        <w:rPr>
          <w:color w:val="222222"/>
        </w:rPr>
        <w:t xml:space="preserve">, M.Á., </w:t>
      </w:r>
      <w:proofErr w:type="spellStart"/>
      <w:r>
        <w:rPr>
          <w:color w:val="222222"/>
        </w:rPr>
        <w:t>Aldeanueva</w:t>
      </w:r>
      <w:proofErr w:type="spellEnd"/>
      <w:r>
        <w:rPr>
          <w:color w:val="222222"/>
        </w:rPr>
        <w:t xml:space="preserve"> </w:t>
      </w:r>
      <w:proofErr w:type="spellStart"/>
      <w:r>
        <w:rPr>
          <w:color w:val="222222"/>
        </w:rPr>
        <w:t>Fernández</w:t>
      </w:r>
      <w:proofErr w:type="spellEnd"/>
      <w:r>
        <w:rPr>
          <w:color w:val="222222"/>
        </w:rPr>
        <w:t xml:space="preserve">, I. and </w:t>
      </w:r>
      <w:proofErr w:type="spellStart"/>
      <w:r>
        <w:rPr>
          <w:color w:val="222222"/>
        </w:rPr>
        <w:t>Ruíz</w:t>
      </w:r>
      <w:proofErr w:type="spellEnd"/>
      <w:r>
        <w:rPr>
          <w:color w:val="222222"/>
        </w:rPr>
        <w:t xml:space="preserve"> </w:t>
      </w:r>
      <w:proofErr w:type="spellStart"/>
      <w:r>
        <w:rPr>
          <w:color w:val="222222"/>
        </w:rPr>
        <w:t>Palomo</w:t>
      </w:r>
      <w:proofErr w:type="spellEnd"/>
      <w:r>
        <w:rPr>
          <w:color w:val="222222"/>
        </w:rPr>
        <w:t xml:space="preserve">, D., 2019 </w:t>
      </w:r>
      <w:r>
        <w:rPr>
          <w:i/>
          <w:color w:val="222222"/>
        </w:rPr>
        <w:t>Competitive intelligence and sustainable competitive advantage in the hotel industry.</w:t>
      </w:r>
      <w:r>
        <w:rPr>
          <w:color w:val="222222"/>
        </w:rPr>
        <w:t xml:space="preserve"> Sustainability, 11(6), p.1597.</w:t>
      </w:r>
      <w:r>
        <w:t xml:space="preserve"> </w:t>
      </w:r>
      <w:r>
        <w:tab/>
        <w:t xml:space="preserve"> </w:t>
      </w:r>
    </w:p>
    <w:p w14:paraId="19A22BEB" w14:textId="77777777" w:rsidR="00684C56" w:rsidRDefault="00000000">
      <w:pPr>
        <w:spacing w:after="161" w:line="476" w:lineRule="auto"/>
        <w:ind w:left="-5" w:right="51"/>
      </w:pPr>
      <w:proofErr w:type="spellStart"/>
      <w:r>
        <w:rPr>
          <w:color w:val="222222"/>
        </w:rPr>
        <w:t>Dewi</w:t>
      </w:r>
      <w:proofErr w:type="spellEnd"/>
      <w:r>
        <w:rPr>
          <w:color w:val="222222"/>
        </w:rPr>
        <w:t xml:space="preserve">, P.E.O., </w:t>
      </w:r>
      <w:proofErr w:type="spellStart"/>
      <w:r>
        <w:rPr>
          <w:color w:val="222222"/>
        </w:rPr>
        <w:t>Astawa</w:t>
      </w:r>
      <w:proofErr w:type="spellEnd"/>
      <w:r>
        <w:rPr>
          <w:color w:val="222222"/>
        </w:rPr>
        <w:t xml:space="preserve">, I.K., </w:t>
      </w:r>
      <w:proofErr w:type="spellStart"/>
      <w:r>
        <w:rPr>
          <w:color w:val="222222"/>
        </w:rPr>
        <w:t>Ernawati</w:t>
      </w:r>
      <w:proofErr w:type="spellEnd"/>
      <w:r>
        <w:rPr>
          <w:color w:val="222222"/>
        </w:rPr>
        <w:t xml:space="preserve">, N.M. and </w:t>
      </w:r>
      <w:proofErr w:type="spellStart"/>
      <w:r>
        <w:rPr>
          <w:color w:val="222222"/>
        </w:rPr>
        <w:t>Suarta</w:t>
      </w:r>
      <w:proofErr w:type="spellEnd"/>
      <w:r>
        <w:rPr>
          <w:color w:val="222222"/>
        </w:rPr>
        <w:t xml:space="preserve">, I.K., 2019 </w:t>
      </w:r>
      <w:r>
        <w:rPr>
          <w:i/>
          <w:color w:val="222222"/>
        </w:rPr>
        <w:t>The impact of hotel staff appraisal to career development.</w:t>
      </w:r>
      <w:r>
        <w:rPr>
          <w:color w:val="222222"/>
        </w:rPr>
        <w:t xml:space="preserve"> International Journal of Green Tourism Research and Applications, 1(1), pp.73-84.</w:t>
      </w:r>
      <w:r>
        <w:t xml:space="preserve"> </w:t>
      </w:r>
    </w:p>
    <w:p w14:paraId="7D7BA079" w14:textId="77777777" w:rsidR="00684C56" w:rsidRDefault="00000000">
      <w:pPr>
        <w:spacing w:after="161" w:line="475" w:lineRule="auto"/>
        <w:ind w:left="-5" w:right="54"/>
      </w:pPr>
      <w:proofErr w:type="spellStart"/>
      <w:r>
        <w:rPr>
          <w:color w:val="222222"/>
        </w:rPr>
        <w:t>Selin</w:t>
      </w:r>
      <w:proofErr w:type="spellEnd"/>
      <w:r>
        <w:rPr>
          <w:color w:val="222222"/>
        </w:rPr>
        <w:t xml:space="preserve">, J., 2022 </w:t>
      </w:r>
      <w:r>
        <w:rPr>
          <w:i/>
          <w:color w:val="222222"/>
        </w:rPr>
        <w:t>More than Just a Workplace: A Case Study of Diversity, Equity, and Inclusion in Marriott International Inc. Hotels.</w:t>
      </w:r>
      <w:r>
        <w:t xml:space="preserve"> </w:t>
      </w:r>
    </w:p>
    <w:p w14:paraId="0AC83473" w14:textId="77777777" w:rsidR="00684C56" w:rsidRDefault="00000000">
      <w:pPr>
        <w:spacing w:after="161" w:line="475" w:lineRule="auto"/>
        <w:ind w:left="-5" w:right="54"/>
      </w:pPr>
      <w:proofErr w:type="spellStart"/>
      <w:r>
        <w:rPr>
          <w:color w:val="222222"/>
        </w:rPr>
        <w:t>Niemelä</w:t>
      </w:r>
      <w:proofErr w:type="spellEnd"/>
      <w:r>
        <w:rPr>
          <w:color w:val="222222"/>
        </w:rPr>
        <w:t xml:space="preserve">, M., 2019 </w:t>
      </w:r>
      <w:r>
        <w:rPr>
          <w:i/>
          <w:color w:val="222222"/>
        </w:rPr>
        <w:t xml:space="preserve">Brand management strategies of hotel chain sub-brands Sheraton Marriott and </w:t>
      </w:r>
      <w:proofErr w:type="spellStart"/>
      <w:r>
        <w:rPr>
          <w:i/>
          <w:color w:val="222222"/>
        </w:rPr>
        <w:t>DoubleTree</w:t>
      </w:r>
      <w:proofErr w:type="spellEnd"/>
      <w:r>
        <w:rPr>
          <w:i/>
          <w:color w:val="222222"/>
        </w:rPr>
        <w:t xml:space="preserve"> by Hilton.</w:t>
      </w:r>
      <w:r>
        <w:rPr>
          <w:color w:val="222222"/>
        </w:rPr>
        <w:t xml:space="preserve"> </w:t>
      </w:r>
    </w:p>
    <w:p w14:paraId="3D90E83C" w14:textId="77777777" w:rsidR="00684C56" w:rsidRDefault="00000000">
      <w:pPr>
        <w:spacing w:after="412" w:line="263" w:lineRule="auto"/>
        <w:ind w:left="-5" w:right="54"/>
      </w:pPr>
      <w:r>
        <w:rPr>
          <w:color w:val="222222"/>
        </w:rPr>
        <w:t xml:space="preserve">Peck, F., 2019 </w:t>
      </w:r>
      <w:r>
        <w:rPr>
          <w:i/>
          <w:color w:val="222222"/>
        </w:rPr>
        <w:t xml:space="preserve">Business investment: the </w:t>
      </w:r>
      <w:proofErr w:type="spellStart"/>
      <w:r>
        <w:rPr>
          <w:i/>
          <w:color w:val="222222"/>
        </w:rPr>
        <w:t>Brexit</w:t>
      </w:r>
      <w:proofErr w:type="spellEnd"/>
      <w:r>
        <w:rPr>
          <w:i/>
          <w:color w:val="222222"/>
        </w:rPr>
        <w:t xml:space="preserve"> effect</w:t>
      </w:r>
      <w:r>
        <w:rPr>
          <w:color w:val="222222"/>
        </w:rPr>
        <w:t xml:space="preserve">. In </w:t>
      </w:r>
      <w:proofErr w:type="spellStart"/>
      <w:r>
        <w:rPr>
          <w:color w:val="222222"/>
        </w:rPr>
        <w:t>Cumbria</w:t>
      </w:r>
      <w:proofErr w:type="spellEnd"/>
      <w:r>
        <w:rPr>
          <w:color w:val="222222"/>
        </w:rPr>
        <w:t xml:space="preserve">, pp.66-67. </w:t>
      </w:r>
    </w:p>
    <w:p w14:paraId="7B2A1212" w14:textId="77777777" w:rsidR="00684C56" w:rsidRDefault="00000000">
      <w:pPr>
        <w:spacing w:after="246" w:line="263" w:lineRule="auto"/>
        <w:ind w:left="-5" w:right="54"/>
      </w:pPr>
      <w:proofErr w:type="spellStart"/>
      <w:r>
        <w:rPr>
          <w:color w:val="222222"/>
        </w:rPr>
        <w:t>Cennamo</w:t>
      </w:r>
      <w:proofErr w:type="spellEnd"/>
      <w:r>
        <w:rPr>
          <w:color w:val="222222"/>
        </w:rPr>
        <w:t xml:space="preserve">, C., 2021 </w:t>
      </w:r>
      <w:r>
        <w:rPr>
          <w:i/>
          <w:color w:val="222222"/>
        </w:rPr>
        <w:t>Competing in digital markets: A platform-based perspective.</w:t>
      </w:r>
      <w:r>
        <w:rPr>
          <w:color w:val="222222"/>
        </w:rPr>
        <w:t xml:space="preserve"> Academy of </w:t>
      </w:r>
    </w:p>
    <w:p w14:paraId="1804394C" w14:textId="77777777" w:rsidR="00684C56" w:rsidRDefault="00000000">
      <w:pPr>
        <w:spacing w:after="161" w:line="259" w:lineRule="auto"/>
        <w:ind w:left="-5" w:right="51"/>
      </w:pPr>
      <w:r>
        <w:rPr>
          <w:color w:val="222222"/>
        </w:rPr>
        <w:t xml:space="preserve">Management Perspectives, 35(2), pp.265-291. </w:t>
      </w:r>
    </w:p>
    <w:p w14:paraId="7516DCB7" w14:textId="77777777" w:rsidR="00684C56" w:rsidRDefault="00000000">
      <w:pPr>
        <w:spacing w:after="161" w:line="477" w:lineRule="auto"/>
        <w:ind w:left="-5" w:right="54"/>
      </w:pPr>
      <w:proofErr w:type="spellStart"/>
      <w:r>
        <w:rPr>
          <w:color w:val="222222"/>
        </w:rPr>
        <w:t>Neupane</w:t>
      </w:r>
      <w:proofErr w:type="spellEnd"/>
      <w:r>
        <w:rPr>
          <w:color w:val="222222"/>
        </w:rPr>
        <w:t xml:space="preserve">, R. and </w:t>
      </w:r>
      <w:proofErr w:type="spellStart"/>
      <w:r>
        <w:rPr>
          <w:color w:val="222222"/>
        </w:rPr>
        <w:t>Khanal</w:t>
      </w:r>
      <w:proofErr w:type="spellEnd"/>
      <w:r>
        <w:rPr>
          <w:color w:val="222222"/>
        </w:rPr>
        <w:t xml:space="preserve">, T.R., 2022 </w:t>
      </w:r>
      <w:r>
        <w:rPr>
          <w:i/>
          <w:color w:val="222222"/>
        </w:rPr>
        <w:t xml:space="preserve">Evaluation of the impacts of training on employee performance in the </w:t>
      </w:r>
      <w:proofErr w:type="spellStart"/>
      <w:r>
        <w:rPr>
          <w:i/>
          <w:color w:val="222222"/>
        </w:rPr>
        <w:t>uk</w:t>
      </w:r>
      <w:proofErr w:type="spellEnd"/>
      <w:r>
        <w:rPr>
          <w:i/>
          <w:color w:val="222222"/>
        </w:rPr>
        <w:t xml:space="preserve"> hotel industry: an analysis of </w:t>
      </w:r>
      <w:proofErr w:type="spellStart"/>
      <w:r>
        <w:rPr>
          <w:i/>
          <w:color w:val="222222"/>
        </w:rPr>
        <w:t>employees’perspectives</w:t>
      </w:r>
      <w:proofErr w:type="spellEnd"/>
      <w:r>
        <w:rPr>
          <w:i/>
          <w:color w:val="222222"/>
        </w:rPr>
        <w:t xml:space="preserve"> at </w:t>
      </w:r>
      <w:proofErr w:type="spellStart"/>
      <w:r>
        <w:rPr>
          <w:i/>
          <w:color w:val="222222"/>
        </w:rPr>
        <w:t>marriott</w:t>
      </w:r>
      <w:proofErr w:type="spellEnd"/>
      <w:r>
        <w:rPr>
          <w:i/>
          <w:color w:val="222222"/>
        </w:rPr>
        <w:t xml:space="preserve"> international.</w:t>
      </w:r>
      <w:r>
        <w:rPr>
          <w:color w:val="222222"/>
        </w:rPr>
        <w:t xml:space="preserve"> </w:t>
      </w:r>
    </w:p>
    <w:p w14:paraId="091E5CF5" w14:textId="77777777" w:rsidR="00684C56" w:rsidRDefault="00000000">
      <w:pPr>
        <w:spacing w:after="412" w:line="263" w:lineRule="auto"/>
        <w:ind w:left="-5" w:right="54"/>
      </w:pPr>
      <w:proofErr w:type="spellStart"/>
      <w:r>
        <w:rPr>
          <w:color w:val="222222"/>
        </w:rPr>
        <w:t>Karagiannis</w:t>
      </w:r>
      <w:proofErr w:type="spellEnd"/>
      <w:r>
        <w:rPr>
          <w:color w:val="222222"/>
        </w:rPr>
        <w:t xml:space="preserve">, I., 2021 </w:t>
      </w:r>
      <w:r>
        <w:rPr>
          <w:i/>
          <w:color w:val="222222"/>
        </w:rPr>
        <w:t>Investigating the benefits of hotel loyalty programs.</w:t>
      </w:r>
      <w:r>
        <w:rPr>
          <w:color w:val="222222"/>
        </w:rPr>
        <w:t xml:space="preserve"> </w:t>
      </w:r>
    </w:p>
    <w:p w14:paraId="6CE0DBDF" w14:textId="77777777" w:rsidR="00684C56" w:rsidRDefault="00000000">
      <w:pPr>
        <w:spacing w:after="161" w:line="476" w:lineRule="auto"/>
        <w:ind w:left="-5" w:right="51"/>
      </w:pPr>
      <w:r>
        <w:rPr>
          <w:color w:val="222222"/>
        </w:rPr>
        <w:t xml:space="preserve">Chung, H., </w:t>
      </w:r>
      <w:proofErr w:type="spellStart"/>
      <w:r>
        <w:rPr>
          <w:color w:val="222222"/>
        </w:rPr>
        <w:t>Quan</w:t>
      </w:r>
      <w:proofErr w:type="spellEnd"/>
      <w:r>
        <w:rPr>
          <w:color w:val="222222"/>
        </w:rPr>
        <w:t xml:space="preserve">, W., Koo, B., </w:t>
      </w:r>
      <w:proofErr w:type="spellStart"/>
      <w:r>
        <w:rPr>
          <w:color w:val="222222"/>
        </w:rPr>
        <w:t>Ariza</w:t>
      </w:r>
      <w:proofErr w:type="spellEnd"/>
      <w:r>
        <w:rPr>
          <w:color w:val="222222"/>
        </w:rPr>
        <w:t xml:space="preserve">-Montes, A., Vega-Muñoz, A., Giorgi, G. and Han, H., 2021 </w:t>
      </w:r>
      <w:r>
        <w:rPr>
          <w:i/>
          <w:color w:val="222222"/>
        </w:rPr>
        <w:t>A threat of customer incivility and job stress to hotel employee retention: do supervisor and coworker supports reduce turnover rates?</w:t>
      </w:r>
      <w:r>
        <w:rPr>
          <w:color w:val="222222"/>
        </w:rPr>
        <w:t xml:space="preserve">. International Journal of Environmental Research and Public Health, 18(12), p.6616. </w:t>
      </w:r>
    </w:p>
    <w:p w14:paraId="095FF50C" w14:textId="77777777" w:rsidR="00684C56" w:rsidRDefault="00000000">
      <w:pPr>
        <w:spacing w:after="161" w:line="476" w:lineRule="auto"/>
        <w:ind w:left="-5" w:right="51"/>
      </w:pPr>
      <w:r>
        <w:rPr>
          <w:color w:val="222222"/>
        </w:rPr>
        <w:t>He, J., Mao, Y., Morrison, A.M. and Coca-</w:t>
      </w:r>
      <w:proofErr w:type="spellStart"/>
      <w:r>
        <w:rPr>
          <w:color w:val="222222"/>
        </w:rPr>
        <w:t>Stefaniak</w:t>
      </w:r>
      <w:proofErr w:type="spellEnd"/>
      <w:r>
        <w:rPr>
          <w:color w:val="222222"/>
        </w:rPr>
        <w:t xml:space="preserve">, J.A., 2021 </w:t>
      </w:r>
      <w:r>
        <w:rPr>
          <w:i/>
          <w:color w:val="222222"/>
        </w:rPr>
        <w:t>On being warm and friendly: the effect of socially responsible human resource management on employee fears of the threats of COVID-19.</w:t>
      </w:r>
      <w:r>
        <w:rPr>
          <w:color w:val="222222"/>
        </w:rPr>
        <w:t xml:space="preserve"> International Journal of Contemporary Hospitality Management, 33(1), pp.346-366.</w:t>
      </w:r>
      <w:r>
        <w:t xml:space="preserve"> </w:t>
      </w:r>
    </w:p>
    <w:p w14:paraId="41488A93" w14:textId="77777777" w:rsidR="00684C56" w:rsidRDefault="00000000">
      <w:pPr>
        <w:spacing w:after="252" w:line="263" w:lineRule="auto"/>
        <w:ind w:left="-5" w:right="54"/>
      </w:pPr>
      <w:r>
        <w:rPr>
          <w:color w:val="222222"/>
        </w:rPr>
        <w:t xml:space="preserve">Capuano, A. 2023 </w:t>
      </w:r>
      <w:r>
        <w:rPr>
          <w:i/>
          <w:color w:val="222222"/>
        </w:rPr>
        <w:t>Marriott retention score | comparably. Marriott Retention Score</w:t>
      </w:r>
      <w:r>
        <w:rPr>
          <w:color w:val="222222"/>
        </w:rPr>
        <w:t xml:space="preserve">. Retrieved </w:t>
      </w:r>
    </w:p>
    <w:p w14:paraId="16F9129B" w14:textId="77777777" w:rsidR="00684C56" w:rsidRDefault="00000000">
      <w:pPr>
        <w:spacing w:after="161" w:line="259" w:lineRule="auto"/>
        <w:ind w:left="-5" w:right="51"/>
      </w:pPr>
      <w:r>
        <w:rPr>
          <w:color w:val="222222"/>
        </w:rPr>
        <w:t xml:space="preserve">March 3, 2023, from https://www.comparably.com/companies/marriott/retention  </w:t>
      </w:r>
    </w:p>
    <w:sectPr w:rsidR="00684C56">
      <w:pgSz w:w="12240" w:h="15840"/>
      <w:pgMar w:top="1452" w:right="1375" w:bottom="1474" w:left="144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4C56"/>
    <w:rsid w:val="004E4263"/>
    <w:rsid w:val="00684C56"/>
    <w:rsid w:val="00B0560B"/>
    <w:rsid w:val="00EE71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F0B635B"/>
  <w15:docId w15:val="{1F5025CE-4510-0E43-BDC2-C4E16EF22F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56" w:line="482" w:lineRule="auto"/>
      <w:ind w:left="10" w:right="64" w:hanging="10"/>
      <w:jc w:val="both"/>
    </w:pPr>
    <w:rPr>
      <w:rFonts w:ascii="Times New Roman" w:eastAsia="Times New Roman" w:hAnsi="Times New Roman" w:cs="Times New Roman"/>
      <w:color w:val="000000"/>
      <w:sz w:val="24"/>
      <w:lang w:val="en-US" w:bidi="en-US"/>
    </w:rPr>
  </w:style>
  <w:style w:type="paragraph" w:styleId="Heading1">
    <w:name w:val="heading 1"/>
    <w:next w:val="Normal"/>
    <w:link w:val="Heading1Char"/>
    <w:uiPriority w:val="9"/>
    <w:qFormat/>
    <w:pPr>
      <w:keepNext/>
      <w:keepLines/>
      <w:spacing w:after="413"/>
      <w:ind w:left="10" w:right="61" w:hanging="10"/>
      <w:jc w:val="center"/>
      <w:outlineLvl w:val="0"/>
    </w:pPr>
    <w:rPr>
      <w:rFonts w:ascii="Times New Roman" w:eastAsia="Times New Roman" w:hAnsi="Times New Roman" w:cs="Times New Roman"/>
      <w:b/>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b/>
      <w:color w:val="000000"/>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theme" Target="theme/theme1.xml" /><Relationship Id="rId5" Type="http://schemas.openxmlformats.org/officeDocument/2006/relationships/fontTable" Target="fontTable.xml" /><Relationship Id="rId4" Type="http://schemas.openxmlformats.org/officeDocument/2006/relationships/image" Target="media/image1.jp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2389</Words>
  <Characters>13619</Characters>
  <Application>Microsoft Office Word</Application>
  <DocSecurity>0</DocSecurity>
  <Lines>113</Lines>
  <Paragraphs>31</Paragraphs>
  <ScaleCrop>false</ScaleCrop>
  <Company/>
  <LinksUpToDate>false</LinksUpToDate>
  <CharactersWithSpaces>15977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Hasna begum</cp:lastModifiedBy>
  <cp:revision>4</cp:revision>
  <dcterms:created xsi:type="dcterms:W3CDTF">2023-03-05T12:43:00Z</dcterms:created>
  <dcterms:modified xsi:type="dcterms:W3CDTF">2023-03-05T12:44:00Z</dcterms:modified>
</cp:coreProperties>
</file>