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4"/>
        <w:gridCol w:w="4592"/>
      </w:tblGrid>
      <w:tr w:rsidR="00256A32" w14:paraId="30B1D059" w14:textId="77777777" w:rsidTr="00295FDD">
        <w:trPr>
          <w:trHeight w:val="1208"/>
        </w:trPr>
        <w:tc>
          <w:tcPr>
            <w:tcW w:w="4424" w:type="dxa"/>
          </w:tcPr>
          <w:p w14:paraId="6CBDF7C5" w14:textId="5C6F5A51" w:rsidR="00256A32" w:rsidRPr="00256A32" w:rsidRDefault="0093479C" w:rsidP="0093479C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A citation is a s</w:t>
            </w:r>
            <w:r w:rsid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hort r</w:t>
            </w:r>
            <w:r w:rsidR="00256A32" w:rsidRP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eference </w:t>
            </w:r>
            <w:r w:rsidR="00256A32"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– short version as written in the main body of an assignment</w:t>
            </w:r>
            <w:r w:rsid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.</w:t>
            </w:r>
          </w:p>
        </w:tc>
        <w:tc>
          <w:tcPr>
            <w:tcW w:w="4592" w:type="dxa"/>
          </w:tcPr>
          <w:p w14:paraId="4ED7324F" w14:textId="2B71A209" w:rsidR="00256A32" w:rsidRPr="00206BCE" w:rsidRDefault="00256A32" w:rsidP="00256A32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sz w:val="28"/>
                <w:szCs w:val="28"/>
              </w:rPr>
            </w:pPr>
            <w:r w:rsidRPr="00206BCE">
              <w:rPr>
                <w:rStyle w:val="apple-converted-space"/>
                <w:rFonts w:asciiTheme="minorHAnsi" w:hAnsiTheme="minorHAnsi" w:cstheme="minorHAnsi"/>
                <w:b/>
                <w:sz w:val="28"/>
                <w:szCs w:val="28"/>
              </w:rPr>
              <w:t xml:space="preserve">Long reference </w:t>
            </w:r>
            <w:r w:rsidRPr="00206BCE">
              <w:rPr>
                <w:rStyle w:val="apple-converted-space"/>
                <w:rFonts w:asciiTheme="minorHAnsi" w:hAnsiTheme="minorHAnsi" w:cstheme="minorHAnsi"/>
                <w:sz w:val="28"/>
                <w:szCs w:val="28"/>
              </w:rPr>
              <w:t>– long version as written in the Bibliography</w:t>
            </w:r>
            <w:r w:rsidR="00206BCE" w:rsidRPr="00206BCE">
              <w:rPr>
                <w:rStyle w:val="apple-converted-space"/>
                <w:rFonts w:asciiTheme="minorHAnsi" w:hAnsiTheme="minorHAnsi" w:cstheme="minorHAnsi"/>
                <w:sz w:val="28"/>
                <w:szCs w:val="28"/>
              </w:rPr>
              <w:t>/Referencing List</w:t>
            </w:r>
            <w:r w:rsidRPr="00206BCE">
              <w:rPr>
                <w:rStyle w:val="apple-converted-space"/>
                <w:rFonts w:asciiTheme="minorHAnsi" w:hAnsiTheme="minorHAnsi" w:cstheme="minorHAnsi"/>
                <w:sz w:val="28"/>
                <w:szCs w:val="28"/>
              </w:rPr>
              <w:t xml:space="preserve"> of an assignment.</w:t>
            </w:r>
          </w:p>
        </w:tc>
      </w:tr>
      <w:tr w:rsidR="00256A32" w14:paraId="1395B4B9" w14:textId="77777777" w:rsidTr="00695659">
        <w:tc>
          <w:tcPr>
            <w:tcW w:w="4424" w:type="dxa"/>
          </w:tcPr>
          <w:p w14:paraId="3092C365" w14:textId="77777777" w:rsidR="00256A32" w:rsidRPr="009E1336" w:rsidRDefault="00256A32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</w:p>
        </w:tc>
        <w:tc>
          <w:tcPr>
            <w:tcW w:w="4592" w:type="dxa"/>
          </w:tcPr>
          <w:p w14:paraId="095EC419" w14:textId="77777777" w:rsidR="00256A32" w:rsidRPr="00F42041" w:rsidRDefault="00256A32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cs="Arial"/>
                <w:sz w:val="20"/>
                <w:szCs w:val="20"/>
              </w:rPr>
            </w:pPr>
          </w:p>
        </w:tc>
      </w:tr>
      <w:tr w:rsidR="00A21D83" w14:paraId="0D6D6ADF" w14:textId="77777777" w:rsidTr="00695659">
        <w:tc>
          <w:tcPr>
            <w:tcW w:w="4424" w:type="dxa"/>
          </w:tcPr>
          <w:p w14:paraId="7142D52D" w14:textId="77777777" w:rsidR="00A21D83" w:rsidRPr="009E1336" w:rsidRDefault="002F3A58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 w:rsidRPr="009E1336">
              <w:rPr>
                <w:rFonts w:asciiTheme="minorHAnsi" w:hAnsiTheme="minorHAnsi"/>
              </w:rPr>
              <w:t xml:space="preserve">According to </w:t>
            </w:r>
            <w:r w:rsidRPr="009E1336">
              <w:rPr>
                <w:rStyle w:val="apple-converted-space"/>
                <w:rFonts w:asciiTheme="minorHAnsi" w:hAnsiTheme="minorHAnsi" w:cs="Arial"/>
              </w:rPr>
              <w:t>Bragg, (1988), after s</w:t>
            </w:r>
            <w:r w:rsidRPr="009E1336">
              <w:rPr>
                <w:rFonts w:asciiTheme="minorHAnsi" w:hAnsiTheme="minorHAnsi"/>
              </w:rPr>
              <w:t>howing acting promise…</w:t>
            </w:r>
          </w:p>
        </w:tc>
        <w:tc>
          <w:tcPr>
            <w:tcW w:w="4592" w:type="dxa"/>
          </w:tcPr>
          <w:p w14:paraId="2BF9137D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rStyle w:val="apple-converted-space"/>
                <w:rFonts w:cs="Arial"/>
                <w:sz w:val="24"/>
                <w:szCs w:val="24"/>
              </w:rPr>
              <w:t xml:space="preserve">Bragg, M. (1988). </w:t>
            </w:r>
            <w:r w:rsidRPr="00C52851">
              <w:rPr>
                <w:i/>
                <w:sz w:val="24"/>
                <w:szCs w:val="24"/>
              </w:rPr>
              <w:t>Rich: The Life of Richard Burton</w:t>
            </w:r>
            <w:r w:rsidRPr="00C52851">
              <w:rPr>
                <w:sz w:val="24"/>
                <w:szCs w:val="24"/>
              </w:rPr>
              <w:t xml:space="preserve">. </w:t>
            </w:r>
            <w:r w:rsidR="00693DCD">
              <w:rPr>
                <w:sz w:val="24"/>
                <w:szCs w:val="24"/>
              </w:rPr>
              <w:t xml:space="preserve">London. </w:t>
            </w:r>
            <w:r w:rsidRPr="00C52851">
              <w:rPr>
                <w:sz w:val="24"/>
                <w:szCs w:val="24"/>
              </w:rPr>
              <w:t>Hodder and Staunton.</w:t>
            </w:r>
          </w:p>
        </w:tc>
      </w:tr>
      <w:tr w:rsidR="00A21D83" w14:paraId="0DF9F9D0" w14:textId="77777777" w:rsidTr="00695659">
        <w:tc>
          <w:tcPr>
            <w:tcW w:w="4424" w:type="dxa"/>
          </w:tcPr>
          <w:p w14:paraId="39A992ED" w14:textId="28C2EAC2" w:rsidR="00A21D83" w:rsidRPr="009E1336" w:rsidRDefault="009E1336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 w:rsidRPr="009E1336">
              <w:rPr>
                <w:rFonts w:asciiTheme="minorHAnsi" w:hAnsiTheme="minorHAnsi"/>
                <w:b/>
                <w:color w:val="FF0000"/>
                <w:u w:val="single"/>
              </w:rPr>
              <w:t>According to Campbell (2002)</w:t>
            </w:r>
            <w:r w:rsidRPr="009E1336">
              <w:rPr>
                <w:rFonts w:asciiTheme="minorHAnsi" w:hAnsiTheme="minorHAnsi"/>
              </w:rPr>
              <w:t>, t</w:t>
            </w:r>
            <w:r w:rsidRPr="009E1336">
              <w:rPr>
                <w:rFonts w:asciiTheme="minorHAnsi" w:hAnsiTheme="minorHAnsi" w:cs="Arial"/>
              </w:rPr>
              <w:t>he population of the town</w:t>
            </w:r>
          </w:p>
        </w:tc>
        <w:tc>
          <w:tcPr>
            <w:tcW w:w="4592" w:type="dxa"/>
          </w:tcPr>
          <w:p w14:paraId="3976647E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Campbell, R. (2002). </w:t>
            </w:r>
            <w:r w:rsidRPr="00C52851">
              <w:rPr>
                <w:i/>
                <w:iCs/>
                <w:sz w:val="24"/>
                <w:szCs w:val="24"/>
                <w:shd w:val="clear" w:color="auto" w:fill="FFFFFF"/>
              </w:rPr>
              <w:t xml:space="preserve">Terfysg Abertawe: a Swansea Riot. </w:t>
            </w:r>
            <w:r w:rsidRPr="00C52851">
              <w:rPr>
                <w:bCs/>
                <w:kern w:val="36"/>
                <w:sz w:val="24"/>
                <w:szCs w:val="24"/>
              </w:rPr>
              <w:t>Cardiff. Robin Campbell. </w:t>
            </w:r>
          </w:p>
        </w:tc>
      </w:tr>
      <w:tr w:rsidR="00A21D83" w14:paraId="72EA06A9" w14:textId="77777777" w:rsidTr="00695659">
        <w:tc>
          <w:tcPr>
            <w:tcW w:w="4424" w:type="dxa"/>
          </w:tcPr>
          <w:p w14:paraId="49F15157" w14:textId="53C1C06B" w:rsidR="00A21D83" w:rsidRPr="009E1336" w:rsidRDefault="00E54700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</w:rPr>
            </w:pPr>
            <w:r w:rsidRPr="00760A2F">
              <w:rPr>
                <w:b/>
                <w:bCs/>
                <w:color w:val="FF0000"/>
              </w:rPr>
              <w:t>According to Crowe (1973, p.1</w:t>
            </w:r>
          </w:p>
        </w:tc>
        <w:tc>
          <w:tcPr>
            <w:tcW w:w="4592" w:type="dxa"/>
          </w:tcPr>
          <w:p w14:paraId="49CA59F6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Crowe, B.J. (1973).  </w:t>
            </w:r>
            <w:r w:rsidRPr="00C52851">
              <w:rPr>
                <w:i/>
                <w:sz w:val="24"/>
                <w:szCs w:val="24"/>
              </w:rPr>
              <w:t>Fuel Cells: A Survey</w:t>
            </w:r>
            <w:r w:rsidRPr="00C52851">
              <w:rPr>
                <w:sz w:val="24"/>
                <w:szCs w:val="24"/>
              </w:rPr>
              <w:t xml:space="preserve">. Washington D.C. Prepared under Contract </w:t>
            </w:r>
            <w:r w:rsidRPr="003A6BD4">
              <w:rPr>
                <w:sz w:val="20"/>
                <w:szCs w:val="20"/>
              </w:rPr>
              <w:t>NASW-2173 Computer Sciences Corporation NATIONAL AERONAUTICS and SPACE ADMINISTRATION.</w:t>
            </w:r>
          </w:p>
        </w:tc>
      </w:tr>
      <w:tr w:rsidR="00A21D83" w14:paraId="0E22BDFF" w14:textId="77777777" w:rsidTr="00695659">
        <w:tc>
          <w:tcPr>
            <w:tcW w:w="4424" w:type="dxa"/>
          </w:tcPr>
          <w:p w14:paraId="170E6880" w14:textId="21C1D269" w:rsidR="00A21D83" w:rsidRPr="009E1336" w:rsidRDefault="00A21D83" w:rsidP="004842A3">
            <w:pPr>
              <w:pStyle w:val="NoSpacing"/>
              <w:jc w:val="both"/>
              <w:rPr>
                <w:rStyle w:val="apple-converted-space"/>
                <w:rFonts w:cs="Arial"/>
                <w:b/>
                <w:sz w:val="24"/>
                <w:szCs w:val="24"/>
              </w:rPr>
            </w:pPr>
          </w:p>
        </w:tc>
        <w:tc>
          <w:tcPr>
            <w:tcW w:w="4592" w:type="dxa"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85"/>
              <w:gridCol w:w="291"/>
            </w:tblGrid>
            <w:tr w:rsidR="00BF4E67" w:rsidRPr="00C52851" w14:paraId="4AF357A9" w14:textId="77777777" w:rsidTr="00952579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BA795" w14:textId="77777777" w:rsidR="00BF4E67" w:rsidRPr="00C52851" w:rsidRDefault="00BF4E67" w:rsidP="00C52851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C52851">
                    <w:rPr>
                      <w:sz w:val="24"/>
                      <w:szCs w:val="24"/>
                    </w:rPr>
                    <w:t>Davies, M. (1962). The tennis rebel (autobiography). London. S. Paul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240" w:type="dxa"/>
                    <w:bottom w:w="0" w:type="dxa"/>
                    <w:right w:w="0" w:type="dxa"/>
                  </w:tcMar>
                  <w:vAlign w:val="center"/>
                </w:tcPr>
                <w:p w14:paraId="05E8B1A2" w14:textId="77777777" w:rsidR="00BF4E67" w:rsidRPr="00C52851" w:rsidRDefault="00BF4E67" w:rsidP="00C52851">
                  <w:pPr>
                    <w:pStyle w:val="NoSpacing"/>
                    <w:rPr>
                      <w:rFonts w:ascii="Arial" w:hAnsi="Arial"/>
                      <w:sz w:val="24"/>
                      <w:szCs w:val="24"/>
                    </w:rPr>
                  </w:pPr>
                </w:p>
              </w:tc>
            </w:tr>
          </w:tbl>
          <w:p w14:paraId="7476D6FE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</w:p>
        </w:tc>
      </w:tr>
      <w:tr w:rsidR="00A21D83" w14:paraId="4D6A1144" w14:textId="77777777" w:rsidTr="00695659">
        <w:tc>
          <w:tcPr>
            <w:tcW w:w="4424" w:type="dxa"/>
          </w:tcPr>
          <w:p w14:paraId="65DF8C84" w14:textId="4C0722A7" w:rsidR="00A21D83" w:rsidRPr="009E1336" w:rsidRDefault="00A21D83" w:rsidP="003A6BD4">
            <w:pPr>
              <w:pStyle w:val="NoSpacing"/>
              <w:jc w:val="both"/>
              <w:rPr>
                <w:rStyle w:val="apple-converted-space"/>
                <w:rFonts w:cs="Arial"/>
                <w:b/>
                <w:sz w:val="24"/>
                <w:szCs w:val="24"/>
              </w:rPr>
            </w:pPr>
          </w:p>
        </w:tc>
        <w:tc>
          <w:tcPr>
            <w:tcW w:w="4592" w:type="dxa"/>
          </w:tcPr>
          <w:p w14:paraId="4C1E9C96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Greenlaw, J. (1999). </w:t>
            </w:r>
            <w:r w:rsidRPr="00C52851">
              <w:rPr>
                <w:i/>
                <w:sz w:val="24"/>
                <w:szCs w:val="24"/>
              </w:rPr>
              <w:t>The Swansea Copper Barques and Cape Horner’s</w:t>
            </w:r>
            <w:r w:rsidRPr="00C52851">
              <w:rPr>
                <w:sz w:val="24"/>
                <w:szCs w:val="24"/>
              </w:rPr>
              <w:t xml:space="preserve">. Joanna Greenlaw. </w:t>
            </w:r>
          </w:p>
        </w:tc>
      </w:tr>
      <w:tr w:rsidR="00A21D83" w14:paraId="54EF7329" w14:textId="77777777" w:rsidTr="00695659">
        <w:tc>
          <w:tcPr>
            <w:tcW w:w="4424" w:type="dxa"/>
          </w:tcPr>
          <w:p w14:paraId="79253152" w14:textId="05737437" w:rsidR="00A21D83" w:rsidRPr="009E1336" w:rsidRDefault="00FA0654" w:rsidP="00C85037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  <w:r w:rsidRPr="00760A2F">
              <w:rPr>
                <w:b/>
                <w:bCs/>
                <w:color w:val="FF0000"/>
              </w:rPr>
              <w:t>Gross (2002) also pointed out that</w:t>
            </w:r>
          </w:p>
        </w:tc>
        <w:tc>
          <w:tcPr>
            <w:tcW w:w="4592" w:type="dxa"/>
          </w:tcPr>
          <w:p w14:paraId="22E20BE7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Gross, J.H. (2002). </w:t>
            </w:r>
            <w:r w:rsidRPr="00C52851">
              <w:rPr>
                <w:i/>
                <w:sz w:val="24"/>
                <w:szCs w:val="24"/>
              </w:rPr>
              <w:t>Fuel Cell Technology in Volume I, Number 2 – July 2002 THE ISSUE</w:t>
            </w:r>
          </w:p>
        </w:tc>
      </w:tr>
      <w:tr w:rsidR="00A21D83" w14:paraId="6F3913A8" w14:textId="77777777" w:rsidTr="00695659">
        <w:tc>
          <w:tcPr>
            <w:tcW w:w="4424" w:type="dxa"/>
          </w:tcPr>
          <w:p w14:paraId="0121C85C" w14:textId="48C9454C" w:rsidR="00A21D83" w:rsidRPr="009E1336" w:rsidRDefault="00A21D83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</w:p>
        </w:tc>
        <w:tc>
          <w:tcPr>
            <w:tcW w:w="4592" w:type="dxa"/>
          </w:tcPr>
          <w:p w14:paraId="08102A72" w14:textId="77777777" w:rsidR="00A21D83" w:rsidRPr="00C52851" w:rsidRDefault="00BF4E67" w:rsidP="00953C88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Harding, N (2014). Online. </w:t>
            </w:r>
            <w:hyperlink r:id="rId6" w:history="1">
              <w:r w:rsidR="00953C88" w:rsidRPr="00E949AA">
                <w:rPr>
                  <w:rStyle w:val="Hyperlink"/>
                  <w:sz w:val="20"/>
                  <w:szCs w:val="20"/>
                </w:rPr>
                <w:t>http://www.telegraph.co.uk/sponsored/travel/wales-dylan-thomas/10833428/swansea-kardomah-cafe.html. (Accessed 21.11.2016</w:t>
              </w:r>
            </w:hyperlink>
            <w:r w:rsidR="0055733A" w:rsidRPr="00953C88">
              <w:rPr>
                <w:sz w:val="20"/>
                <w:szCs w:val="20"/>
              </w:rPr>
              <w:t>)</w:t>
            </w:r>
          </w:p>
        </w:tc>
      </w:tr>
      <w:tr w:rsidR="00A21D83" w14:paraId="5DD607E0" w14:textId="77777777" w:rsidTr="00695659">
        <w:tc>
          <w:tcPr>
            <w:tcW w:w="4424" w:type="dxa"/>
          </w:tcPr>
          <w:p w14:paraId="7BB3FADE" w14:textId="6C744C46" w:rsidR="00A21D83" w:rsidRPr="009E1336" w:rsidRDefault="00A21D83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</w:p>
        </w:tc>
        <w:tc>
          <w:tcPr>
            <w:tcW w:w="4592" w:type="dxa"/>
          </w:tcPr>
          <w:p w14:paraId="42AC0F5C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Harris, J. Snr. (c. 1850). </w:t>
            </w:r>
            <w:r w:rsidRPr="00C52851">
              <w:rPr>
                <w:i/>
                <w:sz w:val="24"/>
                <w:szCs w:val="24"/>
              </w:rPr>
              <w:t>Hafod copper works:  Afon Tawe.</w:t>
            </w:r>
          </w:p>
        </w:tc>
      </w:tr>
      <w:tr w:rsidR="00BF4E67" w14:paraId="70BCDC0D" w14:textId="77777777" w:rsidTr="00695659">
        <w:tc>
          <w:tcPr>
            <w:tcW w:w="4424" w:type="dxa"/>
          </w:tcPr>
          <w:p w14:paraId="76F8F2D7" w14:textId="449F0733" w:rsidR="00BF4E67" w:rsidRPr="009E1336" w:rsidRDefault="00BF4E67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</w:p>
        </w:tc>
        <w:tc>
          <w:tcPr>
            <w:tcW w:w="4592" w:type="dxa"/>
          </w:tcPr>
          <w:p w14:paraId="47891379" w14:textId="77777777"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Miskell, L. (2011). </w:t>
            </w:r>
            <w:r w:rsidRPr="00C52851">
              <w:rPr>
                <w:bCs/>
                <w:i/>
                <w:kern w:val="36"/>
                <w:sz w:val="24"/>
                <w:szCs w:val="24"/>
              </w:rPr>
              <w:t>Intelligent Town: an Urban History of Swansea, 1760-1855</w:t>
            </w:r>
            <w:r w:rsidRPr="00C52851">
              <w:rPr>
                <w:bCs/>
                <w:kern w:val="36"/>
                <w:sz w:val="24"/>
                <w:szCs w:val="24"/>
              </w:rPr>
              <w:t>. Cardiff. University of Wales Press. </w:t>
            </w:r>
          </w:p>
        </w:tc>
      </w:tr>
      <w:tr w:rsidR="00BF4E67" w14:paraId="33C10D1F" w14:textId="77777777" w:rsidTr="00695659">
        <w:tc>
          <w:tcPr>
            <w:tcW w:w="4424" w:type="dxa"/>
          </w:tcPr>
          <w:p w14:paraId="1852C96C" w14:textId="1EDFB453" w:rsidR="00FA20DE" w:rsidRPr="009E1336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  <w:r w:rsidRPr="009E1336">
              <w:rPr>
                <w:rStyle w:val="apple-converted-space"/>
                <w:rFonts w:asciiTheme="minorHAnsi" w:hAnsiTheme="minorHAnsi" w:cstheme="minorHAnsi"/>
                <w:b/>
              </w:rPr>
              <w:t>-</w:t>
            </w:r>
            <w:r w:rsidR="001F0EB2" w:rsidRPr="004D7633">
              <w:rPr>
                <w:b/>
                <w:bCs/>
                <w:color w:val="FF0000"/>
                <w:sz w:val="28"/>
                <w:szCs w:val="28"/>
              </w:rPr>
              <w:t xml:space="preserve"> According to Rees (2005),</w:t>
            </w:r>
            <w:r w:rsidR="001F0EB2" w:rsidRPr="004D7633">
              <w:rPr>
                <w:color w:val="FF0000"/>
                <w:sz w:val="28"/>
                <w:szCs w:val="28"/>
              </w:rPr>
              <w:t xml:space="preserve"> </w:t>
            </w:r>
            <w:r w:rsidR="001F0EB2" w:rsidRPr="007117FE">
              <w:rPr>
                <w:sz w:val="28"/>
                <w:szCs w:val="28"/>
              </w:rPr>
              <w:t>following experiments in the basement</w:t>
            </w:r>
          </w:p>
          <w:p w14:paraId="3B0600E3" w14:textId="77777777" w:rsidR="000F16C4" w:rsidRPr="009E1336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</w:p>
          <w:p w14:paraId="705CD755" w14:textId="7E8061FE" w:rsidR="000F16C4" w:rsidRPr="009E1336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  <w:r w:rsidRPr="009E1336">
              <w:rPr>
                <w:rStyle w:val="apple-converted-space"/>
                <w:rFonts w:asciiTheme="minorHAnsi" w:hAnsiTheme="minorHAnsi" w:cstheme="minorHAnsi"/>
                <w:b/>
              </w:rPr>
              <w:t>-</w:t>
            </w:r>
          </w:p>
          <w:p w14:paraId="1E3C45C3" w14:textId="094D0051" w:rsidR="000E603E" w:rsidRPr="009E1336" w:rsidRDefault="000E603E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</w:p>
          <w:p w14:paraId="717C365B" w14:textId="1495F5D1" w:rsidR="000F16C4" w:rsidRPr="009E1336" w:rsidRDefault="000E603E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  <w:r w:rsidRPr="009E1336">
              <w:rPr>
                <w:rStyle w:val="apple-converted-space"/>
                <w:rFonts w:asciiTheme="minorHAnsi" w:hAnsiTheme="minorHAnsi" w:cstheme="minorHAnsi"/>
                <w:b/>
              </w:rPr>
              <w:t>-</w:t>
            </w:r>
          </w:p>
          <w:p w14:paraId="453E4023" w14:textId="77777777" w:rsidR="000F16C4" w:rsidRPr="009E1336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theme="minorHAnsi"/>
                <w:b/>
              </w:rPr>
            </w:pPr>
          </w:p>
        </w:tc>
        <w:tc>
          <w:tcPr>
            <w:tcW w:w="4592" w:type="dxa"/>
          </w:tcPr>
          <w:p w14:paraId="002F5AF5" w14:textId="77777777"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Rees, R. (2005). </w:t>
            </w:r>
            <w:r w:rsidRPr="00C52851">
              <w:rPr>
                <w:i/>
                <w:sz w:val="24"/>
                <w:szCs w:val="24"/>
              </w:rPr>
              <w:t>Heroic Science: Swansea and the Royal Institution of South Wales 1835-1865</w:t>
            </w:r>
            <w:r w:rsidRPr="00C52851">
              <w:rPr>
                <w:sz w:val="24"/>
                <w:szCs w:val="24"/>
              </w:rPr>
              <w:t>. London. Heinemann.</w:t>
            </w:r>
          </w:p>
        </w:tc>
      </w:tr>
    </w:tbl>
    <w:p w14:paraId="102126DF" w14:textId="77777777" w:rsidR="00F347C0" w:rsidRPr="00F42041" w:rsidRDefault="00F347C0" w:rsidP="00F347C0">
      <w:pPr>
        <w:pStyle w:val="NoSpacing"/>
        <w:spacing w:line="360" w:lineRule="auto"/>
        <w:jc w:val="both"/>
        <w:rPr>
          <w:sz w:val="20"/>
          <w:szCs w:val="20"/>
          <w:lang w:eastAsia="en-GB"/>
        </w:rPr>
      </w:pPr>
    </w:p>
    <w:p w14:paraId="62DCFB3F" w14:textId="77777777" w:rsidR="00F347C0" w:rsidRPr="00F42041" w:rsidRDefault="00F347C0" w:rsidP="00F347C0">
      <w:pPr>
        <w:pStyle w:val="NoSpacing"/>
        <w:jc w:val="both"/>
        <w:rPr>
          <w:sz w:val="20"/>
          <w:szCs w:val="20"/>
        </w:rPr>
      </w:pPr>
    </w:p>
    <w:p w14:paraId="529F8F9B" w14:textId="77777777" w:rsidR="00F347C0" w:rsidRPr="00F42041" w:rsidRDefault="00F347C0" w:rsidP="00F347C0">
      <w:pPr>
        <w:pStyle w:val="NoSpacing"/>
        <w:jc w:val="both"/>
        <w:rPr>
          <w:sz w:val="20"/>
          <w:szCs w:val="20"/>
        </w:rPr>
      </w:pPr>
    </w:p>
    <w:p w14:paraId="4E55007A" w14:textId="77777777" w:rsidR="003C5AF5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p w14:paraId="2E0039FD" w14:textId="77777777" w:rsidR="003C5AF5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p w14:paraId="59BD6771" w14:textId="77777777" w:rsidR="003C5AF5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p w14:paraId="52362D4C" w14:textId="77777777" w:rsidR="003C5AF5" w:rsidRPr="00F42041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sectPr w:rsidR="003C5AF5" w:rsidRPr="00F4204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1BF34" w14:textId="77777777" w:rsidR="00F53B9B" w:rsidRDefault="00F53B9B" w:rsidP="004A462F">
      <w:pPr>
        <w:spacing w:after="0" w:line="240" w:lineRule="auto"/>
      </w:pPr>
      <w:r>
        <w:separator/>
      </w:r>
    </w:p>
  </w:endnote>
  <w:endnote w:type="continuationSeparator" w:id="0">
    <w:p w14:paraId="68911F21" w14:textId="77777777" w:rsidR="00F53B9B" w:rsidRDefault="00F53B9B" w:rsidP="004A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07546" w14:textId="77777777" w:rsidR="00F74B7E" w:rsidRPr="00F74B7E" w:rsidRDefault="0051385E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F74B7E">
      <w:rPr>
        <w:sz w:val="20"/>
        <w:szCs w:val="20"/>
      </w:rPr>
      <w:t>© 2017 David C. Williams</w:t>
    </w:r>
  </w:p>
  <w:p w14:paraId="2AEFE622" w14:textId="77777777" w:rsidR="00071728" w:rsidRDefault="00FA06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F0450" w14:textId="77777777" w:rsidR="00F53B9B" w:rsidRDefault="00F53B9B" w:rsidP="004A462F">
      <w:pPr>
        <w:spacing w:after="0" w:line="240" w:lineRule="auto"/>
      </w:pPr>
      <w:r>
        <w:separator/>
      </w:r>
    </w:p>
  </w:footnote>
  <w:footnote w:type="continuationSeparator" w:id="0">
    <w:p w14:paraId="25024424" w14:textId="77777777" w:rsidR="00F53B9B" w:rsidRDefault="00F53B9B" w:rsidP="004A4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2C13F" w14:textId="77777777" w:rsidR="003E05F8" w:rsidRDefault="004A462F" w:rsidP="006B31CA">
    <w:pPr>
      <w:pStyle w:val="NoSpacing"/>
    </w:pPr>
    <w:r w:rsidRPr="003E05F8">
      <w:rPr>
        <w:b/>
        <w:sz w:val="32"/>
        <w:szCs w:val="32"/>
      </w:rPr>
      <w:t xml:space="preserve">References vs. </w:t>
    </w:r>
    <w:r w:rsidR="003E05F8" w:rsidRPr="003E05F8">
      <w:rPr>
        <w:b/>
        <w:sz w:val="32"/>
        <w:szCs w:val="32"/>
      </w:rPr>
      <w:t>Bibliographies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7C0"/>
    <w:rsid w:val="000017FF"/>
    <w:rsid w:val="00001AFF"/>
    <w:rsid w:val="00025093"/>
    <w:rsid w:val="00032E90"/>
    <w:rsid w:val="00035ECF"/>
    <w:rsid w:val="000367E8"/>
    <w:rsid w:val="00037D91"/>
    <w:rsid w:val="00040173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7623"/>
    <w:rsid w:val="000A40CC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E603E"/>
    <w:rsid w:val="000F16C4"/>
    <w:rsid w:val="000F3817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660A3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4EEC"/>
    <w:rsid w:val="001E6BC7"/>
    <w:rsid w:val="001F0D10"/>
    <w:rsid w:val="001F0EB2"/>
    <w:rsid w:val="001F23CA"/>
    <w:rsid w:val="001F2F03"/>
    <w:rsid w:val="001F3EDC"/>
    <w:rsid w:val="001F7B17"/>
    <w:rsid w:val="00201F45"/>
    <w:rsid w:val="002063AB"/>
    <w:rsid w:val="00206BCE"/>
    <w:rsid w:val="0022222D"/>
    <w:rsid w:val="00222CE7"/>
    <w:rsid w:val="002237BC"/>
    <w:rsid w:val="00231C38"/>
    <w:rsid w:val="002320B9"/>
    <w:rsid w:val="002362BD"/>
    <w:rsid w:val="00236F57"/>
    <w:rsid w:val="00237EA3"/>
    <w:rsid w:val="00243837"/>
    <w:rsid w:val="00245FFD"/>
    <w:rsid w:val="00253882"/>
    <w:rsid w:val="002562C4"/>
    <w:rsid w:val="00256A32"/>
    <w:rsid w:val="00257D13"/>
    <w:rsid w:val="002623B9"/>
    <w:rsid w:val="00262BA2"/>
    <w:rsid w:val="00275FA6"/>
    <w:rsid w:val="00282914"/>
    <w:rsid w:val="00285FAC"/>
    <w:rsid w:val="00290CDC"/>
    <w:rsid w:val="0029220E"/>
    <w:rsid w:val="00294E05"/>
    <w:rsid w:val="002A0408"/>
    <w:rsid w:val="002B1D6E"/>
    <w:rsid w:val="002B43A2"/>
    <w:rsid w:val="002B5B72"/>
    <w:rsid w:val="002B748A"/>
    <w:rsid w:val="002D31B8"/>
    <w:rsid w:val="002D4902"/>
    <w:rsid w:val="002D6EBE"/>
    <w:rsid w:val="002F1A40"/>
    <w:rsid w:val="002F3A58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2A88"/>
    <w:rsid w:val="00383F1D"/>
    <w:rsid w:val="0038535A"/>
    <w:rsid w:val="0038561C"/>
    <w:rsid w:val="003A22E8"/>
    <w:rsid w:val="003A25EA"/>
    <w:rsid w:val="003A6BD4"/>
    <w:rsid w:val="003B393A"/>
    <w:rsid w:val="003C5AF5"/>
    <w:rsid w:val="003C6023"/>
    <w:rsid w:val="003D416C"/>
    <w:rsid w:val="003E05F8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57B8"/>
    <w:rsid w:val="00475B67"/>
    <w:rsid w:val="00477C32"/>
    <w:rsid w:val="004818CA"/>
    <w:rsid w:val="00483C63"/>
    <w:rsid w:val="004842A3"/>
    <w:rsid w:val="004867E0"/>
    <w:rsid w:val="004868AC"/>
    <w:rsid w:val="0048744A"/>
    <w:rsid w:val="004903D9"/>
    <w:rsid w:val="004A4047"/>
    <w:rsid w:val="004A462F"/>
    <w:rsid w:val="004B22E7"/>
    <w:rsid w:val="004B274A"/>
    <w:rsid w:val="004B3EBD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722"/>
    <w:rsid w:val="005128AE"/>
    <w:rsid w:val="00512D7B"/>
    <w:rsid w:val="0051385E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5733A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D1E58"/>
    <w:rsid w:val="005E0F2E"/>
    <w:rsid w:val="005E4275"/>
    <w:rsid w:val="005E7A7A"/>
    <w:rsid w:val="005F1A7B"/>
    <w:rsid w:val="0060511D"/>
    <w:rsid w:val="00606F43"/>
    <w:rsid w:val="00610B31"/>
    <w:rsid w:val="00610DAC"/>
    <w:rsid w:val="00617F33"/>
    <w:rsid w:val="00623FF3"/>
    <w:rsid w:val="00626A95"/>
    <w:rsid w:val="00626E92"/>
    <w:rsid w:val="006302C3"/>
    <w:rsid w:val="0063156C"/>
    <w:rsid w:val="006362B2"/>
    <w:rsid w:val="00636F55"/>
    <w:rsid w:val="006430DE"/>
    <w:rsid w:val="00653198"/>
    <w:rsid w:val="006570A7"/>
    <w:rsid w:val="006629B8"/>
    <w:rsid w:val="00670A63"/>
    <w:rsid w:val="00675B38"/>
    <w:rsid w:val="00690335"/>
    <w:rsid w:val="00692DC6"/>
    <w:rsid w:val="00693DCD"/>
    <w:rsid w:val="00695659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EFA"/>
    <w:rsid w:val="00796596"/>
    <w:rsid w:val="0079674D"/>
    <w:rsid w:val="007A2FA2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6969"/>
    <w:rsid w:val="00807C18"/>
    <w:rsid w:val="0081184D"/>
    <w:rsid w:val="00811C6D"/>
    <w:rsid w:val="00813331"/>
    <w:rsid w:val="0081397A"/>
    <w:rsid w:val="00813D22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87D4F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479C"/>
    <w:rsid w:val="009370EC"/>
    <w:rsid w:val="0093761C"/>
    <w:rsid w:val="00937D05"/>
    <w:rsid w:val="00942966"/>
    <w:rsid w:val="00953C88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D6B64"/>
    <w:rsid w:val="009E1256"/>
    <w:rsid w:val="009E1336"/>
    <w:rsid w:val="009F0453"/>
    <w:rsid w:val="009F1C13"/>
    <w:rsid w:val="009F62FA"/>
    <w:rsid w:val="00A038CA"/>
    <w:rsid w:val="00A10EB2"/>
    <w:rsid w:val="00A110B0"/>
    <w:rsid w:val="00A17CB7"/>
    <w:rsid w:val="00A17E80"/>
    <w:rsid w:val="00A21D83"/>
    <w:rsid w:val="00A30C9D"/>
    <w:rsid w:val="00A3111A"/>
    <w:rsid w:val="00A31542"/>
    <w:rsid w:val="00A33C03"/>
    <w:rsid w:val="00A41D75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37967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C4AB8"/>
    <w:rsid w:val="00BD782C"/>
    <w:rsid w:val="00BE54A4"/>
    <w:rsid w:val="00BF06B8"/>
    <w:rsid w:val="00BF4E67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51"/>
    <w:rsid w:val="00C528E9"/>
    <w:rsid w:val="00C54C0B"/>
    <w:rsid w:val="00C56899"/>
    <w:rsid w:val="00C63E4A"/>
    <w:rsid w:val="00C650F0"/>
    <w:rsid w:val="00C65812"/>
    <w:rsid w:val="00C66FD7"/>
    <w:rsid w:val="00C741F8"/>
    <w:rsid w:val="00C85037"/>
    <w:rsid w:val="00C9029B"/>
    <w:rsid w:val="00C919F6"/>
    <w:rsid w:val="00C93318"/>
    <w:rsid w:val="00CA384B"/>
    <w:rsid w:val="00CC3D9F"/>
    <w:rsid w:val="00CC45C6"/>
    <w:rsid w:val="00CC5F43"/>
    <w:rsid w:val="00CC795F"/>
    <w:rsid w:val="00CD187D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CF35B9"/>
    <w:rsid w:val="00D01ACC"/>
    <w:rsid w:val="00D02647"/>
    <w:rsid w:val="00D027D1"/>
    <w:rsid w:val="00D05DF8"/>
    <w:rsid w:val="00D135E6"/>
    <w:rsid w:val="00D43B38"/>
    <w:rsid w:val="00D53B3F"/>
    <w:rsid w:val="00D6119D"/>
    <w:rsid w:val="00D61296"/>
    <w:rsid w:val="00D61EFE"/>
    <w:rsid w:val="00D635E6"/>
    <w:rsid w:val="00D6698E"/>
    <w:rsid w:val="00D66EFC"/>
    <w:rsid w:val="00D67027"/>
    <w:rsid w:val="00D67BA0"/>
    <w:rsid w:val="00D74E4E"/>
    <w:rsid w:val="00D77219"/>
    <w:rsid w:val="00D7737B"/>
    <w:rsid w:val="00D92CAE"/>
    <w:rsid w:val="00D97892"/>
    <w:rsid w:val="00DA1F52"/>
    <w:rsid w:val="00DA2A10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20994"/>
    <w:rsid w:val="00E27432"/>
    <w:rsid w:val="00E41AB6"/>
    <w:rsid w:val="00E444C2"/>
    <w:rsid w:val="00E54700"/>
    <w:rsid w:val="00E547A9"/>
    <w:rsid w:val="00E60998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2B99"/>
    <w:rsid w:val="00EC037D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4A49"/>
    <w:rsid w:val="00F25CBE"/>
    <w:rsid w:val="00F26210"/>
    <w:rsid w:val="00F306FB"/>
    <w:rsid w:val="00F347C0"/>
    <w:rsid w:val="00F352CA"/>
    <w:rsid w:val="00F359F7"/>
    <w:rsid w:val="00F3645F"/>
    <w:rsid w:val="00F37ED9"/>
    <w:rsid w:val="00F43974"/>
    <w:rsid w:val="00F45A29"/>
    <w:rsid w:val="00F47E18"/>
    <w:rsid w:val="00F518B6"/>
    <w:rsid w:val="00F51963"/>
    <w:rsid w:val="00F51C75"/>
    <w:rsid w:val="00F53B9B"/>
    <w:rsid w:val="00F609BB"/>
    <w:rsid w:val="00F76984"/>
    <w:rsid w:val="00F779CD"/>
    <w:rsid w:val="00F826E9"/>
    <w:rsid w:val="00F9472E"/>
    <w:rsid w:val="00F96C36"/>
    <w:rsid w:val="00FA0654"/>
    <w:rsid w:val="00FA20DE"/>
    <w:rsid w:val="00FA75AB"/>
    <w:rsid w:val="00FA7E6B"/>
    <w:rsid w:val="00FB0BE0"/>
    <w:rsid w:val="00FB2742"/>
    <w:rsid w:val="00FB3197"/>
    <w:rsid w:val="00FC264D"/>
    <w:rsid w:val="00FD0091"/>
    <w:rsid w:val="00FD0CD2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3454C"/>
  <w15:chartTrackingRefBased/>
  <w15:docId w15:val="{658EEEDC-3747-4F87-BC17-70D95775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7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47C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3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F347C0"/>
  </w:style>
  <w:style w:type="character" w:styleId="Hyperlink">
    <w:name w:val="Hyperlink"/>
    <w:basedOn w:val="DefaultParagraphFont"/>
    <w:uiPriority w:val="99"/>
    <w:unhideWhenUsed/>
    <w:rsid w:val="00F347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7C0"/>
  </w:style>
  <w:style w:type="paragraph" w:styleId="Footer">
    <w:name w:val="footer"/>
    <w:basedOn w:val="Normal"/>
    <w:link w:val="Foot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7C0"/>
  </w:style>
  <w:style w:type="table" w:styleId="TableGrid">
    <w:name w:val="Table Grid"/>
    <w:basedOn w:val="TableNormal"/>
    <w:uiPriority w:val="39"/>
    <w:rsid w:val="00A21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legraph.co.uk/sponsored/travel/wales-dylan-thomas/10833428/swansea-kardomah-cafe.html.%20(Accessed%2021.11.201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15</cp:revision>
  <cp:lastPrinted>2017-03-06T11:27:00Z</cp:lastPrinted>
  <dcterms:created xsi:type="dcterms:W3CDTF">2018-11-05T14:49:00Z</dcterms:created>
  <dcterms:modified xsi:type="dcterms:W3CDTF">2023-03-03T16:47:00Z</dcterms:modified>
</cp:coreProperties>
</file>