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9A1F92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A1A8E">
              <w:rPr>
                <w:rFonts w:ascii="Times New Roman" w:hAnsi="Times New Roman" w:cs="Times New Roman"/>
                <w:b/>
                <w:color w:val="auto"/>
                <w:sz w:val="48"/>
              </w:rPr>
              <w:t>Melany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90A250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616B7">
              <w:rPr>
                <w:rFonts w:ascii="Times New Roman" w:hAnsi="Times New Roman" w:cs="Times New Roman"/>
                <w:b/>
                <w:sz w:val="48"/>
              </w:rPr>
              <w:t xml:space="preserve"> </w:t>
            </w:r>
            <w:r w:rsidR="00F616B7">
              <w:rPr>
                <w:rFonts w:ascii="Times New Roman" w:hAnsi="Times New Roman" w:cs="Times New Roman"/>
                <w:b/>
                <w:sz w:val="48"/>
              </w:rPr>
              <w:t>2237965@student.uwtsd.ac.uk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0D45F25" w14:textId="77777777" w:rsidR="00F616B7" w:rsidRPr="005D3F07" w:rsidRDefault="00F616B7" w:rsidP="00F616B7">
            <w:pPr>
              <w:ind w:right="-957"/>
              <w:rPr>
                <w:rFonts w:ascii="Times New Roman" w:hAnsi="Times New Roman" w:cs="Times New Roman"/>
                <w:b/>
                <w:sz w:val="48"/>
              </w:rPr>
            </w:pPr>
            <w:r>
              <w:rPr>
                <w:rFonts w:ascii="Times New Roman" w:hAnsi="Times New Roman" w:cs="Times New Roman"/>
                <w:b/>
                <w:sz w:val="48"/>
              </w:rPr>
              <w:t>2237965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FBBCFA0" w14:textId="328EC2AF" w:rsidR="006108C9"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r w:rsidR="00A74ABD">
              <w:rPr>
                <w:sz w:val="24"/>
                <w:szCs w:val="24"/>
              </w:rPr>
              <w:t xml:space="preserve"> </w:t>
            </w:r>
          </w:p>
          <w:p w14:paraId="23DBDA6C" w14:textId="77777777" w:rsidR="007B60D3" w:rsidRDefault="007B60D3" w:rsidP="00FF7EBB">
            <w:pPr>
              <w:jc w:val="both"/>
              <w:rPr>
                <w:color w:val="040C28"/>
                <w:sz w:val="24"/>
                <w:szCs w:val="24"/>
              </w:rPr>
            </w:pPr>
          </w:p>
          <w:p w14:paraId="456D95E8" w14:textId="77777777" w:rsidR="00A14077" w:rsidRDefault="00A14077" w:rsidP="007C502B">
            <w:pPr>
              <w:jc w:val="both"/>
              <w:rPr>
                <w:color w:val="040C28"/>
                <w:sz w:val="24"/>
                <w:szCs w:val="24"/>
              </w:rPr>
            </w:pPr>
          </w:p>
          <w:p w14:paraId="11C7F8C0" w14:textId="77777777" w:rsidR="00B9138A" w:rsidRPr="00743E29" w:rsidRDefault="00B9138A" w:rsidP="00B9138A">
            <w:pPr>
              <w:rPr>
                <w:i/>
                <w:iCs/>
                <w:color w:val="040C28"/>
                <w:sz w:val="24"/>
                <w:szCs w:val="24"/>
              </w:rPr>
            </w:pPr>
            <w:bookmarkStart w:id="0" w:name="_Hlk157715545"/>
            <w:r w:rsidRPr="00743E29">
              <w:rPr>
                <w:i/>
                <w:iCs/>
                <w:color w:val="040C28"/>
                <w:sz w:val="24"/>
                <w:szCs w:val="24"/>
              </w:rPr>
              <w:t>‘Safeguarding is about protecting children and adults from abuse or neglect and educating those around them to recognise the signs and dangers’ (</w:t>
            </w:r>
            <w:proofErr w:type="spellStart"/>
            <w:r w:rsidRPr="00743E29">
              <w:rPr>
                <w:i/>
                <w:iCs/>
                <w:color w:val="040C28"/>
                <w:sz w:val="24"/>
                <w:szCs w:val="24"/>
              </w:rPr>
              <w:t>socialcare.wales</w:t>
            </w:r>
            <w:proofErr w:type="spellEnd"/>
            <w:r w:rsidRPr="00743E29">
              <w:rPr>
                <w:i/>
                <w:iCs/>
                <w:color w:val="040C28"/>
                <w:sz w:val="24"/>
                <w:szCs w:val="24"/>
              </w:rPr>
              <w:t>)</w:t>
            </w:r>
          </w:p>
          <w:p w14:paraId="3F9E98F2" w14:textId="77777777" w:rsidR="00B9138A" w:rsidRPr="00BD3E67" w:rsidRDefault="00B9138A" w:rsidP="00B9138A">
            <w:pPr>
              <w:jc w:val="center"/>
              <w:rPr>
                <w:i/>
                <w:iCs/>
                <w:color w:val="040C28"/>
                <w:sz w:val="24"/>
                <w:szCs w:val="24"/>
                <w:highlight w:val="lightGray"/>
              </w:rPr>
            </w:pPr>
          </w:p>
          <w:p w14:paraId="425E426C" w14:textId="632B2D62" w:rsidR="00B9138A" w:rsidRPr="000600CD" w:rsidRDefault="00B9138A" w:rsidP="00B9138A">
            <w:pPr>
              <w:jc w:val="both"/>
              <w:rPr>
                <w:color w:val="040C28"/>
                <w:sz w:val="24"/>
                <w:szCs w:val="24"/>
              </w:rPr>
            </w:pPr>
            <w:r w:rsidRPr="000600CD">
              <w:rPr>
                <w:color w:val="040C28"/>
                <w:sz w:val="24"/>
                <w:szCs w:val="24"/>
              </w:rPr>
              <w:t>The Human Rights Act 1998 (Equality and Human Rights Commission, 2021) sets out the fundamental rights and freedoms that everyone in the UK is entitled to. The articles include a</w:t>
            </w:r>
            <w:r w:rsidR="00A90ACC">
              <w:rPr>
                <w:color w:val="040C28"/>
                <w:sz w:val="24"/>
                <w:szCs w:val="24"/>
              </w:rPr>
              <w:t xml:space="preserve"> </w:t>
            </w:r>
            <w:r w:rsidRPr="000600CD">
              <w:rPr>
                <w:color w:val="040C28"/>
                <w:sz w:val="24"/>
                <w:szCs w:val="24"/>
              </w:rPr>
              <w:t>right to life and the right not to be treated in an inhuman or degrading way.</w:t>
            </w:r>
          </w:p>
          <w:p w14:paraId="35270027" w14:textId="77777777" w:rsidR="00B9138A" w:rsidRPr="000600CD" w:rsidRDefault="00B9138A" w:rsidP="00B9138A">
            <w:pPr>
              <w:jc w:val="both"/>
              <w:rPr>
                <w:color w:val="040C28"/>
                <w:sz w:val="24"/>
                <w:szCs w:val="24"/>
              </w:rPr>
            </w:pPr>
          </w:p>
          <w:p w14:paraId="343DA69E" w14:textId="77777777" w:rsidR="00B9138A" w:rsidRPr="000600CD" w:rsidRDefault="00B9138A" w:rsidP="00B9138A">
            <w:pPr>
              <w:jc w:val="both"/>
              <w:rPr>
                <w:color w:val="040C28"/>
                <w:sz w:val="24"/>
                <w:szCs w:val="24"/>
              </w:rPr>
            </w:pPr>
            <w:r w:rsidRPr="000600CD">
              <w:rPr>
                <w:color w:val="040C28"/>
                <w:sz w:val="24"/>
                <w:szCs w:val="24"/>
              </w:rPr>
              <w:t>Prior to 2015, services to people in need of care and support were regulated through many different legislations, that proved difficult to manage.</w:t>
            </w:r>
          </w:p>
          <w:p w14:paraId="3C2DDC0E" w14:textId="77777777" w:rsidR="00B9138A" w:rsidRPr="000600CD" w:rsidRDefault="00B9138A" w:rsidP="00B9138A">
            <w:pPr>
              <w:jc w:val="both"/>
              <w:rPr>
                <w:color w:val="040C28"/>
                <w:sz w:val="24"/>
                <w:szCs w:val="24"/>
              </w:rPr>
            </w:pPr>
          </w:p>
          <w:p w14:paraId="465FEB10" w14:textId="77777777" w:rsidR="00B9138A" w:rsidRPr="000600CD" w:rsidRDefault="00B9138A" w:rsidP="00B9138A">
            <w:pPr>
              <w:jc w:val="both"/>
              <w:rPr>
                <w:color w:val="040C28"/>
                <w:sz w:val="24"/>
                <w:szCs w:val="24"/>
              </w:rPr>
            </w:pPr>
            <w:r w:rsidRPr="000600CD">
              <w:rPr>
                <w:color w:val="040C28"/>
                <w:sz w:val="24"/>
                <w:szCs w:val="24"/>
              </w:rPr>
              <w:t>The Care Act 2014 (GOV.UK, 2014) was implemented nationally in 2015 for England and Wales. A clear legal framework was set out for how Local Authorities should protect those at risk of harm. The Local Authority’s responsibilities for adult safeguarding were strengthened and developed under the Act. It also placed a responsibility on the Local Authority to establish a Safeguarding Adults Board who would develop, share, and implement a joint safeguarding strategy (SCIE, n.d.)</w:t>
            </w:r>
          </w:p>
          <w:p w14:paraId="68C9A6D1" w14:textId="77777777" w:rsidR="00B9138A" w:rsidRPr="000600CD" w:rsidRDefault="00B9138A" w:rsidP="00B9138A">
            <w:pPr>
              <w:jc w:val="both"/>
              <w:rPr>
                <w:color w:val="040C28"/>
                <w:sz w:val="24"/>
                <w:szCs w:val="24"/>
              </w:rPr>
            </w:pPr>
          </w:p>
          <w:p w14:paraId="1B11903F" w14:textId="77777777" w:rsidR="00B9138A" w:rsidRDefault="00B9138A" w:rsidP="00B9138A">
            <w:pPr>
              <w:jc w:val="both"/>
              <w:rPr>
                <w:color w:val="040C28"/>
                <w:sz w:val="24"/>
                <w:szCs w:val="24"/>
              </w:rPr>
            </w:pPr>
            <w:r w:rsidRPr="000600CD">
              <w:rPr>
                <w:color w:val="040C28"/>
                <w:sz w:val="24"/>
                <w:szCs w:val="24"/>
              </w:rPr>
              <w:t>In 2016, The Social Services and Well-being (Wales) Act 2014 (SSWBA) was introduced in Wales. This act provides the legislative framework for safeguarding adults in Wales. Local Health Boards and the NHS Trusts are statutory relevant safeguarding partners under the Act.</w:t>
            </w:r>
            <w:r>
              <w:rPr>
                <w:color w:val="040C28"/>
                <w:sz w:val="24"/>
                <w:szCs w:val="24"/>
              </w:rPr>
              <w:t xml:space="preserve"> </w:t>
            </w:r>
          </w:p>
          <w:p w14:paraId="0BD77F15" w14:textId="77777777" w:rsidR="00B9138A" w:rsidRDefault="00B9138A" w:rsidP="00B9138A">
            <w:pPr>
              <w:jc w:val="both"/>
              <w:rPr>
                <w:color w:val="040C28"/>
                <w:sz w:val="24"/>
                <w:szCs w:val="24"/>
              </w:rPr>
            </w:pPr>
          </w:p>
          <w:p w14:paraId="6532F2F6" w14:textId="04BEB1D3" w:rsidR="00B9138A" w:rsidRPr="00234A91" w:rsidRDefault="00B9138A" w:rsidP="00B9138A">
            <w:pPr>
              <w:jc w:val="both"/>
              <w:rPr>
                <w:color w:val="040C28"/>
                <w:sz w:val="24"/>
                <w:szCs w:val="24"/>
              </w:rPr>
            </w:pPr>
            <w:r w:rsidRPr="000600CD">
              <w:rPr>
                <w:color w:val="040C28"/>
                <w:sz w:val="24"/>
                <w:szCs w:val="24"/>
              </w:rPr>
              <w:t xml:space="preserve">Part 7 of the SSWBA (2014) relates to safeguarding. It defines “adult at risk” as an individual who is at risk of abuse or neglect; has care and support needs and as a result cannot protect themselves against the abuse or risk </w:t>
            </w:r>
            <w:r w:rsidRPr="00AB5920">
              <w:rPr>
                <w:color w:val="040C28"/>
                <w:sz w:val="24"/>
                <w:szCs w:val="24"/>
              </w:rPr>
              <w:t>of it (Section 126 of SSWBA 2014) similarly</w:t>
            </w:r>
            <w:r w:rsidRPr="000600CD">
              <w:rPr>
                <w:color w:val="040C28"/>
                <w:sz w:val="24"/>
                <w:szCs w:val="24"/>
              </w:rPr>
              <w:t xml:space="preserve"> to The Care Act </w:t>
            </w:r>
            <w:r w:rsidR="00CE6F24">
              <w:rPr>
                <w:color w:val="040C28"/>
                <w:sz w:val="24"/>
                <w:szCs w:val="24"/>
              </w:rPr>
              <w:t>(</w:t>
            </w:r>
            <w:r w:rsidRPr="000600CD">
              <w:rPr>
                <w:color w:val="040C28"/>
                <w:sz w:val="24"/>
                <w:szCs w:val="24"/>
              </w:rPr>
              <w:t>2014</w:t>
            </w:r>
            <w:r w:rsidR="00CE6F24">
              <w:rPr>
                <w:color w:val="040C28"/>
                <w:sz w:val="24"/>
                <w:szCs w:val="24"/>
              </w:rPr>
              <w:t>)</w:t>
            </w:r>
            <w:r w:rsidRPr="000600CD">
              <w:rPr>
                <w:color w:val="040C28"/>
                <w:sz w:val="24"/>
                <w:szCs w:val="24"/>
              </w:rPr>
              <w:t xml:space="preserve">. Factors that may identify adults as at risk of harm, neglect or abuse can include; </w:t>
            </w:r>
            <w:r w:rsidRPr="00234A91">
              <w:rPr>
                <w:color w:val="040C28"/>
                <w:sz w:val="24"/>
                <w:szCs w:val="24"/>
              </w:rPr>
              <w:t>no explanation for injuries</w:t>
            </w:r>
            <w:r w:rsidRPr="000600CD">
              <w:rPr>
                <w:color w:val="040C28"/>
                <w:sz w:val="24"/>
                <w:szCs w:val="24"/>
              </w:rPr>
              <w:t>,</w:t>
            </w:r>
            <w:r w:rsidRPr="00234A91">
              <w:rPr>
                <w:color w:val="040C28"/>
                <w:sz w:val="24"/>
                <w:szCs w:val="24"/>
              </w:rPr>
              <w:t xml:space="preserve"> inconsistency with the account of what happened</w:t>
            </w:r>
            <w:r w:rsidRPr="000600CD">
              <w:rPr>
                <w:color w:val="040C28"/>
                <w:sz w:val="24"/>
                <w:szCs w:val="24"/>
              </w:rPr>
              <w:t xml:space="preserve">, </w:t>
            </w:r>
            <w:r w:rsidRPr="00234A91">
              <w:rPr>
                <w:color w:val="040C28"/>
                <w:sz w:val="24"/>
                <w:szCs w:val="24"/>
              </w:rPr>
              <w:t>subdued or changed behaviour</w:t>
            </w:r>
            <w:r w:rsidRPr="000600CD">
              <w:rPr>
                <w:color w:val="040C28"/>
                <w:sz w:val="24"/>
                <w:szCs w:val="24"/>
              </w:rPr>
              <w:t xml:space="preserve">, </w:t>
            </w:r>
            <w:r w:rsidRPr="00234A91">
              <w:rPr>
                <w:color w:val="040C28"/>
                <w:sz w:val="24"/>
                <w:szCs w:val="24"/>
              </w:rPr>
              <w:t>withdrawal or change in the psychological state of the person</w:t>
            </w:r>
            <w:r w:rsidRPr="000600CD">
              <w:rPr>
                <w:color w:val="040C28"/>
                <w:sz w:val="24"/>
                <w:szCs w:val="24"/>
              </w:rPr>
              <w:t xml:space="preserve"> (</w:t>
            </w:r>
            <w:proofErr w:type="spellStart"/>
            <w:r w:rsidRPr="000600CD">
              <w:rPr>
                <w:color w:val="040C28"/>
                <w:sz w:val="24"/>
                <w:szCs w:val="24"/>
              </w:rPr>
              <w:t>safeguarding.wales</w:t>
            </w:r>
            <w:proofErr w:type="spellEnd"/>
            <w:r w:rsidRPr="000600CD">
              <w:rPr>
                <w:color w:val="040C28"/>
                <w:sz w:val="24"/>
                <w:szCs w:val="24"/>
              </w:rPr>
              <w:t>)</w:t>
            </w:r>
            <w:r>
              <w:rPr>
                <w:color w:val="040C28"/>
                <w:sz w:val="24"/>
                <w:szCs w:val="24"/>
              </w:rPr>
              <w:t>.</w:t>
            </w:r>
          </w:p>
          <w:p w14:paraId="6E9FB941" w14:textId="77777777" w:rsidR="00B9138A" w:rsidRPr="00A95F9E" w:rsidRDefault="00B9138A" w:rsidP="00B9138A">
            <w:pPr>
              <w:jc w:val="both"/>
              <w:rPr>
                <w:color w:val="040C28"/>
                <w:sz w:val="24"/>
                <w:szCs w:val="24"/>
                <w:highlight w:val="lightGray"/>
              </w:rPr>
            </w:pPr>
          </w:p>
          <w:p w14:paraId="0092F66B" w14:textId="00FF8D71" w:rsidR="00B9138A" w:rsidRPr="00743E29" w:rsidRDefault="00B9138A" w:rsidP="00B9138A">
            <w:pPr>
              <w:jc w:val="both"/>
              <w:rPr>
                <w:color w:val="040C28"/>
                <w:sz w:val="24"/>
                <w:szCs w:val="24"/>
              </w:rPr>
            </w:pPr>
            <w:r w:rsidRPr="00743E29">
              <w:rPr>
                <w:color w:val="040C28"/>
                <w:sz w:val="24"/>
                <w:szCs w:val="24"/>
              </w:rPr>
              <w:t>The Wales Safeguarding Procedures provides guidance to professionals within social care to ensure that they safeguard adults who are at risk of abuse and neglect (</w:t>
            </w:r>
            <w:r w:rsidRPr="00AB5920">
              <w:rPr>
                <w:color w:val="040C28"/>
                <w:sz w:val="24"/>
                <w:szCs w:val="24"/>
              </w:rPr>
              <w:t>safeguarding.wales,</w:t>
            </w:r>
            <w:r w:rsidR="00CE6F24" w:rsidRPr="00AB5920">
              <w:rPr>
                <w:color w:val="040C28"/>
                <w:sz w:val="24"/>
                <w:szCs w:val="24"/>
              </w:rPr>
              <w:t>2023</w:t>
            </w:r>
            <w:r w:rsidRPr="00AB5920">
              <w:rPr>
                <w:color w:val="040C28"/>
                <w:sz w:val="24"/>
                <w:szCs w:val="24"/>
              </w:rPr>
              <w:t>). Indicators</w:t>
            </w:r>
            <w:r w:rsidRPr="00743E29">
              <w:rPr>
                <w:color w:val="040C28"/>
                <w:sz w:val="24"/>
                <w:szCs w:val="24"/>
              </w:rPr>
              <w:t xml:space="preserve"> of harm, neglect or abuse to adults can include domestic violence, physical, sexual, emotional, financial abuse, modern </w:t>
            </w:r>
            <w:r w:rsidR="00AB5920" w:rsidRPr="00743E29">
              <w:rPr>
                <w:color w:val="040C28"/>
                <w:sz w:val="24"/>
                <w:szCs w:val="24"/>
              </w:rPr>
              <w:t>slavery,</w:t>
            </w:r>
            <w:r w:rsidRPr="00743E29">
              <w:rPr>
                <w:color w:val="040C28"/>
                <w:sz w:val="24"/>
                <w:szCs w:val="24"/>
              </w:rPr>
              <w:t xml:space="preserve"> or self-neglect.</w:t>
            </w:r>
          </w:p>
          <w:p w14:paraId="21040778" w14:textId="77777777" w:rsidR="00B9138A" w:rsidRPr="00743E29" w:rsidRDefault="00B9138A" w:rsidP="00B9138A">
            <w:pPr>
              <w:jc w:val="both"/>
              <w:rPr>
                <w:color w:val="040C28"/>
                <w:sz w:val="24"/>
                <w:szCs w:val="24"/>
              </w:rPr>
            </w:pPr>
          </w:p>
          <w:p w14:paraId="329F3A99" w14:textId="123231EF" w:rsidR="00B9138A" w:rsidRPr="00743E29" w:rsidRDefault="00B9138A" w:rsidP="00B9138A">
            <w:pPr>
              <w:jc w:val="both"/>
              <w:rPr>
                <w:color w:val="040C28"/>
                <w:sz w:val="24"/>
                <w:szCs w:val="24"/>
              </w:rPr>
            </w:pPr>
            <w:r w:rsidRPr="00743E29">
              <w:rPr>
                <w:color w:val="040C28"/>
                <w:sz w:val="24"/>
                <w:szCs w:val="24"/>
              </w:rPr>
              <w:t xml:space="preserve">There is also a statutory guidance called </w:t>
            </w:r>
            <w:bookmarkStart w:id="1" w:name="_Hlk158813885"/>
            <w:r w:rsidRPr="00743E29">
              <w:rPr>
                <w:color w:val="040C28"/>
                <w:sz w:val="24"/>
                <w:szCs w:val="24"/>
              </w:rPr>
              <w:t>Working Together</w:t>
            </w:r>
            <w:r>
              <w:rPr>
                <w:color w:val="040C28"/>
                <w:sz w:val="24"/>
                <w:szCs w:val="24"/>
              </w:rPr>
              <w:t xml:space="preserve"> </w:t>
            </w:r>
            <w:r w:rsidRPr="00743E29">
              <w:rPr>
                <w:color w:val="040C28"/>
                <w:sz w:val="24"/>
                <w:szCs w:val="24"/>
              </w:rPr>
              <w:t xml:space="preserve">to Safeguard People </w:t>
            </w:r>
            <w:bookmarkEnd w:id="1"/>
            <w:r w:rsidRPr="00743E29">
              <w:rPr>
                <w:color w:val="040C28"/>
                <w:sz w:val="24"/>
                <w:szCs w:val="24"/>
              </w:rPr>
              <w:t>(</w:t>
            </w:r>
            <w:r>
              <w:rPr>
                <w:color w:val="040C28"/>
                <w:sz w:val="24"/>
                <w:szCs w:val="24"/>
              </w:rPr>
              <w:t>gov.uk</w:t>
            </w:r>
            <w:r w:rsidR="00AB5920">
              <w:rPr>
                <w:color w:val="040C28"/>
                <w:sz w:val="24"/>
                <w:szCs w:val="24"/>
              </w:rPr>
              <w:t>, 2018</w:t>
            </w:r>
            <w:r w:rsidRPr="00743E29">
              <w:rPr>
                <w:color w:val="040C28"/>
                <w:sz w:val="24"/>
                <w:szCs w:val="24"/>
              </w:rPr>
              <w:t>). Volume 6 provides guidance on what should happen if an individual has concerns about the well-being of an adult at risk.</w:t>
            </w:r>
          </w:p>
          <w:p w14:paraId="2197C0CF" w14:textId="77777777" w:rsidR="00B9138A" w:rsidRPr="00743E29" w:rsidRDefault="00B9138A" w:rsidP="00B9138A">
            <w:pPr>
              <w:jc w:val="both"/>
              <w:rPr>
                <w:sz w:val="24"/>
                <w:szCs w:val="24"/>
              </w:rPr>
            </w:pPr>
          </w:p>
          <w:p w14:paraId="55CC9064" w14:textId="2AB2484F" w:rsidR="00B9138A" w:rsidRPr="00743E29" w:rsidRDefault="00B9138A" w:rsidP="00B9138A">
            <w:pPr>
              <w:jc w:val="both"/>
              <w:rPr>
                <w:color w:val="040C28"/>
                <w:sz w:val="24"/>
                <w:szCs w:val="24"/>
              </w:rPr>
            </w:pPr>
            <w:r w:rsidRPr="00743E29">
              <w:rPr>
                <w:color w:val="040C28"/>
                <w:sz w:val="24"/>
                <w:szCs w:val="24"/>
              </w:rPr>
              <w:t>The Mental Capacity Act 2005 (</w:t>
            </w:r>
            <w:r w:rsidRPr="00175E1E">
              <w:rPr>
                <w:color w:val="040C28"/>
                <w:sz w:val="24"/>
                <w:szCs w:val="24"/>
              </w:rPr>
              <w:t>Legislation, 2005)</w:t>
            </w:r>
            <w:r>
              <w:rPr>
                <w:color w:val="040C28"/>
                <w:sz w:val="24"/>
                <w:szCs w:val="24"/>
              </w:rPr>
              <w:t xml:space="preserve"> </w:t>
            </w:r>
            <w:r w:rsidRPr="00743E29">
              <w:rPr>
                <w:color w:val="040C28"/>
                <w:sz w:val="24"/>
                <w:szCs w:val="24"/>
              </w:rPr>
              <w:t>is designed to protect and restore power to people who lack capacity, supporting them to makes all or some decisions. This act applies to anyone aged 16 and above who live in England and Wales.</w:t>
            </w:r>
          </w:p>
          <w:p w14:paraId="23CC1D97" w14:textId="77777777" w:rsidR="00B9138A" w:rsidRPr="00743E29" w:rsidRDefault="00B9138A" w:rsidP="00B9138A">
            <w:pPr>
              <w:jc w:val="both"/>
              <w:rPr>
                <w:color w:val="040C28"/>
                <w:sz w:val="24"/>
                <w:szCs w:val="24"/>
              </w:rPr>
            </w:pPr>
          </w:p>
          <w:p w14:paraId="6897F023" w14:textId="6FE25C68" w:rsidR="00B9138A" w:rsidRPr="00743E29" w:rsidRDefault="00B9138A" w:rsidP="00B9138A">
            <w:pPr>
              <w:jc w:val="both"/>
              <w:rPr>
                <w:color w:val="040C28"/>
                <w:sz w:val="24"/>
                <w:szCs w:val="24"/>
              </w:rPr>
            </w:pPr>
            <w:r w:rsidRPr="00743E29">
              <w:rPr>
                <w:color w:val="040C28"/>
                <w:sz w:val="24"/>
                <w:szCs w:val="24"/>
              </w:rPr>
              <w:t>The Mental Capacity (Amendment) Act 2019 (</w:t>
            </w:r>
            <w:r w:rsidRPr="00D54B01">
              <w:rPr>
                <w:color w:val="040C28"/>
                <w:sz w:val="24"/>
                <w:szCs w:val="24"/>
              </w:rPr>
              <w:t>legislation, 2019</w:t>
            </w:r>
            <w:r w:rsidRPr="00743E29">
              <w:rPr>
                <w:color w:val="040C28"/>
                <w:sz w:val="24"/>
                <w:szCs w:val="24"/>
              </w:rPr>
              <w:t>) has led to the Deprivation of Liberty Safeguards to be replaced with a new scheme called the Liberty Protection Safeguards (LPS). LPS will safeguard the rights of people who are under high level of care that live in care homes, hospitals, supported or shared lives accommodation, and lack the mental capacity to agree to their care plan.</w:t>
            </w:r>
          </w:p>
          <w:p w14:paraId="27E45717" w14:textId="77777777" w:rsidR="00B9138A" w:rsidRPr="00743E29" w:rsidRDefault="00B9138A" w:rsidP="00B9138A">
            <w:pPr>
              <w:jc w:val="both"/>
              <w:rPr>
                <w:color w:val="040C28"/>
                <w:sz w:val="24"/>
                <w:szCs w:val="24"/>
              </w:rPr>
            </w:pPr>
          </w:p>
          <w:p w14:paraId="7DEDE82A" w14:textId="77777777" w:rsidR="00B9138A" w:rsidRPr="00743E29" w:rsidRDefault="00B9138A" w:rsidP="00B9138A">
            <w:pPr>
              <w:jc w:val="both"/>
              <w:rPr>
                <w:color w:val="040C28"/>
                <w:sz w:val="24"/>
                <w:szCs w:val="24"/>
              </w:rPr>
            </w:pPr>
            <w:r w:rsidRPr="00743E29">
              <w:rPr>
                <w:color w:val="040C28"/>
                <w:sz w:val="24"/>
                <w:szCs w:val="24"/>
              </w:rPr>
              <w:t>It is essential for individuals to have the Active Offer (</w:t>
            </w:r>
            <w:r w:rsidRPr="008E3E43">
              <w:rPr>
                <w:color w:val="040C28"/>
                <w:sz w:val="24"/>
                <w:szCs w:val="24"/>
              </w:rPr>
              <w:t>Welsh Government, 2015</w:t>
            </w:r>
            <w:r w:rsidRPr="00743E29">
              <w:rPr>
                <w:color w:val="040C28"/>
                <w:sz w:val="24"/>
                <w:szCs w:val="24"/>
              </w:rPr>
              <w:t xml:space="preserve">) as it can create the right environment and empower them to express their concerns. </w:t>
            </w:r>
          </w:p>
          <w:p w14:paraId="7B16F99D" w14:textId="4E45980E" w:rsidR="00ED7B5B" w:rsidRDefault="00ED7B5B" w:rsidP="00FF7EBB">
            <w:pPr>
              <w:jc w:val="both"/>
              <w:rPr>
                <w:color w:val="040C28"/>
                <w:sz w:val="24"/>
                <w:szCs w:val="24"/>
              </w:rPr>
            </w:pPr>
          </w:p>
          <w:p w14:paraId="5EE72E85" w14:textId="489C67F0" w:rsidR="00591593" w:rsidRDefault="00591593" w:rsidP="00FF7EBB">
            <w:pPr>
              <w:jc w:val="both"/>
              <w:rPr>
                <w:color w:val="040C28"/>
                <w:sz w:val="24"/>
                <w:szCs w:val="24"/>
              </w:rPr>
            </w:pPr>
          </w:p>
          <w:p w14:paraId="334C50A2" w14:textId="3E4F0780" w:rsidR="00B9138A" w:rsidRDefault="00B9138A" w:rsidP="00FF7EBB">
            <w:pPr>
              <w:jc w:val="both"/>
              <w:rPr>
                <w:color w:val="040C28"/>
                <w:sz w:val="24"/>
                <w:szCs w:val="24"/>
              </w:rPr>
            </w:pPr>
            <w:r>
              <w:rPr>
                <w:color w:val="040C28"/>
                <w:sz w:val="24"/>
                <w:szCs w:val="24"/>
              </w:rPr>
              <w:t>495</w:t>
            </w:r>
          </w:p>
          <w:p w14:paraId="453242AF" w14:textId="77777777" w:rsidR="00ED7B5B" w:rsidRDefault="00ED7B5B" w:rsidP="00FF7EBB">
            <w:pPr>
              <w:jc w:val="both"/>
              <w:rPr>
                <w:color w:val="040C28"/>
                <w:sz w:val="24"/>
                <w:szCs w:val="24"/>
              </w:rPr>
            </w:pPr>
          </w:p>
          <w:p w14:paraId="4FF8EBF3" w14:textId="300CA017" w:rsidR="005A545C" w:rsidRPr="00803B67" w:rsidRDefault="00CA5B05" w:rsidP="00FF7EBB">
            <w:pPr>
              <w:jc w:val="both"/>
              <w:rPr>
                <w:color w:val="394753"/>
                <w:sz w:val="21"/>
                <w:szCs w:val="21"/>
                <w:shd w:val="clear" w:color="auto" w:fill="F8F8F8"/>
              </w:rPr>
            </w:pPr>
            <w:r>
              <w:rPr>
                <w:color w:val="040C28"/>
                <w:sz w:val="24"/>
                <w:szCs w:val="24"/>
              </w:rPr>
              <w:t xml:space="preserve"> </w:t>
            </w:r>
            <w:bookmarkEnd w:id="0"/>
            <w:r w:rsidR="005414F4"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E11C11E" w:rsidR="00AA666E" w:rsidRPr="008B28E7" w:rsidRDefault="00A74ABD" w:rsidP="00FF7EBB">
      <w:pPr>
        <w:jc w:val="both"/>
        <w:rPr>
          <w:sz w:val="24"/>
          <w:szCs w:val="24"/>
        </w:rPr>
      </w:pPr>
      <w:r>
        <w:rPr>
          <w:sz w:val="24"/>
          <w:szCs w:val="24"/>
        </w:rPr>
        <w:lastRenderedPageBreak/>
        <w:t xml:space="preserve"> </w:t>
      </w:r>
    </w:p>
    <w:p w14:paraId="1FC83FC7" w14:textId="680E8E9A" w:rsidR="00AA666E" w:rsidRDefault="00AA666E" w:rsidP="00FF7EBB">
      <w:pPr>
        <w:jc w:val="both"/>
        <w:rPr>
          <w:sz w:val="24"/>
          <w:szCs w:val="24"/>
        </w:rPr>
      </w:pPr>
    </w:p>
    <w:p w14:paraId="11818656" w14:textId="310B434C" w:rsidR="0003149F" w:rsidRDefault="0003149F" w:rsidP="00FF7EBB">
      <w:pPr>
        <w:jc w:val="both"/>
        <w:rPr>
          <w:sz w:val="24"/>
          <w:szCs w:val="24"/>
        </w:rPr>
      </w:pPr>
    </w:p>
    <w:p w14:paraId="18217AFA" w14:textId="77777777" w:rsidR="0003149F" w:rsidRPr="008B28E7" w:rsidRDefault="0003149F"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73898E2" w14:textId="77777777" w:rsidR="00E801D8" w:rsidRDefault="00E801D8" w:rsidP="00E801D8">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5C919415" w14:textId="57EAC710" w:rsidR="00D93750" w:rsidRDefault="00D93750" w:rsidP="00FC0334">
            <w:pPr>
              <w:jc w:val="both"/>
              <w:rPr>
                <w:sz w:val="24"/>
                <w:szCs w:val="24"/>
              </w:rPr>
            </w:pPr>
          </w:p>
          <w:p w14:paraId="776E23F8" w14:textId="141581BD" w:rsidR="00005EC2" w:rsidRDefault="006B3A0F" w:rsidP="00005EC2">
            <w:pPr>
              <w:rPr>
                <w:color w:val="040C28"/>
                <w:sz w:val="24"/>
                <w:szCs w:val="24"/>
              </w:rPr>
            </w:pPr>
            <w:r>
              <w:rPr>
                <w:color w:val="040C28"/>
                <w:sz w:val="24"/>
                <w:szCs w:val="24"/>
              </w:rPr>
              <w:t xml:space="preserve">There are similarities between adults and children’s safeguarding. </w:t>
            </w:r>
            <w:r w:rsidR="00005EC2" w:rsidRPr="000600CD">
              <w:rPr>
                <w:color w:val="040C28"/>
                <w:sz w:val="24"/>
                <w:szCs w:val="24"/>
              </w:rPr>
              <w:t>S</w:t>
            </w:r>
            <w:r w:rsidR="00005EC2">
              <w:rPr>
                <w:color w:val="040C28"/>
                <w:sz w:val="24"/>
                <w:szCs w:val="24"/>
              </w:rPr>
              <w:t xml:space="preserve">ocial </w:t>
            </w:r>
            <w:r w:rsidR="00005EC2" w:rsidRPr="000600CD">
              <w:rPr>
                <w:color w:val="040C28"/>
                <w:sz w:val="24"/>
                <w:szCs w:val="24"/>
              </w:rPr>
              <w:t>S</w:t>
            </w:r>
            <w:r w:rsidR="00005EC2">
              <w:rPr>
                <w:color w:val="040C28"/>
                <w:sz w:val="24"/>
                <w:szCs w:val="24"/>
              </w:rPr>
              <w:t xml:space="preserve">ervices and </w:t>
            </w:r>
            <w:r w:rsidR="00005EC2" w:rsidRPr="000600CD">
              <w:rPr>
                <w:color w:val="040C28"/>
                <w:sz w:val="24"/>
                <w:szCs w:val="24"/>
              </w:rPr>
              <w:t>W</w:t>
            </w:r>
            <w:r w:rsidR="00005EC2">
              <w:rPr>
                <w:color w:val="040C28"/>
                <w:sz w:val="24"/>
                <w:szCs w:val="24"/>
              </w:rPr>
              <w:t xml:space="preserve">ell-being (Wales) </w:t>
            </w:r>
            <w:r w:rsidR="00005EC2" w:rsidRPr="000600CD">
              <w:rPr>
                <w:color w:val="040C28"/>
                <w:sz w:val="24"/>
                <w:szCs w:val="24"/>
              </w:rPr>
              <w:t>A</w:t>
            </w:r>
            <w:r w:rsidR="00005EC2">
              <w:rPr>
                <w:color w:val="040C28"/>
                <w:sz w:val="24"/>
                <w:szCs w:val="24"/>
              </w:rPr>
              <w:t>ct</w:t>
            </w:r>
            <w:r w:rsidR="00005EC2" w:rsidRPr="000600CD">
              <w:rPr>
                <w:color w:val="040C28"/>
                <w:sz w:val="24"/>
                <w:szCs w:val="24"/>
              </w:rPr>
              <w:t xml:space="preserve"> (2014) defines “adult at risk” a</w:t>
            </w:r>
            <w:r w:rsidR="00005EC2">
              <w:rPr>
                <w:color w:val="040C28"/>
                <w:sz w:val="24"/>
                <w:szCs w:val="24"/>
              </w:rPr>
              <w:t>nd “child at risk” as</w:t>
            </w:r>
            <w:r w:rsidR="00005EC2" w:rsidRPr="000600CD">
              <w:rPr>
                <w:color w:val="040C28"/>
                <w:sz w:val="24"/>
                <w:szCs w:val="24"/>
              </w:rPr>
              <w:t xml:space="preserve"> an individual who is at risk of abuse or neglect; has care and support needs and as a result cannot protect themselves against the abuse or risk of it</w:t>
            </w:r>
            <w:r w:rsidR="00005EC2">
              <w:rPr>
                <w:color w:val="040C28"/>
                <w:sz w:val="24"/>
                <w:szCs w:val="24"/>
              </w:rPr>
              <w:t>.</w:t>
            </w:r>
            <w:r w:rsidR="00005EC2">
              <w:rPr>
                <w:sz w:val="24"/>
                <w:szCs w:val="24"/>
              </w:rPr>
              <w:t xml:space="preserve"> </w:t>
            </w:r>
            <w:r w:rsidR="00005EC2">
              <w:rPr>
                <w:color w:val="040C28"/>
                <w:sz w:val="24"/>
                <w:szCs w:val="24"/>
              </w:rPr>
              <w:t>C</w:t>
            </w:r>
            <w:r w:rsidR="00005EC2" w:rsidRPr="001A6DC0">
              <w:rPr>
                <w:color w:val="040C28"/>
                <w:sz w:val="24"/>
                <w:szCs w:val="24"/>
              </w:rPr>
              <w:t>hildren and adults at risk can experience the same types of harm</w:t>
            </w:r>
            <w:r w:rsidR="00005EC2">
              <w:rPr>
                <w:color w:val="040C28"/>
                <w:sz w:val="24"/>
                <w:szCs w:val="24"/>
              </w:rPr>
              <w:t>.</w:t>
            </w:r>
          </w:p>
          <w:p w14:paraId="6F714236" w14:textId="77777777" w:rsidR="00395874" w:rsidRDefault="00395874" w:rsidP="00005EC2">
            <w:pPr>
              <w:rPr>
                <w:color w:val="040C28"/>
                <w:sz w:val="24"/>
                <w:szCs w:val="24"/>
              </w:rPr>
            </w:pPr>
          </w:p>
          <w:p w14:paraId="0AAC74AE" w14:textId="77777777" w:rsidR="005B7F8F" w:rsidRDefault="005B7F8F" w:rsidP="005B7F8F">
            <w:pPr>
              <w:rPr>
                <w:color w:val="040C28"/>
                <w:sz w:val="24"/>
                <w:szCs w:val="24"/>
              </w:rPr>
            </w:pPr>
            <w:r>
              <w:rPr>
                <w:color w:val="040C28"/>
                <w:sz w:val="24"/>
                <w:szCs w:val="24"/>
              </w:rPr>
              <w:t xml:space="preserve">Harm is defined in the Children Act (1989) as </w:t>
            </w:r>
            <w:r w:rsidRPr="00A06132">
              <w:rPr>
                <w:i/>
                <w:iCs/>
                <w:color w:val="040C28"/>
                <w:sz w:val="24"/>
                <w:szCs w:val="24"/>
              </w:rPr>
              <w:t>“ill-treatment or the impairment of health or</w:t>
            </w:r>
            <w:r>
              <w:rPr>
                <w:color w:val="1E1E1E"/>
                <w:shd w:val="clear" w:color="auto" w:fill="FFFFFF"/>
              </w:rPr>
              <w:t xml:space="preserve"> </w:t>
            </w:r>
            <w:r w:rsidRPr="00A06132">
              <w:rPr>
                <w:i/>
                <w:iCs/>
                <w:color w:val="040C28"/>
                <w:sz w:val="24"/>
                <w:szCs w:val="24"/>
              </w:rPr>
              <w:t>development”</w:t>
            </w:r>
            <w:r>
              <w:rPr>
                <w:i/>
                <w:iCs/>
                <w:color w:val="040C28"/>
                <w:sz w:val="24"/>
                <w:szCs w:val="24"/>
              </w:rPr>
              <w:t>.</w:t>
            </w:r>
          </w:p>
          <w:p w14:paraId="01DE6F4B" w14:textId="77777777" w:rsidR="00395874" w:rsidRDefault="00395874" w:rsidP="00005EC2">
            <w:pPr>
              <w:rPr>
                <w:color w:val="040C28"/>
                <w:sz w:val="24"/>
                <w:szCs w:val="24"/>
              </w:rPr>
            </w:pPr>
          </w:p>
          <w:p w14:paraId="52778990" w14:textId="389C7F1E" w:rsidR="00395874" w:rsidRDefault="00395874" w:rsidP="00395874">
            <w:pPr>
              <w:rPr>
                <w:color w:val="040C28"/>
                <w:sz w:val="24"/>
                <w:szCs w:val="24"/>
              </w:rPr>
            </w:pPr>
            <w:r>
              <w:rPr>
                <w:color w:val="040C28"/>
                <w:sz w:val="24"/>
                <w:szCs w:val="24"/>
              </w:rPr>
              <w:lastRenderedPageBreak/>
              <w:t xml:space="preserve">S47 of the Children Act (1989) and Children Act (2004) imposes a duty on practitioners to make </w:t>
            </w:r>
            <w:r w:rsidRPr="0025352C">
              <w:rPr>
                <w:color w:val="040C28"/>
                <w:sz w:val="24"/>
                <w:szCs w:val="24"/>
              </w:rPr>
              <w:t xml:space="preserve">enquiries, </w:t>
            </w:r>
            <w:r w:rsidR="005B7F8F">
              <w:rPr>
                <w:color w:val="040C28"/>
                <w:sz w:val="24"/>
                <w:szCs w:val="24"/>
              </w:rPr>
              <w:t xml:space="preserve">so </w:t>
            </w:r>
            <w:r w:rsidR="00937275">
              <w:rPr>
                <w:color w:val="040C28"/>
                <w:sz w:val="24"/>
                <w:szCs w:val="24"/>
              </w:rPr>
              <w:t>it</w:t>
            </w:r>
            <w:r w:rsidR="005B7F8F">
              <w:rPr>
                <w:color w:val="040C28"/>
                <w:sz w:val="24"/>
                <w:szCs w:val="24"/>
              </w:rPr>
              <w:t xml:space="preserve"> can </w:t>
            </w:r>
            <w:r w:rsidR="00937275">
              <w:rPr>
                <w:color w:val="040C28"/>
                <w:sz w:val="24"/>
                <w:szCs w:val="24"/>
              </w:rPr>
              <w:t xml:space="preserve">be </w:t>
            </w:r>
            <w:r w:rsidR="005B7F8F">
              <w:rPr>
                <w:color w:val="040C28"/>
                <w:sz w:val="24"/>
                <w:szCs w:val="24"/>
              </w:rPr>
              <w:t xml:space="preserve">decided whether </w:t>
            </w:r>
            <w:r w:rsidRPr="0025352C">
              <w:rPr>
                <w:color w:val="040C28"/>
                <w:sz w:val="24"/>
                <w:szCs w:val="24"/>
              </w:rPr>
              <w:t>any action to safeguard and promote the welfare of the child</w:t>
            </w:r>
            <w:r>
              <w:rPr>
                <w:color w:val="040C28"/>
                <w:sz w:val="24"/>
                <w:szCs w:val="24"/>
              </w:rPr>
              <w:t xml:space="preserve"> if they are believed to be at risk of significant harm</w:t>
            </w:r>
            <w:r w:rsidR="00937275">
              <w:rPr>
                <w:color w:val="040C28"/>
                <w:sz w:val="24"/>
                <w:szCs w:val="24"/>
              </w:rPr>
              <w:t>, is made</w:t>
            </w:r>
            <w:r>
              <w:rPr>
                <w:color w:val="040C28"/>
                <w:sz w:val="24"/>
                <w:szCs w:val="24"/>
              </w:rPr>
              <w:t xml:space="preserve">. SSWBA (2014). </w:t>
            </w:r>
          </w:p>
          <w:p w14:paraId="5766D468" w14:textId="77777777" w:rsidR="00005EC2" w:rsidRDefault="00005EC2" w:rsidP="00005EC2">
            <w:pPr>
              <w:rPr>
                <w:color w:val="040C28"/>
                <w:sz w:val="24"/>
                <w:szCs w:val="24"/>
              </w:rPr>
            </w:pPr>
          </w:p>
          <w:p w14:paraId="1EEF889A" w14:textId="668243F9" w:rsidR="00005EC2" w:rsidRPr="00632CA4" w:rsidRDefault="00A4572E" w:rsidP="00A4572E">
            <w:pPr>
              <w:rPr>
                <w:color w:val="040C28"/>
                <w:sz w:val="24"/>
                <w:szCs w:val="24"/>
              </w:rPr>
            </w:pPr>
            <w:r>
              <w:rPr>
                <w:color w:val="040C28"/>
                <w:sz w:val="24"/>
                <w:szCs w:val="24"/>
              </w:rPr>
              <w:t>F</w:t>
            </w:r>
            <w:r w:rsidR="00005EC2" w:rsidRPr="00A4572E">
              <w:rPr>
                <w:color w:val="040C28"/>
                <w:sz w:val="24"/>
                <w:szCs w:val="24"/>
              </w:rPr>
              <w:t>actors that might identify a child as at risk of harm, neglect or abuse</w:t>
            </w:r>
            <w:r w:rsidRPr="00A4572E">
              <w:rPr>
                <w:color w:val="040C28"/>
                <w:sz w:val="24"/>
                <w:szCs w:val="24"/>
              </w:rPr>
              <w:t xml:space="preserve"> can include</w:t>
            </w:r>
            <w:r w:rsidRPr="00632CA4">
              <w:rPr>
                <w:color w:val="040C28"/>
                <w:sz w:val="24"/>
                <w:szCs w:val="24"/>
              </w:rPr>
              <w:t xml:space="preserve"> </w:t>
            </w:r>
            <w:r>
              <w:rPr>
                <w:color w:val="040C28"/>
                <w:sz w:val="24"/>
                <w:szCs w:val="24"/>
              </w:rPr>
              <w:t>being withdrawn, anxious, change in behaviour or running away</w:t>
            </w:r>
            <w:r>
              <w:rPr>
                <w:color w:val="040C28"/>
                <w:sz w:val="24"/>
                <w:szCs w:val="24"/>
              </w:rPr>
              <w:t>, however factors may not always be obvious. There are many types of abuse a child could suffer from such as, bullying, child sexual exploitation, emotional abuse, neglect to name but a few</w:t>
            </w:r>
            <w:r w:rsidR="00307BFD">
              <w:rPr>
                <w:color w:val="040C28"/>
                <w:sz w:val="24"/>
                <w:szCs w:val="24"/>
              </w:rPr>
              <w:t xml:space="preserve"> (</w:t>
            </w:r>
            <w:r w:rsidR="00307BFD" w:rsidRPr="00632CA4">
              <w:rPr>
                <w:color w:val="040C28"/>
                <w:sz w:val="24"/>
                <w:szCs w:val="24"/>
              </w:rPr>
              <w:t>NSPCC</w:t>
            </w:r>
            <w:r w:rsidR="00307BFD" w:rsidRPr="00632CA4">
              <w:rPr>
                <w:color w:val="040C28"/>
                <w:sz w:val="24"/>
                <w:szCs w:val="24"/>
              </w:rPr>
              <w:t>,</w:t>
            </w:r>
            <w:r w:rsidR="00307BFD" w:rsidRPr="00632CA4">
              <w:rPr>
                <w:color w:val="040C28"/>
                <w:sz w:val="24"/>
                <w:szCs w:val="24"/>
              </w:rPr>
              <w:t xml:space="preserve"> 2016). </w:t>
            </w:r>
            <w:r w:rsidR="00307BFD">
              <w:rPr>
                <w:color w:val="040C28"/>
                <w:sz w:val="24"/>
                <w:szCs w:val="24"/>
              </w:rPr>
              <w:t xml:space="preserve"> </w:t>
            </w:r>
            <w:r w:rsidR="006B3A0F">
              <w:rPr>
                <w:color w:val="040C28"/>
                <w:sz w:val="24"/>
                <w:szCs w:val="24"/>
              </w:rPr>
              <w:t>However, these can also apply to adults.</w:t>
            </w:r>
          </w:p>
          <w:p w14:paraId="66584838" w14:textId="77777777" w:rsidR="00005EC2" w:rsidRPr="00632CA4" w:rsidRDefault="00005EC2" w:rsidP="00632CA4">
            <w:pPr>
              <w:rPr>
                <w:color w:val="040C28"/>
                <w:sz w:val="24"/>
                <w:szCs w:val="24"/>
              </w:rPr>
            </w:pPr>
          </w:p>
          <w:p w14:paraId="5EB36E7B" w14:textId="0AB2E8BF" w:rsidR="00005EC2" w:rsidRDefault="00937275" w:rsidP="00005EC2">
            <w:pPr>
              <w:rPr>
                <w:color w:val="040C28"/>
                <w:sz w:val="24"/>
                <w:szCs w:val="24"/>
              </w:rPr>
            </w:pPr>
            <w:r>
              <w:rPr>
                <w:color w:val="040C28"/>
                <w:sz w:val="24"/>
                <w:szCs w:val="24"/>
              </w:rPr>
              <w:t xml:space="preserve">If a child is deemed at risk of </w:t>
            </w:r>
            <w:r w:rsidR="00FD2353">
              <w:rPr>
                <w:color w:val="040C28"/>
                <w:sz w:val="24"/>
                <w:szCs w:val="24"/>
              </w:rPr>
              <w:t xml:space="preserve">significant </w:t>
            </w:r>
            <w:r>
              <w:rPr>
                <w:color w:val="040C28"/>
                <w:sz w:val="24"/>
                <w:szCs w:val="24"/>
              </w:rPr>
              <w:t xml:space="preserve">harm or likelihood of </w:t>
            </w:r>
            <w:r w:rsidR="00FD2353">
              <w:rPr>
                <w:color w:val="040C28"/>
                <w:sz w:val="24"/>
                <w:szCs w:val="24"/>
              </w:rPr>
              <w:t xml:space="preserve">significant </w:t>
            </w:r>
            <w:r>
              <w:rPr>
                <w:color w:val="040C28"/>
                <w:sz w:val="24"/>
                <w:szCs w:val="24"/>
              </w:rPr>
              <w:t>harm</w:t>
            </w:r>
            <w:r w:rsidR="00FD2353">
              <w:rPr>
                <w:color w:val="040C28"/>
                <w:sz w:val="24"/>
                <w:szCs w:val="24"/>
              </w:rPr>
              <w:t xml:space="preserve"> if they were to remain where they were, </w:t>
            </w:r>
            <w:r>
              <w:rPr>
                <w:color w:val="040C28"/>
                <w:sz w:val="24"/>
                <w:szCs w:val="24"/>
              </w:rPr>
              <w:t>the Local Authority</w:t>
            </w:r>
            <w:r w:rsidR="00FD2353">
              <w:rPr>
                <w:color w:val="040C28"/>
                <w:sz w:val="24"/>
                <w:szCs w:val="24"/>
              </w:rPr>
              <w:t xml:space="preserve"> can</w:t>
            </w:r>
            <w:r>
              <w:rPr>
                <w:color w:val="040C28"/>
                <w:sz w:val="24"/>
                <w:szCs w:val="24"/>
              </w:rPr>
              <w:t xml:space="preserve"> apply </w:t>
            </w:r>
            <w:r w:rsidR="00FD2353">
              <w:rPr>
                <w:color w:val="040C28"/>
                <w:sz w:val="24"/>
                <w:szCs w:val="24"/>
              </w:rPr>
              <w:t xml:space="preserve">to the court for an </w:t>
            </w:r>
            <w:r w:rsidR="00FD2353">
              <w:rPr>
                <w:color w:val="040C28"/>
                <w:sz w:val="24"/>
                <w:szCs w:val="24"/>
              </w:rPr>
              <w:t>Emergency Protection Order</w:t>
            </w:r>
            <w:r w:rsidR="00FD2353">
              <w:rPr>
                <w:color w:val="040C28"/>
                <w:sz w:val="24"/>
                <w:szCs w:val="24"/>
              </w:rPr>
              <w:t xml:space="preserve"> under s44 of the Children Act (1989).</w:t>
            </w:r>
            <w:r w:rsidR="004D7EB5">
              <w:rPr>
                <w:color w:val="040C28"/>
                <w:sz w:val="24"/>
                <w:szCs w:val="24"/>
              </w:rPr>
              <w:t xml:space="preserve"> The police can detain an adult under the Mental Health Act (1983)</w:t>
            </w:r>
          </w:p>
          <w:p w14:paraId="4EA6A654" w14:textId="77777777" w:rsidR="00005EC2" w:rsidRDefault="00005EC2" w:rsidP="00005EC2">
            <w:pPr>
              <w:jc w:val="both"/>
              <w:rPr>
                <w:sz w:val="24"/>
                <w:szCs w:val="24"/>
              </w:rPr>
            </w:pPr>
          </w:p>
          <w:p w14:paraId="41DB973D" w14:textId="223EDC1C" w:rsidR="00005EC2" w:rsidRDefault="00005EC2" w:rsidP="00F77D5E">
            <w:pPr>
              <w:rPr>
                <w:sz w:val="24"/>
                <w:szCs w:val="24"/>
              </w:rPr>
            </w:pPr>
            <w:r>
              <w:rPr>
                <w:color w:val="040C28"/>
                <w:sz w:val="24"/>
                <w:szCs w:val="24"/>
              </w:rPr>
              <w:t>SSWBA</w:t>
            </w:r>
            <w:r w:rsidR="00FD2353">
              <w:rPr>
                <w:color w:val="040C28"/>
                <w:sz w:val="24"/>
                <w:szCs w:val="24"/>
              </w:rPr>
              <w:t xml:space="preserve"> (2014)</w:t>
            </w:r>
            <w:r>
              <w:rPr>
                <w:color w:val="040C28"/>
                <w:sz w:val="24"/>
                <w:szCs w:val="24"/>
              </w:rPr>
              <w:t xml:space="preserve"> promotes empowering individuals to make their own choices</w:t>
            </w:r>
            <w:r w:rsidR="00FD2353">
              <w:rPr>
                <w:color w:val="040C28"/>
                <w:sz w:val="24"/>
                <w:szCs w:val="24"/>
              </w:rPr>
              <w:t>, h</w:t>
            </w:r>
            <w:r>
              <w:rPr>
                <w:color w:val="040C28"/>
                <w:sz w:val="24"/>
                <w:szCs w:val="24"/>
              </w:rPr>
              <w:t>owever, an adult has the right to make</w:t>
            </w:r>
            <w:r>
              <w:rPr>
                <w:sz w:val="24"/>
                <w:szCs w:val="24"/>
              </w:rPr>
              <w:t xml:space="preserve"> ‘unwise decisions’ as defined by the Mental Capacity Act</w:t>
            </w:r>
            <w:r w:rsidR="00FD2353">
              <w:rPr>
                <w:sz w:val="24"/>
                <w:szCs w:val="24"/>
              </w:rPr>
              <w:t xml:space="preserve"> (MCA)</w:t>
            </w:r>
            <w:r>
              <w:rPr>
                <w:sz w:val="24"/>
                <w:szCs w:val="24"/>
              </w:rPr>
              <w:t xml:space="preserve"> </w:t>
            </w:r>
            <w:r w:rsidR="00CE76BD">
              <w:rPr>
                <w:sz w:val="24"/>
                <w:szCs w:val="24"/>
              </w:rPr>
              <w:t>(</w:t>
            </w:r>
            <w:r>
              <w:rPr>
                <w:sz w:val="24"/>
                <w:szCs w:val="24"/>
              </w:rPr>
              <w:t>2005</w:t>
            </w:r>
            <w:r w:rsidR="00CE76BD">
              <w:rPr>
                <w:sz w:val="24"/>
                <w:szCs w:val="24"/>
              </w:rPr>
              <w:t>)</w:t>
            </w:r>
            <w:r>
              <w:rPr>
                <w:color w:val="040C28"/>
                <w:sz w:val="24"/>
                <w:szCs w:val="24"/>
              </w:rPr>
              <w:t xml:space="preserve"> whereas a child </w:t>
            </w:r>
            <w:r w:rsidRPr="00ED0855">
              <w:rPr>
                <w:color w:val="040C28"/>
                <w:sz w:val="24"/>
                <w:szCs w:val="24"/>
              </w:rPr>
              <w:t>does not</w:t>
            </w:r>
            <w:r w:rsidR="00F77D5E">
              <w:rPr>
                <w:color w:val="040C28"/>
                <w:sz w:val="24"/>
                <w:szCs w:val="24"/>
              </w:rPr>
              <w:t xml:space="preserve"> have this right</w:t>
            </w:r>
            <w:r>
              <w:rPr>
                <w:color w:val="040C28"/>
                <w:sz w:val="24"/>
                <w:szCs w:val="24"/>
              </w:rPr>
              <w:t>.</w:t>
            </w:r>
            <w:r w:rsidR="00FD2353">
              <w:rPr>
                <w:color w:val="040C28"/>
                <w:sz w:val="24"/>
                <w:szCs w:val="24"/>
              </w:rPr>
              <w:t xml:space="preserve"> The </w:t>
            </w:r>
            <w:r w:rsidR="00FD2353">
              <w:rPr>
                <w:sz w:val="24"/>
                <w:szCs w:val="24"/>
              </w:rPr>
              <w:t>MCA (2005)</w:t>
            </w:r>
            <w:r>
              <w:rPr>
                <w:sz w:val="24"/>
                <w:szCs w:val="24"/>
              </w:rPr>
              <w:t xml:space="preserve"> protects adults as it states – All adults are assumed to have capacity unless it’s established that they lack capacity</w:t>
            </w:r>
            <w:r w:rsidR="00FD2353">
              <w:rPr>
                <w:sz w:val="24"/>
                <w:szCs w:val="24"/>
              </w:rPr>
              <w:t>.</w:t>
            </w:r>
            <w:r>
              <w:rPr>
                <w:sz w:val="24"/>
                <w:szCs w:val="24"/>
              </w:rPr>
              <w:t xml:space="preserve"> </w:t>
            </w:r>
            <w:r w:rsidR="00F77D5E">
              <w:rPr>
                <w:sz w:val="24"/>
                <w:szCs w:val="24"/>
              </w:rPr>
              <w:t>A</w:t>
            </w:r>
            <w:r>
              <w:rPr>
                <w:sz w:val="24"/>
                <w:szCs w:val="24"/>
              </w:rPr>
              <w:t xml:space="preserve">n adult can give informed consent whereas a parent would </w:t>
            </w:r>
            <w:r w:rsidR="00F77D5E">
              <w:rPr>
                <w:sz w:val="24"/>
                <w:szCs w:val="24"/>
              </w:rPr>
              <w:t xml:space="preserve">need to </w:t>
            </w:r>
            <w:r>
              <w:rPr>
                <w:sz w:val="24"/>
                <w:szCs w:val="24"/>
              </w:rPr>
              <w:t>give consent over a child</w:t>
            </w:r>
            <w:r w:rsidR="00F77D5E">
              <w:rPr>
                <w:sz w:val="24"/>
                <w:szCs w:val="24"/>
              </w:rPr>
              <w:t xml:space="preserve">. </w:t>
            </w:r>
          </w:p>
          <w:p w14:paraId="2045C9B7" w14:textId="77777777" w:rsidR="00005EC2" w:rsidRDefault="00005EC2" w:rsidP="00005EC2">
            <w:pPr>
              <w:jc w:val="both"/>
              <w:rPr>
                <w:sz w:val="24"/>
                <w:szCs w:val="24"/>
              </w:rPr>
            </w:pPr>
          </w:p>
          <w:p w14:paraId="6F82F918" w14:textId="22D73FBC" w:rsidR="00005EC2" w:rsidRPr="00632CA4" w:rsidRDefault="00005EC2" w:rsidP="00632CA4">
            <w:pPr>
              <w:pStyle w:val="NormalWeb"/>
              <w:rPr>
                <w:rFonts w:ascii="Arial" w:hAnsi="Arial" w:cs="Arial"/>
                <w:color w:val="040C28"/>
                <w:lang w:val="en-GB" w:eastAsia="en-GB"/>
              </w:rPr>
            </w:pPr>
            <w:r w:rsidRPr="00632CA4">
              <w:rPr>
                <w:rFonts w:ascii="Arial" w:hAnsi="Arial" w:cs="Arial"/>
                <w:color w:val="040C28"/>
                <w:lang w:val="en-GB" w:eastAsia="en-GB"/>
              </w:rPr>
              <w:t xml:space="preserve">MCA does not apply to children under 16 years old. “Gillick competence” </w:t>
            </w:r>
            <w:r w:rsidR="00632CA4" w:rsidRPr="00632CA4">
              <w:rPr>
                <w:rFonts w:ascii="Arial" w:hAnsi="Arial" w:cs="Arial"/>
                <w:color w:val="040C28"/>
                <w:lang w:val="en-GB" w:eastAsia="en-GB"/>
              </w:rPr>
              <w:t>(NSPCC, 2022)</w:t>
            </w:r>
            <w:r w:rsidR="00632CA4">
              <w:rPr>
                <w:rFonts w:ascii="Arial" w:hAnsi="Arial" w:cs="Arial"/>
                <w:color w:val="040C28"/>
                <w:lang w:val="en-GB" w:eastAsia="en-GB"/>
              </w:rPr>
              <w:t xml:space="preserve"> </w:t>
            </w:r>
            <w:r w:rsidRPr="00632CA4">
              <w:rPr>
                <w:rFonts w:ascii="Arial" w:hAnsi="Arial" w:cs="Arial"/>
                <w:color w:val="040C28"/>
                <w:lang w:val="en-GB" w:eastAsia="en-GB"/>
              </w:rPr>
              <w:t>can be used by professional to assess whether a child has the maturity to make their own decisions and to understand the implications of those decisions. professionals must balance what they want and the attached risks. A child may be Gillick competent in making one decision but may not be competent to make a different decision.</w:t>
            </w:r>
          </w:p>
          <w:p w14:paraId="747CA164" w14:textId="77777777" w:rsidR="00005EC2" w:rsidRDefault="00005EC2" w:rsidP="00005EC2"/>
          <w:p w14:paraId="7B7B4827" w14:textId="57AAA9C1" w:rsidR="00FC0334" w:rsidRDefault="004D7EB5" w:rsidP="00FC0334">
            <w:pPr>
              <w:jc w:val="both"/>
              <w:rPr>
                <w:sz w:val="24"/>
                <w:szCs w:val="24"/>
              </w:rPr>
            </w:pPr>
            <w:r>
              <w:rPr>
                <w:sz w:val="24"/>
                <w:szCs w:val="24"/>
              </w:rPr>
              <w:t>382</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13FC2D26" w:rsidR="00FC0334" w:rsidRDefault="00FC0334" w:rsidP="00FC0334">
      <w:pPr>
        <w:rPr>
          <w:sz w:val="24"/>
          <w:szCs w:val="24"/>
        </w:rPr>
      </w:pPr>
    </w:p>
    <w:p w14:paraId="4C5CD908" w14:textId="20FED3A9" w:rsidR="006C5BDA" w:rsidRDefault="006C5BDA" w:rsidP="00FC0334">
      <w:pPr>
        <w:rPr>
          <w:sz w:val="24"/>
          <w:szCs w:val="24"/>
        </w:rPr>
      </w:pPr>
    </w:p>
    <w:p w14:paraId="21E089E1" w14:textId="3602050B" w:rsidR="00894B0E" w:rsidRDefault="00894B0E" w:rsidP="0003149F">
      <w:r>
        <w:t xml:space="preserve">Integration </w:t>
      </w:r>
      <w:proofErr w:type="spellStart"/>
      <w:r>
        <w:t>f</w:t>
      </w:r>
      <w:proofErr w:type="spellEnd"/>
      <w:r>
        <w:t xml:space="preserve"> analysis in assessment</w:t>
      </w:r>
    </w:p>
    <w:p w14:paraId="35362310" w14:textId="53F2E943" w:rsidR="00894B0E" w:rsidRDefault="00894B0E" w:rsidP="0003149F">
      <w:r>
        <w:t>Collaborative assessment</w:t>
      </w:r>
    </w:p>
    <w:p w14:paraId="71675F72" w14:textId="6C06BDF7" w:rsidR="00894B0E" w:rsidRDefault="00894B0E" w:rsidP="0003149F">
      <w:r>
        <w:t>Professional judgements in increasingly complex situations</w:t>
      </w:r>
    </w:p>
    <w:p w14:paraId="2FDF79A0" w14:textId="77777777" w:rsidR="006C5BDA" w:rsidRDefault="006C5BDA" w:rsidP="00FC0334">
      <w:pPr>
        <w:rPr>
          <w:sz w:val="24"/>
          <w:szCs w:val="24"/>
        </w:rPr>
      </w:pPr>
    </w:p>
    <w:sectPr w:rsidR="006C5BDA"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185D1" w14:textId="77777777" w:rsidR="002B10FD" w:rsidRDefault="002B10FD">
      <w:r>
        <w:separator/>
      </w:r>
    </w:p>
  </w:endnote>
  <w:endnote w:type="continuationSeparator" w:id="0">
    <w:p w14:paraId="2AF21E0B" w14:textId="77777777" w:rsidR="002B10FD" w:rsidRDefault="002B10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641AB" w14:textId="77777777" w:rsidR="002B10FD" w:rsidRDefault="002B10FD">
      <w:r>
        <w:separator/>
      </w:r>
    </w:p>
  </w:footnote>
  <w:footnote w:type="continuationSeparator" w:id="0">
    <w:p w14:paraId="710EB68E" w14:textId="77777777" w:rsidR="002B10FD" w:rsidRDefault="002B10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15AD4FDC" w:rsidR="00A5656A" w:rsidRDefault="00A5656A">
    <w:pPr>
      <w:pStyle w:val="Header"/>
    </w:pPr>
    <w:r>
      <w:t xml:space="preserve">Version </w:t>
    </w:r>
    <w:r w:rsidR="00DC2924">
      <w:t xml:space="preserve">1_Cohort </w:t>
    </w:r>
    <w:r w:rsidR="00A25B37">
      <w:t>21</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6558F9"/>
    <w:multiLevelType w:val="hybridMultilevel"/>
    <w:tmpl w:val="3698BDFE"/>
    <w:lvl w:ilvl="0" w:tplc="6F50CAA2">
      <w:start w:val="1"/>
      <w:numFmt w:val="bullet"/>
      <w:lvlText w:val=""/>
      <w:lvlJc w:val="left"/>
      <w:pPr>
        <w:tabs>
          <w:tab w:val="num" w:pos="720"/>
        </w:tabs>
        <w:ind w:left="720" w:hanging="360"/>
      </w:pPr>
      <w:rPr>
        <w:rFonts w:ascii="Wingdings 3" w:hAnsi="Wingdings 3" w:hint="default"/>
      </w:rPr>
    </w:lvl>
    <w:lvl w:ilvl="1" w:tplc="4C245688" w:tentative="1">
      <w:start w:val="1"/>
      <w:numFmt w:val="bullet"/>
      <w:lvlText w:val=""/>
      <w:lvlJc w:val="left"/>
      <w:pPr>
        <w:tabs>
          <w:tab w:val="num" w:pos="1440"/>
        </w:tabs>
        <w:ind w:left="1440" w:hanging="360"/>
      </w:pPr>
      <w:rPr>
        <w:rFonts w:ascii="Wingdings 3" w:hAnsi="Wingdings 3" w:hint="default"/>
      </w:rPr>
    </w:lvl>
    <w:lvl w:ilvl="2" w:tplc="F3F6B16C" w:tentative="1">
      <w:start w:val="1"/>
      <w:numFmt w:val="bullet"/>
      <w:lvlText w:val=""/>
      <w:lvlJc w:val="left"/>
      <w:pPr>
        <w:tabs>
          <w:tab w:val="num" w:pos="2160"/>
        </w:tabs>
        <w:ind w:left="2160" w:hanging="360"/>
      </w:pPr>
      <w:rPr>
        <w:rFonts w:ascii="Wingdings 3" w:hAnsi="Wingdings 3" w:hint="default"/>
      </w:rPr>
    </w:lvl>
    <w:lvl w:ilvl="3" w:tplc="23A4D5EA" w:tentative="1">
      <w:start w:val="1"/>
      <w:numFmt w:val="bullet"/>
      <w:lvlText w:val=""/>
      <w:lvlJc w:val="left"/>
      <w:pPr>
        <w:tabs>
          <w:tab w:val="num" w:pos="2880"/>
        </w:tabs>
        <w:ind w:left="2880" w:hanging="360"/>
      </w:pPr>
      <w:rPr>
        <w:rFonts w:ascii="Wingdings 3" w:hAnsi="Wingdings 3" w:hint="default"/>
      </w:rPr>
    </w:lvl>
    <w:lvl w:ilvl="4" w:tplc="FB5EDB98" w:tentative="1">
      <w:start w:val="1"/>
      <w:numFmt w:val="bullet"/>
      <w:lvlText w:val=""/>
      <w:lvlJc w:val="left"/>
      <w:pPr>
        <w:tabs>
          <w:tab w:val="num" w:pos="3600"/>
        </w:tabs>
        <w:ind w:left="3600" w:hanging="360"/>
      </w:pPr>
      <w:rPr>
        <w:rFonts w:ascii="Wingdings 3" w:hAnsi="Wingdings 3" w:hint="default"/>
      </w:rPr>
    </w:lvl>
    <w:lvl w:ilvl="5" w:tplc="13A031B4" w:tentative="1">
      <w:start w:val="1"/>
      <w:numFmt w:val="bullet"/>
      <w:lvlText w:val=""/>
      <w:lvlJc w:val="left"/>
      <w:pPr>
        <w:tabs>
          <w:tab w:val="num" w:pos="4320"/>
        </w:tabs>
        <w:ind w:left="4320" w:hanging="360"/>
      </w:pPr>
      <w:rPr>
        <w:rFonts w:ascii="Wingdings 3" w:hAnsi="Wingdings 3" w:hint="default"/>
      </w:rPr>
    </w:lvl>
    <w:lvl w:ilvl="6" w:tplc="3662B684" w:tentative="1">
      <w:start w:val="1"/>
      <w:numFmt w:val="bullet"/>
      <w:lvlText w:val=""/>
      <w:lvlJc w:val="left"/>
      <w:pPr>
        <w:tabs>
          <w:tab w:val="num" w:pos="5040"/>
        </w:tabs>
        <w:ind w:left="5040" w:hanging="360"/>
      </w:pPr>
      <w:rPr>
        <w:rFonts w:ascii="Wingdings 3" w:hAnsi="Wingdings 3" w:hint="default"/>
      </w:rPr>
    </w:lvl>
    <w:lvl w:ilvl="7" w:tplc="799A961C" w:tentative="1">
      <w:start w:val="1"/>
      <w:numFmt w:val="bullet"/>
      <w:lvlText w:val=""/>
      <w:lvlJc w:val="left"/>
      <w:pPr>
        <w:tabs>
          <w:tab w:val="num" w:pos="5760"/>
        </w:tabs>
        <w:ind w:left="5760" w:hanging="360"/>
      </w:pPr>
      <w:rPr>
        <w:rFonts w:ascii="Wingdings 3" w:hAnsi="Wingdings 3" w:hint="default"/>
      </w:rPr>
    </w:lvl>
    <w:lvl w:ilvl="8" w:tplc="1CDA184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956459"/>
    <w:multiLevelType w:val="hybridMultilevel"/>
    <w:tmpl w:val="FD66E58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4214B"/>
    <w:multiLevelType w:val="hybridMultilevel"/>
    <w:tmpl w:val="DE7A9D2E"/>
    <w:lvl w:ilvl="0" w:tplc="886ACE7A">
      <w:start w:val="1"/>
      <w:numFmt w:val="bullet"/>
      <w:lvlText w:val=""/>
      <w:lvlJc w:val="left"/>
      <w:pPr>
        <w:tabs>
          <w:tab w:val="num" w:pos="720"/>
        </w:tabs>
        <w:ind w:left="720" w:hanging="360"/>
      </w:pPr>
      <w:rPr>
        <w:rFonts w:ascii="Wingdings" w:hAnsi="Wingdings" w:hint="default"/>
      </w:rPr>
    </w:lvl>
    <w:lvl w:ilvl="1" w:tplc="D8528016" w:tentative="1">
      <w:start w:val="1"/>
      <w:numFmt w:val="bullet"/>
      <w:lvlText w:val=""/>
      <w:lvlJc w:val="left"/>
      <w:pPr>
        <w:tabs>
          <w:tab w:val="num" w:pos="1440"/>
        </w:tabs>
        <w:ind w:left="1440" w:hanging="360"/>
      </w:pPr>
      <w:rPr>
        <w:rFonts w:ascii="Wingdings" w:hAnsi="Wingdings" w:hint="default"/>
      </w:rPr>
    </w:lvl>
    <w:lvl w:ilvl="2" w:tplc="41025CE8" w:tentative="1">
      <w:start w:val="1"/>
      <w:numFmt w:val="bullet"/>
      <w:lvlText w:val=""/>
      <w:lvlJc w:val="left"/>
      <w:pPr>
        <w:tabs>
          <w:tab w:val="num" w:pos="2160"/>
        </w:tabs>
        <w:ind w:left="2160" w:hanging="360"/>
      </w:pPr>
      <w:rPr>
        <w:rFonts w:ascii="Wingdings" w:hAnsi="Wingdings" w:hint="default"/>
      </w:rPr>
    </w:lvl>
    <w:lvl w:ilvl="3" w:tplc="A3A44F92" w:tentative="1">
      <w:start w:val="1"/>
      <w:numFmt w:val="bullet"/>
      <w:lvlText w:val=""/>
      <w:lvlJc w:val="left"/>
      <w:pPr>
        <w:tabs>
          <w:tab w:val="num" w:pos="2880"/>
        </w:tabs>
        <w:ind w:left="2880" w:hanging="360"/>
      </w:pPr>
      <w:rPr>
        <w:rFonts w:ascii="Wingdings" w:hAnsi="Wingdings" w:hint="default"/>
      </w:rPr>
    </w:lvl>
    <w:lvl w:ilvl="4" w:tplc="1B5E6C8E" w:tentative="1">
      <w:start w:val="1"/>
      <w:numFmt w:val="bullet"/>
      <w:lvlText w:val=""/>
      <w:lvlJc w:val="left"/>
      <w:pPr>
        <w:tabs>
          <w:tab w:val="num" w:pos="3600"/>
        </w:tabs>
        <w:ind w:left="3600" w:hanging="360"/>
      </w:pPr>
      <w:rPr>
        <w:rFonts w:ascii="Wingdings" w:hAnsi="Wingdings" w:hint="default"/>
      </w:rPr>
    </w:lvl>
    <w:lvl w:ilvl="5" w:tplc="0EE247F8" w:tentative="1">
      <w:start w:val="1"/>
      <w:numFmt w:val="bullet"/>
      <w:lvlText w:val=""/>
      <w:lvlJc w:val="left"/>
      <w:pPr>
        <w:tabs>
          <w:tab w:val="num" w:pos="4320"/>
        </w:tabs>
        <w:ind w:left="4320" w:hanging="360"/>
      </w:pPr>
      <w:rPr>
        <w:rFonts w:ascii="Wingdings" w:hAnsi="Wingdings" w:hint="default"/>
      </w:rPr>
    </w:lvl>
    <w:lvl w:ilvl="6" w:tplc="885835A8" w:tentative="1">
      <w:start w:val="1"/>
      <w:numFmt w:val="bullet"/>
      <w:lvlText w:val=""/>
      <w:lvlJc w:val="left"/>
      <w:pPr>
        <w:tabs>
          <w:tab w:val="num" w:pos="5040"/>
        </w:tabs>
        <w:ind w:left="5040" w:hanging="360"/>
      </w:pPr>
      <w:rPr>
        <w:rFonts w:ascii="Wingdings" w:hAnsi="Wingdings" w:hint="default"/>
      </w:rPr>
    </w:lvl>
    <w:lvl w:ilvl="7" w:tplc="B694C326" w:tentative="1">
      <w:start w:val="1"/>
      <w:numFmt w:val="bullet"/>
      <w:lvlText w:val=""/>
      <w:lvlJc w:val="left"/>
      <w:pPr>
        <w:tabs>
          <w:tab w:val="num" w:pos="5760"/>
        </w:tabs>
        <w:ind w:left="5760" w:hanging="360"/>
      </w:pPr>
      <w:rPr>
        <w:rFonts w:ascii="Wingdings" w:hAnsi="Wingdings" w:hint="default"/>
      </w:rPr>
    </w:lvl>
    <w:lvl w:ilvl="8" w:tplc="FDC28A56"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4"/>
  </w:num>
  <w:num w:numId="26" w16cid:durableId="1104690971">
    <w:abstractNumId w:val="36"/>
  </w:num>
  <w:num w:numId="27" w16cid:durableId="1201670287">
    <w:abstractNumId w:val="43"/>
  </w:num>
  <w:num w:numId="28" w16cid:durableId="598562144">
    <w:abstractNumId w:val="21"/>
  </w:num>
  <w:num w:numId="29" w16cid:durableId="871068292">
    <w:abstractNumId w:val="46"/>
  </w:num>
  <w:num w:numId="30" w16cid:durableId="482159744">
    <w:abstractNumId w:val="32"/>
  </w:num>
  <w:num w:numId="31" w16cid:durableId="1565527110">
    <w:abstractNumId w:val="13"/>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8"/>
  </w:num>
  <w:num w:numId="38" w16cid:durableId="1682197957">
    <w:abstractNumId w:val="39"/>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41"/>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153713112">
    <w:abstractNumId w:val="40"/>
  </w:num>
  <w:num w:numId="55" w16cid:durableId="867521370">
    <w:abstractNumId w:val="6"/>
  </w:num>
  <w:num w:numId="56" w16cid:durableId="825164808">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A02"/>
    <w:rsid w:val="00005EC2"/>
    <w:rsid w:val="00011F6E"/>
    <w:rsid w:val="00012B16"/>
    <w:rsid w:val="00020EEC"/>
    <w:rsid w:val="0002440E"/>
    <w:rsid w:val="0002759A"/>
    <w:rsid w:val="00027B1F"/>
    <w:rsid w:val="0003088B"/>
    <w:rsid w:val="0003149F"/>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4C00"/>
    <w:rsid w:val="0006581A"/>
    <w:rsid w:val="00074461"/>
    <w:rsid w:val="000745F2"/>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5AD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73AB"/>
    <w:rsid w:val="001C7856"/>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6758"/>
    <w:rsid w:val="0027147E"/>
    <w:rsid w:val="002761F4"/>
    <w:rsid w:val="002775E1"/>
    <w:rsid w:val="00277979"/>
    <w:rsid w:val="002830F3"/>
    <w:rsid w:val="00291ADD"/>
    <w:rsid w:val="002920DF"/>
    <w:rsid w:val="00292F3D"/>
    <w:rsid w:val="00295CA1"/>
    <w:rsid w:val="002A0E51"/>
    <w:rsid w:val="002A1A44"/>
    <w:rsid w:val="002A1DCA"/>
    <w:rsid w:val="002A291A"/>
    <w:rsid w:val="002A2C54"/>
    <w:rsid w:val="002A4E2E"/>
    <w:rsid w:val="002A5604"/>
    <w:rsid w:val="002B10FD"/>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BFD"/>
    <w:rsid w:val="003106DB"/>
    <w:rsid w:val="0031350A"/>
    <w:rsid w:val="00316815"/>
    <w:rsid w:val="003168CA"/>
    <w:rsid w:val="00321255"/>
    <w:rsid w:val="0032230D"/>
    <w:rsid w:val="00322A0B"/>
    <w:rsid w:val="003260BB"/>
    <w:rsid w:val="00327979"/>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874"/>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1A8E"/>
    <w:rsid w:val="004A2A49"/>
    <w:rsid w:val="004A5A64"/>
    <w:rsid w:val="004B5553"/>
    <w:rsid w:val="004B600B"/>
    <w:rsid w:val="004B6822"/>
    <w:rsid w:val="004B69F6"/>
    <w:rsid w:val="004C2D3A"/>
    <w:rsid w:val="004D03C4"/>
    <w:rsid w:val="004D0BF1"/>
    <w:rsid w:val="004D0F4E"/>
    <w:rsid w:val="004D3278"/>
    <w:rsid w:val="004D35A4"/>
    <w:rsid w:val="004D445F"/>
    <w:rsid w:val="004D7EB5"/>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3908"/>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1593"/>
    <w:rsid w:val="00594F9F"/>
    <w:rsid w:val="005A1B4C"/>
    <w:rsid w:val="005A545C"/>
    <w:rsid w:val="005B271A"/>
    <w:rsid w:val="005B3A2D"/>
    <w:rsid w:val="005B7F8F"/>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CA4"/>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A0F"/>
    <w:rsid w:val="006B4496"/>
    <w:rsid w:val="006B5E67"/>
    <w:rsid w:val="006B6612"/>
    <w:rsid w:val="006C2EB5"/>
    <w:rsid w:val="006C3541"/>
    <w:rsid w:val="006C5BDA"/>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6E7D"/>
    <w:rsid w:val="0075704F"/>
    <w:rsid w:val="00763B2D"/>
    <w:rsid w:val="00764C84"/>
    <w:rsid w:val="007710AD"/>
    <w:rsid w:val="00772924"/>
    <w:rsid w:val="0078112D"/>
    <w:rsid w:val="00787105"/>
    <w:rsid w:val="007872F2"/>
    <w:rsid w:val="007873F9"/>
    <w:rsid w:val="007908E0"/>
    <w:rsid w:val="00793EB3"/>
    <w:rsid w:val="00794205"/>
    <w:rsid w:val="0079422A"/>
    <w:rsid w:val="007A1F6A"/>
    <w:rsid w:val="007A628F"/>
    <w:rsid w:val="007B0DE3"/>
    <w:rsid w:val="007B1BFD"/>
    <w:rsid w:val="007B60D3"/>
    <w:rsid w:val="007B7191"/>
    <w:rsid w:val="007C1D94"/>
    <w:rsid w:val="007C500C"/>
    <w:rsid w:val="007C502B"/>
    <w:rsid w:val="007C556F"/>
    <w:rsid w:val="007C5ABE"/>
    <w:rsid w:val="007C6A87"/>
    <w:rsid w:val="007D0A07"/>
    <w:rsid w:val="007D0F11"/>
    <w:rsid w:val="007D133D"/>
    <w:rsid w:val="007D3EB4"/>
    <w:rsid w:val="007D3F16"/>
    <w:rsid w:val="007F10BD"/>
    <w:rsid w:val="007F312E"/>
    <w:rsid w:val="007F3F7E"/>
    <w:rsid w:val="007F4BA4"/>
    <w:rsid w:val="00803B67"/>
    <w:rsid w:val="00813CEC"/>
    <w:rsid w:val="0081534C"/>
    <w:rsid w:val="00816CE7"/>
    <w:rsid w:val="008171E4"/>
    <w:rsid w:val="008208EA"/>
    <w:rsid w:val="00822B44"/>
    <w:rsid w:val="00824E67"/>
    <w:rsid w:val="00825A64"/>
    <w:rsid w:val="00826347"/>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6C98"/>
    <w:rsid w:val="00867A63"/>
    <w:rsid w:val="008708F1"/>
    <w:rsid w:val="00871960"/>
    <w:rsid w:val="0087369F"/>
    <w:rsid w:val="00880539"/>
    <w:rsid w:val="008859E8"/>
    <w:rsid w:val="0088737B"/>
    <w:rsid w:val="00891078"/>
    <w:rsid w:val="00892716"/>
    <w:rsid w:val="00893067"/>
    <w:rsid w:val="008933DE"/>
    <w:rsid w:val="00894B0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7275"/>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19F7"/>
    <w:rsid w:val="009E4D2C"/>
    <w:rsid w:val="009F0978"/>
    <w:rsid w:val="009F3AEC"/>
    <w:rsid w:val="009F6801"/>
    <w:rsid w:val="00A00081"/>
    <w:rsid w:val="00A06132"/>
    <w:rsid w:val="00A06422"/>
    <w:rsid w:val="00A10D56"/>
    <w:rsid w:val="00A12AAE"/>
    <w:rsid w:val="00A12F22"/>
    <w:rsid w:val="00A14077"/>
    <w:rsid w:val="00A16DD1"/>
    <w:rsid w:val="00A22441"/>
    <w:rsid w:val="00A23F3B"/>
    <w:rsid w:val="00A24406"/>
    <w:rsid w:val="00A25B37"/>
    <w:rsid w:val="00A25F64"/>
    <w:rsid w:val="00A275F6"/>
    <w:rsid w:val="00A303B9"/>
    <w:rsid w:val="00A37416"/>
    <w:rsid w:val="00A40ED6"/>
    <w:rsid w:val="00A4572E"/>
    <w:rsid w:val="00A47621"/>
    <w:rsid w:val="00A479CD"/>
    <w:rsid w:val="00A50CFC"/>
    <w:rsid w:val="00A54D67"/>
    <w:rsid w:val="00A55A3F"/>
    <w:rsid w:val="00A5656A"/>
    <w:rsid w:val="00A60103"/>
    <w:rsid w:val="00A652F6"/>
    <w:rsid w:val="00A65861"/>
    <w:rsid w:val="00A732EA"/>
    <w:rsid w:val="00A7489E"/>
    <w:rsid w:val="00A74ABD"/>
    <w:rsid w:val="00A8015F"/>
    <w:rsid w:val="00A85039"/>
    <w:rsid w:val="00A906AA"/>
    <w:rsid w:val="00A90ACC"/>
    <w:rsid w:val="00A94C5E"/>
    <w:rsid w:val="00AA252C"/>
    <w:rsid w:val="00AA666E"/>
    <w:rsid w:val="00AA7960"/>
    <w:rsid w:val="00AB5518"/>
    <w:rsid w:val="00AB5920"/>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138A"/>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B05"/>
    <w:rsid w:val="00CA64DC"/>
    <w:rsid w:val="00CA7E6A"/>
    <w:rsid w:val="00CB258E"/>
    <w:rsid w:val="00CB3C8F"/>
    <w:rsid w:val="00CC02F1"/>
    <w:rsid w:val="00CC1122"/>
    <w:rsid w:val="00CC11A6"/>
    <w:rsid w:val="00CC135E"/>
    <w:rsid w:val="00CC58CE"/>
    <w:rsid w:val="00CC7226"/>
    <w:rsid w:val="00CD0735"/>
    <w:rsid w:val="00CD45E3"/>
    <w:rsid w:val="00CD4771"/>
    <w:rsid w:val="00CD5089"/>
    <w:rsid w:val="00CD5D3F"/>
    <w:rsid w:val="00CD775D"/>
    <w:rsid w:val="00CD7E1F"/>
    <w:rsid w:val="00CE4BC4"/>
    <w:rsid w:val="00CE6F24"/>
    <w:rsid w:val="00CE76BD"/>
    <w:rsid w:val="00CE7DA2"/>
    <w:rsid w:val="00CF2F8A"/>
    <w:rsid w:val="00CF3DB3"/>
    <w:rsid w:val="00D0274B"/>
    <w:rsid w:val="00D0503D"/>
    <w:rsid w:val="00D052BC"/>
    <w:rsid w:val="00D07026"/>
    <w:rsid w:val="00D146AE"/>
    <w:rsid w:val="00D22C8F"/>
    <w:rsid w:val="00D27CA8"/>
    <w:rsid w:val="00D3203C"/>
    <w:rsid w:val="00D33491"/>
    <w:rsid w:val="00D3442D"/>
    <w:rsid w:val="00D34D46"/>
    <w:rsid w:val="00D36F00"/>
    <w:rsid w:val="00D44B67"/>
    <w:rsid w:val="00D44F8E"/>
    <w:rsid w:val="00D51FD5"/>
    <w:rsid w:val="00D55DE0"/>
    <w:rsid w:val="00D607EF"/>
    <w:rsid w:val="00D60F88"/>
    <w:rsid w:val="00D646BD"/>
    <w:rsid w:val="00D65558"/>
    <w:rsid w:val="00D71201"/>
    <w:rsid w:val="00D720C7"/>
    <w:rsid w:val="00D7672F"/>
    <w:rsid w:val="00D84841"/>
    <w:rsid w:val="00D876E6"/>
    <w:rsid w:val="00D90958"/>
    <w:rsid w:val="00D93750"/>
    <w:rsid w:val="00D97198"/>
    <w:rsid w:val="00DA1025"/>
    <w:rsid w:val="00DA22EC"/>
    <w:rsid w:val="00DA5682"/>
    <w:rsid w:val="00DA5860"/>
    <w:rsid w:val="00DA5C0C"/>
    <w:rsid w:val="00DB0887"/>
    <w:rsid w:val="00DB2767"/>
    <w:rsid w:val="00DC1B10"/>
    <w:rsid w:val="00DC2924"/>
    <w:rsid w:val="00DC4729"/>
    <w:rsid w:val="00DD31C5"/>
    <w:rsid w:val="00DD5020"/>
    <w:rsid w:val="00DD63BE"/>
    <w:rsid w:val="00DE4296"/>
    <w:rsid w:val="00DF2469"/>
    <w:rsid w:val="00DF30DE"/>
    <w:rsid w:val="00DF7899"/>
    <w:rsid w:val="00E0524C"/>
    <w:rsid w:val="00E15751"/>
    <w:rsid w:val="00E17160"/>
    <w:rsid w:val="00E17D41"/>
    <w:rsid w:val="00E20987"/>
    <w:rsid w:val="00E231D1"/>
    <w:rsid w:val="00E23C63"/>
    <w:rsid w:val="00E30576"/>
    <w:rsid w:val="00E3288D"/>
    <w:rsid w:val="00E33511"/>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01D8"/>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7B5B"/>
    <w:rsid w:val="00EE01ED"/>
    <w:rsid w:val="00EE1AC1"/>
    <w:rsid w:val="00EE39D6"/>
    <w:rsid w:val="00EE52AD"/>
    <w:rsid w:val="00EE5BC3"/>
    <w:rsid w:val="00EE6FAB"/>
    <w:rsid w:val="00EF328C"/>
    <w:rsid w:val="00EF4B22"/>
    <w:rsid w:val="00EF68BB"/>
    <w:rsid w:val="00F01F92"/>
    <w:rsid w:val="00F030D4"/>
    <w:rsid w:val="00F04053"/>
    <w:rsid w:val="00F06467"/>
    <w:rsid w:val="00F06573"/>
    <w:rsid w:val="00F10A08"/>
    <w:rsid w:val="00F15354"/>
    <w:rsid w:val="00F22AC5"/>
    <w:rsid w:val="00F254D1"/>
    <w:rsid w:val="00F32B82"/>
    <w:rsid w:val="00F34C86"/>
    <w:rsid w:val="00F3784F"/>
    <w:rsid w:val="00F4043E"/>
    <w:rsid w:val="00F41795"/>
    <w:rsid w:val="00F41BBC"/>
    <w:rsid w:val="00F444F0"/>
    <w:rsid w:val="00F446FF"/>
    <w:rsid w:val="00F45521"/>
    <w:rsid w:val="00F50847"/>
    <w:rsid w:val="00F53F27"/>
    <w:rsid w:val="00F546D1"/>
    <w:rsid w:val="00F60281"/>
    <w:rsid w:val="00F616B7"/>
    <w:rsid w:val="00F66272"/>
    <w:rsid w:val="00F709C0"/>
    <w:rsid w:val="00F77D5E"/>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D52"/>
    <w:rsid w:val="00FD2353"/>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004A0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004A02"/>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C6D52"/>
    <w:pPr>
      <w:ind w:left="720"/>
      <w:contextualSpacing/>
    </w:pPr>
  </w:style>
  <w:style w:type="character" w:styleId="UnresolvedMention">
    <w:name w:val="Unresolved Mention"/>
    <w:basedOn w:val="DefaultParagraphFont"/>
    <w:uiPriority w:val="99"/>
    <w:semiHidden/>
    <w:unhideWhenUsed/>
    <w:rsid w:val="006C5BDA"/>
    <w:rPr>
      <w:color w:val="605E5C"/>
      <w:shd w:val="clear" w:color="auto" w:fill="E1DFDD"/>
    </w:rPr>
  </w:style>
  <w:style w:type="paragraph" w:styleId="NormalWeb">
    <w:name w:val="Normal (Web)"/>
    <w:basedOn w:val="Normal"/>
    <w:uiPriority w:val="99"/>
    <w:unhideWhenUsed/>
    <w:rsid w:val="00005EC2"/>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customStyle="1" w:styleId="legterm">
    <w:name w:val="legterm"/>
    <w:basedOn w:val="DefaultParagraphFont"/>
    <w:rsid w:val="00A06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881941">
      <w:bodyDiv w:val="1"/>
      <w:marLeft w:val="0"/>
      <w:marRight w:val="0"/>
      <w:marTop w:val="0"/>
      <w:marBottom w:val="0"/>
      <w:divBdr>
        <w:top w:val="none" w:sz="0" w:space="0" w:color="auto"/>
        <w:left w:val="none" w:sz="0" w:space="0" w:color="auto"/>
        <w:bottom w:val="none" w:sz="0" w:space="0" w:color="auto"/>
        <w:right w:val="none" w:sz="0" w:space="0" w:color="auto"/>
      </w:divBdr>
      <w:divsChild>
        <w:div w:id="1677808236">
          <w:marLeft w:val="576"/>
          <w:marRight w:val="0"/>
          <w:marTop w:val="80"/>
          <w:marBottom w:val="0"/>
          <w:divBdr>
            <w:top w:val="none" w:sz="0" w:space="0" w:color="auto"/>
            <w:left w:val="none" w:sz="0" w:space="0" w:color="auto"/>
            <w:bottom w:val="none" w:sz="0" w:space="0" w:color="auto"/>
            <w:right w:val="none" w:sz="0" w:space="0" w:color="auto"/>
          </w:divBdr>
        </w:div>
      </w:divsChild>
    </w:div>
    <w:div w:id="430203999">
      <w:bodyDiv w:val="1"/>
      <w:marLeft w:val="0"/>
      <w:marRight w:val="0"/>
      <w:marTop w:val="0"/>
      <w:marBottom w:val="0"/>
      <w:divBdr>
        <w:top w:val="none" w:sz="0" w:space="0" w:color="auto"/>
        <w:left w:val="none" w:sz="0" w:space="0" w:color="auto"/>
        <w:bottom w:val="none" w:sz="0" w:space="0" w:color="auto"/>
        <w:right w:val="none" w:sz="0" w:space="0" w:color="auto"/>
      </w:divBdr>
    </w:div>
    <w:div w:id="749471670">
      <w:bodyDiv w:val="1"/>
      <w:marLeft w:val="0"/>
      <w:marRight w:val="0"/>
      <w:marTop w:val="0"/>
      <w:marBottom w:val="0"/>
      <w:divBdr>
        <w:top w:val="none" w:sz="0" w:space="0" w:color="auto"/>
        <w:left w:val="none" w:sz="0" w:space="0" w:color="auto"/>
        <w:bottom w:val="none" w:sz="0" w:space="0" w:color="auto"/>
        <w:right w:val="none" w:sz="0" w:space="0" w:color="auto"/>
      </w:divBdr>
      <w:divsChild>
        <w:div w:id="1064140246">
          <w:marLeft w:val="720"/>
          <w:marRight w:val="0"/>
          <w:marTop w:val="80"/>
          <w:marBottom w:val="0"/>
          <w:divBdr>
            <w:top w:val="none" w:sz="0" w:space="0" w:color="auto"/>
            <w:left w:val="none" w:sz="0" w:space="0" w:color="auto"/>
            <w:bottom w:val="none" w:sz="0" w:space="0" w:color="auto"/>
            <w:right w:val="none" w:sz="0" w:space="0" w:color="auto"/>
          </w:divBdr>
        </w:div>
        <w:div w:id="853111389">
          <w:marLeft w:val="720"/>
          <w:marRight w:val="0"/>
          <w:marTop w:val="80"/>
          <w:marBottom w:val="0"/>
          <w:divBdr>
            <w:top w:val="none" w:sz="0" w:space="0" w:color="auto"/>
            <w:left w:val="none" w:sz="0" w:space="0" w:color="auto"/>
            <w:bottom w:val="none" w:sz="0" w:space="0" w:color="auto"/>
            <w:right w:val="none" w:sz="0" w:space="0" w:color="auto"/>
          </w:divBdr>
        </w:div>
        <w:div w:id="933395592">
          <w:marLeft w:val="720"/>
          <w:marRight w:val="0"/>
          <w:marTop w:val="8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1145</TotalTime>
  <Pages>4</Pages>
  <Words>1055</Words>
  <Characters>6016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Melany Williams (PLANT)</cp:lastModifiedBy>
  <cp:revision>13</cp:revision>
  <cp:lastPrinted>2020-02-11T19:20:00Z</cp:lastPrinted>
  <dcterms:created xsi:type="dcterms:W3CDTF">2023-08-20T20:20:00Z</dcterms:created>
  <dcterms:modified xsi:type="dcterms:W3CDTF">2024-02-14T18:42:00Z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