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0" w:type="dxa"/>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8"/>
        <w:gridCol w:w="3732"/>
        <w:gridCol w:w="2112"/>
        <w:gridCol w:w="2518"/>
      </w:tblGrid>
      <w:tr w:rsidR="00554962" w:rsidRPr="00A406E5" w14:paraId="30F86858" w14:textId="77777777" w:rsidTr="00554962">
        <w:trPr>
          <w:trHeight w:val="927"/>
        </w:trPr>
        <w:tc>
          <w:tcPr>
            <w:tcW w:w="2128" w:type="dxa"/>
            <w:vAlign w:val="center"/>
          </w:tcPr>
          <w:p w14:paraId="5549B290" w14:textId="77777777" w:rsidR="00554962" w:rsidRPr="00A406E5" w:rsidRDefault="00554962" w:rsidP="00FC4A05">
            <w:pPr>
              <w:spacing w:before="120" w:after="120"/>
              <w:rPr>
                <w:rFonts w:ascii="Arial" w:hAnsi="Arial" w:cs="Arial"/>
                <w:b/>
                <w:sz w:val="22"/>
                <w:szCs w:val="22"/>
              </w:rPr>
            </w:pPr>
            <w:r w:rsidRPr="00A406E5">
              <w:rPr>
                <w:rFonts w:ascii="Arial" w:hAnsi="Arial" w:cs="Arial"/>
                <w:b/>
                <w:sz w:val="22"/>
                <w:szCs w:val="22"/>
              </w:rPr>
              <w:t>Student name:</w:t>
            </w:r>
          </w:p>
        </w:tc>
        <w:tc>
          <w:tcPr>
            <w:tcW w:w="3732" w:type="dxa"/>
            <w:vAlign w:val="center"/>
          </w:tcPr>
          <w:p w14:paraId="0754227F" w14:textId="51211015" w:rsidR="00554962" w:rsidRPr="00A406E5" w:rsidRDefault="00FE26E0" w:rsidP="00FC4A05">
            <w:pPr>
              <w:spacing w:before="120" w:after="120"/>
              <w:rPr>
                <w:rFonts w:ascii="Arial" w:hAnsi="Arial" w:cs="Arial"/>
                <w:b/>
                <w:sz w:val="22"/>
                <w:szCs w:val="22"/>
              </w:rPr>
            </w:pPr>
            <w:r>
              <w:rPr>
                <w:rFonts w:ascii="Arial" w:hAnsi="Arial" w:cs="Arial"/>
                <w:b/>
                <w:sz w:val="22"/>
                <w:szCs w:val="22"/>
              </w:rPr>
              <w:t xml:space="preserve">MD </w:t>
            </w:r>
            <w:proofErr w:type="spellStart"/>
            <w:r>
              <w:rPr>
                <w:rFonts w:ascii="Arial" w:hAnsi="Arial" w:cs="Arial"/>
                <w:b/>
                <w:sz w:val="22"/>
                <w:szCs w:val="22"/>
              </w:rPr>
              <w:t>Samsojjaman</w:t>
            </w:r>
            <w:proofErr w:type="spellEnd"/>
            <w:r>
              <w:rPr>
                <w:rFonts w:ascii="Arial" w:hAnsi="Arial" w:cs="Arial"/>
                <w:b/>
                <w:sz w:val="22"/>
                <w:szCs w:val="22"/>
              </w:rPr>
              <w:t xml:space="preserve"> Siyam</w:t>
            </w:r>
          </w:p>
        </w:tc>
        <w:tc>
          <w:tcPr>
            <w:tcW w:w="2112" w:type="dxa"/>
            <w:shd w:val="clear" w:color="auto" w:fill="D9D9D9" w:themeFill="background1" w:themeFillShade="D9"/>
            <w:vAlign w:val="center"/>
          </w:tcPr>
          <w:p w14:paraId="41BC0FFE" w14:textId="77777777" w:rsidR="00554962" w:rsidRPr="00A406E5" w:rsidRDefault="00554962" w:rsidP="00FC4A05">
            <w:pPr>
              <w:spacing w:before="120" w:after="120"/>
              <w:rPr>
                <w:rFonts w:ascii="Arial" w:hAnsi="Arial" w:cs="Arial"/>
                <w:b/>
                <w:sz w:val="22"/>
                <w:szCs w:val="22"/>
              </w:rPr>
            </w:pPr>
            <w:r w:rsidRPr="00A406E5">
              <w:rPr>
                <w:rFonts w:ascii="Arial" w:hAnsi="Arial" w:cs="Arial"/>
                <w:b/>
                <w:sz w:val="22"/>
                <w:szCs w:val="22"/>
              </w:rPr>
              <w:t>Student ID number:</w:t>
            </w:r>
          </w:p>
        </w:tc>
        <w:tc>
          <w:tcPr>
            <w:tcW w:w="2518" w:type="dxa"/>
            <w:vAlign w:val="center"/>
          </w:tcPr>
          <w:p w14:paraId="66BE6368" w14:textId="2847684D" w:rsidR="00554962" w:rsidRPr="00A406E5" w:rsidRDefault="00A32D03" w:rsidP="00FC4A05">
            <w:pPr>
              <w:spacing w:before="120" w:after="120"/>
              <w:rPr>
                <w:rFonts w:ascii="Arial" w:hAnsi="Arial" w:cs="Arial"/>
                <w:b/>
                <w:sz w:val="22"/>
                <w:szCs w:val="22"/>
              </w:rPr>
            </w:pPr>
            <w:r>
              <w:rPr>
                <w:rFonts w:ascii="Arial" w:hAnsi="Arial" w:cs="Arial"/>
                <w:b/>
                <w:sz w:val="22"/>
                <w:szCs w:val="22"/>
              </w:rPr>
              <w:t>2520477</w:t>
            </w:r>
          </w:p>
        </w:tc>
      </w:tr>
      <w:tr w:rsidR="00554962" w:rsidRPr="00A406E5" w14:paraId="301BA95F" w14:textId="77777777" w:rsidTr="00554962">
        <w:trPr>
          <w:trHeight w:val="592"/>
        </w:trPr>
        <w:tc>
          <w:tcPr>
            <w:tcW w:w="2128" w:type="dxa"/>
            <w:vAlign w:val="center"/>
          </w:tcPr>
          <w:p w14:paraId="44C7D076" w14:textId="77777777" w:rsidR="00554962" w:rsidRPr="00A406E5" w:rsidRDefault="00554962" w:rsidP="00FC4A05">
            <w:pPr>
              <w:spacing w:before="120" w:after="120"/>
              <w:rPr>
                <w:rFonts w:ascii="Arial" w:hAnsi="Arial" w:cs="Arial"/>
                <w:b/>
                <w:sz w:val="22"/>
                <w:szCs w:val="22"/>
              </w:rPr>
            </w:pPr>
            <w:r w:rsidRPr="00A406E5">
              <w:rPr>
                <w:rFonts w:ascii="Arial" w:hAnsi="Arial" w:cs="Arial"/>
                <w:b/>
                <w:sz w:val="22"/>
                <w:szCs w:val="22"/>
              </w:rPr>
              <w:t>Programme:</w:t>
            </w:r>
          </w:p>
        </w:tc>
        <w:tc>
          <w:tcPr>
            <w:tcW w:w="8362" w:type="dxa"/>
            <w:gridSpan w:val="3"/>
            <w:vAlign w:val="center"/>
          </w:tcPr>
          <w:p w14:paraId="40950633" w14:textId="77777777" w:rsidR="00554962" w:rsidRPr="00A406E5" w:rsidRDefault="00554962" w:rsidP="00FC4A05">
            <w:pPr>
              <w:spacing w:before="120" w:after="120"/>
              <w:rPr>
                <w:rFonts w:ascii="Arial" w:hAnsi="Arial" w:cs="Arial"/>
                <w:b/>
                <w:sz w:val="22"/>
                <w:szCs w:val="22"/>
              </w:rPr>
            </w:pPr>
            <w:r>
              <w:rPr>
                <w:rFonts w:ascii="Arial" w:hAnsi="Arial" w:cs="Arial"/>
                <w:b/>
                <w:sz w:val="22"/>
                <w:szCs w:val="22"/>
              </w:rPr>
              <w:t>Master of Business Administration</w:t>
            </w:r>
          </w:p>
        </w:tc>
      </w:tr>
      <w:tr w:rsidR="00554962" w:rsidRPr="00A406E5" w14:paraId="5AEE8153" w14:textId="77777777" w:rsidTr="00554962">
        <w:trPr>
          <w:trHeight w:val="491"/>
        </w:trPr>
        <w:tc>
          <w:tcPr>
            <w:tcW w:w="2128" w:type="dxa"/>
            <w:vAlign w:val="center"/>
          </w:tcPr>
          <w:p w14:paraId="303D68FF" w14:textId="77777777" w:rsidR="00554962" w:rsidRPr="00A406E5" w:rsidRDefault="00554962" w:rsidP="00FC4A05">
            <w:pPr>
              <w:spacing w:before="120" w:after="120"/>
              <w:rPr>
                <w:rFonts w:ascii="Arial" w:hAnsi="Arial" w:cs="Arial"/>
                <w:b/>
                <w:sz w:val="22"/>
                <w:szCs w:val="22"/>
              </w:rPr>
            </w:pPr>
            <w:r w:rsidRPr="00A406E5">
              <w:rPr>
                <w:rFonts w:ascii="Arial" w:hAnsi="Arial" w:cs="Arial"/>
                <w:b/>
                <w:sz w:val="22"/>
                <w:szCs w:val="22"/>
              </w:rPr>
              <w:t>Module:</w:t>
            </w:r>
          </w:p>
        </w:tc>
        <w:tc>
          <w:tcPr>
            <w:tcW w:w="8362" w:type="dxa"/>
            <w:gridSpan w:val="3"/>
            <w:vAlign w:val="center"/>
          </w:tcPr>
          <w:p w14:paraId="3EF1BD0D" w14:textId="77777777" w:rsidR="00554962" w:rsidRPr="00A406E5" w:rsidRDefault="00554962" w:rsidP="00FC4A05">
            <w:pPr>
              <w:spacing w:before="120" w:after="120"/>
              <w:rPr>
                <w:rFonts w:ascii="Arial" w:hAnsi="Arial" w:cs="Arial"/>
                <w:b/>
                <w:sz w:val="22"/>
                <w:szCs w:val="22"/>
              </w:rPr>
            </w:pPr>
            <w:r>
              <w:rPr>
                <w:rFonts w:ascii="Arial" w:hAnsi="Arial" w:cs="Arial"/>
                <w:b/>
                <w:sz w:val="22"/>
                <w:szCs w:val="22"/>
              </w:rPr>
              <w:t>International Marketing: Principles and Practices</w:t>
            </w:r>
          </w:p>
        </w:tc>
      </w:tr>
      <w:tr w:rsidR="00554962" w:rsidRPr="00A406E5" w14:paraId="090E7381" w14:textId="77777777" w:rsidTr="00554962">
        <w:trPr>
          <w:trHeight w:val="1319"/>
        </w:trPr>
        <w:tc>
          <w:tcPr>
            <w:tcW w:w="2128" w:type="dxa"/>
            <w:vAlign w:val="center"/>
          </w:tcPr>
          <w:p w14:paraId="0AE432AF" w14:textId="77777777" w:rsidR="00554962" w:rsidRPr="00A406E5" w:rsidRDefault="00554962" w:rsidP="00FC4A05">
            <w:pPr>
              <w:spacing w:before="120" w:after="120"/>
              <w:rPr>
                <w:rFonts w:ascii="Arial" w:hAnsi="Arial" w:cs="Arial"/>
                <w:b/>
                <w:sz w:val="22"/>
                <w:szCs w:val="22"/>
              </w:rPr>
            </w:pPr>
            <w:r w:rsidRPr="00A406E5">
              <w:rPr>
                <w:rFonts w:ascii="Arial" w:hAnsi="Arial" w:cs="Arial"/>
                <w:b/>
                <w:sz w:val="22"/>
                <w:szCs w:val="22"/>
              </w:rPr>
              <w:t>Module code:</w:t>
            </w:r>
          </w:p>
        </w:tc>
        <w:tc>
          <w:tcPr>
            <w:tcW w:w="3732" w:type="dxa"/>
            <w:vAlign w:val="center"/>
          </w:tcPr>
          <w:p w14:paraId="6F791BC5" w14:textId="77777777" w:rsidR="00554962" w:rsidRPr="00A406E5" w:rsidRDefault="00554962" w:rsidP="00FC4A05">
            <w:pPr>
              <w:spacing w:before="120" w:after="120"/>
              <w:rPr>
                <w:rFonts w:ascii="Arial" w:hAnsi="Arial" w:cs="Arial"/>
                <w:b/>
                <w:sz w:val="22"/>
                <w:szCs w:val="22"/>
              </w:rPr>
            </w:pPr>
            <w:r>
              <w:rPr>
                <w:rFonts w:ascii="Arial" w:hAnsi="Arial" w:cs="Arial"/>
                <w:b/>
                <w:sz w:val="22"/>
                <w:szCs w:val="22"/>
              </w:rPr>
              <w:t>LCMB7026</w:t>
            </w:r>
          </w:p>
        </w:tc>
        <w:tc>
          <w:tcPr>
            <w:tcW w:w="2112" w:type="dxa"/>
            <w:shd w:val="clear" w:color="auto" w:fill="D9D9D9" w:themeFill="background1" w:themeFillShade="D9"/>
            <w:vAlign w:val="center"/>
          </w:tcPr>
          <w:p w14:paraId="142B3740" w14:textId="77777777" w:rsidR="00554962" w:rsidRPr="004D5E9B" w:rsidRDefault="00554962" w:rsidP="00FC4A05">
            <w:pPr>
              <w:pStyle w:val="Heading2"/>
              <w:rPr>
                <w:rFonts w:cs="Arial"/>
                <w:sz w:val="22"/>
                <w:szCs w:val="22"/>
              </w:rPr>
            </w:pPr>
            <w:r w:rsidRPr="00A406E5">
              <w:rPr>
                <w:rFonts w:cs="Arial"/>
                <w:sz w:val="22"/>
                <w:szCs w:val="22"/>
              </w:rPr>
              <w:t>Contribution to Overall Module Assessment (%):</w:t>
            </w:r>
          </w:p>
        </w:tc>
        <w:tc>
          <w:tcPr>
            <w:tcW w:w="2518" w:type="dxa"/>
            <w:vAlign w:val="center"/>
          </w:tcPr>
          <w:p w14:paraId="58F34E44" w14:textId="77777777" w:rsidR="00554962" w:rsidRPr="00A406E5" w:rsidRDefault="00554962" w:rsidP="00FC4A05">
            <w:pPr>
              <w:spacing w:before="120" w:after="120"/>
              <w:rPr>
                <w:rFonts w:ascii="Arial" w:hAnsi="Arial" w:cs="Arial"/>
                <w:b/>
                <w:sz w:val="22"/>
                <w:szCs w:val="22"/>
              </w:rPr>
            </w:pPr>
            <w:r>
              <w:rPr>
                <w:rFonts w:ascii="Arial" w:hAnsi="Arial" w:cs="Arial"/>
                <w:b/>
                <w:sz w:val="22"/>
                <w:szCs w:val="22"/>
              </w:rPr>
              <w:t>100%</w:t>
            </w:r>
          </w:p>
        </w:tc>
      </w:tr>
      <w:tr w:rsidR="00554962" w:rsidRPr="00A406E5" w14:paraId="3EE6E35B" w14:textId="77777777" w:rsidTr="00554962">
        <w:trPr>
          <w:trHeight w:val="1050"/>
        </w:trPr>
        <w:tc>
          <w:tcPr>
            <w:tcW w:w="2128" w:type="dxa"/>
            <w:vAlign w:val="center"/>
          </w:tcPr>
          <w:p w14:paraId="0A71C574" w14:textId="77777777" w:rsidR="00554962" w:rsidRPr="00A406E5" w:rsidRDefault="00554962" w:rsidP="00FC4A05">
            <w:pPr>
              <w:spacing w:before="120" w:after="120"/>
              <w:rPr>
                <w:rFonts w:ascii="Arial" w:hAnsi="Arial" w:cs="Arial"/>
                <w:b/>
                <w:sz w:val="22"/>
                <w:szCs w:val="22"/>
              </w:rPr>
            </w:pPr>
            <w:r w:rsidRPr="00A406E5">
              <w:rPr>
                <w:rFonts w:ascii="Arial" w:hAnsi="Arial" w:cs="Arial"/>
                <w:b/>
                <w:sz w:val="22"/>
                <w:szCs w:val="22"/>
              </w:rPr>
              <w:t>Lecturer:</w:t>
            </w:r>
          </w:p>
        </w:tc>
        <w:tc>
          <w:tcPr>
            <w:tcW w:w="3732" w:type="dxa"/>
            <w:vAlign w:val="center"/>
          </w:tcPr>
          <w:p w14:paraId="17DDF99E" w14:textId="77777777" w:rsidR="00554962" w:rsidRPr="00A406E5" w:rsidRDefault="00554962" w:rsidP="00FC4A05">
            <w:pPr>
              <w:spacing w:before="120" w:after="120"/>
              <w:rPr>
                <w:rFonts w:ascii="Arial" w:hAnsi="Arial" w:cs="Arial"/>
                <w:b/>
                <w:sz w:val="22"/>
                <w:szCs w:val="22"/>
              </w:rPr>
            </w:pPr>
            <w:r>
              <w:rPr>
                <w:rFonts w:ascii="Arial" w:hAnsi="Arial" w:cs="Arial"/>
                <w:b/>
                <w:sz w:val="22"/>
                <w:szCs w:val="22"/>
              </w:rPr>
              <w:t xml:space="preserve">Dian </w:t>
            </w:r>
            <w:proofErr w:type="spellStart"/>
            <w:r>
              <w:rPr>
                <w:rFonts w:ascii="Arial" w:hAnsi="Arial" w:cs="Arial"/>
                <w:b/>
                <w:sz w:val="22"/>
                <w:szCs w:val="22"/>
              </w:rPr>
              <w:t>Mayasari</w:t>
            </w:r>
            <w:proofErr w:type="spellEnd"/>
            <w:r>
              <w:rPr>
                <w:rFonts w:ascii="Arial" w:hAnsi="Arial" w:cs="Arial"/>
                <w:b/>
                <w:sz w:val="22"/>
                <w:szCs w:val="22"/>
              </w:rPr>
              <w:t xml:space="preserve"> (Birmingham)</w:t>
            </w:r>
          </w:p>
        </w:tc>
        <w:tc>
          <w:tcPr>
            <w:tcW w:w="2112" w:type="dxa"/>
            <w:shd w:val="clear" w:color="auto" w:fill="D9D9D9" w:themeFill="background1" w:themeFillShade="D9"/>
            <w:vAlign w:val="center"/>
          </w:tcPr>
          <w:p w14:paraId="39BDE589" w14:textId="77777777" w:rsidR="00554962" w:rsidRPr="00A406E5" w:rsidRDefault="00554962" w:rsidP="00FC4A05">
            <w:pPr>
              <w:spacing w:before="120" w:after="120"/>
              <w:rPr>
                <w:rFonts w:ascii="Arial" w:hAnsi="Arial" w:cs="Arial"/>
                <w:b/>
                <w:sz w:val="22"/>
                <w:szCs w:val="22"/>
              </w:rPr>
            </w:pPr>
            <w:r w:rsidRPr="00A406E5">
              <w:rPr>
                <w:rFonts w:ascii="Arial" w:hAnsi="Arial" w:cs="Arial"/>
                <w:b/>
                <w:sz w:val="22"/>
                <w:szCs w:val="22"/>
              </w:rPr>
              <w:t>Internal Verifier:</w:t>
            </w:r>
          </w:p>
        </w:tc>
        <w:tc>
          <w:tcPr>
            <w:tcW w:w="2518" w:type="dxa"/>
            <w:vAlign w:val="center"/>
          </w:tcPr>
          <w:p w14:paraId="451B8905" w14:textId="77777777" w:rsidR="00554962" w:rsidRDefault="00554962" w:rsidP="00FC4A05">
            <w:pPr>
              <w:spacing w:before="120" w:after="120"/>
              <w:rPr>
                <w:rFonts w:ascii="Arial" w:hAnsi="Arial" w:cs="Arial"/>
                <w:b/>
                <w:sz w:val="22"/>
                <w:szCs w:val="22"/>
              </w:rPr>
            </w:pPr>
            <w:r>
              <w:rPr>
                <w:rFonts w:ascii="Arial" w:hAnsi="Arial" w:cs="Arial"/>
                <w:b/>
                <w:sz w:val="22"/>
                <w:szCs w:val="22"/>
              </w:rPr>
              <w:t xml:space="preserve">Vasilios Tavlaridis </w:t>
            </w:r>
          </w:p>
          <w:p w14:paraId="4C644CE6" w14:textId="25D2310F" w:rsidR="00554962" w:rsidRPr="00A406E5" w:rsidRDefault="00554962" w:rsidP="00FC4A05">
            <w:pPr>
              <w:spacing w:before="120" w:after="120"/>
              <w:rPr>
                <w:rFonts w:ascii="Arial" w:hAnsi="Arial" w:cs="Arial"/>
                <w:b/>
                <w:sz w:val="22"/>
                <w:szCs w:val="22"/>
              </w:rPr>
            </w:pPr>
          </w:p>
        </w:tc>
      </w:tr>
      <w:tr w:rsidR="00554962" w:rsidRPr="000B37D0" w14:paraId="5B6F4DFE" w14:textId="77777777" w:rsidTr="00554962">
        <w:trPr>
          <w:trHeight w:val="1062"/>
        </w:trPr>
        <w:tc>
          <w:tcPr>
            <w:tcW w:w="2128" w:type="dxa"/>
            <w:vAlign w:val="center"/>
          </w:tcPr>
          <w:p w14:paraId="3AACDEB2" w14:textId="77777777" w:rsidR="00554962" w:rsidRPr="00A406E5" w:rsidRDefault="00554962" w:rsidP="00FC4A05">
            <w:pPr>
              <w:spacing w:before="120" w:after="120"/>
              <w:rPr>
                <w:rFonts w:ascii="Arial" w:hAnsi="Arial" w:cs="Arial"/>
                <w:b/>
                <w:sz w:val="22"/>
                <w:szCs w:val="22"/>
              </w:rPr>
            </w:pPr>
            <w:r w:rsidRPr="00A406E5">
              <w:rPr>
                <w:rFonts w:ascii="Arial" w:hAnsi="Arial" w:cs="Arial"/>
                <w:b/>
                <w:sz w:val="22"/>
                <w:szCs w:val="22"/>
              </w:rPr>
              <w:t>Assignment Title:</w:t>
            </w:r>
          </w:p>
        </w:tc>
        <w:tc>
          <w:tcPr>
            <w:tcW w:w="3732" w:type="dxa"/>
            <w:vAlign w:val="center"/>
          </w:tcPr>
          <w:p w14:paraId="2673CB67" w14:textId="34B030AD" w:rsidR="00554962" w:rsidRPr="000B37D0" w:rsidRDefault="00C940E6" w:rsidP="00FC4A05">
            <w:pPr>
              <w:spacing w:before="120" w:after="120"/>
              <w:rPr>
                <w:rFonts w:ascii="Arial" w:hAnsi="Arial" w:cs="Arial"/>
                <w:b/>
                <w:sz w:val="22"/>
                <w:szCs w:val="22"/>
              </w:rPr>
            </w:pPr>
            <w:r>
              <w:rPr>
                <w:rFonts w:ascii="Arial" w:hAnsi="Arial" w:cs="Arial"/>
                <w:b/>
                <w:sz w:val="22"/>
                <w:szCs w:val="22"/>
              </w:rPr>
              <w:t>TOYOTA IN THE UK VS JAPAN</w:t>
            </w:r>
          </w:p>
        </w:tc>
        <w:tc>
          <w:tcPr>
            <w:tcW w:w="2112" w:type="dxa"/>
            <w:vAlign w:val="center"/>
          </w:tcPr>
          <w:p w14:paraId="434F05B6" w14:textId="4C528C91" w:rsidR="00554962" w:rsidRPr="000B37D0" w:rsidRDefault="00554962" w:rsidP="00FC4A05">
            <w:pPr>
              <w:spacing w:before="120" w:after="120"/>
              <w:rPr>
                <w:rFonts w:ascii="Arial" w:hAnsi="Arial" w:cs="Arial"/>
                <w:b/>
                <w:sz w:val="22"/>
                <w:szCs w:val="22"/>
              </w:rPr>
            </w:pPr>
            <w:r w:rsidRPr="000B37D0">
              <w:rPr>
                <w:rFonts w:ascii="Arial" w:hAnsi="Arial" w:cs="Arial"/>
                <w:b/>
                <w:sz w:val="22"/>
                <w:szCs w:val="22"/>
              </w:rPr>
              <w:t xml:space="preserve">Word count </w:t>
            </w:r>
          </w:p>
        </w:tc>
        <w:tc>
          <w:tcPr>
            <w:tcW w:w="2518" w:type="dxa"/>
            <w:vAlign w:val="center"/>
          </w:tcPr>
          <w:p w14:paraId="499AE20C" w14:textId="4A8F9F4E" w:rsidR="00554962" w:rsidRPr="000B37D0" w:rsidRDefault="00554962" w:rsidP="00554962">
            <w:pPr>
              <w:spacing w:before="120" w:after="120"/>
              <w:rPr>
                <w:rFonts w:ascii="Arial" w:hAnsi="Arial" w:cs="Arial"/>
                <w:b/>
                <w:sz w:val="22"/>
                <w:szCs w:val="22"/>
              </w:rPr>
            </w:pPr>
            <w:r w:rsidRPr="000B37D0">
              <w:rPr>
                <w:rFonts w:ascii="Arial" w:hAnsi="Arial" w:cs="Arial"/>
                <w:b/>
                <w:sz w:val="22"/>
                <w:szCs w:val="22"/>
              </w:rPr>
              <w:t>5</w:t>
            </w:r>
            <w:r w:rsidR="00FE26E0" w:rsidRPr="000B37D0">
              <w:rPr>
                <w:rFonts w:ascii="Arial" w:hAnsi="Arial" w:cs="Arial"/>
                <w:b/>
                <w:sz w:val="22"/>
                <w:szCs w:val="22"/>
              </w:rPr>
              <w:t>440 words</w:t>
            </w:r>
          </w:p>
          <w:p w14:paraId="55DEB269" w14:textId="3328380B" w:rsidR="00554962" w:rsidRPr="000B37D0" w:rsidRDefault="00554962" w:rsidP="00FC4A05">
            <w:pPr>
              <w:spacing w:before="120" w:after="120"/>
              <w:rPr>
                <w:rFonts w:ascii="Arial" w:hAnsi="Arial" w:cs="Arial"/>
                <w:b/>
                <w:sz w:val="22"/>
                <w:szCs w:val="22"/>
              </w:rPr>
            </w:pPr>
          </w:p>
        </w:tc>
      </w:tr>
      <w:tr w:rsidR="00554962" w:rsidRPr="000B37D0" w14:paraId="125500C1" w14:textId="77777777" w:rsidTr="00554962">
        <w:trPr>
          <w:gridAfter w:val="2"/>
          <w:wAfter w:w="4630" w:type="dxa"/>
          <w:trHeight w:val="1576"/>
        </w:trPr>
        <w:tc>
          <w:tcPr>
            <w:tcW w:w="2128" w:type="dxa"/>
            <w:vAlign w:val="center"/>
          </w:tcPr>
          <w:p w14:paraId="58100009" w14:textId="77777777" w:rsidR="00554962" w:rsidRPr="00A406E5" w:rsidRDefault="00554962" w:rsidP="00FC4A05">
            <w:pPr>
              <w:spacing w:before="120" w:after="120"/>
              <w:rPr>
                <w:rFonts w:ascii="Arial" w:hAnsi="Arial" w:cs="Arial"/>
                <w:b/>
                <w:sz w:val="22"/>
                <w:szCs w:val="22"/>
              </w:rPr>
            </w:pPr>
            <w:r w:rsidRPr="00A406E5">
              <w:rPr>
                <w:rFonts w:ascii="Arial" w:hAnsi="Arial" w:cs="Arial"/>
                <w:b/>
                <w:sz w:val="22"/>
                <w:szCs w:val="22"/>
              </w:rPr>
              <w:t>Submission deadline:</w:t>
            </w:r>
          </w:p>
        </w:tc>
        <w:tc>
          <w:tcPr>
            <w:tcW w:w="3732" w:type="dxa"/>
            <w:vAlign w:val="center"/>
          </w:tcPr>
          <w:p w14:paraId="78DE2F49" w14:textId="77777777" w:rsidR="00554962" w:rsidRPr="000B37D0" w:rsidRDefault="00554962" w:rsidP="00FC4A05">
            <w:pPr>
              <w:pStyle w:val="TableParagraph"/>
              <w:spacing w:line="276" w:lineRule="auto"/>
              <w:rPr>
                <w:b/>
                <w:bCs/>
              </w:rPr>
            </w:pPr>
            <w:r w:rsidRPr="000B37D0">
              <w:rPr>
                <w:b/>
                <w:bCs/>
              </w:rPr>
              <w:t>Friday 24</w:t>
            </w:r>
            <w:r w:rsidRPr="000B37D0">
              <w:rPr>
                <w:b/>
                <w:bCs/>
                <w:vertAlign w:val="superscript"/>
              </w:rPr>
              <w:t>th</w:t>
            </w:r>
            <w:r w:rsidRPr="000B37D0">
              <w:rPr>
                <w:b/>
                <w:bCs/>
              </w:rPr>
              <w:t xml:space="preserve"> July 2026</w:t>
            </w:r>
          </w:p>
        </w:tc>
      </w:tr>
    </w:tbl>
    <w:p w14:paraId="7B409DFF" w14:textId="77777777" w:rsidR="00554962" w:rsidRDefault="00554962" w:rsidP="00554962">
      <w:pPr>
        <w:rPr>
          <w:rFonts w:ascii="Arial" w:hAnsi="Arial" w:cs="Arial"/>
          <w:sz w:val="32"/>
        </w:rPr>
      </w:pPr>
    </w:p>
    <w:p w14:paraId="78FA30A0" w14:textId="77777777" w:rsidR="00554962" w:rsidRDefault="00554962" w:rsidP="00554962">
      <w:pPr>
        <w:rPr>
          <w:rFonts w:ascii="Arial" w:hAnsi="Arial" w:cs="Arial"/>
          <w:sz w:val="32"/>
        </w:rPr>
      </w:pPr>
    </w:p>
    <w:p w14:paraId="31286708" w14:textId="77777777" w:rsidR="00554962" w:rsidRDefault="00554962" w:rsidP="00554962">
      <w:pPr>
        <w:rPr>
          <w:rFonts w:ascii="Arial" w:hAnsi="Arial" w:cs="Arial"/>
          <w:sz w:val="32"/>
        </w:rPr>
      </w:pPr>
    </w:p>
    <w:p w14:paraId="76056FF3" w14:textId="77777777" w:rsidR="00554962" w:rsidRDefault="00554962" w:rsidP="00554962">
      <w:pPr>
        <w:rPr>
          <w:rFonts w:ascii="Arial" w:hAnsi="Arial" w:cs="Arial"/>
          <w:sz w:val="32"/>
        </w:rPr>
      </w:pPr>
    </w:p>
    <w:p w14:paraId="50356ED7" w14:textId="77777777" w:rsidR="00D34443" w:rsidRDefault="00D34443" w:rsidP="00D34443"/>
    <w:p w14:paraId="2CC0783D" w14:textId="77777777" w:rsidR="00D34443" w:rsidRDefault="00D34443" w:rsidP="00D34443"/>
    <w:p w14:paraId="766C3296" w14:textId="77777777" w:rsidR="00D34443" w:rsidRDefault="00D34443" w:rsidP="00D34443"/>
    <w:p w14:paraId="64F892ED" w14:textId="77777777" w:rsidR="00D34443" w:rsidRDefault="00D34443" w:rsidP="00D34443"/>
    <w:p w14:paraId="65F7AC28" w14:textId="77777777" w:rsidR="00D34443" w:rsidRDefault="00D34443" w:rsidP="00D34443"/>
    <w:p w14:paraId="7A83F189" w14:textId="77777777" w:rsidR="00D34443" w:rsidRDefault="00D34443" w:rsidP="00D34443"/>
    <w:p w14:paraId="2038FC14" w14:textId="77777777" w:rsidR="00554962" w:rsidRDefault="00554962" w:rsidP="00D34443"/>
    <w:p w14:paraId="3434798E" w14:textId="5EEF5FBF" w:rsidR="00D34443" w:rsidRPr="00CA16DB" w:rsidRDefault="00554962" w:rsidP="00D34443">
      <w:pPr>
        <w:rPr>
          <w:b/>
          <w:bCs/>
          <w:i/>
          <w:iCs/>
        </w:rPr>
      </w:pPr>
      <w:r w:rsidRPr="00CA16DB">
        <w:rPr>
          <w:b/>
          <w:bCs/>
          <w:i/>
          <w:iCs/>
        </w:rPr>
        <w:lastRenderedPageBreak/>
        <w:t>TABLE OF CONTENTS</w:t>
      </w:r>
    </w:p>
    <w:p w14:paraId="05704DA0" w14:textId="258EF4F7" w:rsidR="00D34443" w:rsidRPr="00933D02" w:rsidRDefault="00F32F3D" w:rsidP="00FB42CA">
      <w:pPr>
        <w:jc w:val="both"/>
        <w:rPr>
          <w:b/>
          <w:bCs/>
        </w:rPr>
      </w:pPr>
      <w:r w:rsidRPr="00933D02">
        <w:rPr>
          <w:b/>
          <w:bCs/>
        </w:rPr>
        <w:t>1.</w:t>
      </w:r>
      <w:r w:rsidR="00F82ABD" w:rsidRPr="00933D02">
        <w:rPr>
          <w:b/>
          <w:bCs/>
        </w:rPr>
        <w:t>INTRODUCTION ………………………………………………………</w:t>
      </w:r>
      <w:r w:rsidR="00A964E2">
        <w:rPr>
          <w:b/>
          <w:bCs/>
        </w:rPr>
        <w:t>…</w:t>
      </w:r>
      <w:r w:rsidR="00F82ABD" w:rsidRPr="00933D02">
        <w:rPr>
          <w:b/>
          <w:bCs/>
        </w:rPr>
        <w:t>……………. 3</w:t>
      </w:r>
    </w:p>
    <w:p w14:paraId="07501478" w14:textId="00B1B699" w:rsidR="00D34443" w:rsidRPr="00933D02" w:rsidRDefault="00F32F3D" w:rsidP="00FB42CA">
      <w:pPr>
        <w:jc w:val="both"/>
        <w:rPr>
          <w:b/>
          <w:bCs/>
        </w:rPr>
      </w:pPr>
      <w:r w:rsidRPr="00933D02">
        <w:rPr>
          <w:b/>
          <w:bCs/>
        </w:rPr>
        <w:t>2. COMPARATIVE MACRO- ENVIRONMENTAL ANALYSIS: JAPAN AND UNITED KINGDOM …………………………………………………………………</w:t>
      </w:r>
      <w:r w:rsidR="00A964E2">
        <w:rPr>
          <w:b/>
          <w:bCs/>
        </w:rPr>
        <w:t>……</w:t>
      </w:r>
      <w:r w:rsidRPr="00933D02">
        <w:rPr>
          <w:b/>
          <w:bCs/>
        </w:rPr>
        <w:t>…………. 4</w:t>
      </w:r>
    </w:p>
    <w:p w14:paraId="17E70F85" w14:textId="04C39E69" w:rsidR="00F32F3D" w:rsidRPr="00933D02" w:rsidRDefault="00F32F3D" w:rsidP="00FB42CA">
      <w:pPr>
        <w:jc w:val="both"/>
        <w:rPr>
          <w:b/>
          <w:bCs/>
        </w:rPr>
      </w:pPr>
      <w:r w:rsidRPr="00933D02">
        <w:rPr>
          <w:b/>
          <w:bCs/>
        </w:rPr>
        <w:t>2.1 POLITICAL FACTORS …………………………………………………………</w:t>
      </w:r>
      <w:r w:rsidR="00A964E2">
        <w:rPr>
          <w:b/>
          <w:bCs/>
        </w:rPr>
        <w:t>……</w:t>
      </w:r>
      <w:r w:rsidRPr="00933D02">
        <w:rPr>
          <w:b/>
          <w:bCs/>
        </w:rPr>
        <w:t xml:space="preserve">. 4 </w:t>
      </w:r>
    </w:p>
    <w:p w14:paraId="52D083EA" w14:textId="6AC6C0A5" w:rsidR="00482B3D" w:rsidRPr="00933D02" w:rsidRDefault="00482B3D" w:rsidP="00FB42CA">
      <w:pPr>
        <w:jc w:val="both"/>
        <w:rPr>
          <w:b/>
          <w:bCs/>
        </w:rPr>
      </w:pPr>
      <w:r w:rsidRPr="00933D02">
        <w:rPr>
          <w:b/>
          <w:bCs/>
        </w:rPr>
        <w:t>2.2 ECONOMIC FACTORS ………………………………………………………</w:t>
      </w:r>
      <w:r w:rsidR="00A964E2">
        <w:rPr>
          <w:b/>
          <w:bCs/>
        </w:rPr>
        <w:t>……</w:t>
      </w:r>
      <w:r w:rsidRPr="00933D02">
        <w:rPr>
          <w:b/>
          <w:bCs/>
        </w:rPr>
        <w:t>… 5</w:t>
      </w:r>
    </w:p>
    <w:p w14:paraId="04B01F24" w14:textId="1D7EAF74" w:rsidR="000A366B" w:rsidRPr="00933D02" w:rsidRDefault="000A366B" w:rsidP="00FB42CA">
      <w:pPr>
        <w:jc w:val="both"/>
        <w:rPr>
          <w:b/>
          <w:bCs/>
        </w:rPr>
      </w:pPr>
      <w:r w:rsidRPr="00933D02">
        <w:rPr>
          <w:b/>
          <w:bCs/>
        </w:rPr>
        <w:t>2.3 SOCIAL FACTORS ……………………………………………………………</w:t>
      </w:r>
      <w:r w:rsidR="00A964E2">
        <w:rPr>
          <w:b/>
          <w:bCs/>
        </w:rPr>
        <w:t>……</w:t>
      </w:r>
      <w:r w:rsidRPr="00933D02">
        <w:rPr>
          <w:b/>
          <w:bCs/>
        </w:rPr>
        <w:t>…. 7</w:t>
      </w:r>
    </w:p>
    <w:p w14:paraId="6FF746E5" w14:textId="6B12F761" w:rsidR="00885F66" w:rsidRPr="00933D02" w:rsidRDefault="00FC519B" w:rsidP="00FB42CA">
      <w:pPr>
        <w:jc w:val="both"/>
        <w:rPr>
          <w:b/>
          <w:bCs/>
        </w:rPr>
      </w:pPr>
      <w:r w:rsidRPr="00933D02">
        <w:rPr>
          <w:b/>
          <w:bCs/>
        </w:rPr>
        <w:t>2.4 TECHNOLOGICAL FACTORS …………………………………………</w:t>
      </w:r>
      <w:r w:rsidR="00A964E2">
        <w:rPr>
          <w:b/>
          <w:bCs/>
        </w:rPr>
        <w:t>……</w:t>
      </w:r>
      <w:r w:rsidRPr="00933D02">
        <w:rPr>
          <w:b/>
          <w:bCs/>
        </w:rPr>
        <w:t>……… 8</w:t>
      </w:r>
    </w:p>
    <w:p w14:paraId="7A8828B5" w14:textId="401C1A76" w:rsidR="00933D02" w:rsidRPr="00933D02" w:rsidRDefault="00933D02" w:rsidP="00FB42CA">
      <w:pPr>
        <w:jc w:val="both"/>
        <w:rPr>
          <w:b/>
          <w:bCs/>
        </w:rPr>
      </w:pPr>
      <w:r w:rsidRPr="00933D02">
        <w:rPr>
          <w:b/>
          <w:bCs/>
        </w:rPr>
        <w:t>2.5 ENVIRONMENTAL FACTORS ……………………………………</w:t>
      </w:r>
      <w:proofErr w:type="gramStart"/>
      <w:r w:rsidR="00A964E2">
        <w:rPr>
          <w:b/>
          <w:bCs/>
        </w:rPr>
        <w:t>…..</w:t>
      </w:r>
      <w:proofErr w:type="gramEnd"/>
      <w:r w:rsidRPr="00933D02">
        <w:rPr>
          <w:b/>
          <w:bCs/>
        </w:rPr>
        <w:t>……………. 9</w:t>
      </w:r>
    </w:p>
    <w:p w14:paraId="41015B78" w14:textId="62168412" w:rsidR="00933D02" w:rsidRDefault="00933D02" w:rsidP="00FB42CA">
      <w:pPr>
        <w:jc w:val="both"/>
        <w:rPr>
          <w:b/>
          <w:bCs/>
        </w:rPr>
      </w:pPr>
      <w:r w:rsidRPr="00933D02">
        <w:rPr>
          <w:b/>
          <w:bCs/>
        </w:rPr>
        <w:t>2.6 LEGAL FACTORS …………………………………………………</w:t>
      </w:r>
      <w:r w:rsidR="00A71BC1">
        <w:rPr>
          <w:b/>
          <w:bCs/>
        </w:rPr>
        <w:t>….</w:t>
      </w:r>
      <w:r w:rsidRPr="00933D02">
        <w:rPr>
          <w:b/>
          <w:bCs/>
        </w:rPr>
        <w:t>………………. 10</w:t>
      </w:r>
    </w:p>
    <w:p w14:paraId="34A04AE6" w14:textId="2BEACB4B" w:rsidR="000D4286" w:rsidRDefault="000D4286" w:rsidP="00FB42CA">
      <w:pPr>
        <w:jc w:val="both"/>
        <w:rPr>
          <w:b/>
          <w:bCs/>
        </w:rPr>
      </w:pPr>
      <w:r>
        <w:rPr>
          <w:b/>
          <w:bCs/>
        </w:rPr>
        <w:t>3. HOFSEDE CULTURAL COMPARISON ……………………………</w:t>
      </w:r>
      <w:r w:rsidR="00A71BC1">
        <w:rPr>
          <w:b/>
          <w:bCs/>
        </w:rPr>
        <w:t>….</w:t>
      </w:r>
      <w:r>
        <w:rPr>
          <w:b/>
          <w:bCs/>
        </w:rPr>
        <w:t>…………… 1</w:t>
      </w:r>
      <w:r w:rsidR="009A756B">
        <w:rPr>
          <w:b/>
          <w:bCs/>
        </w:rPr>
        <w:t>1</w:t>
      </w:r>
    </w:p>
    <w:p w14:paraId="580EBE58" w14:textId="4A9BC7E5" w:rsidR="002055F1" w:rsidRDefault="002055F1" w:rsidP="00FB42CA">
      <w:pPr>
        <w:spacing w:line="360" w:lineRule="auto"/>
        <w:jc w:val="both"/>
        <w:rPr>
          <w:b/>
          <w:bCs/>
        </w:rPr>
      </w:pPr>
      <w:r w:rsidRPr="00B30464">
        <w:rPr>
          <w:b/>
          <w:bCs/>
        </w:rPr>
        <w:t xml:space="preserve">4. COMPARATIVE ANALYSIS OF SEGMENTATION, TARGETING AND POSITIONING (STP) AND INTERNATIONAL MARKETING MIX (7Ps) </w:t>
      </w:r>
      <w:r>
        <w:rPr>
          <w:b/>
          <w:bCs/>
        </w:rPr>
        <w:t>………………</w:t>
      </w:r>
      <w:r w:rsidR="00A71BC1">
        <w:rPr>
          <w:b/>
          <w:bCs/>
        </w:rPr>
        <w:t>….</w:t>
      </w:r>
      <w:r>
        <w:rPr>
          <w:b/>
          <w:bCs/>
        </w:rPr>
        <w:t>…………. 1</w:t>
      </w:r>
      <w:r w:rsidR="009A756B">
        <w:rPr>
          <w:b/>
          <w:bCs/>
        </w:rPr>
        <w:t>3</w:t>
      </w:r>
    </w:p>
    <w:p w14:paraId="40964AAE" w14:textId="093A74B0" w:rsidR="002055F1" w:rsidRDefault="002055F1" w:rsidP="00FB42CA">
      <w:pPr>
        <w:spacing w:line="360" w:lineRule="auto"/>
        <w:jc w:val="both"/>
        <w:rPr>
          <w:b/>
          <w:bCs/>
        </w:rPr>
      </w:pPr>
      <w:r w:rsidRPr="002144EB">
        <w:rPr>
          <w:b/>
          <w:bCs/>
        </w:rPr>
        <w:t>4.1</w:t>
      </w:r>
      <w:r>
        <w:rPr>
          <w:b/>
          <w:bCs/>
        </w:rPr>
        <w:t xml:space="preserve"> SEGMENTATION, TARGETING AND POSITIONING ……………</w:t>
      </w:r>
      <w:r w:rsidR="00A71BC1">
        <w:rPr>
          <w:b/>
          <w:bCs/>
        </w:rPr>
        <w:t>….</w:t>
      </w:r>
      <w:r>
        <w:rPr>
          <w:b/>
          <w:bCs/>
        </w:rPr>
        <w:t>…………. 1</w:t>
      </w:r>
      <w:r w:rsidR="009A756B">
        <w:rPr>
          <w:b/>
          <w:bCs/>
        </w:rPr>
        <w:t>4</w:t>
      </w:r>
    </w:p>
    <w:p w14:paraId="3597E759" w14:textId="37D1ED5F" w:rsidR="002055F1" w:rsidRDefault="002055F1" w:rsidP="00FB42CA">
      <w:pPr>
        <w:spacing w:line="360" w:lineRule="auto"/>
        <w:jc w:val="both"/>
        <w:rPr>
          <w:b/>
          <w:bCs/>
        </w:rPr>
      </w:pPr>
      <w:r>
        <w:rPr>
          <w:b/>
          <w:bCs/>
        </w:rPr>
        <w:t>4.2 COMPARATIVE 7Ps ………………………………………………………</w:t>
      </w:r>
      <w:r w:rsidR="00A71BC1">
        <w:rPr>
          <w:b/>
          <w:bCs/>
        </w:rPr>
        <w:t>….</w:t>
      </w:r>
      <w:r>
        <w:rPr>
          <w:b/>
          <w:bCs/>
        </w:rPr>
        <w:t>………… 1</w:t>
      </w:r>
      <w:r w:rsidR="009A756B">
        <w:rPr>
          <w:b/>
          <w:bCs/>
        </w:rPr>
        <w:t>6</w:t>
      </w:r>
    </w:p>
    <w:p w14:paraId="08BF8808" w14:textId="76A6115C" w:rsidR="007113F7" w:rsidRDefault="0052314B" w:rsidP="00FB42CA">
      <w:pPr>
        <w:spacing w:line="360" w:lineRule="auto"/>
        <w:jc w:val="both"/>
        <w:rPr>
          <w:b/>
          <w:bCs/>
        </w:rPr>
      </w:pPr>
      <w:r>
        <w:rPr>
          <w:b/>
          <w:bCs/>
        </w:rPr>
        <w:t>5. MARKETING ENTRY – STRATEGY …………………………………………………</w:t>
      </w:r>
      <w:r w:rsidR="00A71BC1">
        <w:rPr>
          <w:b/>
          <w:bCs/>
        </w:rPr>
        <w:t>...</w:t>
      </w:r>
      <w:r>
        <w:rPr>
          <w:b/>
          <w:bCs/>
        </w:rPr>
        <w:t>. 21</w:t>
      </w:r>
    </w:p>
    <w:p w14:paraId="53FD3306" w14:textId="74167051" w:rsidR="00FB42CA" w:rsidRDefault="00FB42CA" w:rsidP="00FB42CA">
      <w:pPr>
        <w:spacing w:line="360" w:lineRule="auto"/>
        <w:jc w:val="both"/>
        <w:rPr>
          <w:b/>
          <w:bCs/>
        </w:rPr>
      </w:pPr>
      <w:r>
        <w:rPr>
          <w:b/>
          <w:bCs/>
        </w:rPr>
        <w:t>6. ETHICAL EVALUATION …………………………………………………………</w:t>
      </w:r>
      <w:proofErr w:type="gramStart"/>
      <w:r>
        <w:rPr>
          <w:b/>
          <w:bCs/>
        </w:rPr>
        <w:t>…</w:t>
      </w:r>
      <w:r w:rsidR="00A71BC1">
        <w:rPr>
          <w:b/>
          <w:bCs/>
        </w:rPr>
        <w:t>..</w:t>
      </w:r>
      <w:proofErr w:type="gramEnd"/>
      <w:r>
        <w:rPr>
          <w:b/>
          <w:bCs/>
        </w:rPr>
        <w:t>…… 22</w:t>
      </w:r>
    </w:p>
    <w:p w14:paraId="211C05C3" w14:textId="747C36D6" w:rsidR="00081B39" w:rsidRDefault="00081B39" w:rsidP="00FB42CA">
      <w:pPr>
        <w:spacing w:line="360" w:lineRule="auto"/>
        <w:jc w:val="both"/>
        <w:rPr>
          <w:b/>
          <w:bCs/>
        </w:rPr>
      </w:pPr>
      <w:r>
        <w:rPr>
          <w:b/>
          <w:bCs/>
        </w:rPr>
        <w:t xml:space="preserve">7. RECOMMENDATIONS </w:t>
      </w:r>
      <w:r w:rsidR="00A71BC1">
        <w:rPr>
          <w:b/>
          <w:bCs/>
        </w:rPr>
        <w:t>…………………………………………………………</w:t>
      </w:r>
      <w:proofErr w:type="gramStart"/>
      <w:r w:rsidR="00A71BC1">
        <w:rPr>
          <w:b/>
          <w:bCs/>
        </w:rPr>
        <w:t>…..</w:t>
      </w:r>
      <w:proofErr w:type="gramEnd"/>
      <w:r w:rsidR="00A71BC1">
        <w:rPr>
          <w:b/>
          <w:bCs/>
        </w:rPr>
        <w:t>……. 23</w:t>
      </w:r>
    </w:p>
    <w:p w14:paraId="32EB3F74" w14:textId="065DA429" w:rsidR="009A756B" w:rsidRDefault="009A756B" w:rsidP="00FB42CA">
      <w:pPr>
        <w:spacing w:line="360" w:lineRule="auto"/>
        <w:jc w:val="both"/>
        <w:rPr>
          <w:b/>
          <w:bCs/>
        </w:rPr>
      </w:pPr>
      <w:r>
        <w:rPr>
          <w:b/>
          <w:bCs/>
        </w:rPr>
        <w:t>8. REFLECTION ………………………………………………………………………………… 24</w:t>
      </w:r>
    </w:p>
    <w:p w14:paraId="36D606CE" w14:textId="0D471E2F" w:rsidR="0051071C" w:rsidRPr="002144EB" w:rsidRDefault="00CA16DB" w:rsidP="00FB42CA">
      <w:pPr>
        <w:spacing w:line="360" w:lineRule="auto"/>
        <w:jc w:val="both"/>
        <w:rPr>
          <w:b/>
          <w:bCs/>
        </w:rPr>
      </w:pPr>
      <w:r>
        <w:rPr>
          <w:b/>
          <w:bCs/>
        </w:rPr>
        <w:t>REFERENCES …………………………………………………………………………</w:t>
      </w:r>
      <w:r w:rsidR="00A71BC1">
        <w:rPr>
          <w:b/>
          <w:bCs/>
        </w:rPr>
        <w:t>….</w:t>
      </w:r>
      <w:r>
        <w:rPr>
          <w:b/>
          <w:bCs/>
        </w:rPr>
        <w:t>……. 2</w:t>
      </w:r>
      <w:r w:rsidR="009A756B">
        <w:rPr>
          <w:b/>
          <w:bCs/>
        </w:rPr>
        <w:t>7</w:t>
      </w:r>
    </w:p>
    <w:p w14:paraId="737DF905" w14:textId="7DFAEC72" w:rsidR="002055F1" w:rsidRPr="00A83D21" w:rsidRDefault="002055F1" w:rsidP="002055F1">
      <w:pPr>
        <w:spacing w:line="360" w:lineRule="auto"/>
        <w:jc w:val="both"/>
      </w:pPr>
    </w:p>
    <w:p w14:paraId="71BC8396" w14:textId="77777777" w:rsidR="00D57F08" w:rsidRPr="00933D02" w:rsidRDefault="00D57F08" w:rsidP="00D34443">
      <w:pPr>
        <w:rPr>
          <w:b/>
          <w:bCs/>
        </w:rPr>
      </w:pPr>
    </w:p>
    <w:p w14:paraId="68D26480" w14:textId="77777777" w:rsidR="00F32F3D" w:rsidRDefault="00F32F3D" w:rsidP="00D34443"/>
    <w:p w14:paraId="2DBFBF3A" w14:textId="77777777" w:rsidR="009A756B" w:rsidRDefault="009A756B" w:rsidP="00D34443"/>
    <w:p w14:paraId="600F92FB" w14:textId="1B0F1C5C" w:rsidR="00871B64" w:rsidRPr="00FC519B" w:rsidRDefault="00871B64" w:rsidP="00D34443">
      <w:pPr>
        <w:rPr>
          <w:b/>
          <w:bCs/>
        </w:rPr>
      </w:pPr>
      <w:r w:rsidRPr="00FC519B">
        <w:rPr>
          <w:b/>
          <w:bCs/>
        </w:rPr>
        <w:lastRenderedPageBreak/>
        <w:t>1.Introduction</w:t>
      </w:r>
    </w:p>
    <w:p w14:paraId="2E2D5071" w14:textId="3CCF9344" w:rsidR="00D34443" w:rsidRDefault="00D34443" w:rsidP="00F82ABD">
      <w:pPr>
        <w:spacing w:line="360" w:lineRule="auto"/>
        <w:jc w:val="both"/>
      </w:pPr>
      <w:r w:rsidRPr="00D34443">
        <w:t>The world automotive industry is characterised by intense competition, technological transformation, changing environmental regulations, and considerable differences in consumer behaviour across national markets. Global automotive corporations are therefore faced with the challenge of balancing the need to maintain a consistent brand image with the need to adapt their products and marketing strategies to the local economic, political and cultural environment. This paper investigates the marketing strategies of Toyota Motor Corporation in Japan and the United Kingdom. Toyota was founded in Japan in 1937 and has grown into a major international auto manufacturer with operations in many countries around the world (Toyota Motor Corporation, 2026). Toyota’s home market is Japan, which remains at the heart of its corporate identity, manufacturing framework and technological advancement. The United Kingdom, by contrast, is a mature Toyota host market where the company has been selling vehicles since 1965 and has had manufacturing operations since 1992.</w:t>
      </w:r>
      <w:r w:rsidRPr="00D34443">
        <w:br/>
      </w:r>
      <w:r w:rsidRPr="00D34443">
        <w:br/>
        <w:t>The aim of this report is to analyse in details the external market conditions and strategies of international marketing adopted by Toyota in these two countries. A PESTEL analysis will assess relevant political, economic, social, technological, environmental and legal factors. Hofstede’s cultural dimensions will be used to evaluate the effect of national culture on consumer behaviour and marketing strategies. The next step in the analysis will assess the segmentation, targeting and positioning of Toyota and its application of the international marketing mix (product, price, place, promotion, people, process and physical evidence). The evaluation of Toyota's entry into the UK market will be conducted and an exploration of relevant ethical issues will be undertaken. In time, data-driven recommendations will be made to make Toyota more competitive globally in terms of electrification, sustainability concerns and changing consumer preferences.</w:t>
      </w:r>
    </w:p>
    <w:p w14:paraId="20933AE1" w14:textId="77777777" w:rsidR="009A756B" w:rsidRDefault="009A756B" w:rsidP="00F82ABD">
      <w:pPr>
        <w:spacing w:line="360" w:lineRule="auto"/>
        <w:jc w:val="both"/>
      </w:pPr>
    </w:p>
    <w:p w14:paraId="6DBC706E" w14:textId="77777777" w:rsidR="009A756B" w:rsidRDefault="009A756B" w:rsidP="00F82ABD">
      <w:pPr>
        <w:spacing w:line="360" w:lineRule="auto"/>
        <w:jc w:val="both"/>
      </w:pPr>
    </w:p>
    <w:p w14:paraId="7705226A" w14:textId="77777777" w:rsidR="00871B64" w:rsidRPr="00C07B19" w:rsidRDefault="00871B64" w:rsidP="00871B64">
      <w:pPr>
        <w:spacing w:line="360" w:lineRule="auto"/>
        <w:jc w:val="both"/>
        <w:rPr>
          <w:b/>
          <w:bCs/>
        </w:rPr>
      </w:pPr>
      <w:r w:rsidRPr="00C07B19">
        <w:rPr>
          <w:b/>
          <w:bCs/>
        </w:rPr>
        <w:lastRenderedPageBreak/>
        <w:t>2. Comparative macro-environmental analysis: Japan and the United Kingdom</w:t>
      </w:r>
    </w:p>
    <w:p w14:paraId="1B0622F0" w14:textId="77777777" w:rsidR="00871B64" w:rsidRPr="00CC4FE8" w:rsidRDefault="00871B64" w:rsidP="00871B64">
      <w:pPr>
        <w:spacing w:line="360" w:lineRule="auto"/>
        <w:jc w:val="both"/>
      </w:pPr>
      <w:r w:rsidRPr="00C07B19">
        <w:t xml:space="preserve">PESTEL analysis enables Toyota to identify how political, economic, social, technological, environmental and legal conditions influence its marketing decisions in Japan and the United Kingdom. However, the framework should not be treated as a descriptive checklist. Its strategic value lies in evaluating how external conditions affect Toyota’s product portfolio, pricing, communications, distribution and long-term competitive position. Although Japan and the UK are both developed automotive markets, they present substantially different pressures. Japan provides institutional </w:t>
      </w:r>
      <w:r w:rsidRPr="00CC4FE8">
        <w:t>support for Toyota’s established hybrid-led, multi-pathway strategy, whereas the UK is moving more directly towards battery-electric vehicles through binding zero-emission requirements.</w:t>
      </w:r>
    </w:p>
    <w:p w14:paraId="5577105A" w14:textId="77777777" w:rsidR="00871B64" w:rsidRPr="00CC4FE8" w:rsidRDefault="00871B64" w:rsidP="00871B64">
      <w:pPr>
        <w:spacing w:line="360" w:lineRule="auto"/>
        <w:jc w:val="both"/>
        <w:rPr>
          <w:b/>
          <w:bCs/>
        </w:rPr>
      </w:pPr>
      <w:r w:rsidRPr="00CC4FE8">
        <w:rPr>
          <w:b/>
          <w:bCs/>
        </w:rPr>
        <w:t>2.1 Political factors</w:t>
      </w:r>
    </w:p>
    <w:p w14:paraId="26798D94" w14:textId="04E6E41D" w:rsidR="00933EA7" w:rsidRPr="00CC4FE8" w:rsidRDefault="00933EA7" w:rsidP="00933EA7">
      <w:pPr>
        <w:spacing w:line="360" w:lineRule="auto"/>
        <w:jc w:val="both"/>
      </w:pPr>
      <w:r w:rsidRPr="00CC4FE8">
        <w:t>Japan and the UK both provide relatively stable institutional environments for Toyota, but their automotive policies create different strategic pressures. Although Japan has experienced frequent changes in political leadership, its long-term industrial policy has remained broadly supportive of domestic automotive manufacturing and technological innovation. Japan aims for all new passenger vehicles sold by 2035 to be electrified, including hybrids, plug-in hybrids, battery-electric vehicles and hydrogen fuel-cell vehicles (METI, 2024). This supports Toyota’s multi-pathway strategy and allows it to exploit its established hybrid capabilities while investing in alternative technologies (Toyota Motor Corporation, 2025). However, continued political support for hybrids may reduce the urgency of Toyota’s battery-electric development relative to specialist EV competitors.</w:t>
      </w:r>
      <w:r w:rsidR="00FC519B">
        <w:t xml:space="preserve"> </w:t>
      </w:r>
      <w:r w:rsidRPr="00CC4FE8">
        <w:t>Japan’s vehicle taxation also supports smaller and more efficient cars. Since October 2019, annual automobile taxes have been reduced for newly registered vehicles, particularly those with smaller engines (JAMA, 2019). This may strengthen demand for Toyota’s compact models, although the effect is limited because the policy reduces annual ownership costs rather than the initial purchase price.</w:t>
      </w:r>
    </w:p>
    <w:p w14:paraId="20392A5A" w14:textId="77777777" w:rsidR="00933EA7" w:rsidRPr="00CC4FE8" w:rsidRDefault="00933EA7" w:rsidP="00933EA7">
      <w:pPr>
        <w:spacing w:line="360" w:lineRule="auto"/>
        <w:jc w:val="both"/>
      </w:pPr>
      <w:r w:rsidRPr="00CC4FE8">
        <w:lastRenderedPageBreak/>
        <w:t>The UK presents greater regulatory pressure. Its Zero Emission Vehicle mandate requires manufacturers to increase the proportion of zero-emission cars sold, with all new cars and vans expected to be zero emission by 2035 (Department for Transport, 2025). Unlike Japan, conventional hybrids do not meet the UK’s long-term objective. Toyota must therefore expand its battery-electric range and improve affordability, charging support and consumer awareness. Although this creates short-term costs, it may encourage Toyota to innovate more rapidly.</w:t>
      </w:r>
    </w:p>
    <w:p w14:paraId="326EDC0C" w14:textId="1FA3B409" w:rsidR="00933EA7" w:rsidRPr="00CC4FE8" w:rsidRDefault="00933EA7" w:rsidP="00933EA7">
      <w:pPr>
        <w:spacing w:line="360" w:lineRule="auto"/>
        <w:jc w:val="both"/>
      </w:pPr>
      <w:r w:rsidRPr="00CC4FE8">
        <w:t>Overall, Japan’s political environment is more compatible with Toyota’s hybrid-led strategy, while UK policy requires a faster transition towards battery-electric vehicles. Toyota should therefore maintain a diversified powertrain portfolio in Japan but adopt a more strongly battery-electric-focused strategy in the UK</w:t>
      </w:r>
      <w:r w:rsidR="00CC4FE8">
        <w:t xml:space="preserve">. </w:t>
      </w:r>
    </w:p>
    <w:p w14:paraId="57D4E3CB" w14:textId="6CA970D7" w:rsidR="00871B64" w:rsidRPr="00EA698E" w:rsidRDefault="00871B64" w:rsidP="00871B64">
      <w:pPr>
        <w:spacing w:line="360" w:lineRule="auto"/>
        <w:jc w:val="both"/>
        <w:rPr>
          <w:b/>
          <w:bCs/>
        </w:rPr>
      </w:pPr>
      <w:r w:rsidRPr="00EA698E">
        <w:rPr>
          <w:b/>
          <w:bCs/>
        </w:rPr>
        <w:t xml:space="preserve">2.2 </w:t>
      </w:r>
      <w:r w:rsidR="00EA698E">
        <w:rPr>
          <w:b/>
          <w:bCs/>
        </w:rPr>
        <w:t xml:space="preserve">Economic factors </w:t>
      </w:r>
    </w:p>
    <w:p w14:paraId="2C5570E7" w14:textId="5C65D4CA" w:rsidR="00EA698E" w:rsidRPr="00EB5379" w:rsidRDefault="00EA698E" w:rsidP="00871B64">
      <w:pPr>
        <w:spacing w:line="360" w:lineRule="auto"/>
        <w:jc w:val="both"/>
      </w:pPr>
      <w:r w:rsidRPr="00EA698E">
        <w:t xml:space="preserve">Both markets suffer weak economic growth, but for different reasons. The OECD forecasts Japanese real GDP growth to be around 0.6% in 2026, with domestic demand supported by wage growth, government spending and corporate investment. But Japan is structurally constrained by an ageing population, labour shortages and a relatively weak long-term productivity growth. These conditions may restrict the growth of total domestic demand for vehicles and increase the cost of production and staffing (OECD, 2026). </w:t>
      </w:r>
      <w:r w:rsidRPr="00EA698E">
        <w:br/>
        <w:t xml:space="preserve">Slower market expansion for Toyota means that growth in Japan can no longer rely on selling more conventional private vehicles. More replacement buying, small cars, fuel efficiency, advanced safety systems and mobility services for older consumers are some of the areas in which marketing should be focused. Toyota also may need to increase customer lifetime value through finance, maintenance, connected services and subscription-based mobility rather than through new-vehicle volume alone. </w:t>
      </w:r>
      <w:r w:rsidRPr="00EA698E">
        <w:br/>
        <w:t xml:space="preserve">The UK economy is also expected to grow sluggishly, with the OECD predicting growth of about 0.9% this year. Real household incomes and consumer confidence are likely to suffer from renewed inflation pressures. This is significant as vehicles are high-involvement, often finance-dependent purchases. Cost-of-living pressures may cause </w:t>
      </w:r>
      <w:r w:rsidRPr="00EA698E">
        <w:lastRenderedPageBreak/>
        <w:t xml:space="preserve">consumers to delay car replacement, opt for used cars or place more emphasis on monthly affordability than environmental technology (OECD, 2024). </w:t>
      </w:r>
      <w:r w:rsidRPr="00EA698E">
        <w:br/>
        <w:t xml:space="preserve">Here, Toyota’s reputation as a good brand for reliable and </w:t>
      </w:r>
      <w:proofErr w:type="gramStart"/>
      <w:r w:rsidRPr="00EA698E">
        <w:t>fuel efficient</w:t>
      </w:r>
      <w:proofErr w:type="gramEnd"/>
      <w:r w:rsidRPr="00EA698E">
        <w:t xml:space="preserve"> hybrids </w:t>
      </w:r>
      <w:proofErr w:type="gramStart"/>
      <w:r w:rsidRPr="00EA698E">
        <w:t>comes</w:t>
      </w:r>
      <w:proofErr w:type="gramEnd"/>
      <w:r w:rsidRPr="00EA698E">
        <w:t xml:space="preserve"> into play. Models such as the Yaris, Yaris Cross and Corolla can be presented on total cost of ownership, not just purchase price. However, the higher upfront cost of battery electric vehicles creates a tension between UK regulatory requirements and consumer affordability. Toyota may therefore need competitive finance, leasing, fleet partnerships and charging-related incentives to mitigate perceived financial risk. Its UK manufacturing base provides some insulation from exchange rate volatility and </w:t>
      </w:r>
      <w:proofErr w:type="gramStart"/>
      <w:r w:rsidRPr="00EA698E">
        <w:t>import</w:t>
      </w:r>
      <w:proofErr w:type="gramEnd"/>
      <w:r w:rsidRPr="00EA698E">
        <w:t xml:space="preserve"> disruption, but much of its product range and components are still subject to international supply chain costs. Toyota has invested some £2.75 billion into its UK manufacturing facilities, enhancing its ability to localise production and communicate economic contribution as part of its brand positioning (Toyota Motor Manufacturing UK, 2026). </w:t>
      </w:r>
      <w:r w:rsidRPr="00EA698E">
        <w:br/>
        <w:t xml:space="preserve">Differences in supply-chain productivity between Japan and the UK also mean that Toyota’s economic position is different. </w:t>
      </w:r>
      <w:r w:rsidR="00B66AC9" w:rsidRPr="00B66AC9">
        <w:t>Japan presents a structural demand constraint caused by demographic decline, whereas the UK’s more immediate challenge is consumer affordability. Toyota should therefore emphasise accessible, safe mobility and customer lifetime value in Japan, while prioritising competitive finance and total ownership costs in UK marketing.</w:t>
      </w:r>
    </w:p>
    <w:p w14:paraId="4FF50B7D" w14:textId="259A5256" w:rsidR="00871B64" w:rsidRPr="004515D9" w:rsidRDefault="00871B64" w:rsidP="00871B64">
      <w:pPr>
        <w:spacing w:line="360" w:lineRule="auto"/>
        <w:jc w:val="both"/>
        <w:rPr>
          <w:b/>
          <w:bCs/>
        </w:rPr>
      </w:pPr>
      <w:r w:rsidRPr="004515D9">
        <w:rPr>
          <w:b/>
          <w:bCs/>
        </w:rPr>
        <w:t>2.3 Social factors</w:t>
      </w:r>
    </w:p>
    <w:p w14:paraId="06C6A304" w14:textId="2307916C" w:rsidR="00871B64" w:rsidRPr="004515D9" w:rsidRDefault="00871B64" w:rsidP="00871B64">
      <w:pPr>
        <w:spacing w:line="360" w:lineRule="auto"/>
        <w:jc w:val="both"/>
      </w:pPr>
      <w:r w:rsidRPr="004515D9">
        <w:t xml:space="preserve">Japan’s demographic environment is particularly important. In 2024, approximately 29.3% of the Japanese population was aged 65 or over, compared with 11.2% aged under 15. This creates a shrinking future customer base and increases demand for vehicles that are easy to enter, operate and park. Advanced driver-assistance systems, compact dimensions, clear interfaces and dealer-based customer support are therefore particularly relevant in the Japanese market (Statistics Bureau of Japan, 2025). </w:t>
      </w:r>
    </w:p>
    <w:p w14:paraId="0D687373" w14:textId="77777777" w:rsidR="00871B64" w:rsidRPr="004515D9" w:rsidRDefault="00871B64" w:rsidP="00871B64">
      <w:pPr>
        <w:spacing w:line="360" w:lineRule="auto"/>
        <w:jc w:val="both"/>
      </w:pPr>
      <w:r w:rsidRPr="004515D9">
        <w:t xml:space="preserve">Toyota can respond by positioning vehicles around safety, independence and continued mobility rather than only speed or status. However, population ageing also increases the </w:t>
      </w:r>
      <w:r w:rsidRPr="004515D9">
        <w:lastRenderedPageBreak/>
        <w:t>strategic importance of alternatives to individual car ownership, including shared transport, accessible vehicles and connected mobility services. Toyota’s transformation from an automotive manufacturer into a broader mobility company is therefore more than a corporate branding exercise; it is a response to a fundamental change in Japanese society.</w:t>
      </w:r>
    </w:p>
    <w:p w14:paraId="7B21AF95" w14:textId="08BC4D6B" w:rsidR="00871B64" w:rsidRPr="004515D9" w:rsidRDefault="00871B64" w:rsidP="00871B64">
      <w:pPr>
        <w:spacing w:line="360" w:lineRule="auto"/>
        <w:jc w:val="both"/>
      </w:pPr>
      <w:r w:rsidRPr="004515D9">
        <w:t xml:space="preserve">The UK population is growing and is more culturally heterogeneous, partly because of international migration. Its provisional population reached approximately 69.5 million in mid-2025, while population growth is projected to be driven primarily by migration. Although the UK is also ageing, the demographic imbalance is currently less extreme than in Japan (Office for National Statistics, 2025, 2026). </w:t>
      </w:r>
    </w:p>
    <w:p w14:paraId="5659D8CB" w14:textId="77777777" w:rsidR="00871B64" w:rsidRPr="004515D9" w:rsidRDefault="00871B64" w:rsidP="00871B64">
      <w:pPr>
        <w:spacing w:line="360" w:lineRule="auto"/>
        <w:jc w:val="both"/>
      </w:pPr>
      <w:r w:rsidRPr="004515D9">
        <w:t>This gives Toyota access to a broader range of segments, including young urban consumers, families, business fleets and older drivers. However, such diversity makes a single undifferentiated marketing message less effective. UK communications should represent different lifestyles and household structures while allowing consumers to select vehicles according to personal identity, environmental concern and practical need. Smaller hybrids may appeal to urban and price-conscious consumers, SUVs to families, commercial vehicles to businesses and battery-electric models to company-car and sustainability-oriented segments.</w:t>
      </w:r>
    </w:p>
    <w:p w14:paraId="324690B2" w14:textId="77777777" w:rsidR="00871B64" w:rsidRPr="00EB5379" w:rsidRDefault="00871B64" w:rsidP="00871B64">
      <w:pPr>
        <w:spacing w:line="360" w:lineRule="auto"/>
        <w:jc w:val="both"/>
        <w:rPr>
          <w:b/>
          <w:bCs/>
        </w:rPr>
      </w:pPr>
      <w:r w:rsidRPr="00EB5379">
        <w:rPr>
          <w:b/>
          <w:bCs/>
        </w:rPr>
        <w:t>2.4 Technological factors</w:t>
      </w:r>
    </w:p>
    <w:p w14:paraId="0E366047" w14:textId="21E21BBD" w:rsidR="00EB5379" w:rsidRPr="00EB5379" w:rsidRDefault="00EB5379" w:rsidP="00EB5379">
      <w:pPr>
        <w:spacing w:line="360" w:lineRule="auto"/>
        <w:jc w:val="both"/>
      </w:pPr>
      <w:r w:rsidRPr="00EB5379">
        <w:t xml:space="preserve">The technology is a big difference between the two markets. Japan has strong automotive engineering expertise and has traditionally had a large share of conventional hybrid vehicles. But sales of battery electric and plug-in hybrid cars are still relatively weak. In 2025, electric vehicles accounted for less than 3% of sales in Japan, with traditional hybrids making up around a third, according to the International Energy Agency. Flat dwellers have limited home charging, and infrastructural constraints remain a barrier to battery-electric vehicle adoption (IEA, 2026). </w:t>
      </w:r>
      <w:r w:rsidRPr="00EB5379">
        <w:br/>
        <w:t xml:space="preserve">This arrangement plays to Toyota’s hybrid expertise, but also to a strategic weakness. Continued domestic support for hybrids may ease the pressure on Toyota to proceed with </w:t>
      </w:r>
      <w:r w:rsidRPr="00EB5379">
        <w:lastRenderedPageBreak/>
        <w:t xml:space="preserve">its battery-electric technologies as its rivals from China, Europe and America are ramping up their expertise in batteries, software and digital infrastructures (Team, 2019). Toyota should not therefore take Japan’s current hybrid appetite as a sign that battery-electric disruption will remain limited. The current policy of the Japanese government targets a large increase in charging infrastructure and next-generation battery production, with a focus on the commercialisation of all-solid-state batteries by 2030 (METI, 2026). </w:t>
      </w:r>
      <w:r w:rsidRPr="00EB5379">
        <w:br/>
        <w:t xml:space="preserve">“The UK market is moving fast towards plug-in and battery electric vehicles. Electric cars accounted for more than a third of all new car sales in the UK in 2025, with battery-electric versions making up around 23%. As of April 2026, the UK had 119,080 public electric vehicle chargers, over 27,000 of which were rapid or high-speed chargers (IEA, 2026; Department for Transport, 2026). </w:t>
      </w:r>
      <w:r w:rsidRPr="00EB5379">
        <w:br/>
        <w:t xml:space="preserve">As a result, Toyota’s UK customers are more likely to compare its battery capacity, charging efficiency, connectivity and software interface with dedicated electric vehicle rivals. Toyota's decades-long lead in hybrid powertrains is still commercially </w:t>
      </w:r>
      <w:proofErr w:type="gramStart"/>
      <w:r w:rsidRPr="00EB5379">
        <w:t>valuable, but</w:t>
      </w:r>
      <w:proofErr w:type="gramEnd"/>
      <w:r w:rsidRPr="00EB5379">
        <w:t xml:space="preserve"> may not be enough to guarantee dominance in a marketplace increasingly favouring software and battery technologies. The UK should have speedy roll outs of competitive battery electric vehicles, better digital retailing and clear charging support. </w:t>
      </w:r>
      <w:r w:rsidRPr="00EB5379">
        <w:br/>
      </w:r>
    </w:p>
    <w:p w14:paraId="23FB8107" w14:textId="77777777" w:rsidR="00871B64" w:rsidRPr="00443EB0" w:rsidRDefault="00871B64" w:rsidP="00871B64">
      <w:pPr>
        <w:spacing w:line="360" w:lineRule="auto"/>
        <w:jc w:val="both"/>
        <w:rPr>
          <w:b/>
          <w:bCs/>
        </w:rPr>
      </w:pPr>
      <w:r w:rsidRPr="00443EB0">
        <w:rPr>
          <w:b/>
          <w:bCs/>
        </w:rPr>
        <w:t>2.5 Environmental factors</w:t>
      </w:r>
    </w:p>
    <w:p w14:paraId="14B39512" w14:textId="2FC828A1" w:rsidR="00C86D35" w:rsidRPr="00443EB0" w:rsidRDefault="00C86D35" w:rsidP="00C86D35">
      <w:pPr>
        <w:spacing w:line="360" w:lineRule="auto"/>
        <w:jc w:val="both"/>
      </w:pPr>
      <w:r w:rsidRPr="00443EB0">
        <w:t>Japan and the UK have both pledged to become carbon neutral by 2050, but they diverge in how they plan to decarbonise transport</w:t>
      </w:r>
      <w:r w:rsidR="00E64BEE" w:rsidRPr="00443EB0">
        <w:t xml:space="preserve"> (Carver, 2021)</w:t>
      </w:r>
      <w:r w:rsidRPr="00443EB0">
        <w:t>. Japan’s approach is still technologically pluralistic, with hybrids, plug-in hybrids, battery-electric vehicles, hydrogen and possibly low-carbon fuels.</w:t>
      </w:r>
      <w:r w:rsidR="00C53A61" w:rsidRPr="00443EB0">
        <w:t xml:space="preserve"> (Toyota, 2025)</w:t>
      </w:r>
      <w:r w:rsidR="00F57F1D" w:rsidRPr="00443EB0">
        <w:t xml:space="preserve"> </w:t>
      </w:r>
      <w:r w:rsidRPr="00443EB0">
        <w:t xml:space="preserve">This reflects concerns about energy security, infrastructure and the different environmental impacts of technologies over their entire life cycles </w:t>
      </w:r>
      <w:r w:rsidR="00591DE3" w:rsidRPr="00443EB0">
        <w:t>(Ministry of Economy, Trade and Industry, 2019)</w:t>
      </w:r>
      <w:r w:rsidRPr="00443EB0">
        <w:t xml:space="preserve"> </w:t>
      </w:r>
    </w:p>
    <w:p w14:paraId="4DA727E5" w14:textId="77777777" w:rsidR="00CB369E" w:rsidRDefault="00987391" w:rsidP="00C86D35">
      <w:pPr>
        <w:spacing w:line="360" w:lineRule="auto"/>
        <w:jc w:val="both"/>
        <w:rPr>
          <w:b/>
          <w:bCs/>
          <w:color w:val="EE0000"/>
        </w:rPr>
      </w:pPr>
      <w:r w:rsidRPr="00CB369E">
        <w:t xml:space="preserve">Toyota presents its multi-pathway strategy as a means of reducing emissions across different markets and the wider vehicle fleet, rather than treating battery-electric vehicle sales as the only measure of decarbonisation (Toyota Motor Europe, 2025). However, </w:t>
      </w:r>
      <w:r w:rsidRPr="00CB369E">
        <w:lastRenderedPageBreak/>
        <w:t xml:space="preserve">research into incumbent automotive manufacturers suggests that promoting technological neutrality, hybrids and alternative fuels can also function as a resistance strategy that slows the transition away from combustion-based vehicles (Geels </w:t>
      </w:r>
      <w:r w:rsidRPr="00CB369E">
        <w:rPr>
          <w:i/>
          <w:iCs/>
        </w:rPr>
        <w:t>et al</w:t>
      </w:r>
      <w:r w:rsidRPr="00CB369E">
        <w:t>., 2026). Toyota should therefore support its environmental positioning with transparent life-cycle evidence covering vehicle and battery production, energy or fuel use, maintenance and end-</w:t>
      </w:r>
      <w:r w:rsidRPr="00967B7F">
        <w:t>of-life impacts, rather than relying on broad claims concerning “electrification” or carbon neutrality (Bieker, 2021).</w:t>
      </w:r>
    </w:p>
    <w:p w14:paraId="7028F415" w14:textId="3BC0843B" w:rsidR="00871B64" w:rsidRPr="00E30D91" w:rsidRDefault="00871B64" w:rsidP="00C86D35">
      <w:pPr>
        <w:spacing w:line="360" w:lineRule="auto"/>
        <w:jc w:val="both"/>
        <w:rPr>
          <w:b/>
          <w:bCs/>
        </w:rPr>
      </w:pPr>
      <w:r w:rsidRPr="00E30D91">
        <w:rPr>
          <w:b/>
          <w:bCs/>
        </w:rPr>
        <w:t>2.6 Legal factors</w:t>
      </w:r>
    </w:p>
    <w:p w14:paraId="3CC4FFF6" w14:textId="77777777" w:rsidR="00E30D91" w:rsidRPr="00F85C35" w:rsidRDefault="00E30D91" w:rsidP="00871B64">
      <w:pPr>
        <w:spacing w:line="360" w:lineRule="auto"/>
        <w:jc w:val="both"/>
      </w:pPr>
      <w:r w:rsidRPr="00E30D91">
        <w:t xml:space="preserve">Toyota and its authorised dealers operate under extensive UK vehicle-safety, environmental, consumer-protection and data-protection requirements. Vehicles must satisfy applicable type-approval standards before being marketed, including relevant safety and environmental performance requirements (Vehicle Certification Agency, 2026). The Digital Markets, Competition and Consumers Act 2024 prohibits unfair commercial practices, including misleading actions and omissions, while giving the Competition and Markets Authority stronger direct investigation and enforcement </w:t>
      </w:r>
      <w:r w:rsidRPr="00F85C35">
        <w:t>powers (Great Britain, 2024; Competition and Markets Authority, 2025). Toyota’s collection, profiling and use of customer data for personalised promotions must also comply with the UK GDPR, the Data Protection Act 2018 and the Privacy and Electronic Communications Regulations 2003. These rules require a lawful basis for processing and, in some circumstances, consent for electronic marketing and tracking technologies (Great Britain, 2003, 2018; Information Commissioner’s Office, 2026a). Consumers have an absolute right to object to the use of their personal information for direct marketing, including associated profiling, after which the organisation must stop processing the data for that purpose (Information Commissioner’s Office, 2026b)</w:t>
      </w:r>
    </w:p>
    <w:p w14:paraId="7AF8F756" w14:textId="77777777" w:rsidR="00F85C35" w:rsidRPr="00F85C35" w:rsidRDefault="00F85C35" w:rsidP="00F85C35">
      <w:pPr>
        <w:spacing w:line="360" w:lineRule="auto"/>
        <w:jc w:val="both"/>
      </w:pPr>
      <w:r w:rsidRPr="00F85C35">
        <w:t xml:space="preserve">These rules are strategically important as connected vehicles, financing platforms and online purchasing generate a lot of customer data. Toyota must ensure personalisation does not intrude and consent, data-sharing and automated decision-making are transparent. Therefore, legal compliance should be part of the customer experience, and </w:t>
      </w:r>
      <w:r w:rsidRPr="00F85C35">
        <w:lastRenderedPageBreak/>
        <w:t xml:space="preserve">not just a back-office responsibility. </w:t>
      </w:r>
      <w:r w:rsidRPr="00F85C35">
        <w:br/>
        <w:t xml:space="preserve">Japan’s Act on the Protection of Personal Information also protects individuals, regulating the commercial use of personal data. Marketing representations are also governed by the Act against Unjustifiable Premiums and Misleading Representations, which prohibits claims that a product is materially superior to its actual quality or to competing offers without adequate justification (Consumer Affairs Agency, 2026; Personal Information Protection Commission, 2023). </w:t>
      </w:r>
      <w:r w:rsidRPr="00F85C35">
        <w:br/>
        <w:t xml:space="preserve">Both markets therefore demand evidence-based claims relating to fuel economy, safety, vehicle range and environmental performance. However, the UK currently offers better exposure to public challenges around digital targeting and green claims, while Japanese regulation and consumer expectations may lead to more cautious, information-rich communications. </w:t>
      </w:r>
      <w:r w:rsidRPr="00F85C35">
        <w:br/>
        <w:t>Toyota can standardise its global principles of honest, evidence-based marketing but consent, advertising disclosures and environmental terminology must be implemented locally.</w:t>
      </w:r>
    </w:p>
    <w:p w14:paraId="095C6AF7" w14:textId="39804186" w:rsidR="00B167BB" w:rsidRDefault="00B167BB" w:rsidP="00871B64">
      <w:pPr>
        <w:spacing w:line="360" w:lineRule="auto"/>
        <w:jc w:val="both"/>
        <w:rPr>
          <w:color w:val="EE0000"/>
        </w:rPr>
      </w:pPr>
    </w:p>
    <w:p w14:paraId="60D49D56" w14:textId="77777777" w:rsidR="000D4286" w:rsidRDefault="000D4286" w:rsidP="00871B64">
      <w:pPr>
        <w:spacing w:line="360" w:lineRule="auto"/>
        <w:jc w:val="both"/>
        <w:rPr>
          <w:color w:val="EE0000"/>
        </w:rPr>
      </w:pPr>
    </w:p>
    <w:p w14:paraId="69440ECC" w14:textId="77777777" w:rsidR="000D4286" w:rsidRDefault="000D4286" w:rsidP="00871B64">
      <w:pPr>
        <w:spacing w:line="360" w:lineRule="auto"/>
        <w:jc w:val="both"/>
        <w:rPr>
          <w:color w:val="EE0000"/>
        </w:rPr>
      </w:pPr>
    </w:p>
    <w:p w14:paraId="4453054B" w14:textId="77777777" w:rsidR="000D4286" w:rsidRDefault="000D4286" w:rsidP="00871B64">
      <w:pPr>
        <w:spacing w:line="360" w:lineRule="auto"/>
        <w:jc w:val="both"/>
        <w:rPr>
          <w:color w:val="EE0000"/>
        </w:rPr>
      </w:pPr>
    </w:p>
    <w:p w14:paraId="2F2BFBE9" w14:textId="77777777" w:rsidR="000D4286" w:rsidRDefault="000D4286" w:rsidP="00871B64">
      <w:pPr>
        <w:spacing w:line="360" w:lineRule="auto"/>
        <w:jc w:val="both"/>
        <w:rPr>
          <w:color w:val="EE0000"/>
        </w:rPr>
      </w:pPr>
    </w:p>
    <w:p w14:paraId="56551127" w14:textId="77777777" w:rsidR="000D4286" w:rsidRDefault="000D4286" w:rsidP="00871B64">
      <w:pPr>
        <w:spacing w:line="360" w:lineRule="auto"/>
        <w:jc w:val="both"/>
        <w:rPr>
          <w:color w:val="EE0000"/>
        </w:rPr>
      </w:pPr>
    </w:p>
    <w:p w14:paraId="7F080576" w14:textId="77777777" w:rsidR="000D4286" w:rsidRDefault="000D4286" w:rsidP="00871B64">
      <w:pPr>
        <w:spacing w:line="360" w:lineRule="auto"/>
        <w:jc w:val="both"/>
        <w:rPr>
          <w:color w:val="EE0000"/>
        </w:rPr>
      </w:pPr>
    </w:p>
    <w:p w14:paraId="2A6B14BD" w14:textId="77777777" w:rsidR="009A756B" w:rsidRDefault="009A756B" w:rsidP="00871B64">
      <w:pPr>
        <w:spacing w:line="360" w:lineRule="auto"/>
        <w:jc w:val="both"/>
        <w:rPr>
          <w:b/>
          <w:bCs/>
        </w:rPr>
      </w:pPr>
    </w:p>
    <w:p w14:paraId="58326CB2" w14:textId="77777777" w:rsidR="009A756B" w:rsidRDefault="009A756B" w:rsidP="00871B64">
      <w:pPr>
        <w:spacing w:line="360" w:lineRule="auto"/>
        <w:jc w:val="both"/>
        <w:rPr>
          <w:b/>
          <w:bCs/>
        </w:rPr>
      </w:pPr>
    </w:p>
    <w:p w14:paraId="6533CF34" w14:textId="77777777" w:rsidR="009A756B" w:rsidRDefault="009A756B" w:rsidP="00871B64">
      <w:pPr>
        <w:spacing w:line="360" w:lineRule="auto"/>
        <w:jc w:val="both"/>
        <w:rPr>
          <w:b/>
          <w:bCs/>
        </w:rPr>
      </w:pPr>
    </w:p>
    <w:p w14:paraId="6644CBB5" w14:textId="2180CC8C" w:rsidR="00871B64" w:rsidRPr="000D4286" w:rsidRDefault="000D4286" w:rsidP="00871B64">
      <w:pPr>
        <w:spacing w:line="360" w:lineRule="auto"/>
        <w:jc w:val="both"/>
        <w:rPr>
          <w:b/>
          <w:bCs/>
        </w:rPr>
      </w:pPr>
      <w:r w:rsidRPr="000D4286">
        <w:rPr>
          <w:b/>
          <w:bCs/>
        </w:rPr>
        <w:lastRenderedPageBreak/>
        <w:t>3. Hofstede cultural comparison</w:t>
      </w:r>
    </w:p>
    <w:tbl>
      <w:tblPr>
        <w:tblStyle w:val="TableGridLight"/>
        <w:tblW w:w="9498" w:type="dxa"/>
        <w:tblLook w:val="04A0" w:firstRow="1" w:lastRow="0" w:firstColumn="1" w:lastColumn="0" w:noHBand="0" w:noVBand="1"/>
      </w:tblPr>
      <w:tblGrid>
        <w:gridCol w:w="4693"/>
        <w:gridCol w:w="2410"/>
        <w:gridCol w:w="2395"/>
      </w:tblGrid>
      <w:tr w:rsidR="00B167BB" w:rsidRPr="00B167BB" w14:paraId="7D15F3A3" w14:textId="77777777" w:rsidTr="00146300">
        <w:tc>
          <w:tcPr>
            <w:tcW w:w="4633" w:type="dxa"/>
            <w:hideMark/>
          </w:tcPr>
          <w:p w14:paraId="25671FBA" w14:textId="77777777" w:rsidR="00B167BB" w:rsidRPr="00B167BB" w:rsidRDefault="00B167BB" w:rsidP="00B167BB">
            <w:pPr>
              <w:spacing w:after="160" w:line="360" w:lineRule="auto"/>
              <w:jc w:val="both"/>
              <w:rPr>
                <w:b/>
                <w:bCs/>
              </w:rPr>
            </w:pPr>
            <w:r w:rsidRPr="00B167BB">
              <w:rPr>
                <w:b/>
                <w:bCs/>
              </w:rPr>
              <w:t>Cultural dimension</w:t>
            </w:r>
          </w:p>
        </w:tc>
        <w:tc>
          <w:tcPr>
            <w:tcW w:w="2380" w:type="dxa"/>
            <w:hideMark/>
          </w:tcPr>
          <w:p w14:paraId="0038D680" w14:textId="77777777" w:rsidR="00B167BB" w:rsidRPr="00B167BB" w:rsidRDefault="00B167BB" w:rsidP="00B167BB">
            <w:pPr>
              <w:spacing w:after="160" w:line="360" w:lineRule="auto"/>
              <w:jc w:val="both"/>
              <w:rPr>
                <w:b/>
                <w:bCs/>
              </w:rPr>
            </w:pPr>
            <w:r w:rsidRPr="00B167BB">
              <w:rPr>
                <w:b/>
                <w:bCs/>
              </w:rPr>
              <w:t>Japan</w:t>
            </w:r>
          </w:p>
        </w:tc>
        <w:tc>
          <w:tcPr>
            <w:tcW w:w="2365" w:type="dxa"/>
            <w:hideMark/>
          </w:tcPr>
          <w:p w14:paraId="1F899B42" w14:textId="77777777" w:rsidR="00B167BB" w:rsidRPr="00B167BB" w:rsidRDefault="00B167BB" w:rsidP="00B167BB">
            <w:pPr>
              <w:spacing w:after="160" w:line="360" w:lineRule="auto"/>
              <w:jc w:val="both"/>
              <w:rPr>
                <w:b/>
                <w:bCs/>
              </w:rPr>
            </w:pPr>
            <w:r w:rsidRPr="00B167BB">
              <w:rPr>
                <w:b/>
                <w:bCs/>
              </w:rPr>
              <w:t>United Kingdom</w:t>
            </w:r>
          </w:p>
        </w:tc>
      </w:tr>
      <w:tr w:rsidR="00B167BB" w:rsidRPr="00B167BB" w14:paraId="5BCB2B0E" w14:textId="77777777" w:rsidTr="00146300">
        <w:tc>
          <w:tcPr>
            <w:tcW w:w="4633" w:type="dxa"/>
            <w:hideMark/>
          </w:tcPr>
          <w:p w14:paraId="4E30B970" w14:textId="77777777" w:rsidR="00B167BB" w:rsidRPr="00B167BB" w:rsidRDefault="00B167BB" w:rsidP="00B167BB">
            <w:pPr>
              <w:spacing w:after="160" w:line="360" w:lineRule="auto"/>
              <w:jc w:val="both"/>
              <w:rPr>
                <w:b/>
                <w:bCs/>
              </w:rPr>
            </w:pPr>
            <w:r w:rsidRPr="00B167BB">
              <w:rPr>
                <w:b/>
                <w:bCs/>
              </w:rPr>
              <w:t>Power distance</w:t>
            </w:r>
          </w:p>
        </w:tc>
        <w:tc>
          <w:tcPr>
            <w:tcW w:w="2380" w:type="dxa"/>
            <w:hideMark/>
          </w:tcPr>
          <w:p w14:paraId="3E46D607" w14:textId="77777777" w:rsidR="00B167BB" w:rsidRPr="00B167BB" w:rsidRDefault="00B167BB" w:rsidP="00B167BB">
            <w:pPr>
              <w:spacing w:after="160" w:line="360" w:lineRule="auto"/>
              <w:jc w:val="both"/>
              <w:rPr>
                <w:b/>
                <w:bCs/>
              </w:rPr>
            </w:pPr>
            <w:r w:rsidRPr="00B167BB">
              <w:rPr>
                <w:b/>
                <w:bCs/>
              </w:rPr>
              <w:t>54</w:t>
            </w:r>
          </w:p>
        </w:tc>
        <w:tc>
          <w:tcPr>
            <w:tcW w:w="2365" w:type="dxa"/>
            <w:hideMark/>
          </w:tcPr>
          <w:p w14:paraId="3E8DAA4D" w14:textId="77777777" w:rsidR="00B167BB" w:rsidRPr="00B167BB" w:rsidRDefault="00B167BB" w:rsidP="00B167BB">
            <w:pPr>
              <w:spacing w:after="160" w:line="360" w:lineRule="auto"/>
              <w:jc w:val="both"/>
              <w:rPr>
                <w:b/>
                <w:bCs/>
              </w:rPr>
            </w:pPr>
            <w:r w:rsidRPr="00B167BB">
              <w:rPr>
                <w:b/>
                <w:bCs/>
              </w:rPr>
              <w:t>35</w:t>
            </w:r>
          </w:p>
        </w:tc>
      </w:tr>
      <w:tr w:rsidR="00B167BB" w:rsidRPr="00B167BB" w14:paraId="3F5FC157" w14:textId="77777777" w:rsidTr="00146300">
        <w:tc>
          <w:tcPr>
            <w:tcW w:w="4633" w:type="dxa"/>
            <w:hideMark/>
          </w:tcPr>
          <w:p w14:paraId="1C3FA52F" w14:textId="77777777" w:rsidR="00B167BB" w:rsidRPr="00B167BB" w:rsidRDefault="00B167BB" w:rsidP="00B167BB">
            <w:pPr>
              <w:spacing w:after="160" w:line="360" w:lineRule="auto"/>
              <w:jc w:val="both"/>
              <w:rPr>
                <w:b/>
                <w:bCs/>
              </w:rPr>
            </w:pPr>
            <w:r w:rsidRPr="00B167BB">
              <w:rPr>
                <w:b/>
                <w:bCs/>
              </w:rPr>
              <w:t>Individualism</w:t>
            </w:r>
          </w:p>
        </w:tc>
        <w:tc>
          <w:tcPr>
            <w:tcW w:w="2380" w:type="dxa"/>
            <w:hideMark/>
          </w:tcPr>
          <w:p w14:paraId="50B0C188" w14:textId="77777777" w:rsidR="00B167BB" w:rsidRPr="00B167BB" w:rsidRDefault="00B167BB" w:rsidP="00B167BB">
            <w:pPr>
              <w:spacing w:after="160" w:line="360" w:lineRule="auto"/>
              <w:jc w:val="both"/>
              <w:rPr>
                <w:b/>
                <w:bCs/>
              </w:rPr>
            </w:pPr>
            <w:r w:rsidRPr="00B167BB">
              <w:rPr>
                <w:b/>
                <w:bCs/>
              </w:rPr>
              <w:t>46</w:t>
            </w:r>
          </w:p>
        </w:tc>
        <w:tc>
          <w:tcPr>
            <w:tcW w:w="2365" w:type="dxa"/>
            <w:hideMark/>
          </w:tcPr>
          <w:p w14:paraId="27FD66DC" w14:textId="77777777" w:rsidR="00B167BB" w:rsidRPr="00B167BB" w:rsidRDefault="00B167BB" w:rsidP="00B167BB">
            <w:pPr>
              <w:spacing w:after="160" w:line="360" w:lineRule="auto"/>
              <w:jc w:val="both"/>
              <w:rPr>
                <w:b/>
                <w:bCs/>
              </w:rPr>
            </w:pPr>
            <w:r w:rsidRPr="00B167BB">
              <w:rPr>
                <w:b/>
                <w:bCs/>
              </w:rPr>
              <w:t>89</w:t>
            </w:r>
          </w:p>
        </w:tc>
      </w:tr>
      <w:tr w:rsidR="00B167BB" w:rsidRPr="00B167BB" w14:paraId="0F6BE217" w14:textId="77777777" w:rsidTr="00146300">
        <w:tc>
          <w:tcPr>
            <w:tcW w:w="4633" w:type="dxa"/>
            <w:hideMark/>
          </w:tcPr>
          <w:p w14:paraId="57890204" w14:textId="77777777" w:rsidR="00B167BB" w:rsidRPr="00B167BB" w:rsidRDefault="00B167BB" w:rsidP="00B167BB">
            <w:pPr>
              <w:spacing w:after="160" w:line="360" w:lineRule="auto"/>
              <w:jc w:val="both"/>
              <w:rPr>
                <w:b/>
                <w:bCs/>
              </w:rPr>
            </w:pPr>
            <w:r w:rsidRPr="00B167BB">
              <w:rPr>
                <w:b/>
                <w:bCs/>
              </w:rPr>
              <w:t>Masculinity/achievement orientation</w:t>
            </w:r>
          </w:p>
        </w:tc>
        <w:tc>
          <w:tcPr>
            <w:tcW w:w="2380" w:type="dxa"/>
            <w:hideMark/>
          </w:tcPr>
          <w:p w14:paraId="3E1F445F" w14:textId="77777777" w:rsidR="00B167BB" w:rsidRPr="00B167BB" w:rsidRDefault="00B167BB" w:rsidP="00B167BB">
            <w:pPr>
              <w:spacing w:after="160" w:line="360" w:lineRule="auto"/>
              <w:jc w:val="both"/>
              <w:rPr>
                <w:b/>
                <w:bCs/>
              </w:rPr>
            </w:pPr>
            <w:r w:rsidRPr="00B167BB">
              <w:rPr>
                <w:b/>
                <w:bCs/>
              </w:rPr>
              <w:t>95</w:t>
            </w:r>
          </w:p>
        </w:tc>
        <w:tc>
          <w:tcPr>
            <w:tcW w:w="2365" w:type="dxa"/>
            <w:hideMark/>
          </w:tcPr>
          <w:p w14:paraId="508EC016" w14:textId="77777777" w:rsidR="00B167BB" w:rsidRPr="00B167BB" w:rsidRDefault="00B167BB" w:rsidP="00B167BB">
            <w:pPr>
              <w:spacing w:after="160" w:line="360" w:lineRule="auto"/>
              <w:jc w:val="both"/>
              <w:rPr>
                <w:b/>
                <w:bCs/>
              </w:rPr>
            </w:pPr>
            <w:r w:rsidRPr="00B167BB">
              <w:rPr>
                <w:b/>
                <w:bCs/>
              </w:rPr>
              <w:t>66</w:t>
            </w:r>
          </w:p>
        </w:tc>
      </w:tr>
      <w:tr w:rsidR="00B167BB" w:rsidRPr="00B167BB" w14:paraId="72999424" w14:textId="77777777" w:rsidTr="00146300">
        <w:tc>
          <w:tcPr>
            <w:tcW w:w="4633" w:type="dxa"/>
            <w:hideMark/>
          </w:tcPr>
          <w:p w14:paraId="38CD3485" w14:textId="77777777" w:rsidR="00B167BB" w:rsidRPr="00B167BB" w:rsidRDefault="00B167BB" w:rsidP="00B167BB">
            <w:pPr>
              <w:spacing w:after="160" w:line="360" w:lineRule="auto"/>
              <w:jc w:val="both"/>
              <w:rPr>
                <w:b/>
                <w:bCs/>
              </w:rPr>
            </w:pPr>
            <w:r w:rsidRPr="00B167BB">
              <w:rPr>
                <w:b/>
                <w:bCs/>
              </w:rPr>
              <w:t>Uncertainty avoidance</w:t>
            </w:r>
          </w:p>
        </w:tc>
        <w:tc>
          <w:tcPr>
            <w:tcW w:w="2380" w:type="dxa"/>
            <w:hideMark/>
          </w:tcPr>
          <w:p w14:paraId="33649394" w14:textId="77777777" w:rsidR="00B167BB" w:rsidRPr="00B167BB" w:rsidRDefault="00B167BB" w:rsidP="00B167BB">
            <w:pPr>
              <w:spacing w:after="160" w:line="360" w:lineRule="auto"/>
              <w:jc w:val="both"/>
              <w:rPr>
                <w:b/>
                <w:bCs/>
              </w:rPr>
            </w:pPr>
            <w:r w:rsidRPr="00B167BB">
              <w:rPr>
                <w:b/>
                <w:bCs/>
              </w:rPr>
              <w:t>92</w:t>
            </w:r>
          </w:p>
        </w:tc>
        <w:tc>
          <w:tcPr>
            <w:tcW w:w="2365" w:type="dxa"/>
            <w:hideMark/>
          </w:tcPr>
          <w:p w14:paraId="347E769F" w14:textId="77777777" w:rsidR="00B167BB" w:rsidRPr="00B167BB" w:rsidRDefault="00B167BB" w:rsidP="00B167BB">
            <w:pPr>
              <w:spacing w:after="160" w:line="360" w:lineRule="auto"/>
              <w:jc w:val="both"/>
              <w:rPr>
                <w:b/>
                <w:bCs/>
              </w:rPr>
            </w:pPr>
            <w:r w:rsidRPr="00B167BB">
              <w:rPr>
                <w:b/>
                <w:bCs/>
              </w:rPr>
              <w:t>35</w:t>
            </w:r>
          </w:p>
        </w:tc>
      </w:tr>
      <w:tr w:rsidR="00B167BB" w:rsidRPr="00B167BB" w14:paraId="1ABA25A4" w14:textId="77777777" w:rsidTr="00146300">
        <w:tc>
          <w:tcPr>
            <w:tcW w:w="4633" w:type="dxa"/>
            <w:hideMark/>
          </w:tcPr>
          <w:p w14:paraId="08D515E1" w14:textId="77777777" w:rsidR="00B167BB" w:rsidRPr="00B167BB" w:rsidRDefault="00B167BB" w:rsidP="00B167BB">
            <w:pPr>
              <w:spacing w:after="160" w:line="360" w:lineRule="auto"/>
              <w:jc w:val="both"/>
              <w:rPr>
                <w:b/>
                <w:bCs/>
              </w:rPr>
            </w:pPr>
            <w:r w:rsidRPr="00B167BB">
              <w:rPr>
                <w:b/>
                <w:bCs/>
              </w:rPr>
              <w:t>Long-term orientation</w:t>
            </w:r>
          </w:p>
        </w:tc>
        <w:tc>
          <w:tcPr>
            <w:tcW w:w="2380" w:type="dxa"/>
            <w:hideMark/>
          </w:tcPr>
          <w:p w14:paraId="71B50252" w14:textId="77777777" w:rsidR="00B167BB" w:rsidRPr="00B167BB" w:rsidRDefault="00B167BB" w:rsidP="00B167BB">
            <w:pPr>
              <w:spacing w:after="160" w:line="360" w:lineRule="auto"/>
              <w:jc w:val="both"/>
              <w:rPr>
                <w:b/>
                <w:bCs/>
              </w:rPr>
            </w:pPr>
            <w:r w:rsidRPr="00B167BB">
              <w:rPr>
                <w:b/>
                <w:bCs/>
              </w:rPr>
              <w:t>88</w:t>
            </w:r>
          </w:p>
        </w:tc>
        <w:tc>
          <w:tcPr>
            <w:tcW w:w="2365" w:type="dxa"/>
            <w:hideMark/>
          </w:tcPr>
          <w:p w14:paraId="4826FCB9" w14:textId="77777777" w:rsidR="00B167BB" w:rsidRPr="00B167BB" w:rsidRDefault="00B167BB" w:rsidP="00B167BB">
            <w:pPr>
              <w:spacing w:after="160" w:line="360" w:lineRule="auto"/>
              <w:jc w:val="both"/>
              <w:rPr>
                <w:b/>
                <w:bCs/>
              </w:rPr>
            </w:pPr>
            <w:r w:rsidRPr="00B167BB">
              <w:rPr>
                <w:b/>
                <w:bCs/>
              </w:rPr>
              <w:t>51</w:t>
            </w:r>
          </w:p>
        </w:tc>
      </w:tr>
      <w:tr w:rsidR="00B167BB" w:rsidRPr="00B167BB" w14:paraId="239263D7" w14:textId="77777777" w:rsidTr="00146300">
        <w:tc>
          <w:tcPr>
            <w:tcW w:w="4633" w:type="dxa"/>
            <w:hideMark/>
          </w:tcPr>
          <w:p w14:paraId="7242D5A6" w14:textId="77777777" w:rsidR="00B167BB" w:rsidRPr="00B167BB" w:rsidRDefault="00B167BB" w:rsidP="00B167BB">
            <w:pPr>
              <w:spacing w:after="160" w:line="360" w:lineRule="auto"/>
              <w:jc w:val="both"/>
              <w:rPr>
                <w:b/>
                <w:bCs/>
              </w:rPr>
            </w:pPr>
            <w:r w:rsidRPr="00B167BB">
              <w:rPr>
                <w:b/>
                <w:bCs/>
              </w:rPr>
              <w:t>Indulgence</w:t>
            </w:r>
          </w:p>
        </w:tc>
        <w:tc>
          <w:tcPr>
            <w:tcW w:w="2380" w:type="dxa"/>
            <w:hideMark/>
          </w:tcPr>
          <w:p w14:paraId="090B2FAE" w14:textId="77777777" w:rsidR="00B167BB" w:rsidRPr="00B167BB" w:rsidRDefault="00B167BB" w:rsidP="00B167BB">
            <w:pPr>
              <w:spacing w:after="160" w:line="360" w:lineRule="auto"/>
              <w:jc w:val="both"/>
              <w:rPr>
                <w:b/>
                <w:bCs/>
              </w:rPr>
            </w:pPr>
            <w:r w:rsidRPr="00B167BB">
              <w:rPr>
                <w:b/>
                <w:bCs/>
              </w:rPr>
              <w:t>42</w:t>
            </w:r>
          </w:p>
        </w:tc>
        <w:tc>
          <w:tcPr>
            <w:tcW w:w="2365" w:type="dxa"/>
            <w:hideMark/>
          </w:tcPr>
          <w:p w14:paraId="0D30C8C2" w14:textId="77777777" w:rsidR="00B167BB" w:rsidRPr="00B167BB" w:rsidRDefault="00B167BB" w:rsidP="00B167BB">
            <w:pPr>
              <w:spacing w:after="160" w:line="360" w:lineRule="auto"/>
              <w:jc w:val="both"/>
              <w:rPr>
                <w:b/>
                <w:bCs/>
              </w:rPr>
            </w:pPr>
            <w:r w:rsidRPr="00B167BB">
              <w:rPr>
                <w:b/>
                <w:bCs/>
              </w:rPr>
              <w:t>69</w:t>
            </w:r>
          </w:p>
        </w:tc>
      </w:tr>
    </w:tbl>
    <w:p w14:paraId="1CCC04BF" w14:textId="77777777" w:rsidR="000D4286" w:rsidRDefault="000D4286" w:rsidP="00871B64">
      <w:pPr>
        <w:spacing w:line="360" w:lineRule="auto"/>
        <w:jc w:val="both"/>
        <w:rPr>
          <w:b/>
          <w:bCs/>
          <w:color w:val="EE0000"/>
        </w:rPr>
      </w:pPr>
    </w:p>
    <w:p w14:paraId="0F4AD909" w14:textId="77777777" w:rsidR="00A83D21" w:rsidRDefault="00967B7F" w:rsidP="00871B64">
      <w:pPr>
        <w:spacing w:line="360" w:lineRule="auto"/>
        <w:jc w:val="both"/>
      </w:pPr>
      <w:r w:rsidRPr="00967B7F">
        <w:t>Individualism is one important distinction. The UK's score of 89 is higher than Japan's score of 46, suggesting that British culture values individuality, independence, and personal choice more. Therefore, Toyota's marketing in the UK should highlight how cars accommodate various lifestyles, such as family vacations, urban commuting, and eco-friendly driving. The ability to customise a car, convenience, and individual freedom can all be highlighted in advertising. In Japan, marketing might prioritise harmony, social responsibility, and family well-being. For instance, safety technologies may be marketed as safeguarding not just the individual driver but also pedestrians, passengers, and the larger community.</w:t>
      </w:r>
      <w:r w:rsidRPr="00967B7F">
        <w:br/>
      </w:r>
      <w:r w:rsidRPr="00967B7F">
        <w:br/>
        <w:t xml:space="preserve">The nations' approaches to avoiding uncertainty also differ significantly. The UK receives a score of 35 while Japan receives a score of 92. Therefore, when buying new technologies, Japanese consumers might need more thorough product information, assurances, and guarantees. Customers may be concerned about the infrastructure for charging, the longevity of batteries, and the resale value of battery-electric and hydrogen </w:t>
      </w:r>
      <w:proofErr w:type="gramStart"/>
      <w:r w:rsidRPr="00967B7F">
        <w:t>vehicles in particular</w:t>
      </w:r>
      <w:proofErr w:type="gramEnd"/>
      <w:r w:rsidRPr="00967B7F">
        <w:t xml:space="preserve">. In response, Toyota ought to provide thorough technical details, extended warranties, dealer demonstrations, and robust post-purchase assistance. </w:t>
      </w:r>
      <w:r w:rsidRPr="00967B7F">
        <w:lastRenderedPageBreak/>
        <w:t>Customers in Britain might be more open to trying out new goods and online shopping methods. However, since cars are costly and risky purchases, warranties and dependability are still crucial in both markets.</w:t>
      </w:r>
      <w:r w:rsidRPr="00967B7F">
        <w:br/>
      </w:r>
      <w:r w:rsidRPr="00967B7F">
        <w:br/>
        <w:t>Compared to UK consumers, Japanese consumers may be more tolerant of hierarchy and expert authority, as indicated by Japan's higher power-distance score. Toyota can thus convey product quality in Japan through engineers, technical experts, and informed dealership employees. The UK, on the other hand, scored lower, indicating a preference for more equal and casual relationships. Accessible language, online comparison tools, and salespeople serving as advisors rather than authoritative experts may be more appealing to British consumers.</w:t>
      </w:r>
      <w:r w:rsidRPr="00967B7F">
        <w:br/>
      </w:r>
      <w:r w:rsidRPr="00967B7F">
        <w:br/>
        <w:t xml:space="preserve">In terms of masculinity or achievement orientation, both nations score </w:t>
      </w:r>
      <w:proofErr w:type="gramStart"/>
      <w:r w:rsidRPr="00967B7F">
        <w:t>fairly well</w:t>
      </w:r>
      <w:proofErr w:type="gramEnd"/>
      <w:r w:rsidRPr="00967B7F">
        <w:t>, though Japan's score of 95 is significantly higher than the UK's 66. This implies that technical excellence, performance, and accomplishment are important in both markets. Toyota can highlight advanced manufacturing, engineering precision, and continuous improvement in Japan. Messages focused on technical proficiency and competition could be especially beneficial for the Toyota Gazoo Racing brand. Performance is still significant in the UK, but it can be paired with comfort, lifestyle, and daily usefulness.</w:t>
      </w:r>
      <w:r w:rsidRPr="00967B7F">
        <w:br/>
      </w:r>
      <w:r w:rsidRPr="00967B7F">
        <w:br/>
        <w:t>With a score of 88 as opposed to 51 for the UK, Japan likewise exhibits a stronger long-term orientation. As a result, durability, dependability, fuel efficiency, and long-term ownership may be more important to Japanese buyers. This bolsters Toyota's well-established reputation for dependable automobiles and ongoing development. Long-term value may also be valued by UK consumers, but marketing should link this to immediate advantages like cheaper fuel, more manageable monthly payments, and lower maintenance costs. When Toyota shows both current financial savings and future sustainability benefits, environmental messages might be more compelling.</w:t>
      </w:r>
      <w:r w:rsidRPr="00967B7F">
        <w:br/>
      </w:r>
      <w:r w:rsidRPr="00967B7F">
        <w:br/>
      </w:r>
      <w:r w:rsidRPr="00967B7F">
        <w:lastRenderedPageBreak/>
        <w:t>Lastly, the UK's higher indulgence score indicates that British consumers are more likely to react to advertisements based on leisure, freedom, and enjoyment. As a result, Toyota's UK advertising campaigns can make emotional appeals about travel, road trips, driving pleasure, and individual experiences. Japan's lower score suggests comparatively more restraint, which suggests that advertising may be more successful when it is controlled, informative, and centred on social responsibility, safety, and functionality.</w:t>
      </w:r>
      <w:r w:rsidRPr="00967B7F">
        <w:br/>
      </w:r>
      <w:r w:rsidRPr="00967B7F">
        <w:br/>
        <w:t>In general, Toyota should not employ the same communication approach in both nations, according to Hofstede's framework. Technical detail, dependability, safety, long-term value, and professional assurance should be given comparatively more weight in Japanese marketing. In the UK, marketing should be more personalised, casual, and lifestyle-focused, with a focus on immediate customer benefits and personal choice. Hofstede's national scores, however, should not be regarded as definitive descriptions of every customer. Relying too much on national averages may result in cultural stereotyping, and differences in age, income, region, and lifestyle may be equally significant (McSweeney, 2002). Therefore, Toyota should integrate customer segmentation, cultural analysis, and up-to-date consumer research.</w:t>
      </w:r>
    </w:p>
    <w:p w14:paraId="496A61E2" w14:textId="4574DA1A" w:rsidR="000D4286" w:rsidRPr="00A83D21" w:rsidRDefault="0016019B" w:rsidP="00871B64">
      <w:pPr>
        <w:spacing w:line="360" w:lineRule="auto"/>
        <w:jc w:val="both"/>
      </w:pPr>
      <w:r w:rsidRPr="00B30464">
        <w:rPr>
          <w:b/>
          <w:bCs/>
        </w:rPr>
        <w:t>4.</w:t>
      </w:r>
      <w:r w:rsidR="005B224A" w:rsidRPr="00B30464">
        <w:rPr>
          <w:b/>
          <w:bCs/>
        </w:rPr>
        <w:t xml:space="preserve"> COMPARATIVE ANALYSIS </w:t>
      </w:r>
      <w:r w:rsidR="00B3216C" w:rsidRPr="00B30464">
        <w:rPr>
          <w:b/>
          <w:bCs/>
        </w:rPr>
        <w:t>OF SEGMENTATION</w:t>
      </w:r>
      <w:r w:rsidR="002C4941" w:rsidRPr="00B30464">
        <w:rPr>
          <w:b/>
          <w:bCs/>
        </w:rPr>
        <w:t xml:space="preserve">, TARGETING AND POSITIONING </w:t>
      </w:r>
      <w:r w:rsidR="00B3216C" w:rsidRPr="00B30464">
        <w:rPr>
          <w:b/>
          <w:bCs/>
        </w:rPr>
        <w:t xml:space="preserve">(STP) AND INTERNATIONAL MARKETING MIX (7Ps)  </w:t>
      </w:r>
    </w:p>
    <w:p w14:paraId="7CD2B4BB" w14:textId="149BB0E8" w:rsidR="00B30464" w:rsidRPr="00B30464" w:rsidRDefault="00B30464" w:rsidP="00B30464">
      <w:pPr>
        <w:spacing w:line="360" w:lineRule="auto"/>
        <w:jc w:val="both"/>
      </w:pPr>
      <w:r w:rsidRPr="00B30464">
        <w:t>An advanced use of adaptive standardisation can be seen in Toyota's global marketing approach. The execution of the core global brand identity, which is centred on quality, dependability, safety, and "Mobility for All" is carefully adjusted to local market conditions</w:t>
      </w:r>
      <w:r w:rsidR="00A42373">
        <w:t xml:space="preserve"> </w:t>
      </w:r>
      <w:r w:rsidR="00A42373" w:rsidRPr="00A42373">
        <w:t>(</w:t>
      </w:r>
      <w:r w:rsidR="003836EE">
        <w:t>Han</w:t>
      </w:r>
      <w:r w:rsidR="00D60AA2">
        <w:t>, 2016</w:t>
      </w:r>
      <w:r w:rsidR="00A42373" w:rsidRPr="00A42373">
        <w:t>)</w:t>
      </w:r>
      <w:r w:rsidRPr="00B30464">
        <w:t xml:space="preserve">. With this strategy, Toyota </w:t>
      </w:r>
      <w:proofErr w:type="gramStart"/>
      <w:r w:rsidRPr="00B30464">
        <w:t>is able to</w:t>
      </w:r>
      <w:proofErr w:type="gramEnd"/>
      <w:r w:rsidRPr="00B30464">
        <w:t xml:space="preserve"> take advantage of worldwide economies of scale and brand awareness while maintaining a keen awareness of national cultural and economic subtleties. Through the lenses of Segmentation, Targeting, and Positioning (STP) and the extended 7Ps marketing mix, the following analysis breaks down this strategy and shows how cultural and economic factors influence very different implementations in Japan and the UK.</w:t>
      </w:r>
    </w:p>
    <w:p w14:paraId="0318C0EA" w14:textId="47E2C830" w:rsidR="00EF0B80" w:rsidRPr="002144EB" w:rsidRDefault="00EF0B80" w:rsidP="00EF0B80">
      <w:pPr>
        <w:spacing w:line="360" w:lineRule="auto"/>
        <w:jc w:val="both"/>
        <w:rPr>
          <w:b/>
          <w:bCs/>
        </w:rPr>
      </w:pPr>
      <w:r w:rsidRPr="002144EB">
        <w:rPr>
          <w:b/>
          <w:bCs/>
        </w:rPr>
        <w:lastRenderedPageBreak/>
        <w:t>4.1 Segmentation, Targeting and Positioning: A Tale of Two Markets</w:t>
      </w:r>
    </w:p>
    <w:p w14:paraId="060B42DF" w14:textId="55DB6ADD" w:rsidR="00EF0B80" w:rsidRPr="002144EB" w:rsidRDefault="00EF0B80" w:rsidP="00EF0B80">
      <w:pPr>
        <w:spacing w:line="360" w:lineRule="auto"/>
        <w:jc w:val="both"/>
      </w:pPr>
      <w:r w:rsidRPr="002144EB">
        <w:t>Toyota employs a differentiated segmentation strategy in both Japan and the UK, but the bases for segmentation and the resulting target segments differ significantly, reflecting divergent market structures and consumer priorities. Toyota's segmentation is built around demographic, geographic, behavioural and psychographic dimensions, enabling the company to serve diverse customer needs while maintaining brand coherence.</w:t>
      </w:r>
    </w:p>
    <w:p w14:paraId="271353F4" w14:textId="15A97B56" w:rsidR="00A83D21" w:rsidRPr="00A83D21" w:rsidRDefault="00A83D21" w:rsidP="00A83D21">
      <w:pPr>
        <w:spacing w:line="360" w:lineRule="auto"/>
        <w:jc w:val="both"/>
        <w:rPr>
          <w:b/>
          <w:bCs/>
          <w:color w:val="EE0000"/>
        </w:rPr>
      </w:pPr>
    </w:p>
    <w:tbl>
      <w:tblPr>
        <w:tblStyle w:val="TableGridLight"/>
        <w:tblW w:w="0" w:type="auto"/>
        <w:tblLook w:val="04A0" w:firstRow="1" w:lastRow="0" w:firstColumn="1" w:lastColumn="0" w:noHBand="0" w:noVBand="1"/>
      </w:tblPr>
      <w:tblGrid>
        <w:gridCol w:w="2350"/>
        <w:gridCol w:w="3257"/>
        <w:gridCol w:w="3409"/>
      </w:tblGrid>
      <w:tr w:rsidR="00A83D21" w:rsidRPr="00F14756" w14:paraId="236D2607" w14:textId="77777777" w:rsidTr="00146300">
        <w:tc>
          <w:tcPr>
            <w:tcW w:w="2350" w:type="dxa"/>
            <w:hideMark/>
          </w:tcPr>
          <w:p w14:paraId="2B886C2B" w14:textId="77777777" w:rsidR="00A83D21" w:rsidRPr="00D27FCD" w:rsidRDefault="00A83D21" w:rsidP="00D27FCD">
            <w:pPr>
              <w:spacing w:after="160" w:line="360" w:lineRule="auto"/>
              <w:rPr>
                <w:b/>
                <w:bCs/>
              </w:rPr>
            </w:pPr>
            <w:r w:rsidRPr="00D27FCD">
              <w:rPr>
                <w:b/>
                <w:bCs/>
              </w:rPr>
              <w:t>Segmentation category</w:t>
            </w:r>
          </w:p>
        </w:tc>
        <w:tc>
          <w:tcPr>
            <w:tcW w:w="3257" w:type="dxa"/>
            <w:hideMark/>
          </w:tcPr>
          <w:p w14:paraId="2BAA6DC3" w14:textId="77777777" w:rsidR="00A83D21" w:rsidRPr="00D27FCD" w:rsidRDefault="00A83D21" w:rsidP="00D27FCD">
            <w:pPr>
              <w:spacing w:after="160" w:line="360" w:lineRule="auto"/>
              <w:rPr>
                <w:b/>
                <w:bCs/>
              </w:rPr>
            </w:pPr>
            <w:r w:rsidRPr="00D27FCD">
              <w:rPr>
                <w:b/>
                <w:bCs/>
              </w:rPr>
              <w:t>Japan</w:t>
            </w:r>
          </w:p>
        </w:tc>
        <w:tc>
          <w:tcPr>
            <w:tcW w:w="0" w:type="auto"/>
            <w:hideMark/>
          </w:tcPr>
          <w:p w14:paraId="444197E6" w14:textId="77777777" w:rsidR="00A83D21" w:rsidRPr="00D27FCD" w:rsidRDefault="00A83D21" w:rsidP="00D27FCD">
            <w:pPr>
              <w:spacing w:after="160" w:line="360" w:lineRule="auto"/>
              <w:rPr>
                <w:b/>
                <w:bCs/>
              </w:rPr>
            </w:pPr>
            <w:r w:rsidRPr="00D27FCD">
              <w:rPr>
                <w:b/>
                <w:bCs/>
              </w:rPr>
              <w:t>United Kingdom</w:t>
            </w:r>
          </w:p>
        </w:tc>
      </w:tr>
      <w:tr w:rsidR="00A83D21" w:rsidRPr="00F14756" w14:paraId="7D0AADC9" w14:textId="77777777" w:rsidTr="00146300">
        <w:tc>
          <w:tcPr>
            <w:tcW w:w="2350" w:type="dxa"/>
            <w:hideMark/>
          </w:tcPr>
          <w:p w14:paraId="2D589B5B" w14:textId="77777777" w:rsidR="00A83D21" w:rsidRPr="00D27FCD" w:rsidRDefault="00A83D21" w:rsidP="00D27FCD">
            <w:pPr>
              <w:spacing w:after="160" w:line="360" w:lineRule="auto"/>
            </w:pPr>
            <w:r w:rsidRPr="00D27FCD">
              <w:t>Main segmentation bases</w:t>
            </w:r>
          </w:p>
        </w:tc>
        <w:tc>
          <w:tcPr>
            <w:tcW w:w="3257" w:type="dxa"/>
            <w:hideMark/>
          </w:tcPr>
          <w:p w14:paraId="3B4CD078" w14:textId="77777777" w:rsidR="00A83D21" w:rsidRPr="00D27FCD" w:rsidRDefault="00A83D21" w:rsidP="00D27FCD">
            <w:pPr>
              <w:spacing w:after="160" w:line="360" w:lineRule="auto"/>
            </w:pPr>
            <w:r w:rsidRPr="00D27FCD">
              <w:t>Income, household type, age, lifestyle, vehicle usage and attitudes towards environmental technology</w:t>
            </w:r>
          </w:p>
        </w:tc>
        <w:tc>
          <w:tcPr>
            <w:tcW w:w="0" w:type="auto"/>
            <w:hideMark/>
          </w:tcPr>
          <w:p w14:paraId="0CE66057" w14:textId="77777777" w:rsidR="00A83D21" w:rsidRPr="00D27FCD" w:rsidRDefault="00A83D21" w:rsidP="00D27FCD">
            <w:pPr>
              <w:spacing w:after="160" w:line="360" w:lineRule="auto"/>
            </w:pPr>
            <w:r w:rsidRPr="00D27FCD">
              <w:t>Household type, lifestyle, vehicle usage, business needs and environmental attitudes</w:t>
            </w:r>
          </w:p>
        </w:tc>
      </w:tr>
      <w:tr w:rsidR="00A83D21" w:rsidRPr="00F14756" w14:paraId="54B40505" w14:textId="77777777" w:rsidTr="00146300">
        <w:tc>
          <w:tcPr>
            <w:tcW w:w="2350" w:type="dxa"/>
            <w:hideMark/>
          </w:tcPr>
          <w:p w14:paraId="1DBA0377" w14:textId="77777777" w:rsidR="00A83D21" w:rsidRPr="00D27FCD" w:rsidRDefault="00A83D21" w:rsidP="00D27FCD">
            <w:pPr>
              <w:spacing w:after="160" w:line="360" w:lineRule="auto"/>
            </w:pPr>
            <w:r w:rsidRPr="00D27FCD">
              <w:t>Urban consumers</w:t>
            </w:r>
          </w:p>
        </w:tc>
        <w:tc>
          <w:tcPr>
            <w:tcW w:w="3257" w:type="dxa"/>
            <w:hideMark/>
          </w:tcPr>
          <w:p w14:paraId="0423A10F" w14:textId="1D645D32" w:rsidR="00A83D21" w:rsidRPr="00D27FCD" w:rsidRDefault="00A83D21" w:rsidP="00D27FCD">
            <w:pPr>
              <w:spacing w:after="160" w:line="360" w:lineRule="auto"/>
            </w:pPr>
            <w:r w:rsidRPr="00D27FCD">
              <w:t>Yaris and Aqua</w:t>
            </w:r>
            <w:r w:rsidR="000466DB">
              <w:t xml:space="preserve">, </w:t>
            </w:r>
            <w:r w:rsidRPr="00D27FCD">
              <w:t>compact models designed for congested urban environments</w:t>
            </w:r>
          </w:p>
        </w:tc>
        <w:tc>
          <w:tcPr>
            <w:tcW w:w="0" w:type="auto"/>
            <w:hideMark/>
          </w:tcPr>
          <w:p w14:paraId="65E67219" w14:textId="3F72680D" w:rsidR="00A83D21" w:rsidRPr="00D27FCD" w:rsidRDefault="00A83D21" w:rsidP="00D27FCD">
            <w:pPr>
              <w:spacing w:after="160" w:line="360" w:lineRule="auto"/>
            </w:pPr>
            <w:r w:rsidRPr="00D27FCD">
              <w:t>Aygo X and Yaris</w:t>
            </w:r>
            <w:r w:rsidR="00D27FCD">
              <w:t xml:space="preserve">, </w:t>
            </w:r>
            <w:r w:rsidRPr="00D27FCD">
              <w:t>compact and economical models suited to urban driving</w:t>
            </w:r>
          </w:p>
        </w:tc>
      </w:tr>
      <w:tr w:rsidR="00A83D21" w:rsidRPr="00F14756" w14:paraId="618F33B3" w14:textId="77777777" w:rsidTr="00146300">
        <w:tc>
          <w:tcPr>
            <w:tcW w:w="2350" w:type="dxa"/>
            <w:hideMark/>
          </w:tcPr>
          <w:p w14:paraId="193165CA" w14:textId="77777777" w:rsidR="00A83D21" w:rsidRPr="00D27FCD" w:rsidRDefault="00A83D21" w:rsidP="00D27FCD">
            <w:pPr>
              <w:spacing w:after="160" w:line="360" w:lineRule="auto"/>
            </w:pPr>
            <w:r w:rsidRPr="00D27FCD">
              <w:t>Families</w:t>
            </w:r>
          </w:p>
        </w:tc>
        <w:tc>
          <w:tcPr>
            <w:tcW w:w="3257" w:type="dxa"/>
            <w:hideMark/>
          </w:tcPr>
          <w:p w14:paraId="171AA91D" w14:textId="4F19611A" w:rsidR="00A83D21" w:rsidRPr="00D27FCD" w:rsidRDefault="00A83D21" w:rsidP="00D27FCD">
            <w:pPr>
              <w:spacing w:after="160" w:line="360" w:lineRule="auto"/>
            </w:pPr>
            <w:r w:rsidRPr="00D27FCD">
              <w:t>Noah and Alphard</w:t>
            </w:r>
            <w:r w:rsidR="000466DB">
              <w:t xml:space="preserve">, </w:t>
            </w:r>
            <w:r w:rsidRPr="00D27FCD">
              <w:t>spacious minivans serving practical and premium family segments</w:t>
            </w:r>
          </w:p>
        </w:tc>
        <w:tc>
          <w:tcPr>
            <w:tcW w:w="0" w:type="auto"/>
            <w:hideMark/>
          </w:tcPr>
          <w:p w14:paraId="74D66FE2" w14:textId="14008691" w:rsidR="00A83D21" w:rsidRPr="00D27FCD" w:rsidRDefault="00A83D21" w:rsidP="00D27FCD">
            <w:pPr>
              <w:spacing w:after="160" w:line="360" w:lineRule="auto"/>
            </w:pPr>
            <w:r w:rsidRPr="00D27FCD">
              <w:t>Yaris Cross, C-HR and RAV4</w:t>
            </w:r>
            <w:r w:rsidR="00D27FCD">
              <w:t xml:space="preserve">, </w:t>
            </w:r>
            <w:r w:rsidRPr="00D27FCD">
              <w:t>crossovers and SUVs aligned with UK family demand</w:t>
            </w:r>
          </w:p>
        </w:tc>
      </w:tr>
      <w:tr w:rsidR="00A83D21" w:rsidRPr="00F14756" w14:paraId="5B392D63" w14:textId="77777777" w:rsidTr="00146300">
        <w:tc>
          <w:tcPr>
            <w:tcW w:w="2350" w:type="dxa"/>
            <w:hideMark/>
          </w:tcPr>
          <w:p w14:paraId="4DBF4AF2" w14:textId="77777777" w:rsidR="00A83D21" w:rsidRPr="00D27FCD" w:rsidRDefault="00A83D21" w:rsidP="00D27FCD">
            <w:pPr>
              <w:spacing w:after="160" w:line="360" w:lineRule="auto"/>
            </w:pPr>
            <w:r w:rsidRPr="00D27FCD">
              <w:t>Environmentally conscious consumers</w:t>
            </w:r>
          </w:p>
        </w:tc>
        <w:tc>
          <w:tcPr>
            <w:tcW w:w="3257" w:type="dxa"/>
            <w:hideMark/>
          </w:tcPr>
          <w:p w14:paraId="3EAAF57D" w14:textId="77777777" w:rsidR="00A83D21" w:rsidRPr="00D27FCD" w:rsidRDefault="00A83D21" w:rsidP="00D27FCD">
            <w:pPr>
              <w:spacing w:after="160" w:line="360" w:lineRule="auto"/>
            </w:pPr>
            <w:r w:rsidRPr="00D27FCD">
              <w:t>A broad range of hybrid and battery-electric vehicles (BEVs)</w:t>
            </w:r>
          </w:p>
        </w:tc>
        <w:tc>
          <w:tcPr>
            <w:tcW w:w="0" w:type="auto"/>
            <w:hideMark/>
          </w:tcPr>
          <w:p w14:paraId="3F989281" w14:textId="77777777" w:rsidR="00A83D21" w:rsidRPr="00D27FCD" w:rsidRDefault="00A83D21" w:rsidP="00D27FCD">
            <w:pPr>
              <w:spacing w:after="160" w:line="360" w:lineRule="auto"/>
            </w:pPr>
            <w:r w:rsidRPr="00D27FCD">
              <w:t>Hybrids, plug-in hybrids and a growing BEV range, supported by expanding charging infrastructure</w:t>
            </w:r>
          </w:p>
        </w:tc>
      </w:tr>
      <w:tr w:rsidR="00A83D21" w:rsidRPr="00F14756" w14:paraId="077CFD03" w14:textId="77777777" w:rsidTr="00146300">
        <w:tc>
          <w:tcPr>
            <w:tcW w:w="2350" w:type="dxa"/>
            <w:hideMark/>
          </w:tcPr>
          <w:p w14:paraId="3B8F1697" w14:textId="77777777" w:rsidR="00A83D21" w:rsidRPr="00D27FCD" w:rsidRDefault="00A83D21" w:rsidP="00D27FCD">
            <w:pPr>
              <w:spacing w:after="160" w:line="360" w:lineRule="auto"/>
            </w:pPr>
            <w:r w:rsidRPr="00D27FCD">
              <w:lastRenderedPageBreak/>
              <w:t>Performance enthusiasts</w:t>
            </w:r>
          </w:p>
        </w:tc>
        <w:tc>
          <w:tcPr>
            <w:tcW w:w="3257" w:type="dxa"/>
            <w:hideMark/>
          </w:tcPr>
          <w:p w14:paraId="7B6280B5" w14:textId="77777777" w:rsidR="00A83D21" w:rsidRPr="00D27FCD" w:rsidRDefault="00A83D21" w:rsidP="00D27FCD">
            <w:pPr>
              <w:spacing w:after="160" w:line="360" w:lineRule="auto"/>
            </w:pPr>
            <w:r w:rsidRPr="00D27FCD">
              <w:t>GR performance models</w:t>
            </w:r>
          </w:p>
        </w:tc>
        <w:tc>
          <w:tcPr>
            <w:tcW w:w="0" w:type="auto"/>
            <w:hideMark/>
          </w:tcPr>
          <w:p w14:paraId="0CF0A880" w14:textId="77777777" w:rsidR="00A83D21" w:rsidRPr="00D27FCD" w:rsidRDefault="00A83D21" w:rsidP="00D27FCD">
            <w:pPr>
              <w:spacing w:after="160" w:line="360" w:lineRule="auto"/>
            </w:pPr>
            <w:r w:rsidRPr="00D27FCD">
              <w:t>Less prominent as a core target segment</w:t>
            </w:r>
          </w:p>
        </w:tc>
      </w:tr>
      <w:tr w:rsidR="00A83D21" w:rsidRPr="00F14756" w14:paraId="3F489986" w14:textId="77777777" w:rsidTr="00146300">
        <w:tc>
          <w:tcPr>
            <w:tcW w:w="2350" w:type="dxa"/>
            <w:hideMark/>
          </w:tcPr>
          <w:p w14:paraId="61030CA4" w14:textId="77777777" w:rsidR="00A83D21" w:rsidRPr="00D27FCD" w:rsidRDefault="00A83D21" w:rsidP="00D27FCD">
            <w:pPr>
              <w:spacing w:after="160" w:line="360" w:lineRule="auto"/>
            </w:pPr>
            <w:r w:rsidRPr="00D27FCD">
              <w:t>Older and mobility-impaired consumers</w:t>
            </w:r>
          </w:p>
        </w:tc>
        <w:tc>
          <w:tcPr>
            <w:tcW w:w="3257" w:type="dxa"/>
            <w:hideMark/>
          </w:tcPr>
          <w:p w14:paraId="79803645" w14:textId="77777777" w:rsidR="00C5030F" w:rsidRPr="00C5030F" w:rsidRDefault="00A83D21" w:rsidP="00C5030F">
            <w:pPr>
              <w:spacing w:line="360" w:lineRule="auto"/>
            </w:pPr>
            <w:proofErr w:type="spellStart"/>
            <w:r w:rsidRPr="00D27FCD">
              <w:t>Welcab</w:t>
            </w:r>
            <w:proofErr w:type="spellEnd"/>
            <w:r w:rsidRPr="00D27FCD">
              <w:t xml:space="preserve"> welfare-adapted vehicles, reflecting Japan’s ageing population</w:t>
            </w:r>
            <w:r w:rsidR="00C5030F">
              <w:t xml:space="preserve">. </w:t>
            </w:r>
            <w:r w:rsidR="00C5030F" w:rsidRPr="00C5030F">
              <w:t>(TOYOTA MOTOR CORPORATION, 2020)</w:t>
            </w:r>
          </w:p>
          <w:p w14:paraId="4D08E464" w14:textId="46AEDBB8" w:rsidR="00A83D21" w:rsidRPr="00C5030F" w:rsidRDefault="00A83D21" w:rsidP="00D27FCD">
            <w:pPr>
              <w:spacing w:after="160" w:line="360" w:lineRule="auto"/>
              <w:rPr>
                <w:b/>
                <w:bCs/>
              </w:rPr>
            </w:pPr>
          </w:p>
        </w:tc>
        <w:tc>
          <w:tcPr>
            <w:tcW w:w="0" w:type="auto"/>
            <w:hideMark/>
          </w:tcPr>
          <w:p w14:paraId="692EB0FC" w14:textId="77777777" w:rsidR="00A83D21" w:rsidRPr="00D27FCD" w:rsidRDefault="00A83D21" w:rsidP="00D27FCD">
            <w:pPr>
              <w:spacing w:after="160" w:line="360" w:lineRule="auto"/>
            </w:pPr>
            <w:r w:rsidRPr="00D27FCD">
              <w:t>Less prominent as a distinct product segment</w:t>
            </w:r>
          </w:p>
        </w:tc>
      </w:tr>
      <w:tr w:rsidR="00A83D21" w:rsidRPr="00F14756" w14:paraId="531ADB4C" w14:textId="77777777" w:rsidTr="00146300">
        <w:tc>
          <w:tcPr>
            <w:tcW w:w="2350" w:type="dxa"/>
            <w:hideMark/>
          </w:tcPr>
          <w:p w14:paraId="5F368BAF" w14:textId="77777777" w:rsidR="00A83D21" w:rsidRPr="00D27FCD" w:rsidRDefault="00A83D21" w:rsidP="00D27FCD">
            <w:pPr>
              <w:spacing w:after="160" w:line="360" w:lineRule="auto"/>
            </w:pPr>
            <w:r w:rsidRPr="00D27FCD">
              <w:t>Business users</w:t>
            </w:r>
          </w:p>
        </w:tc>
        <w:tc>
          <w:tcPr>
            <w:tcW w:w="3257" w:type="dxa"/>
            <w:hideMark/>
          </w:tcPr>
          <w:p w14:paraId="4A99A8E4" w14:textId="77777777" w:rsidR="00A83D21" w:rsidRPr="00D27FCD" w:rsidRDefault="00A83D21" w:rsidP="00D27FCD">
            <w:pPr>
              <w:spacing w:after="160" w:line="360" w:lineRule="auto"/>
            </w:pPr>
            <w:r w:rsidRPr="00D27FCD">
              <w:t>Not identified as a principal segment in this comparison</w:t>
            </w:r>
          </w:p>
        </w:tc>
        <w:tc>
          <w:tcPr>
            <w:tcW w:w="0" w:type="auto"/>
            <w:hideMark/>
          </w:tcPr>
          <w:p w14:paraId="03F11763" w14:textId="77777777" w:rsidR="00A83D21" w:rsidRPr="00D27FCD" w:rsidRDefault="00A83D21" w:rsidP="00D27FCD">
            <w:pPr>
              <w:spacing w:after="160" w:line="360" w:lineRule="auto"/>
            </w:pPr>
            <w:r w:rsidRPr="00D27FCD">
              <w:t>Fleet and commercial vehicles targeted at business customers</w:t>
            </w:r>
          </w:p>
        </w:tc>
      </w:tr>
    </w:tbl>
    <w:p w14:paraId="1CB88B8F" w14:textId="77777777" w:rsidR="00177DDE" w:rsidRDefault="00177DDE" w:rsidP="00EF0B80">
      <w:pPr>
        <w:spacing w:line="360" w:lineRule="auto"/>
        <w:jc w:val="both"/>
        <w:rPr>
          <w:b/>
          <w:bCs/>
          <w:color w:val="EE0000"/>
        </w:rPr>
      </w:pPr>
    </w:p>
    <w:p w14:paraId="7EA22C66" w14:textId="45A66869" w:rsidR="00177DDE" w:rsidRDefault="00177DDE" w:rsidP="00EF0B80">
      <w:pPr>
        <w:spacing w:line="360" w:lineRule="auto"/>
        <w:jc w:val="both"/>
      </w:pPr>
      <w:r w:rsidRPr="00177DDE">
        <w:rPr>
          <w:b/>
          <w:bCs/>
          <w:color w:val="EE0000"/>
        </w:rPr>
        <w:t> </w:t>
      </w:r>
      <w:r w:rsidRPr="00177DDE">
        <w:t>The UK range is significantly more concentrated, with a pronounced focus on crossovers, fleet customers, and electrification. In contrast, the Japanese market's demand for large minivans and welfare vehicles, designed to address the nation's ageing demographics and dense urban environments, is largely absent from the UK portfolio, highlighting a fundamental adaptation to local needs and regulation.</w:t>
      </w:r>
    </w:p>
    <w:p w14:paraId="05992B4E" w14:textId="71E79C48" w:rsidR="0070579B" w:rsidRDefault="004B26B9" w:rsidP="0070579B">
      <w:pPr>
        <w:spacing w:line="360" w:lineRule="auto"/>
        <w:jc w:val="both"/>
      </w:pPr>
      <w:r w:rsidRPr="004B26B9">
        <w:t xml:space="preserve">Toyota is positioned as a mass-market brand that is dependable, technologically advanced, and environmentally conscious in both nations. But according to Hofstede's cultural dimensions (Hofstede, Hofstede, and Minkov, 2010), cultural factors cause the nuance of this positioning to diverge sharply: </w:t>
      </w:r>
      <w:r w:rsidRPr="004B26B9">
        <w:br/>
      </w:r>
      <w:r w:rsidRPr="004B26B9">
        <w:br/>
        <w:t xml:space="preserve">Japan (High Uncertainty Avoidance, Long-Term Orientation): Domestic engineering, product variety, safety, and long-term ownership are given more weight in this positioning. Appealing to a consumer base that values consistency, security, and a strong faith in the brand's history and technical capabilities, the message is one of informational reassurance. This is indicative of Japan's greater long-term orientation and avoidance of uncertainty, where customers look for thorough justifications and professional advice </w:t>
      </w:r>
      <w:r w:rsidRPr="004B26B9">
        <w:lastRenderedPageBreak/>
        <w:t xml:space="preserve">before making a purchase. </w:t>
      </w:r>
      <w:r w:rsidRPr="004B26B9">
        <w:br/>
      </w:r>
      <w:r w:rsidRPr="004B26B9">
        <w:br/>
        <w:t>United Kingdom (Higher Individualism): The positioning places a greater emphasis on low-risk ownership, affordability, warranty protection, and electrified choice. The communication is more lifestyle-focused and appeals to individualistic customers who value choice, personal advantages, and a feeling of modernity or adventure. Emotional and personalised communication is more appropriate because British consumers are typically more individualistic and receptive to lifestyle benefits (Hofstede, Hofstede, and Minkov, 2010).</w:t>
      </w:r>
    </w:p>
    <w:p w14:paraId="08364B20" w14:textId="77777777" w:rsidR="002055F1" w:rsidRPr="004B26B9" w:rsidRDefault="002055F1" w:rsidP="0070579B">
      <w:pPr>
        <w:spacing w:line="360" w:lineRule="auto"/>
        <w:jc w:val="both"/>
      </w:pPr>
    </w:p>
    <w:p w14:paraId="4EFE1C86" w14:textId="14C9C570" w:rsidR="0070579B" w:rsidRPr="00767FAE" w:rsidRDefault="0070579B" w:rsidP="004B26B9">
      <w:pPr>
        <w:spacing w:line="360" w:lineRule="auto"/>
        <w:jc w:val="both"/>
        <w:rPr>
          <w:b/>
          <w:bCs/>
        </w:rPr>
      </w:pPr>
      <w:r w:rsidRPr="0070579B">
        <w:rPr>
          <w:b/>
          <w:bCs/>
        </w:rPr>
        <w:t>4.2 Comparative 7Ps: A Detailed Deconstruction</w:t>
      </w:r>
    </w:p>
    <w:tbl>
      <w:tblPr>
        <w:tblpPr w:leftFromText="180" w:rightFromText="180" w:vertAnchor="text" w:horzAnchor="margin" w:tblpXSpec="center" w:tblpY="293"/>
        <w:tblW w:w="10773" w:type="dxa"/>
        <w:shd w:val="clear" w:color="auto" w:fill="FFFFFF"/>
        <w:tblCellMar>
          <w:top w:w="15" w:type="dxa"/>
          <w:left w:w="15" w:type="dxa"/>
          <w:bottom w:w="15" w:type="dxa"/>
          <w:right w:w="15" w:type="dxa"/>
        </w:tblCellMar>
        <w:tblLook w:val="04A0" w:firstRow="1" w:lastRow="0" w:firstColumn="1" w:lastColumn="0" w:noHBand="0" w:noVBand="1"/>
      </w:tblPr>
      <w:tblGrid>
        <w:gridCol w:w="1384"/>
        <w:gridCol w:w="3418"/>
        <w:gridCol w:w="2569"/>
        <w:gridCol w:w="3402"/>
      </w:tblGrid>
      <w:tr w:rsidR="00146300" w:rsidRPr="00146300" w14:paraId="02FEFFC3" w14:textId="77777777" w:rsidTr="002055F1">
        <w:trPr>
          <w:tblHeader/>
        </w:trPr>
        <w:tc>
          <w:tcPr>
            <w:tcW w:w="1384" w:type="dxa"/>
            <w:tcBorders>
              <w:top w:val="nil"/>
            </w:tcBorders>
            <w:shd w:val="clear" w:color="auto" w:fill="FFFFFF"/>
            <w:tcMar>
              <w:top w:w="150" w:type="dxa"/>
              <w:left w:w="0" w:type="dxa"/>
              <w:bottom w:w="150" w:type="dxa"/>
              <w:right w:w="240" w:type="dxa"/>
            </w:tcMar>
            <w:vAlign w:val="center"/>
            <w:hideMark/>
          </w:tcPr>
          <w:p w14:paraId="4230FE7F" w14:textId="77777777" w:rsidR="00146300" w:rsidRPr="00146300" w:rsidRDefault="00146300" w:rsidP="00146300">
            <w:pPr>
              <w:spacing w:line="360" w:lineRule="auto"/>
            </w:pPr>
            <w:r w:rsidRPr="00146300">
              <w:t>Element</w:t>
            </w:r>
          </w:p>
        </w:tc>
        <w:tc>
          <w:tcPr>
            <w:tcW w:w="3418" w:type="dxa"/>
            <w:tcBorders>
              <w:top w:val="nil"/>
            </w:tcBorders>
            <w:shd w:val="clear" w:color="auto" w:fill="FFFFFF"/>
            <w:tcMar>
              <w:top w:w="150" w:type="dxa"/>
              <w:left w:w="240" w:type="dxa"/>
              <w:bottom w:w="150" w:type="dxa"/>
              <w:right w:w="240" w:type="dxa"/>
            </w:tcMar>
            <w:vAlign w:val="center"/>
            <w:hideMark/>
          </w:tcPr>
          <w:p w14:paraId="6CA020C8" w14:textId="77777777" w:rsidR="00146300" w:rsidRPr="00146300" w:rsidRDefault="00146300" w:rsidP="00146300">
            <w:pPr>
              <w:spacing w:line="360" w:lineRule="auto"/>
            </w:pPr>
            <w:r w:rsidRPr="00146300">
              <w:t>Japan</w:t>
            </w:r>
          </w:p>
        </w:tc>
        <w:tc>
          <w:tcPr>
            <w:tcW w:w="2569" w:type="dxa"/>
            <w:tcBorders>
              <w:top w:val="nil"/>
            </w:tcBorders>
            <w:shd w:val="clear" w:color="auto" w:fill="FFFFFF"/>
            <w:tcMar>
              <w:top w:w="150" w:type="dxa"/>
              <w:left w:w="240" w:type="dxa"/>
              <w:bottom w:w="150" w:type="dxa"/>
              <w:right w:w="240" w:type="dxa"/>
            </w:tcMar>
            <w:vAlign w:val="center"/>
            <w:hideMark/>
          </w:tcPr>
          <w:p w14:paraId="56167FE8" w14:textId="77777777" w:rsidR="00146300" w:rsidRPr="00146300" w:rsidRDefault="00146300" w:rsidP="00146300">
            <w:pPr>
              <w:spacing w:line="360" w:lineRule="auto"/>
            </w:pPr>
            <w:r w:rsidRPr="00146300">
              <w:t>United Kingdom</w:t>
            </w:r>
          </w:p>
        </w:tc>
        <w:tc>
          <w:tcPr>
            <w:tcW w:w="3402" w:type="dxa"/>
            <w:tcBorders>
              <w:top w:val="nil"/>
            </w:tcBorders>
            <w:shd w:val="clear" w:color="auto" w:fill="FFFFFF"/>
            <w:tcMar>
              <w:top w:w="150" w:type="dxa"/>
              <w:left w:w="240" w:type="dxa"/>
              <w:bottom w:w="150" w:type="dxa"/>
              <w:right w:w="240" w:type="dxa"/>
            </w:tcMar>
            <w:vAlign w:val="center"/>
            <w:hideMark/>
          </w:tcPr>
          <w:p w14:paraId="3835CCCF" w14:textId="77777777" w:rsidR="00146300" w:rsidRPr="00146300" w:rsidRDefault="00146300" w:rsidP="00146300">
            <w:pPr>
              <w:spacing w:line="360" w:lineRule="auto"/>
            </w:pPr>
            <w:r w:rsidRPr="00146300">
              <w:t>Critical Comparison &amp; Theoretical Insight</w:t>
            </w:r>
          </w:p>
        </w:tc>
      </w:tr>
      <w:tr w:rsidR="00146300" w:rsidRPr="00146300" w14:paraId="1064B784" w14:textId="77777777" w:rsidTr="002055F1">
        <w:tc>
          <w:tcPr>
            <w:tcW w:w="1384" w:type="dxa"/>
            <w:shd w:val="clear" w:color="auto" w:fill="FFFFFF"/>
            <w:tcMar>
              <w:top w:w="150" w:type="dxa"/>
              <w:left w:w="0" w:type="dxa"/>
              <w:bottom w:w="150" w:type="dxa"/>
              <w:right w:w="240" w:type="dxa"/>
            </w:tcMar>
            <w:vAlign w:val="center"/>
            <w:hideMark/>
          </w:tcPr>
          <w:p w14:paraId="0BA69829" w14:textId="77777777" w:rsidR="00146300" w:rsidRPr="00146300" w:rsidRDefault="00146300" w:rsidP="00146300">
            <w:pPr>
              <w:spacing w:line="360" w:lineRule="auto"/>
            </w:pPr>
            <w:r w:rsidRPr="00146300">
              <w:rPr>
                <w:b/>
                <w:bCs/>
              </w:rPr>
              <w:t>Product</w:t>
            </w:r>
          </w:p>
        </w:tc>
        <w:tc>
          <w:tcPr>
            <w:tcW w:w="3418" w:type="dxa"/>
            <w:shd w:val="clear" w:color="auto" w:fill="FFFFFF"/>
            <w:tcMar>
              <w:top w:w="150" w:type="dxa"/>
              <w:left w:w="240" w:type="dxa"/>
              <w:bottom w:w="150" w:type="dxa"/>
              <w:right w:w="240" w:type="dxa"/>
            </w:tcMar>
            <w:vAlign w:val="center"/>
            <w:hideMark/>
          </w:tcPr>
          <w:p w14:paraId="112818D8" w14:textId="77777777" w:rsidR="00146300" w:rsidRPr="00146300" w:rsidRDefault="00146300" w:rsidP="00146300">
            <w:pPr>
              <w:spacing w:line="360" w:lineRule="auto"/>
            </w:pPr>
            <w:r w:rsidRPr="00146300">
              <w:t>A broad, locally adapted range includes compact cars, saloons, minivans, luxury people carriers, hybrids, BEVs, and welfare vehicles (</w:t>
            </w:r>
            <w:proofErr w:type="spellStart"/>
            <w:r w:rsidRPr="00146300">
              <w:t>Welcab</w:t>
            </w:r>
            <w:proofErr w:type="spellEnd"/>
            <w:r w:rsidRPr="00146300">
              <w:t>).</w:t>
            </w:r>
          </w:p>
        </w:tc>
        <w:tc>
          <w:tcPr>
            <w:tcW w:w="2569" w:type="dxa"/>
            <w:shd w:val="clear" w:color="auto" w:fill="FFFFFF"/>
            <w:tcMar>
              <w:top w:w="150" w:type="dxa"/>
              <w:left w:w="240" w:type="dxa"/>
              <w:bottom w:w="150" w:type="dxa"/>
              <w:right w:w="240" w:type="dxa"/>
            </w:tcMar>
            <w:vAlign w:val="center"/>
            <w:hideMark/>
          </w:tcPr>
          <w:p w14:paraId="4A4DC690" w14:textId="77777777" w:rsidR="00146300" w:rsidRPr="00146300" w:rsidRDefault="00146300" w:rsidP="00146300">
            <w:pPr>
              <w:spacing w:line="360" w:lineRule="auto"/>
            </w:pPr>
            <w:r w:rsidRPr="00146300">
              <w:t>The range concentrates on compact cars, crossovers, SUVs, hybrids, commercial vehicles, and a growing BEV portfolio.</w:t>
            </w:r>
          </w:p>
        </w:tc>
        <w:tc>
          <w:tcPr>
            <w:tcW w:w="3402" w:type="dxa"/>
            <w:shd w:val="clear" w:color="auto" w:fill="FFFFFF"/>
            <w:tcMar>
              <w:top w:w="150" w:type="dxa"/>
              <w:left w:w="240" w:type="dxa"/>
              <w:bottom w:w="150" w:type="dxa"/>
              <w:right w:w="0" w:type="dxa"/>
            </w:tcMar>
            <w:vAlign w:val="center"/>
            <w:hideMark/>
          </w:tcPr>
          <w:p w14:paraId="24C7646F" w14:textId="60A16763" w:rsidR="00146300" w:rsidRPr="00146300" w:rsidRDefault="00146300" w:rsidP="00146300">
            <w:pPr>
              <w:spacing w:line="360" w:lineRule="auto"/>
            </w:pPr>
            <w:r w:rsidRPr="00146300">
              <w:rPr>
                <w:b/>
                <w:bCs/>
              </w:rPr>
              <w:t>Adaptation is paramount.</w:t>
            </w:r>
            <w:r w:rsidRPr="00146300">
              <w:t xml:space="preserve"> Product strategy responds to environmental and demographic factors (Toyota Motor Corporation, 2023; Toyota UK, 2026). UK portfolio reflects European preferences for crossovers and regulatory pressure for zero-emission vehicles. Japanese portfolio is uniquely shaped by the country's </w:t>
            </w:r>
            <w:r w:rsidRPr="00146300">
              <w:lastRenderedPageBreak/>
              <w:t>ageing population (29% aged 65+) and dense urban environments, necessitating vehicles like the Alphard minivan and welfare-adapted cars.</w:t>
            </w:r>
          </w:p>
        </w:tc>
      </w:tr>
      <w:tr w:rsidR="00146300" w:rsidRPr="00146300" w14:paraId="3221A3F4" w14:textId="77777777" w:rsidTr="002055F1">
        <w:tc>
          <w:tcPr>
            <w:tcW w:w="1384" w:type="dxa"/>
            <w:shd w:val="clear" w:color="auto" w:fill="FFFFFF"/>
            <w:tcMar>
              <w:top w:w="150" w:type="dxa"/>
              <w:left w:w="0" w:type="dxa"/>
              <w:bottom w:w="150" w:type="dxa"/>
              <w:right w:w="240" w:type="dxa"/>
            </w:tcMar>
            <w:vAlign w:val="center"/>
            <w:hideMark/>
          </w:tcPr>
          <w:p w14:paraId="02E0F77B" w14:textId="77777777" w:rsidR="00146300" w:rsidRPr="00146300" w:rsidRDefault="00146300" w:rsidP="00146300">
            <w:pPr>
              <w:spacing w:line="360" w:lineRule="auto"/>
            </w:pPr>
            <w:r w:rsidRPr="00146300">
              <w:rPr>
                <w:b/>
                <w:bCs/>
              </w:rPr>
              <w:lastRenderedPageBreak/>
              <w:t>Price</w:t>
            </w:r>
          </w:p>
        </w:tc>
        <w:tc>
          <w:tcPr>
            <w:tcW w:w="3418" w:type="dxa"/>
            <w:shd w:val="clear" w:color="auto" w:fill="FFFFFF"/>
            <w:tcMar>
              <w:top w:w="150" w:type="dxa"/>
              <w:left w:w="240" w:type="dxa"/>
              <w:bottom w:w="150" w:type="dxa"/>
              <w:right w:w="240" w:type="dxa"/>
            </w:tcMar>
            <w:vAlign w:val="center"/>
            <w:hideMark/>
          </w:tcPr>
          <w:p w14:paraId="0B82E9D3" w14:textId="77777777" w:rsidR="00146300" w:rsidRPr="00146300" w:rsidRDefault="00146300" w:rsidP="00146300">
            <w:pPr>
              <w:spacing w:line="360" w:lineRule="auto"/>
            </w:pPr>
            <w:r w:rsidRPr="00146300">
              <w:t>Uses model grades, conventional finance, and </w:t>
            </w:r>
            <w:r w:rsidRPr="00146300">
              <w:rPr>
                <w:b/>
                <w:bCs/>
              </w:rPr>
              <w:t>KINTO subscriptions</w:t>
            </w:r>
            <w:r w:rsidRPr="00146300">
              <w:t> combining vehicle, insurance, taxation, and maintenance into one monthly payment (Toyota Japan, 2026b). KINTO had 55,000 cumulative applicants by December 2022 (40% aged 20–30).</w:t>
            </w:r>
          </w:p>
        </w:tc>
        <w:tc>
          <w:tcPr>
            <w:tcW w:w="2569" w:type="dxa"/>
            <w:shd w:val="clear" w:color="auto" w:fill="FFFFFF"/>
            <w:tcMar>
              <w:top w:w="150" w:type="dxa"/>
              <w:left w:w="240" w:type="dxa"/>
              <w:bottom w:w="150" w:type="dxa"/>
              <w:right w:w="240" w:type="dxa"/>
            </w:tcMar>
            <w:vAlign w:val="center"/>
            <w:hideMark/>
          </w:tcPr>
          <w:p w14:paraId="385109B7" w14:textId="4F5FFC67" w:rsidR="00146300" w:rsidRPr="00146300" w:rsidRDefault="00146300" w:rsidP="00146300">
            <w:pPr>
              <w:spacing w:line="360" w:lineRule="auto"/>
            </w:pPr>
            <w:r w:rsidRPr="00146300">
              <w:t>Cash prices supported by </w:t>
            </w:r>
            <w:r w:rsidRPr="00146300">
              <w:rPr>
                <w:b/>
                <w:bCs/>
              </w:rPr>
              <w:t>PCP, PCH, hire purchase, business leasing, and promotional savings</w:t>
            </w:r>
            <w:r w:rsidRPr="00146300">
              <w:t> (Toyota UK, 2026). Toyota Electrified Savings offer up to £3,750 on new cars.</w:t>
            </w:r>
          </w:p>
        </w:tc>
        <w:tc>
          <w:tcPr>
            <w:tcW w:w="3402" w:type="dxa"/>
            <w:shd w:val="clear" w:color="auto" w:fill="FFFFFF"/>
            <w:tcMar>
              <w:top w:w="150" w:type="dxa"/>
              <w:left w:w="240" w:type="dxa"/>
              <w:bottom w:w="150" w:type="dxa"/>
              <w:right w:w="0" w:type="dxa"/>
            </w:tcMar>
            <w:vAlign w:val="center"/>
            <w:hideMark/>
          </w:tcPr>
          <w:p w14:paraId="17EE7595" w14:textId="77777777" w:rsidR="00146300" w:rsidRPr="00146300" w:rsidRDefault="00146300" w:rsidP="00146300">
            <w:pPr>
              <w:spacing w:line="360" w:lineRule="auto"/>
            </w:pPr>
            <w:r w:rsidRPr="00146300">
              <w:t>Both markets reduce financial risk of ownership through different mechanisms. KINTO's all-inclusive structure suits Japanese preference for </w:t>
            </w:r>
            <w:r w:rsidRPr="00146300">
              <w:rPr>
                <w:b/>
                <w:bCs/>
              </w:rPr>
              <w:t>predictability and simplicity</w:t>
            </w:r>
            <w:r w:rsidRPr="00146300">
              <w:t>, aligning with high uncertainty avoidance. UK's finance options address </w:t>
            </w:r>
            <w:r w:rsidRPr="00146300">
              <w:rPr>
                <w:b/>
                <w:bCs/>
              </w:rPr>
              <w:t>economic pressures and high vehicle prices</w:t>
            </w:r>
            <w:r w:rsidRPr="00146300">
              <w:t> via monthly affordability and flexibility, catering to more individualistic consumers.</w:t>
            </w:r>
          </w:p>
        </w:tc>
      </w:tr>
      <w:tr w:rsidR="00146300" w:rsidRPr="00146300" w14:paraId="54E0A55A" w14:textId="77777777" w:rsidTr="002055F1">
        <w:tc>
          <w:tcPr>
            <w:tcW w:w="1384" w:type="dxa"/>
            <w:shd w:val="clear" w:color="auto" w:fill="FFFFFF"/>
            <w:tcMar>
              <w:top w:w="150" w:type="dxa"/>
              <w:left w:w="0" w:type="dxa"/>
              <w:bottom w:w="150" w:type="dxa"/>
              <w:right w:w="240" w:type="dxa"/>
            </w:tcMar>
            <w:vAlign w:val="center"/>
            <w:hideMark/>
          </w:tcPr>
          <w:p w14:paraId="4F9BA4C7" w14:textId="77777777" w:rsidR="00146300" w:rsidRPr="00146300" w:rsidRDefault="00146300" w:rsidP="00146300">
            <w:pPr>
              <w:spacing w:line="360" w:lineRule="auto"/>
            </w:pPr>
            <w:r w:rsidRPr="00146300">
              <w:rPr>
                <w:b/>
                <w:bCs/>
              </w:rPr>
              <w:t>Place</w:t>
            </w:r>
          </w:p>
        </w:tc>
        <w:tc>
          <w:tcPr>
            <w:tcW w:w="3418" w:type="dxa"/>
            <w:shd w:val="clear" w:color="auto" w:fill="FFFFFF"/>
            <w:tcMar>
              <w:top w:w="150" w:type="dxa"/>
              <w:left w:w="240" w:type="dxa"/>
              <w:bottom w:w="150" w:type="dxa"/>
              <w:right w:w="240" w:type="dxa"/>
            </w:tcMar>
            <w:vAlign w:val="center"/>
            <w:hideMark/>
          </w:tcPr>
          <w:p w14:paraId="210D37AB" w14:textId="77777777" w:rsidR="00146300" w:rsidRPr="00146300" w:rsidRDefault="00146300" w:rsidP="00146300">
            <w:pPr>
              <w:spacing w:line="360" w:lineRule="auto"/>
            </w:pPr>
            <w:r w:rsidRPr="00146300">
              <w:t>Distributed through domestic dealer network, supported by </w:t>
            </w:r>
            <w:r w:rsidRPr="00146300">
              <w:rPr>
                <w:b/>
                <w:bCs/>
              </w:rPr>
              <w:t xml:space="preserve">My Toyota </w:t>
            </w:r>
            <w:r w:rsidRPr="00146300">
              <w:rPr>
                <w:b/>
                <w:bCs/>
              </w:rPr>
              <w:lastRenderedPageBreak/>
              <w:t>and KINTO digital services</w:t>
            </w:r>
            <w:r w:rsidRPr="00146300">
              <w:t> (Toyota Japan, 2026a).</w:t>
            </w:r>
          </w:p>
        </w:tc>
        <w:tc>
          <w:tcPr>
            <w:tcW w:w="2569" w:type="dxa"/>
            <w:shd w:val="clear" w:color="auto" w:fill="FFFFFF"/>
            <w:tcMar>
              <w:top w:w="150" w:type="dxa"/>
              <w:left w:w="240" w:type="dxa"/>
              <w:bottom w:w="150" w:type="dxa"/>
              <w:right w:w="240" w:type="dxa"/>
            </w:tcMar>
            <w:vAlign w:val="center"/>
            <w:hideMark/>
          </w:tcPr>
          <w:p w14:paraId="131D58A4" w14:textId="77777777" w:rsidR="00146300" w:rsidRPr="00146300" w:rsidRDefault="00146300" w:rsidP="00146300">
            <w:pPr>
              <w:spacing w:line="360" w:lineRule="auto"/>
            </w:pPr>
            <w:r w:rsidRPr="00146300">
              <w:lastRenderedPageBreak/>
              <w:t>Combines authorised centres, </w:t>
            </w:r>
            <w:r w:rsidRPr="00146300">
              <w:rPr>
                <w:b/>
                <w:bCs/>
              </w:rPr>
              <w:t xml:space="preserve">online </w:t>
            </w:r>
            <w:r w:rsidRPr="00146300">
              <w:rPr>
                <w:b/>
                <w:bCs/>
              </w:rPr>
              <w:lastRenderedPageBreak/>
              <w:t>vehicle searches, digital configuration, fleet channels</w:t>
            </w:r>
            <w:r w:rsidRPr="00146300">
              <w:t>, and </w:t>
            </w:r>
            <w:r w:rsidRPr="00146300">
              <w:rPr>
                <w:b/>
                <w:bCs/>
              </w:rPr>
              <w:t xml:space="preserve">local production at </w:t>
            </w:r>
            <w:proofErr w:type="spellStart"/>
            <w:r w:rsidRPr="00146300">
              <w:rPr>
                <w:b/>
                <w:bCs/>
              </w:rPr>
              <w:t>Burnaston</w:t>
            </w:r>
            <w:proofErr w:type="spellEnd"/>
            <w:r w:rsidRPr="00146300">
              <w:t xml:space="preserve"> (Toyota Motor Manufacturing UK, 2026). </w:t>
            </w:r>
            <w:proofErr w:type="spellStart"/>
            <w:r w:rsidRPr="00146300">
              <w:t>Burnaston</w:t>
            </w:r>
            <w:proofErr w:type="spellEnd"/>
            <w:r w:rsidRPr="00146300">
              <w:t xml:space="preserve"> now produces GR models previously built in Japan.</w:t>
            </w:r>
          </w:p>
        </w:tc>
        <w:tc>
          <w:tcPr>
            <w:tcW w:w="3402" w:type="dxa"/>
            <w:shd w:val="clear" w:color="auto" w:fill="FFFFFF"/>
            <w:tcMar>
              <w:top w:w="150" w:type="dxa"/>
              <w:left w:w="240" w:type="dxa"/>
              <w:bottom w:w="150" w:type="dxa"/>
              <w:right w:w="0" w:type="dxa"/>
            </w:tcMar>
            <w:vAlign w:val="center"/>
            <w:hideMark/>
          </w:tcPr>
          <w:p w14:paraId="67DE43EC" w14:textId="77777777" w:rsidR="00146300" w:rsidRPr="00146300" w:rsidRDefault="00146300" w:rsidP="00146300">
            <w:pPr>
              <w:spacing w:line="360" w:lineRule="auto"/>
            </w:pPr>
            <w:r w:rsidRPr="00146300">
              <w:lastRenderedPageBreak/>
              <w:t>UK adopts more integrated </w:t>
            </w:r>
            <w:r w:rsidRPr="00146300">
              <w:rPr>
                <w:b/>
                <w:bCs/>
              </w:rPr>
              <w:t>online–offline system</w:t>
            </w:r>
            <w:r w:rsidRPr="00146300">
              <w:t xml:space="preserve">, reflecting consumer </w:t>
            </w:r>
            <w:r w:rsidRPr="00146300">
              <w:lastRenderedPageBreak/>
              <w:t>expectations for digital convenience. Japan retains stronger dealer involvement to support need for expert guidance. UK </w:t>
            </w:r>
            <w:r w:rsidRPr="00146300">
              <w:rPr>
                <w:b/>
                <w:bCs/>
              </w:rPr>
              <w:t>local manufacturing</w:t>
            </w:r>
            <w:r w:rsidRPr="00146300">
              <w:t> improves availability and reinforces commitment to the market, mitigating perceptions of being a foreign entity.</w:t>
            </w:r>
          </w:p>
        </w:tc>
      </w:tr>
      <w:tr w:rsidR="00146300" w:rsidRPr="00146300" w14:paraId="0E4D5AA8" w14:textId="77777777" w:rsidTr="002055F1">
        <w:tc>
          <w:tcPr>
            <w:tcW w:w="1384" w:type="dxa"/>
            <w:shd w:val="clear" w:color="auto" w:fill="FFFFFF"/>
            <w:tcMar>
              <w:top w:w="150" w:type="dxa"/>
              <w:left w:w="0" w:type="dxa"/>
              <w:bottom w:w="150" w:type="dxa"/>
              <w:right w:w="240" w:type="dxa"/>
            </w:tcMar>
            <w:vAlign w:val="center"/>
            <w:hideMark/>
          </w:tcPr>
          <w:p w14:paraId="493447C2" w14:textId="77777777" w:rsidR="00146300" w:rsidRPr="00146300" w:rsidRDefault="00146300" w:rsidP="00146300">
            <w:pPr>
              <w:spacing w:line="360" w:lineRule="auto"/>
            </w:pPr>
            <w:r w:rsidRPr="00146300">
              <w:rPr>
                <w:b/>
                <w:bCs/>
              </w:rPr>
              <w:lastRenderedPageBreak/>
              <w:t>Promotion</w:t>
            </w:r>
          </w:p>
        </w:tc>
        <w:tc>
          <w:tcPr>
            <w:tcW w:w="3418" w:type="dxa"/>
            <w:shd w:val="clear" w:color="auto" w:fill="FFFFFF"/>
            <w:tcMar>
              <w:top w:w="150" w:type="dxa"/>
              <w:left w:w="240" w:type="dxa"/>
              <w:bottom w:w="150" w:type="dxa"/>
              <w:right w:w="240" w:type="dxa"/>
            </w:tcMar>
            <w:vAlign w:val="center"/>
            <w:hideMark/>
          </w:tcPr>
          <w:p w14:paraId="75B1C40D" w14:textId="77777777" w:rsidR="00146300" w:rsidRPr="00146300" w:rsidRDefault="00146300" w:rsidP="00146300">
            <w:pPr>
              <w:spacing w:line="360" w:lineRule="auto"/>
            </w:pPr>
            <w:r w:rsidRPr="00146300">
              <w:t>Communications emphasise </w:t>
            </w:r>
            <w:r w:rsidRPr="00146300">
              <w:rPr>
                <w:b/>
                <w:bCs/>
              </w:rPr>
              <w:t>engineering, safety, reliability, technological development, and socially inclusive mobility</w:t>
            </w:r>
            <w:r w:rsidRPr="00146300">
              <w:t> (Toyota Motor Corporation, 2017).</w:t>
            </w:r>
          </w:p>
        </w:tc>
        <w:tc>
          <w:tcPr>
            <w:tcW w:w="2569" w:type="dxa"/>
            <w:shd w:val="clear" w:color="auto" w:fill="FFFFFF"/>
            <w:tcMar>
              <w:top w:w="150" w:type="dxa"/>
              <w:left w:w="240" w:type="dxa"/>
              <w:bottom w:w="150" w:type="dxa"/>
              <w:right w:w="240" w:type="dxa"/>
            </w:tcMar>
            <w:vAlign w:val="center"/>
            <w:hideMark/>
          </w:tcPr>
          <w:p w14:paraId="3FBB1A1D" w14:textId="77777777" w:rsidR="00146300" w:rsidRPr="00146300" w:rsidRDefault="00146300" w:rsidP="00146300">
            <w:pPr>
              <w:spacing w:line="360" w:lineRule="auto"/>
            </w:pPr>
            <w:r w:rsidRPr="00146300">
              <w:t>Promotion is more </w:t>
            </w:r>
            <w:r w:rsidRPr="00146300">
              <w:rPr>
                <w:b/>
                <w:bCs/>
              </w:rPr>
              <w:t>lifestyle-oriented</w:t>
            </w:r>
            <w:r w:rsidRPr="00146300">
              <w:t>, including finance offers, electrification messages, sport sponsorship, and individual mobility benefits (Toyota GB, 2026).</w:t>
            </w:r>
          </w:p>
        </w:tc>
        <w:tc>
          <w:tcPr>
            <w:tcW w:w="3402" w:type="dxa"/>
            <w:shd w:val="clear" w:color="auto" w:fill="FFFFFF"/>
            <w:tcMar>
              <w:top w:w="150" w:type="dxa"/>
              <w:left w:w="240" w:type="dxa"/>
              <w:bottom w:w="150" w:type="dxa"/>
              <w:right w:w="0" w:type="dxa"/>
            </w:tcMar>
            <w:vAlign w:val="center"/>
            <w:hideMark/>
          </w:tcPr>
          <w:p w14:paraId="07E599E3" w14:textId="77777777" w:rsidR="00146300" w:rsidRPr="00146300" w:rsidRDefault="00146300" w:rsidP="00146300">
            <w:pPr>
              <w:spacing w:line="360" w:lineRule="auto"/>
            </w:pPr>
            <w:r w:rsidRPr="00146300">
              <w:t>Classic example of </w:t>
            </w:r>
            <w:r w:rsidRPr="00146300">
              <w:rPr>
                <w:b/>
                <w:bCs/>
              </w:rPr>
              <w:t>cultural adaptation</w:t>
            </w:r>
            <w:r w:rsidRPr="00146300">
              <w:t xml:space="preserve">. Global "Mobility for All" identity is </w:t>
            </w:r>
            <w:proofErr w:type="gramStart"/>
            <w:r w:rsidRPr="00146300">
              <w:t>standardised</w:t>
            </w:r>
            <w:proofErr w:type="gramEnd"/>
            <w:r w:rsidRPr="00146300">
              <w:t xml:space="preserve"> but execution is adapted. Informational, reassuring tone in Japan suits high uncertainty avoidance culture. Emotional, individualised communication resonates with UK's more individualistic, lifestyle-focused consumer culture </w:t>
            </w:r>
            <w:r w:rsidRPr="00146300">
              <w:lastRenderedPageBreak/>
              <w:t>(Hofstede, Hofstede and Minkov, 2010).</w:t>
            </w:r>
          </w:p>
        </w:tc>
      </w:tr>
      <w:tr w:rsidR="00146300" w:rsidRPr="00146300" w14:paraId="1D550000" w14:textId="77777777" w:rsidTr="002055F1">
        <w:tc>
          <w:tcPr>
            <w:tcW w:w="1384" w:type="dxa"/>
            <w:shd w:val="clear" w:color="auto" w:fill="FFFFFF"/>
            <w:tcMar>
              <w:top w:w="150" w:type="dxa"/>
              <w:left w:w="0" w:type="dxa"/>
              <w:bottom w:w="150" w:type="dxa"/>
              <w:right w:w="240" w:type="dxa"/>
            </w:tcMar>
            <w:vAlign w:val="center"/>
            <w:hideMark/>
          </w:tcPr>
          <w:p w14:paraId="489B938E" w14:textId="77777777" w:rsidR="00146300" w:rsidRPr="00146300" w:rsidRDefault="00146300" w:rsidP="00146300">
            <w:pPr>
              <w:spacing w:line="360" w:lineRule="auto"/>
            </w:pPr>
            <w:r w:rsidRPr="00146300">
              <w:rPr>
                <w:b/>
                <w:bCs/>
              </w:rPr>
              <w:lastRenderedPageBreak/>
              <w:t>People</w:t>
            </w:r>
          </w:p>
        </w:tc>
        <w:tc>
          <w:tcPr>
            <w:tcW w:w="3418" w:type="dxa"/>
            <w:shd w:val="clear" w:color="auto" w:fill="FFFFFF"/>
            <w:tcMar>
              <w:top w:w="150" w:type="dxa"/>
              <w:left w:w="240" w:type="dxa"/>
              <w:bottom w:w="150" w:type="dxa"/>
              <w:right w:w="240" w:type="dxa"/>
            </w:tcMar>
            <w:vAlign w:val="center"/>
            <w:hideMark/>
          </w:tcPr>
          <w:p w14:paraId="13789517" w14:textId="77777777" w:rsidR="00146300" w:rsidRPr="00146300" w:rsidRDefault="00146300" w:rsidP="00146300">
            <w:pPr>
              <w:spacing w:line="360" w:lineRule="auto"/>
            </w:pPr>
            <w:r w:rsidRPr="00146300">
              <w:t>Knowledgeable dealership employees provide </w:t>
            </w:r>
            <w:r w:rsidRPr="00146300">
              <w:rPr>
                <w:b/>
                <w:bCs/>
              </w:rPr>
              <w:t>detailed explanations and long-term customer support</w:t>
            </w:r>
            <w:r w:rsidRPr="00146300">
              <w:t>.</w:t>
            </w:r>
          </w:p>
        </w:tc>
        <w:tc>
          <w:tcPr>
            <w:tcW w:w="2569" w:type="dxa"/>
            <w:shd w:val="clear" w:color="auto" w:fill="FFFFFF"/>
            <w:tcMar>
              <w:top w:w="150" w:type="dxa"/>
              <w:left w:w="240" w:type="dxa"/>
              <w:bottom w:w="150" w:type="dxa"/>
              <w:right w:w="240" w:type="dxa"/>
            </w:tcMar>
            <w:vAlign w:val="center"/>
            <w:hideMark/>
          </w:tcPr>
          <w:p w14:paraId="13FC596B" w14:textId="77777777" w:rsidR="00146300" w:rsidRPr="00146300" w:rsidRDefault="00146300" w:rsidP="00146300">
            <w:pPr>
              <w:spacing w:line="360" w:lineRule="auto"/>
            </w:pPr>
            <w:r w:rsidRPr="00146300">
              <w:t>Dealer advisers operate alongside </w:t>
            </w:r>
            <w:r w:rsidRPr="00146300">
              <w:rPr>
                <w:b/>
                <w:bCs/>
              </w:rPr>
              <w:t>digital tools, call centres, and online customer-service channels</w:t>
            </w:r>
            <w:r w:rsidRPr="00146300">
              <w:t>.</w:t>
            </w:r>
          </w:p>
        </w:tc>
        <w:tc>
          <w:tcPr>
            <w:tcW w:w="3402" w:type="dxa"/>
            <w:shd w:val="clear" w:color="auto" w:fill="FFFFFF"/>
            <w:tcMar>
              <w:top w:w="150" w:type="dxa"/>
              <w:left w:w="240" w:type="dxa"/>
              <w:bottom w:w="150" w:type="dxa"/>
              <w:right w:w="0" w:type="dxa"/>
            </w:tcMar>
            <w:vAlign w:val="center"/>
            <w:hideMark/>
          </w:tcPr>
          <w:p w14:paraId="52FF0AFA" w14:textId="77777777" w:rsidR="00146300" w:rsidRPr="00146300" w:rsidRDefault="00146300" w:rsidP="00146300">
            <w:pPr>
              <w:spacing w:line="360" w:lineRule="auto"/>
            </w:pPr>
            <w:r w:rsidRPr="00146300">
              <w:t>Human reassurance remains crucial in both markets, but interaction differs. Japan's high uncertainty avoidance supports detailed expert guidance to build trust. UK customers expect greater independence, using digital tools for research before informal interaction with sales staff.</w:t>
            </w:r>
          </w:p>
        </w:tc>
      </w:tr>
      <w:tr w:rsidR="00146300" w:rsidRPr="00146300" w14:paraId="162D3CE3" w14:textId="77777777" w:rsidTr="002055F1">
        <w:tc>
          <w:tcPr>
            <w:tcW w:w="1384" w:type="dxa"/>
            <w:shd w:val="clear" w:color="auto" w:fill="FFFFFF"/>
            <w:tcMar>
              <w:top w:w="150" w:type="dxa"/>
              <w:left w:w="0" w:type="dxa"/>
              <w:bottom w:w="150" w:type="dxa"/>
              <w:right w:w="240" w:type="dxa"/>
            </w:tcMar>
            <w:vAlign w:val="center"/>
            <w:hideMark/>
          </w:tcPr>
          <w:p w14:paraId="60EDB80B" w14:textId="77777777" w:rsidR="00146300" w:rsidRPr="00146300" w:rsidRDefault="00146300" w:rsidP="00146300">
            <w:pPr>
              <w:spacing w:line="360" w:lineRule="auto"/>
            </w:pPr>
            <w:r w:rsidRPr="00146300">
              <w:rPr>
                <w:b/>
                <w:bCs/>
              </w:rPr>
              <w:t>Process</w:t>
            </w:r>
          </w:p>
        </w:tc>
        <w:tc>
          <w:tcPr>
            <w:tcW w:w="3418" w:type="dxa"/>
            <w:shd w:val="clear" w:color="auto" w:fill="FFFFFF"/>
            <w:tcMar>
              <w:top w:w="150" w:type="dxa"/>
              <w:left w:w="240" w:type="dxa"/>
              <w:bottom w:w="150" w:type="dxa"/>
              <w:right w:w="240" w:type="dxa"/>
            </w:tcMar>
            <w:vAlign w:val="center"/>
            <w:hideMark/>
          </w:tcPr>
          <w:p w14:paraId="1ABA791B" w14:textId="77777777" w:rsidR="00146300" w:rsidRPr="00146300" w:rsidRDefault="00146300" w:rsidP="00146300">
            <w:pPr>
              <w:spacing w:line="360" w:lineRule="auto"/>
            </w:pPr>
            <w:r w:rsidRPr="00146300">
              <w:rPr>
                <w:b/>
                <w:bCs/>
              </w:rPr>
              <w:t>My Toyota</w:t>
            </w:r>
            <w:r w:rsidRPr="00146300">
              <w:t> supports quotations, purchasing, delivery, and ownership; </w:t>
            </w:r>
            <w:r w:rsidRPr="00146300">
              <w:rPr>
                <w:b/>
                <w:bCs/>
              </w:rPr>
              <w:t>KINTO</w:t>
            </w:r>
            <w:r w:rsidRPr="00146300">
              <w:t> simplifies insurance, servicing, and taxation (Toyota Japan, 2026a).</w:t>
            </w:r>
          </w:p>
        </w:tc>
        <w:tc>
          <w:tcPr>
            <w:tcW w:w="2569" w:type="dxa"/>
            <w:shd w:val="clear" w:color="auto" w:fill="FFFFFF"/>
            <w:tcMar>
              <w:top w:w="150" w:type="dxa"/>
              <w:left w:w="240" w:type="dxa"/>
              <w:bottom w:w="150" w:type="dxa"/>
              <w:right w:w="240" w:type="dxa"/>
            </w:tcMar>
            <w:vAlign w:val="center"/>
            <w:hideMark/>
          </w:tcPr>
          <w:p w14:paraId="7EC4C4FD" w14:textId="3062D75B" w:rsidR="00146300" w:rsidRPr="00146300" w:rsidRDefault="00146300" w:rsidP="00146300">
            <w:pPr>
              <w:spacing w:line="360" w:lineRule="auto"/>
            </w:pPr>
            <w:r w:rsidRPr="00146300">
              <w:t>Customers can </w:t>
            </w:r>
            <w:r w:rsidRPr="00146300">
              <w:rPr>
                <w:b/>
                <w:bCs/>
              </w:rPr>
              <w:t>research, configure, and finance vehicles online</w:t>
            </w:r>
            <w:r w:rsidRPr="00146300">
              <w:t xml:space="preserve"> before completing test drives, collection, and servicing through Toyota centres (Toyota UK, </w:t>
            </w:r>
            <w:r w:rsidRPr="00146300">
              <w:lastRenderedPageBreak/>
              <w:t>2026). KINTO focuses on building online contract processes.</w:t>
            </w:r>
          </w:p>
        </w:tc>
        <w:tc>
          <w:tcPr>
            <w:tcW w:w="3402" w:type="dxa"/>
            <w:shd w:val="clear" w:color="auto" w:fill="FFFFFF"/>
            <w:tcMar>
              <w:top w:w="150" w:type="dxa"/>
              <w:left w:w="240" w:type="dxa"/>
              <w:bottom w:w="150" w:type="dxa"/>
              <w:right w:w="0" w:type="dxa"/>
            </w:tcMar>
            <w:vAlign w:val="center"/>
            <w:hideMark/>
          </w:tcPr>
          <w:p w14:paraId="5DC6295A" w14:textId="77777777" w:rsidR="00146300" w:rsidRPr="00146300" w:rsidRDefault="00146300" w:rsidP="00146300">
            <w:pPr>
              <w:spacing w:line="360" w:lineRule="auto"/>
            </w:pPr>
            <w:r w:rsidRPr="00146300">
              <w:lastRenderedPageBreak/>
              <w:t>Both markets use digitalisation, but emphasis differs. Japan's process creates an integrated, </w:t>
            </w:r>
            <w:r w:rsidRPr="00146300">
              <w:rPr>
                <w:b/>
                <w:bCs/>
              </w:rPr>
              <w:t>low-risk ownership journey</w:t>
            </w:r>
            <w:r w:rsidRPr="00146300">
              <w:t> reflecting desire for seamless, predictable experience. UK places greater emphasis on </w:t>
            </w:r>
            <w:r w:rsidRPr="00146300">
              <w:rPr>
                <w:b/>
                <w:bCs/>
              </w:rPr>
              <w:t>convenience and channel choice</w:t>
            </w:r>
            <w:r w:rsidRPr="00146300">
              <w:t xml:space="preserve">, allowing </w:t>
            </w:r>
            <w:r w:rsidRPr="00146300">
              <w:lastRenderedPageBreak/>
              <w:t>customers to control their digital engagement level.</w:t>
            </w:r>
          </w:p>
        </w:tc>
      </w:tr>
      <w:tr w:rsidR="00146300" w:rsidRPr="00146300" w14:paraId="744922E4" w14:textId="77777777" w:rsidTr="002055F1">
        <w:trPr>
          <w:trHeight w:val="7344"/>
        </w:trPr>
        <w:tc>
          <w:tcPr>
            <w:tcW w:w="1384" w:type="dxa"/>
            <w:shd w:val="clear" w:color="auto" w:fill="FFFFFF"/>
            <w:tcMar>
              <w:top w:w="150" w:type="dxa"/>
              <w:left w:w="0" w:type="dxa"/>
              <w:bottom w:w="150" w:type="dxa"/>
              <w:right w:w="240" w:type="dxa"/>
            </w:tcMar>
            <w:vAlign w:val="center"/>
            <w:hideMark/>
          </w:tcPr>
          <w:p w14:paraId="6085861D" w14:textId="77777777" w:rsidR="00146300" w:rsidRPr="00146300" w:rsidRDefault="00146300" w:rsidP="00146300">
            <w:pPr>
              <w:spacing w:line="360" w:lineRule="auto"/>
            </w:pPr>
            <w:r w:rsidRPr="00146300">
              <w:rPr>
                <w:b/>
                <w:bCs/>
              </w:rPr>
              <w:lastRenderedPageBreak/>
              <w:t>Physical Evidence</w:t>
            </w:r>
          </w:p>
        </w:tc>
        <w:tc>
          <w:tcPr>
            <w:tcW w:w="3418" w:type="dxa"/>
            <w:shd w:val="clear" w:color="auto" w:fill="FFFFFF"/>
            <w:tcMar>
              <w:top w:w="150" w:type="dxa"/>
              <w:left w:w="240" w:type="dxa"/>
              <w:bottom w:w="150" w:type="dxa"/>
              <w:right w:w="240" w:type="dxa"/>
            </w:tcMar>
            <w:vAlign w:val="center"/>
            <w:hideMark/>
          </w:tcPr>
          <w:p w14:paraId="7D76E278" w14:textId="77777777" w:rsidR="00146300" w:rsidRPr="00146300" w:rsidRDefault="00146300" w:rsidP="00146300">
            <w:pPr>
              <w:spacing w:line="360" w:lineRule="auto"/>
            </w:pPr>
            <w:r w:rsidRPr="00146300">
              <w:t>Product craftsmanship, organised dealerships, technical information, and visible after-sales support reinforce quality.</w:t>
            </w:r>
          </w:p>
        </w:tc>
        <w:tc>
          <w:tcPr>
            <w:tcW w:w="2569" w:type="dxa"/>
            <w:shd w:val="clear" w:color="auto" w:fill="FFFFFF"/>
            <w:tcMar>
              <w:top w:w="150" w:type="dxa"/>
              <w:left w:w="240" w:type="dxa"/>
              <w:bottom w:w="150" w:type="dxa"/>
              <w:right w:w="240" w:type="dxa"/>
            </w:tcMar>
            <w:vAlign w:val="center"/>
            <w:hideMark/>
          </w:tcPr>
          <w:p w14:paraId="54DB10ED" w14:textId="5AEC9307" w:rsidR="00146300" w:rsidRPr="00146300" w:rsidRDefault="00146300" w:rsidP="00146300">
            <w:pPr>
              <w:spacing w:line="360" w:lineRule="auto"/>
            </w:pPr>
            <w:r w:rsidRPr="00146300">
              <w:t>Toyota centres, UK manufacturing, warranties, online interfaces, and approved-used inspections provide evidence of reliability (Toyota UK, 2026).</w:t>
            </w:r>
          </w:p>
        </w:tc>
        <w:tc>
          <w:tcPr>
            <w:tcW w:w="3402" w:type="dxa"/>
            <w:shd w:val="clear" w:color="auto" w:fill="FFFFFF"/>
            <w:tcMar>
              <w:top w:w="150" w:type="dxa"/>
              <w:left w:w="240" w:type="dxa"/>
              <w:bottom w:w="150" w:type="dxa"/>
              <w:right w:w="0" w:type="dxa"/>
            </w:tcMar>
            <w:vAlign w:val="center"/>
            <w:hideMark/>
          </w:tcPr>
          <w:p w14:paraId="73252D56" w14:textId="77777777" w:rsidR="00146300" w:rsidRPr="00146300" w:rsidRDefault="00146300" w:rsidP="00146300">
            <w:pPr>
              <w:spacing w:line="360" w:lineRule="auto"/>
            </w:pPr>
            <w:r w:rsidRPr="00146300">
              <w:t>Same quality positioning is translated into different proof points. UK's </w:t>
            </w:r>
            <w:r w:rsidRPr="00146300">
              <w:rPr>
                <w:b/>
                <w:bCs/>
              </w:rPr>
              <w:t>service-activated warranty and approved-used checks</w:t>
            </w:r>
            <w:r w:rsidRPr="00146300">
              <w:t> reduce perceived purchase risk in a more transactional market. In Japan, evidence is more intrinsic to the product and dealership experience itself.</w:t>
            </w:r>
          </w:p>
        </w:tc>
      </w:tr>
    </w:tbl>
    <w:p w14:paraId="75C34CCB" w14:textId="77777777" w:rsidR="00767FAE" w:rsidRDefault="00767FAE" w:rsidP="00767FAE">
      <w:pPr>
        <w:spacing w:line="360" w:lineRule="auto"/>
        <w:jc w:val="both"/>
      </w:pPr>
    </w:p>
    <w:p w14:paraId="190A8383" w14:textId="77777777" w:rsidR="009A756B" w:rsidRDefault="009A756B" w:rsidP="00B46317">
      <w:pPr>
        <w:spacing w:line="360" w:lineRule="auto"/>
        <w:jc w:val="both"/>
      </w:pPr>
    </w:p>
    <w:p w14:paraId="4BBFF72E" w14:textId="0B8C1B93" w:rsidR="006C7165" w:rsidRDefault="006C7165" w:rsidP="00B46317">
      <w:pPr>
        <w:spacing w:line="360" w:lineRule="auto"/>
        <w:jc w:val="both"/>
      </w:pPr>
      <w:r w:rsidRPr="006C7165">
        <w:lastRenderedPageBreak/>
        <w:t>Overall, Toyota follows adaptive standardisation: its global associations with quality, reliability, safety and electrification remain consistent, while its products, finance, communications and customer journey are adapted locally (</w:t>
      </w:r>
      <w:proofErr w:type="spellStart"/>
      <w:r w:rsidRPr="006C7165">
        <w:t>Vrontis</w:t>
      </w:r>
      <w:proofErr w:type="spellEnd"/>
      <w:r w:rsidRPr="006C7165">
        <w:t xml:space="preserve">, </w:t>
      </w:r>
      <w:proofErr w:type="spellStart"/>
      <w:r w:rsidRPr="006C7165">
        <w:t>Thrassou</w:t>
      </w:r>
      <w:proofErr w:type="spellEnd"/>
      <w:r w:rsidRPr="006C7165">
        <w:t xml:space="preserve"> and </w:t>
      </w:r>
      <w:proofErr w:type="spellStart"/>
      <w:r w:rsidRPr="006C7165">
        <w:t>Lamprianou</w:t>
      </w:r>
      <w:proofErr w:type="spellEnd"/>
      <w:r w:rsidRPr="006C7165">
        <w:t>, 2009). This balance is strategically appropriate because Japan requires a broader mobility and powertrain portfolio, whereas UK regulation and infrastructure demand faster BEV expansion. Nevertheless, localisation creates operational complexity, while Toyota’s established hybrid position may weaken perceptions of its BEV competitiveness. Its future effectiveness therefore depends on accelerating UK electrification without sacrificing the capabilities and brand trust that differentiate Toyota globally</w:t>
      </w:r>
    </w:p>
    <w:p w14:paraId="118B172B" w14:textId="2698B762" w:rsidR="00B46317" w:rsidRPr="00FE26E0" w:rsidRDefault="00B46317" w:rsidP="00B46317">
      <w:pPr>
        <w:spacing w:line="360" w:lineRule="auto"/>
        <w:jc w:val="both"/>
        <w:rPr>
          <w:b/>
          <w:bCs/>
        </w:rPr>
      </w:pPr>
      <w:r w:rsidRPr="00FE26E0">
        <w:rPr>
          <w:b/>
          <w:bCs/>
        </w:rPr>
        <w:t>5. Market-entry strategy: United Kingdom</w:t>
      </w:r>
    </w:p>
    <w:p w14:paraId="20049920" w14:textId="5026B318" w:rsidR="00B46317" w:rsidRPr="00973A67" w:rsidRDefault="00B46317" w:rsidP="00B46317">
      <w:pPr>
        <w:spacing w:line="360" w:lineRule="auto"/>
        <w:jc w:val="both"/>
      </w:pPr>
      <w:r w:rsidRPr="00973A67">
        <w:t>Toyota entered the UK in 1965 through exporting, using Pride and Clark as its independent importer and distributor. The initial offering consisted only of the Corona, limiting financial exposure while Toyota developed market knowledge. Toyota subsequently established Toyota (GB) in 1967 and expanded its dealer network and product range (Toyota GB, 2015)</w:t>
      </w:r>
    </w:p>
    <w:p w14:paraId="6B73258F" w14:textId="68115EC9" w:rsidR="00B46317" w:rsidRPr="00973A67" w:rsidRDefault="00B46317" w:rsidP="00B46317">
      <w:pPr>
        <w:spacing w:line="360" w:lineRule="auto"/>
        <w:jc w:val="both"/>
      </w:pPr>
      <w:r w:rsidRPr="00973A67">
        <w:t xml:space="preserve">In 1989, Toyota progressed to wholly owned greenfield foreign direct investment, establishing manufacturing plants at </w:t>
      </w:r>
      <w:proofErr w:type="spellStart"/>
      <w:r w:rsidRPr="00973A67">
        <w:t>Burnaston</w:t>
      </w:r>
      <w:proofErr w:type="spellEnd"/>
      <w:r w:rsidRPr="00973A67">
        <w:t xml:space="preserve"> and Deeside, which began production in 1992. This staged expansion reflects the Uppsala model: firms gradually increase resource commitment as their knowledge of a foreign market improves (Johanson and Vahlne, 1977). The UK offered a large domestic market, skilled labour, established component suppliers, automotive expertise and access to European markets (Toyota Motor Europe, 2001).</w:t>
      </w:r>
    </w:p>
    <w:p w14:paraId="3B74BCFC" w14:textId="7D6E25AC" w:rsidR="00B46317" w:rsidRPr="00973A67" w:rsidRDefault="00B46317" w:rsidP="00B46317">
      <w:pPr>
        <w:spacing w:line="360" w:lineRule="auto"/>
        <w:jc w:val="both"/>
      </w:pPr>
      <w:r w:rsidRPr="00973A67">
        <w:t xml:space="preserve">From Dunning’s OLI perspective, Toyota possessed ownership advantages in brand reputation, lean production and technological expertise; the UK provided location advantages; and internalising production protected quality and transferred the Toyota Production System more effectively than licensing (Dunning, 1988). The strategy created local legitimacy and supply-chain control, with UK investment now totalling </w:t>
      </w:r>
      <w:r w:rsidRPr="00973A67">
        <w:lastRenderedPageBreak/>
        <w:t>approximately £2.75 billion. However, greenfield investment also created substantial sunk costs and exposure to Brexit-related trade and regulatory changes (Toyota Motor Manufacturing UK, 2026).</w:t>
      </w:r>
      <w:r w:rsidR="007736AB" w:rsidRPr="00973A67">
        <w:t xml:space="preserve"> </w:t>
      </w:r>
      <w:r w:rsidRPr="00973A67">
        <w:t>Overall, Toyota’s gradual movement from exporting to local manufacturing was strategically appropriate because it balanced initial risk reduction with deeper long-term market commitment.</w:t>
      </w:r>
    </w:p>
    <w:p w14:paraId="60611F7A" w14:textId="4CA1360F" w:rsidR="00EB785A" w:rsidRPr="00973A67" w:rsidRDefault="00EB785A" w:rsidP="00EB785A">
      <w:pPr>
        <w:spacing w:line="360" w:lineRule="auto"/>
        <w:jc w:val="both"/>
      </w:pPr>
      <w:r w:rsidRPr="00973A67">
        <w:t xml:space="preserve">Toyota favoured the UK for its large domestic market, developed automotive components sector, skilled labour, and government support for foreign direct investment. Japanese manufacturers avoided trade barriers and higher European import costs by manufacturing vehicles locally </w:t>
      </w:r>
      <w:r w:rsidR="009840F7" w:rsidRPr="00973A67">
        <w:t>(Toyota, 2025)</w:t>
      </w:r>
      <w:r w:rsidRPr="00973A67">
        <w:t xml:space="preserve">. </w:t>
      </w:r>
      <w:proofErr w:type="spellStart"/>
      <w:r w:rsidRPr="00973A67">
        <w:t>Burnaston's</w:t>
      </w:r>
      <w:proofErr w:type="spellEnd"/>
      <w:r w:rsidRPr="00973A67">
        <w:t xml:space="preserve"> central location, proximity to the M1, access to European markets, and expansion land made it appealing. Toyota's investment created direct and indirect jobs through local suppliers and service providers, boosting its UK political legitimacy </w:t>
      </w:r>
      <w:r w:rsidR="009840F7" w:rsidRPr="00973A67">
        <w:t>(Toyota, 2025)</w:t>
      </w:r>
      <w:r w:rsidRPr="00973A67">
        <w:t>. However, Brexit has reduced UK direct access to the EU single market and complicated regulatory and supply chains.</w:t>
      </w:r>
    </w:p>
    <w:p w14:paraId="15658CFD" w14:textId="77777777" w:rsidR="00EB785A" w:rsidRPr="00973A67" w:rsidRDefault="00EB785A" w:rsidP="00B46317">
      <w:pPr>
        <w:spacing w:line="360" w:lineRule="auto"/>
        <w:jc w:val="both"/>
      </w:pPr>
    </w:p>
    <w:p w14:paraId="0882E7E4" w14:textId="77777777" w:rsidR="00B46317" w:rsidRPr="00FE26E0" w:rsidRDefault="00B46317" w:rsidP="00B46317">
      <w:pPr>
        <w:spacing w:line="360" w:lineRule="auto"/>
        <w:jc w:val="both"/>
        <w:rPr>
          <w:b/>
          <w:bCs/>
        </w:rPr>
      </w:pPr>
      <w:r w:rsidRPr="00FE26E0">
        <w:rPr>
          <w:b/>
          <w:bCs/>
        </w:rPr>
        <w:t>6. Ethical evaluation: UK promotion</w:t>
      </w:r>
    </w:p>
    <w:p w14:paraId="2106CF3A" w14:textId="3323291C" w:rsidR="00B46317" w:rsidRPr="00973A67" w:rsidRDefault="00B46317" w:rsidP="00B46317">
      <w:pPr>
        <w:spacing w:line="360" w:lineRule="auto"/>
        <w:jc w:val="both"/>
      </w:pPr>
      <w:r w:rsidRPr="00973A67">
        <w:t>Toyota has faced ethical issues concerning the accuracy and environmental responsibility of its UK advertising. In 2023, the Advertising Standards Authority upheld a complaint concerning Toyota’s claim that the bZ4X could reach 80% charge in approximately 30 minutes. Although Toyota supplied test evidence and qualifications, the advertisement omitted material information about temperature, battery condition and limited access to 150-kW chargers. The ASA therefore concluded that the claim could mislead consumers (ASA, 2023).</w:t>
      </w:r>
    </w:p>
    <w:p w14:paraId="1D489CCB" w14:textId="75009A0F" w:rsidR="00B46317" w:rsidRPr="00973A67" w:rsidRDefault="00B46317" w:rsidP="00B46317">
      <w:pPr>
        <w:spacing w:line="360" w:lineRule="auto"/>
        <w:jc w:val="both"/>
      </w:pPr>
      <w:r w:rsidRPr="00973A67">
        <w:t>A separate ruling found that Toyota’s “Born to Roam” Hilux advertisements depicted unrestricted driving through rivers and natural environments. The ASA judged that the campaign condoned behaviour that disregarded environmental impacts and lacked social responsibility (ASA, 2023)</w:t>
      </w:r>
    </w:p>
    <w:p w14:paraId="05B3DE7B" w14:textId="7D009CA4" w:rsidR="00B46317" w:rsidRPr="00973A67" w:rsidRDefault="00B46317" w:rsidP="00B46317">
      <w:pPr>
        <w:spacing w:line="360" w:lineRule="auto"/>
        <w:jc w:val="both"/>
      </w:pPr>
      <w:r w:rsidRPr="00973A67">
        <w:lastRenderedPageBreak/>
        <w:t>These rulings do not demonstrate that Toyota’s entire marketing mix is unethical. However, they reveal a tension between persuasive promotion and Toyota’s sustainability positioning. Ethical marketing requires customers to receive material information affecting charging performance and prevents environmental imagery from overstating responsible mobility. Current ASA guidance also warns that environmental claims may mislead when important contextual information is omitted (ASA, 2025).</w:t>
      </w:r>
      <w:r w:rsidR="007113F7" w:rsidRPr="00973A67">
        <w:t xml:space="preserve"> </w:t>
      </w:r>
      <w:r w:rsidRPr="00973A67">
        <w:t>Toyota should therefore treat transparency as part of its value proposition rather than merely a compliance requirement.</w:t>
      </w:r>
    </w:p>
    <w:p w14:paraId="27B68602" w14:textId="77777777" w:rsidR="005076E4" w:rsidRPr="00973A67" w:rsidRDefault="005076E4" w:rsidP="005076E4">
      <w:pPr>
        <w:spacing w:line="360" w:lineRule="auto"/>
        <w:jc w:val="both"/>
      </w:pPr>
      <w:r w:rsidRPr="00973A67">
        <w:t>In the UK, environmental expectations are more closely tied to the end of new petrol and diesel cars and the expansion of zero-emission mobility. Toyota’s battery-electric vehicles get a clearer marketing opportunity, but also more scrutiny of their environmental claims. Marketing a traditional hybrid as "green," "clean" or "sustainable" without appropriate qualification could be misleading to consumers because hybrids still produce tailpipe emissions. Environmental claims in UK advertising are required to be clear about the basis for the claim and, in general, to consider the full life cycle of the product, unless the scope of the claim is explicitly limited (ASA, 2024)</w:t>
      </w:r>
    </w:p>
    <w:p w14:paraId="6505B9D1" w14:textId="77777777" w:rsidR="005076E4" w:rsidRPr="00FE26E0" w:rsidRDefault="005076E4" w:rsidP="00B46317">
      <w:pPr>
        <w:spacing w:line="360" w:lineRule="auto"/>
        <w:jc w:val="both"/>
        <w:rPr>
          <w:b/>
          <w:bCs/>
        </w:rPr>
      </w:pPr>
    </w:p>
    <w:p w14:paraId="606ADA24" w14:textId="77777777" w:rsidR="00B46317" w:rsidRPr="00FE26E0" w:rsidRDefault="00B46317" w:rsidP="00B46317">
      <w:pPr>
        <w:spacing w:line="360" w:lineRule="auto"/>
        <w:jc w:val="both"/>
        <w:rPr>
          <w:b/>
          <w:bCs/>
        </w:rPr>
      </w:pPr>
      <w:r w:rsidRPr="00FE26E0">
        <w:rPr>
          <w:b/>
          <w:bCs/>
        </w:rPr>
        <w:t>7. Recommendations</w:t>
      </w:r>
    </w:p>
    <w:p w14:paraId="7E3F7F86" w14:textId="76927AFB" w:rsidR="00B46317" w:rsidRPr="00973A67" w:rsidRDefault="00B46317" w:rsidP="00B46317">
      <w:pPr>
        <w:spacing w:line="360" w:lineRule="auto"/>
        <w:jc w:val="both"/>
      </w:pPr>
      <w:r w:rsidRPr="00973A67">
        <w:t>First, Toyota should adopt a more explicitly BEV-led strategy in the UK. Hybrids can remain transitional products, but all new UK cars and vans must be zero emission by 2035 (Department for Transport, 2025). (</w:t>
      </w:r>
      <w:hyperlink r:id="rId7" w:tooltip="Phasing out sales of new petrol and diesel cars from 2030 and supporting the ZEV transition: summary of responses and joint government response - GOV.UK" w:history="1">
        <w:r w:rsidRPr="00973A67">
          <w:rPr>
            <w:rStyle w:val="Hyperlink"/>
            <w:color w:val="auto"/>
          </w:rPr>
          <w:t>GOV.UK</w:t>
        </w:r>
      </w:hyperlink>
      <w:r w:rsidRPr="00973A67">
        <w:t>) Toyota should combine its expanding European BEV range with competitive finance, home charging and public-charging support. Its British Gas smart-charging partnership provides a useful foundation by connecting lower-cost charging, renewable electricity and digital services (Toyota Motor Europe, 2025a, 2025b).</w:t>
      </w:r>
    </w:p>
    <w:p w14:paraId="650C3FD3" w14:textId="3F931092" w:rsidR="00B46317" w:rsidRPr="00973A67" w:rsidRDefault="00B46317" w:rsidP="00B46317">
      <w:pPr>
        <w:spacing w:line="360" w:lineRule="auto"/>
        <w:jc w:val="both"/>
      </w:pPr>
      <w:r w:rsidRPr="00973A67">
        <w:t>Second, Toyota should retain adaptive standardisation while reducing unnecessary complexity. Its global identity</w:t>
      </w:r>
      <w:r w:rsidR="00EA48C5" w:rsidRPr="00973A67">
        <w:t xml:space="preserve">, </w:t>
      </w:r>
      <w:r w:rsidRPr="00973A67">
        <w:t>reliability, safety and quality</w:t>
      </w:r>
      <w:r w:rsidR="00EA48C5" w:rsidRPr="00973A67">
        <w:t xml:space="preserve">, </w:t>
      </w:r>
      <w:r w:rsidRPr="00973A67">
        <w:t xml:space="preserve">should remain consistent, but </w:t>
      </w:r>
      <w:r w:rsidRPr="00973A67">
        <w:lastRenderedPageBreak/>
        <w:t>Japan should retain a broader multi-powertrain portfolio, while UK marketing should prioritise BEVs, ownership affordability and charging convenience. This preserves global efficiency without ignoring local regulation and consumer behaviour (</w:t>
      </w:r>
      <w:proofErr w:type="spellStart"/>
      <w:r w:rsidRPr="00973A67">
        <w:t>Vrontis</w:t>
      </w:r>
      <w:proofErr w:type="spellEnd"/>
      <w:r w:rsidRPr="00973A67">
        <w:t xml:space="preserve">, </w:t>
      </w:r>
      <w:proofErr w:type="spellStart"/>
      <w:r w:rsidRPr="00973A67">
        <w:t>Thrassou</w:t>
      </w:r>
      <w:proofErr w:type="spellEnd"/>
      <w:r w:rsidRPr="00973A67">
        <w:t xml:space="preserve"> and </w:t>
      </w:r>
      <w:proofErr w:type="spellStart"/>
      <w:r w:rsidRPr="00973A67">
        <w:t>Lamprianou</w:t>
      </w:r>
      <w:proofErr w:type="spellEnd"/>
      <w:r w:rsidRPr="00973A67">
        <w:t>, 2009).</w:t>
      </w:r>
    </w:p>
    <w:p w14:paraId="21F95D24" w14:textId="77777777" w:rsidR="00B46317" w:rsidRPr="00973A67" w:rsidRDefault="00B46317" w:rsidP="00B46317">
      <w:pPr>
        <w:spacing w:line="360" w:lineRule="auto"/>
        <w:jc w:val="both"/>
      </w:pPr>
      <w:r w:rsidRPr="00973A67">
        <w:t>Third, Toyota should introduce evidence-led environmental marketing. Charging, range and emissions claims should state testing conditions, limitations and life-cycle boundaries clearly. Independent review of campaigns before publication would reduce regulatory and reputational risk.</w:t>
      </w:r>
    </w:p>
    <w:p w14:paraId="7676FF99" w14:textId="6917ED37" w:rsidR="00B46317" w:rsidRDefault="00B46317" w:rsidP="00B46317">
      <w:pPr>
        <w:spacing w:line="360" w:lineRule="auto"/>
        <w:jc w:val="both"/>
      </w:pPr>
      <w:r w:rsidRPr="00973A67">
        <w:t xml:space="preserve">Finally, Toyota should use its UK manufacturing presence to provide tangible evidence of sustainability. </w:t>
      </w:r>
      <w:proofErr w:type="spellStart"/>
      <w:r w:rsidRPr="00973A67">
        <w:t>Burnaston’s</w:t>
      </w:r>
      <w:proofErr w:type="spellEnd"/>
      <w:r w:rsidRPr="00973A67">
        <w:t xml:space="preserve"> Circular Factory already recovers, reuses and repurposes vehicle materials, allowing Toyota to support environmental communications with measurable operational evidence rather than broad claims (Toyota GB, 2026). </w:t>
      </w:r>
    </w:p>
    <w:p w14:paraId="07380D62" w14:textId="68638EE9" w:rsidR="000B37D0" w:rsidRPr="00863CA2" w:rsidRDefault="00863CA2" w:rsidP="00B46317">
      <w:pPr>
        <w:spacing w:line="360" w:lineRule="auto"/>
        <w:jc w:val="both"/>
        <w:rPr>
          <w:b/>
          <w:bCs/>
        </w:rPr>
      </w:pPr>
      <w:r w:rsidRPr="00863CA2">
        <w:rPr>
          <w:b/>
          <w:bCs/>
        </w:rPr>
        <w:t>8. Reflection</w:t>
      </w:r>
    </w:p>
    <w:p w14:paraId="0E7EAAA9" w14:textId="77777777" w:rsidR="009A756B" w:rsidRPr="00FE26E0" w:rsidRDefault="009A756B" w:rsidP="009A756B">
      <w:pPr>
        <w:spacing w:line="360" w:lineRule="auto"/>
        <w:jc w:val="both"/>
        <w:rPr>
          <w:b/>
          <w:bCs/>
        </w:rPr>
      </w:pPr>
      <w:r w:rsidRPr="00FE26E0">
        <w:rPr>
          <w:b/>
          <w:bCs/>
        </w:rPr>
        <w:t>Description</w:t>
      </w:r>
    </w:p>
    <w:p w14:paraId="2C65CFD7" w14:textId="77777777" w:rsidR="009A756B" w:rsidRPr="00973A67" w:rsidRDefault="009A756B" w:rsidP="009A756B">
      <w:pPr>
        <w:spacing w:line="360" w:lineRule="auto"/>
        <w:jc w:val="both"/>
      </w:pPr>
      <w:r w:rsidRPr="00973A67">
        <w:t>This assessment required me to compare Toyota’s international marketing strategies in Japan and the United Kingdom using PESTEL, Hofstede, STP, the 7Ps, market-entry theory and ethical analysis. I began by gathering current evidence from government departments, regulators, Toyota publications and international organisations before locating academic literature to support the theoretical analysis. I organised the information according to each framework and then compared how the two national environments affected Toyota’s decisions. The UK was selected for the entry and ethical analysis because Toyota’s manufacturing history and relevant ASA rulings provided sufficiently detailed evidence.</w:t>
      </w:r>
    </w:p>
    <w:p w14:paraId="58E338A8" w14:textId="77777777" w:rsidR="009A756B" w:rsidRPr="00FE26E0" w:rsidRDefault="009A756B" w:rsidP="009A756B">
      <w:pPr>
        <w:spacing w:line="360" w:lineRule="auto"/>
        <w:jc w:val="both"/>
        <w:rPr>
          <w:b/>
          <w:bCs/>
        </w:rPr>
      </w:pPr>
      <w:r w:rsidRPr="00FE26E0">
        <w:rPr>
          <w:b/>
          <w:bCs/>
        </w:rPr>
        <w:t>Feelings</w:t>
      </w:r>
    </w:p>
    <w:p w14:paraId="20015ECC" w14:textId="77777777" w:rsidR="009A756B" w:rsidRPr="00973A67" w:rsidRDefault="009A756B" w:rsidP="009A756B">
      <w:pPr>
        <w:spacing w:line="360" w:lineRule="auto"/>
        <w:jc w:val="both"/>
      </w:pPr>
      <w:r w:rsidRPr="00973A67">
        <w:t xml:space="preserve">Initially, I felt confident about selecting Toyota because extensive information was available. However, I found it difficult to determine which evidence belonged within each </w:t>
      </w:r>
      <w:r w:rsidRPr="00973A67">
        <w:lastRenderedPageBreak/>
        <w:t>framework. The tension between Toyota’s hybrid strengths and the transition towards battery-electric vehicles appeared relevant throughout the report. Consequently, I sometimes repeated the same argument under political, technological, environmental and marketing-mix headings. I was also uncertain about how heavily to rely on Toyota’s publications because they provided current information but presented the company’s preferred perspective.</w:t>
      </w:r>
    </w:p>
    <w:p w14:paraId="6F9E82CF" w14:textId="77777777" w:rsidR="009A756B" w:rsidRPr="00FE26E0" w:rsidRDefault="009A756B" w:rsidP="009A756B">
      <w:pPr>
        <w:spacing w:line="360" w:lineRule="auto"/>
        <w:jc w:val="both"/>
        <w:rPr>
          <w:b/>
          <w:bCs/>
        </w:rPr>
      </w:pPr>
      <w:r w:rsidRPr="00FE26E0">
        <w:rPr>
          <w:b/>
          <w:bCs/>
        </w:rPr>
        <w:t>Evaluation</w:t>
      </w:r>
    </w:p>
    <w:p w14:paraId="2F0D4313" w14:textId="77777777" w:rsidR="009A756B" w:rsidRPr="00973A67" w:rsidRDefault="009A756B" w:rsidP="009A756B">
      <w:pPr>
        <w:spacing w:line="360" w:lineRule="auto"/>
        <w:jc w:val="both"/>
      </w:pPr>
      <w:r w:rsidRPr="00973A67">
        <w:t>A major strength of my approach was the use of recent and generally authoritative evidence, including government policy, market statistics and regulatory rulings. Comparing the implications for Toyota also helped prevent the report from becoming two separate country descriptions. Nevertheless, I collected more information than the word limit could accommodate. Some sections consequently became descriptive or repeated conclusions already established elsewhere. Certain historical sources were useful for explaining Toyota’s development, but they were less appropriate as evidence of current performance.</w:t>
      </w:r>
    </w:p>
    <w:p w14:paraId="2AD2FDC1" w14:textId="77777777" w:rsidR="009A756B" w:rsidRPr="00FE26E0" w:rsidRDefault="009A756B" w:rsidP="009A756B">
      <w:pPr>
        <w:spacing w:line="360" w:lineRule="auto"/>
        <w:jc w:val="both"/>
        <w:rPr>
          <w:b/>
          <w:bCs/>
        </w:rPr>
      </w:pPr>
      <w:r w:rsidRPr="00FE26E0">
        <w:rPr>
          <w:b/>
          <w:bCs/>
        </w:rPr>
        <w:t>Analysis</w:t>
      </w:r>
    </w:p>
    <w:p w14:paraId="7B5DA462" w14:textId="77777777" w:rsidR="009A756B" w:rsidRPr="00973A67" w:rsidRDefault="009A756B" w:rsidP="009A756B">
      <w:pPr>
        <w:spacing w:line="360" w:lineRule="auto"/>
        <w:jc w:val="both"/>
      </w:pPr>
      <w:r w:rsidRPr="00973A67">
        <w:t xml:space="preserve">The process demonstrated that analytical frameworks </w:t>
      </w:r>
      <w:proofErr w:type="gramStart"/>
      <w:r w:rsidRPr="00973A67">
        <w:t>can</w:t>
      </w:r>
      <w:proofErr w:type="gramEnd"/>
      <w:r w:rsidRPr="00973A67">
        <w:t xml:space="preserve"> overlap without serving the same purpose. PESTEL should establish the external pressure, Hofstede should explain possible cultural responses, STP and the 7Ps should evaluate Toyota’s marketing implementation, and the recommendations should specify action. Repeating the BEV issue in each section did not automatically strengthen the analysis. A stronger approach was to develop the argument progressively: UK regulation creates the pressure, infrastructure and consumer affordability affect adoption, Toyota adapts its marketing mix, and the recommendation provides the strategic response. I also learned that corporate claims require triangulation with independent evidence. The ASA rulings, for example, allowed Toyota’s sustainability positioning to be evaluated rather than accepted uncritically.</w:t>
      </w:r>
    </w:p>
    <w:p w14:paraId="511B8FE3" w14:textId="77777777" w:rsidR="00716B6B" w:rsidRPr="00973A67" w:rsidRDefault="00716B6B" w:rsidP="009A756B">
      <w:pPr>
        <w:spacing w:line="360" w:lineRule="auto"/>
        <w:jc w:val="both"/>
      </w:pPr>
    </w:p>
    <w:p w14:paraId="2760997C" w14:textId="77777777" w:rsidR="00716B6B" w:rsidRPr="00973A67" w:rsidRDefault="00716B6B" w:rsidP="009A756B">
      <w:pPr>
        <w:spacing w:line="360" w:lineRule="auto"/>
        <w:jc w:val="both"/>
      </w:pPr>
    </w:p>
    <w:p w14:paraId="52784A8C" w14:textId="296BCB3D" w:rsidR="009A756B" w:rsidRPr="00FE26E0" w:rsidRDefault="009A756B" w:rsidP="009A756B">
      <w:pPr>
        <w:spacing w:line="360" w:lineRule="auto"/>
        <w:jc w:val="both"/>
        <w:rPr>
          <w:b/>
          <w:bCs/>
        </w:rPr>
      </w:pPr>
      <w:r w:rsidRPr="00FE26E0">
        <w:rPr>
          <w:b/>
          <w:bCs/>
        </w:rPr>
        <w:t>Conclusion</w:t>
      </w:r>
    </w:p>
    <w:p w14:paraId="6BD0BBF1" w14:textId="77777777" w:rsidR="009A756B" w:rsidRPr="00973A67" w:rsidRDefault="009A756B" w:rsidP="009A756B">
      <w:pPr>
        <w:spacing w:line="360" w:lineRule="auto"/>
        <w:jc w:val="both"/>
      </w:pPr>
      <w:r w:rsidRPr="00973A67">
        <w:t>If repeating the assessment, I would establish a distinct analytical purpose and word allowance for every section before conducting detailed research. This would reduce repetition and allow greater emphasis on synthesis and strategic judgement.</w:t>
      </w:r>
    </w:p>
    <w:p w14:paraId="41C6F9A6" w14:textId="77777777" w:rsidR="009A756B" w:rsidRPr="00FE26E0" w:rsidRDefault="009A756B" w:rsidP="009A756B">
      <w:pPr>
        <w:spacing w:line="360" w:lineRule="auto"/>
        <w:jc w:val="both"/>
        <w:rPr>
          <w:b/>
          <w:bCs/>
        </w:rPr>
      </w:pPr>
      <w:r w:rsidRPr="00FE26E0">
        <w:rPr>
          <w:b/>
          <w:bCs/>
        </w:rPr>
        <w:t>Action plan</w:t>
      </w:r>
    </w:p>
    <w:p w14:paraId="09641AC4" w14:textId="77777777" w:rsidR="009A756B" w:rsidRPr="00973A67" w:rsidRDefault="009A756B" w:rsidP="009A756B">
      <w:pPr>
        <w:spacing w:line="360" w:lineRule="auto"/>
        <w:jc w:val="both"/>
      </w:pPr>
      <w:r w:rsidRPr="00973A67">
        <w:t>For future reports, I will create an evidence matrix showing the source, reliability, framework and intended argument. I will use one principal paragraph for each major finding and cross-reference it rather than explain it repeatedly. I will also review word count after completing each section, distinguish historical evidence from current evidence, and keep a short research diary so that the reflective account is based on observations recorded during the process</w:t>
      </w:r>
    </w:p>
    <w:p w14:paraId="00C7C441" w14:textId="77777777" w:rsidR="002F443D" w:rsidRDefault="002F443D" w:rsidP="00B46317">
      <w:pPr>
        <w:spacing w:line="360" w:lineRule="auto"/>
        <w:jc w:val="both"/>
        <w:rPr>
          <w:b/>
          <w:bCs/>
          <w:color w:val="275317" w:themeColor="accent6" w:themeShade="80"/>
        </w:rPr>
      </w:pPr>
    </w:p>
    <w:p w14:paraId="184E5A47" w14:textId="77777777" w:rsidR="002F443D" w:rsidRDefault="002F443D" w:rsidP="00B46317">
      <w:pPr>
        <w:spacing w:line="360" w:lineRule="auto"/>
        <w:jc w:val="both"/>
        <w:rPr>
          <w:b/>
          <w:bCs/>
          <w:color w:val="275317" w:themeColor="accent6" w:themeShade="80"/>
        </w:rPr>
      </w:pPr>
    </w:p>
    <w:p w14:paraId="7EBE6ECC" w14:textId="77777777" w:rsidR="002F443D" w:rsidRDefault="002F443D" w:rsidP="00B46317">
      <w:pPr>
        <w:spacing w:line="360" w:lineRule="auto"/>
        <w:jc w:val="both"/>
        <w:rPr>
          <w:b/>
          <w:bCs/>
          <w:color w:val="275317" w:themeColor="accent6" w:themeShade="80"/>
        </w:rPr>
      </w:pPr>
    </w:p>
    <w:p w14:paraId="1ECA817B" w14:textId="77777777" w:rsidR="002F443D" w:rsidRDefault="002F443D" w:rsidP="00B46317">
      <w:pPr>
        <w:spacing w:line="360" w:lineRule="auto"/>
        <w:jc w:val="both"/>
        <w:rPr>
          <w:b/>
          <w:bCs/>
          <w:color w:val="275317" w:themeColor="accent6" w:themeShade="80"/>
        </w:rPr>
      </w:pPr>
    </w:p>
    <w:p w14:paraId="0648046B" w14:textId="77777777" w:rsidR="002F443D" w:rsidRDefault="002F443D" w:rsidP="00B46317">
      <w:pPr>
        <w:spacing w:line="360" w:lineRule="auto"/>
        <w:jc w:val="both"/>
        <w:rPr>
          <w:b/>
          <w:bCs/>
          <w:color w:val="275317" w:themeColor="accent6" w:themeShade="80"/>
        </w:rPr>
      </w:pPr>
    </w:p>
    <w:p w14:paraId="4D0302BD" w14:textId="77777777" w:rsidR="002F443D" w:rsidRDefault="002F443D" w:rsidP="00B46317">
      <w:pPr>
        <w:spacing w:line="360" w:lineRule="auto"/>
        <w:jc w:val="both"/>
        <w:rPr>
          <w:b/>
          <w:bCs/>
          <w:color w:val="275317" w:themeColor="accent6" w:themeShade="80"/>
        </w:rPr>
      </w:pPr>
    </w:p>
    <w:p w14:paraId="42E6B482" w14:textId="77777777" w:rsidR="002F443D" w:rsidRDefault="002F443D" w:rsidP="00B46317">
      <w:pPr>
        <w:spacing w:line="360" w:lineRule="auto"/>
        <w:jc w:val="both"/>
        <w:rPr>
          <w:b/>
          <w:bCs/>
          <w:color w:val="275317" w:themeColor="accent6" w:themeShade="80"/>
        </w:rPr>
      </w:pPr>
    </w:p>
    <w:p w14:paraId="69E6622A" w14:textId="77777777" w:rsidR="002F443D" w:rsidRDefault="002F443D" w:rsidP="00B46317">
      <w:pPr>
        <w:spacing w:line="360" w:lineRule="auto"/>
        <w:jc w:val="both"/>
        <w:rPr>
          <w:b/>
          <w:bCs/>
          <w:color w:val="275317" w:themeColor="accent6" w:themeShade="80"/>
        </w:rPr>
      </w:pPr>
    </w:p>
    <w:p w14:paraId="23808B17" w14:textId="77777777" w:rsidR="002F443D" w:rsidRDefault="002F443D" w:rsidP="00B46317">
      <w:pPr>
        <w:spacing w:line="360" w:lineRule="auto"/>
        <w:jc w:val="both"/>
        <w:rPr>
          <w:b/>
          <w:bCs/>
          <w:color w:val="275317" w:themeColor="accent6" w:themeShade="80"/>
        </w:rPr>
      </w:pPr>
    </w:p>
    <w:p w14:paraId="55A07CAC" w14:textId="77777777" w:rsidR="002F443D" w:rsidRDefault="002F443D" w:rsidP="00B46317">
      <w:pPr>
        <w:spacing w:line="360" w:lineRule="auto"/>
        <w:jc w:val="both"/>
        <w:rPr>
          <w:b/>
          <w:bCs/>
          <w:color w:val="275317" w:themeColor="accent6" w:themeShade="80"/>
        </w:rPr>
      </w:pPr>
    </w:p>
    <w:p w14:paraId="66F688DF" w14:textId="7D1E4E95" w:rsidR="006C7165" w:rsidRPr="0051071C" w:rsidRDefault="00B46317" w:rsidP="0051071C">
      <w:pPr>
        <w:spacing w:line="360" w:lineRule="auto"/>
        <w:jc w:val="both"/>
        <w:rPr>
          <w:b/>
          <w:bCs/>
        </w:rPr>
      </w:pPr>
      <w:r w:rsidRPr="0051071C">
        <w:rPr>
          <w:b/>
          <w:bCs/>
        </w:rPr>
        <w:lastRenderedPageBreak/>
        <w:t>References</w:t>
      </w:r>
      <w:r w:rsidR="006C7165" w:rsidRPr="0051071C">
        <w:rPr>
          <w:b/>
          <w:bCs/>
          <w:vanish/>
        </w:rPr>
        <w:t>Top of Form</w:t>
      </w:r>
    </w:p>
    <w:p w14:paraId="1AEDB6E5" w14:textId="77777777" w:rsidR="006C7165" w:rsidRPr="0051071C" w:rsidRDefault="006C7165" w:rsidP="0051071C">
      <w:pPr>
        <w:spacing w:line="360" w:lineRule="auto"/>
        <w:jc w:val="both"/>
        <w:rPr>
          <w:vanish/>
        </w:rPr>
      </w:pPr>
      <w:r w:rsidRPr="0051071C">
        <w:rPr>
          <w:vanish/>
        </w:rPr>
        <w:t>Bottom of Form</w:t>
      </w:r>
    </w:p>
    <w:p w14:paraId="519B3134" w14:textId="77777777" w:rsidR="0051071C" w:rsidRDefault="006C7165" w:rsidP="0051071C">
      <w:pPr>
        <w:spacing w:line="360" w:lineRule="auto"/>
        <w:jc w:val="both"/>
      </w:pPr>
      <w:r w:rsidRPr="0051071C">
        <w:t>Advertising Standards Authority (2025) ‘Environmental claims: Clear on emissions but not so sure about om</w:t>
      </w:r>
    </w:p>
    <w:p w14:paraId="1208185E" w14:textId="2A747AE3" w:rsidR="006C7165" w:rsidRPr="0051071C" w:rsidRDefault="006C7165" w:rsidP="0051071C">
      <w:pPr>
        <w:spacing w:line="360" w:lineRule="auto"/>
        <w:jc w:val="both"/>
      </w:pPr>
      <w:proofErr w:type="spellStart"/>
      <w:r w:rsidRPr="0051071C">
        <w:t>issions</w:t>
      </w:r>
      <w:proofErr w:type="spellEnd"/>
      <w:r w:rsidRPr="0051071C">
        <w:t>?’, 24 April.</w:t>
      </w:r>
    </w:p>
    <w:p w14:paraId="5B9B7E1A" w14:textId="77777777" w:rsidR="006C7165" w:rsidRPr="0051071C" w:rsidRDefault="006C7165" w:rsidP="0051071C">
      <w:pPr>
        <w:spacing w:line="360" w:lineRule="auto"/>
        <w:jc w:val="both"/>
      </w:pPr>
      <w:r w:rsidRPr="0051071C">
        <w:t xml:space="preserve">Advertising Standards Authority and Committee of Advertising Practice (2026) </w:t>
      </w:r>
      <w:r w:rsidRPr="0051071C">
        <w:rPr>
          <w:i/>
          <w:iCs/>
        </w:rPr>
        <w:t>Environmental claims: General “green” claims</w:t>
      </w:r>
      <w:r w:rsidRPr="0051071C">
        <w:t>. London: ASA/CAP.</w:t>
      </w:r>
    </w:p>
    <w:p w14:paraId="77418EDF" w14:textId="77777777" w:rsidR="006C7165" w:rsidRPr="0051071C" w:rsidRDefault="006C7165" w:rsidP="0051071C">
      <w:pPr>
        <w:spacing w:line="360" w:lineRule="auto"/>
        <w:jc w:val="both"/>
      </w:pPr>
      <w:r w:rsidRPr="0051071C">
        <w:t xml:space="preserve">ASA (2024). </w:t>
      </w:r>
      <w:r w:rsidRPr="0051071C">
        <w:rPr>
          <w:i/>
          <w:iCs/>
        </w:rPr>
        <w:t>Environmental claims: General “green” claims</w:t>
      </w:r>
      <w:r w:rsidRPr="0051071C">
        <w:t xml:space="preserve">. [online] </w:t>
      </w:r>
      <w:r w:rsidRPr="0051071C">
        <w:rPr>
          <w:i/>
          <w:iCs/>
        </w:rPr>
        <w:t>www.asa.org.uk</w:t>
      </w:r>
      <w:r w:rsidRPr="0051071C">
        <w:t>. Available at: https://www.asa.org.uk/advice-online/environmental-claims-general-green-claims.html [Accessed 23 July 2026].</w:t>
      </w:r>
    </w:p>
    <w:p w14:paraId="59590A58" w14:textId="77777777" w:rsidR="006C7165" w:rsidRPr="0051071C" w:rsidRDefault="006C7165" w:rsidP="0051071C">
      <w:pPr>
        <w:spacing w:line="360" w:lineRule="auto"/>
        <w:jc w:val="both"/>
      </w:pPr>
      <w:r w:rsidRPr="0051071C">
        <w:t xml:space="preserve">Bieker, G. (2021) </w:t>
      </w:r>
      <w:r w:rsidRPr="0051071C">
        <w:rPr>
          <w:i/>
          <w:iCs/>
        </w:rPr>
        <w:t>A global comparison of the life-cycle greenhouse gas emissions of combustion engine and electric passenger cars</w:t>
      </w:r>
      <w:r w:rsidRPr="0051071C">
        <w:t>. Berlin: International Council on Clean Transportation.</w:t>
      </w:r>
    </w:p>
    <w:p w14:paraId="47EEB7B9" w14:textId="32EC4E4E" w:rsidR="006C7165" w:rsidRPr="0051071C" w:rsidRDefault="006C7165" w:rsidP="0051071C">
      <w:pPr>
        <w:spacing w:line="360" w:lineRule="auto"/>
        <w:jc w:val="both"/>
      </w:pPr>
      <w:r w:rsidRPr="0051071C">
        <w:t xml:space="preserve">Carver, D. (2021). Global net zero commitments. </w:t>
      </w:r>
      <w:r w:rsidRPr="0051071C">
        <w:rPr>
          <w:i/>
          <w:iCs/>
        </w:rPr>
        <w:t>Commonslibrary.parliament.uk</w:t>
      </w:r>
      <w:r w:rsidRPr="0051071C">
        <w:t xml:space="preserve">. [online] Available at: </w:t>
      </w:r>
      <w:hyperlink r:id="rId8" w:history="1">
        <w:r w:rsidR="006F275E" w:rsidRPr="0051071C">
          <w:rPr>
            <w:rStyle w:val="Hyperlink"/>
            <w:color w:val="auto"/>
          </w:rPr>
          <w:t>https://commonslibrary.parliament.uk/global-net-zero-commitments/</w:t>
        </w:r>
      </w:hyperlink>
      <w:r w:rsidR="006F275E" w:rsidRPr="0051071C">
        <w:t xml:space="preserve"> </w:t>
      </w:r>
    </w:p>
    <w:p w14:paraId="2C0B014F" w14:textId="77777777" w:rsidR="006C7165" w:rsidRPr="0051071C" w:rsidRDefault="006C7165" w:rsidP="0051071C">
      <w:pPr>
        <w:spacing w:line="360" w:lineRule="auto"/>
        <w:jc w:val="both"/>
      </w:pPr>
      <w:r w:rsidRPr="0051071C">
        <w:t xml:space="preserve">Competition and Markets Authority (2025) </w:t>
      </w:r>
      <w:r w:rsidRPr="0051071C">
        <w:rPr>
          <w:i/>
          <w:iCs/>
        </w:rPr>
        <w:t>Direct consumer enforcement guidance: CMA200</w:t>
      </w:r>
      <w:r w:rsidRPr="0051071C">
        <w:t>. London: Competition and Markets Authority.</w:t>
      </w:r>
    </w:p>
    <w:p w14:paraId="3D3E0A04" w14:textId="77777777" w:rsidR="006C7165" w:rsidRPr="0051071C" w:rsidRDefault="006C7165" w:rsidP="0051071C">
      <w:pPr>
        <w:spacing w:line="360" w:lineRule="auto"/>
        <w:jc w:val="both"/>
      </w:pPr>
      <w:r w:rsidRPr="0051071C">
        <w:t xml:space="preserve">Consumer Affairs Agency (2026) </w:t>
      </w:r>
      <w:r w:rsidRPr="0051071C">
        <w:rPr>
          <w:i/>
          <w:iCs/>
        </w:rPr>
        <w:t>Toward a Safe, Secure and Prosperous Society</w:t>
      </w:r>
      <w:r w:rsidRPr="0051071C">
        <w:t>. Tokyo: Government of Japan.</w:t>
      </w:r>
    </w:p>
    <w:p w14:paraId="10131EE3" w14:textId="77777777" w:rsidR="006C7165" w:rsidRPr="0051071C" w:rsidRDefault="006C7165" w:rsidP="0051071C">
      <w:pPr>
        <w:spacing w:line="360" w:lineRule="auto"/>
        <w:jc w:val="both"/>
      </w:pPr>
      <w:r w:rsidRPr="0051071C">
        <w:t xml:space="preserve">Department for Business and Trade (2020) </w:t>
      </w:r>
      <w:r w:rsidRPr="0051071C">
        <w:rPr>
          <w:i/>
          <w:iCs/>
        </w:rPr>
        <w:t>Summary of the UK–Japan Comprehensive Economic Partnership Agreement</w:t>
      </w:r>
      <w:r w:rsidRPr="0051071C">
        <w:t>. London: UK Government.</w:t>
      </w:r>
    </w:p>
    <w:p w14:paraId="48949F5D" w14:textId="77777777" w:rsidR="006C7165" w:rsidRPr="0051071C" w:rsidRDefault="006C7165" w:rsidP="0051071C">
      <w:pPr>
        <w:spacing w:line="360" w:lineRule="auto"/>
        <w:jc w:val="both"/>
      </w:pPr>
      <w:r w:rsidRPr="0051071C">
        <w:t xml:space="preserve">Department for Business and Trade (2020) </w:t>
      </w:r>
      <w:r w:rsidRPr="0051071C">
        <w:rPr>
          <w:i/>
          <w:iCs/>
        </w:rPr>
        <w:t>Summary of the UK–Japan Comprehensive Economic Partnership Agreement</w:t>
      </w:r>
      <w:r w:rsidRPr="0051071C">
        <w:t>. London: UK Government.</w:t>
      </w:r>
    </w:p>
    <w:p w14:paraId="08B295C5" w14:textId="77777777" w:rsidR="006C7165" w:rsidRPr="0051071C" w:rsidRDefault="006C7165" w:rsidP="0051071C">
      <w:pPr>
        <w:spacing w:line="360" w:lineRule="auto"/>
        <w:jc w:val="both"/>
      </w:pPr>
      <w:r w:rsidRPr="0051071C">
        <w:t xml:space="preserve">Department for Transport (2025) </w:t>
      </w:r>
      <w:r w:rsidRPr="0051071C">
        <w:rPr>
          <w:i/>
          <w:iCs/>
        </w:rPr>
        <w:t>Phasing out sales of new petrol and diesel cars from 2030 and supporting the zero-emission vehicle transition</w:t>
      </w:r>
      <w:r w:rsidRPr="0051071C">
        <w:t>. London: UK Government.</w:t>
      </w:r>
    </w:p>
    <w:p w14:paraId="79C53376" w14:textId="77777777" w:rsidR="006C7165" w:rsidRPr="0051071C" w:rsidRDefault="006C7165" w:rsidP="0051071C">
      <w:pPr>
        <w:spacing w:line="360" w:lineRule="auto"/>
        <w:jc w:val="both"/>
      </w:pPr>
      <w:r w:rsidRPr="0051071C">
        <w:lastRenderedPageBreak/>
        <w:t xml:space="preserve">Department for Transport (2026) </w:t>
      </w:r>
      <w:r w:rsidRPr="0051071C">
        <w:rPr>
          <w:i/>
          <w:iCs/>
        </w:rPr>
        <w:t>Public electric vehicle charging infrastructure statistics: 1 April 2026</w:t>
      </w:r>
      <w:r w:rsidRPr="0051071C">
        <w:t>. London: UK Government.</w:t>
      </w:r>
    </w:p>
    <w:p w14:paraId="1D542058" w14:textId="77777777" w:rsidR="006C7165" w:rsidRPr="0051071C" w:rsidRDefault="006C7165" w:rsidP="0051071C">
      <w:pPr>
        <w:spacing w:line="360" w:lineRule="auto"/>
        <w:jc w:val="both"/>
      </w:pPr>
      <w:r w:rsidRPr="0051071C">
        <w:t xml:space="preserve">Dunning, J.H. (1988) ‘The eclectic paradigm of international production: A restatement and some possible extensions’, </w:t>
      </w:r>
      <w:r w:rsidRPr="0051071C">
        <w:rPr>
          <w:i/>
          <w:iCs/>
        </w:rPr>
        <w:t>Journal of International Business Studies</w:t>
      </w:r>
      <w:r w:rsidRPr="0051071C">
        <w:t>, 19(1), pp. 1–31.</w:t>
      </w:r>
    </w:p>
    <w:p w14:paraId="3F6987CA" w14:textId="77777777" w:rsidR="006C7165" w:rsidRPr="0051071C" w:rsidRDefault="006C7165" w:rsidP="0051071C">
      <w:pPr>
        <w:spacing w:line="360" w:lineRule="auto"/>
        <w:jc w:val="both"/>
      </w:pPr>
      <w:r w:rsidRPr="0051071C">
        <w:t xml:space="preserve">Geels, F.W., Smith Stegen, K., Trencher, G. and Wells, P.P. (2026) ‘The temporal evolution of resistance strategies during low-carbon transitions: Revealing the industry playbook of US, German, and Japanese automakers in the unfolding electric vehicle transition (1990–2025)’, </w:t>
      </w:r>
      <w:r w:rsidRPr="0051071C">
        <w:rPr>
          <w:i/>
          <w:iCs/>
        </w:rPr>
        <w:t>Energy Research &amp; Social Science</w:t>
      </w:r>
      <w:r w:rsidRPr="0051071C">
        <w:t xml:space="preserve">, 131, 104492. </w:t>
      </w:r>
      <w:proofErr w:type="spellStart"/>
      <w:r w:rsidRPr="0051071C">
        <w:t>doi</w:t>
      </w:r>
      <w:proofErr w:type="spellEnd"/>
      <w:r w:rsidRPr="0051071C">
        <w:t>: 10.1016/j.erss.2025.104492.</w:t>
      </w:r>
    </w:p>
    <w:p w14:paraId="4E8B3696" w14:textId="77777777" w:rsidR="006C7165" w:rsidRPr="0051071C" w:rsidRDefault="006C7165" w:rsidP="0051071C">
      <w:pPr>
        <w:spacing w:line="360" w:lineRule="auto"/>
        <w:jc w:val="both"/>
      </w:pPr>
      <w:r w:rsidRPr="0051071C">
        <w:t xml:space="preserve">GOV.UK (2021). </w:t>
      </w:r>
      <w:r w:rsidRPr="0051071C">
        <w:rPr>
          <w:i/>
          <w:iCs/>
        </w:rPr>
        <w:t>Making environmental claims on goods and services</w:t>
      </w:r>
      <w:r w:rsidRPr="0051071C">
        <w:t xml:space="preserve">. [online] </w:t>
      </w:r>
      <w:r w:rsidRPr="0051071C">
        <w:rPr>
          <w:i/>
          <w:iCs/>
        </w:rPr>
        <w:t>GOV.UK</w:t>
      </w:r>
      <w:r w:rsidRPr="0051071C">
        <w:t>. Available at: https://www.gov.uk/government/publications/green-claims-code-making-environmental-claims/environmental-claims-on-goods-and-services [Accessed 23 July 2026].</w:t>
      </w:r>
    </w:p>
    <w:p w14:paraId="4DB9E90A" w14:textId="77777777" w:rsidR="006C7165" w:rsidRPr="0051071C" w:rsidRDefault="006C7165" w:rsidP="0051071C">
      <w:pPr>
        <w:spacing w:line="360" w:lineRule="auto"/>
        <w:jc w:val="both"/>
      </w:pPr>
      <w:r w:rsidRPr="0051071C">
        <w:t xml:space="preserve">Great Britain (2003) </w:t>
      </w:r>
      <w:r w:rsidRPr="0051071C">
        <w:rPr>
          <w:i/>
          <w:iCs/>
        </w:rPr>
        <w:t>The Privacy and Electronic Communications (EC Directive) Regulations 2003</w:t>
      </w:r>
      <w:r w:rsidRPr="0051071C">
        <w:t>, SI 2003/2426. London: The Stationery Office.</w:t>
      </w:r>
    </w:p>
    <w:p w14:paraId="702E0896" w14:textId="77777777" w:rsidR="006C7165" w:rsidRPr="0051071C" w:rsidRDefault="006C7165" w:rsidP="0051071C">
      <w:pPr>
        <w:spacing w:line="360" w:lineRule="auto"/>
        <w:jc w:val="both"/>
      </w:pPr>
      <w:r w:rsidRPr="0051071C">
        <w:t xml:space="preserve">Great Britain (2018) </w:t>
      </w:r>
      <w:r w:rsidRPr="0051071C">
        <w:rPr>
          <w:i/>
          <w:iCs/>
        </w:rPr>
        <w:t>Data Protection Act 2018</w:t>
      </w:r>
      <w:r w:rsidRPr="0051071C">
        <w:t>, c. 12. London: The Stationery Office.</w:t>
      </w:r>
    </w:p>
    <w:p w14:paraId="310C482C" w14:textId="77777777" w:rsidR="006C7165" w:rsidRPr="0051071C" w:rsidRDefault="006C7165" w:rsidP="0051071C">
      <w:pPr>
        <w:spacing w:line="360" w:lineRule="auto"/>
        <w:jc w:val="both"/>
      </w:pPr>
      <w:r w:rsidRPr="0051071C">
        <w:t xml:space="preserve">Great Britain (2024) </w:t>
      </w:r>
      <w:r w:rsidRPr="0051071C">
        <w:rPr>
          <w:i/>
          <w:iCs/>
        </w:rPr>
        <w:t>Digital Markets, Competition and Consumers Act 2024</w:t>
      </w:r>
      <w:r w:rsidRPr="0051071C">
        <w:t>, c. 13. London: The Stationery Office.</w:t>
      </w:r>
    </w:p>
    <w:p w14:paraId="3F398631" w14:textId="77777777" w:rsidR="006C7165" w:rsidRPr="0051071C" w:rsidRDefault="006C7165" w:rsidP="0051071C">
      <w:pPr>
        <w:spacing w:line="360" w:lineRule="auto"/>
        <w:jc w:val="both"/>
      </w:pPr>
      <w:r w:rsidRPr="0051071C">
        <w:t>Han, C.M. (2016) 'Global identity strategy and its efficacy for Asian brands: Is Toyota global or Japanese to consumers?', </w:t>
      </w:r>
      <w:r w:rsidRPr="0051071C">
        <w:rPr>
          <w:i/>
          <w:iCs/>
        </w:rPr>
        <w:t>Asia Pacific Journal of Marketing and Logistics</w:t>
      </w:r>
      <w:r w:rsidRPr="0051071C">
        <w:t>, 28(5), pp. 862–877. doi:10.1108/APJML-11-2015-0173.</w:t>
      </w:r>
      <w:hyperlink r:id="rId9" w:anchor="75321574" w:tgtFrame="_blank" w:history="1">
        <w:r w:rsidRPr="0051071C">
          <w:rPr>
            <w:rStyle w:val="Hyperlink"/>
            <w:color w:val="auto"/>
          </w:rPr>
          <w:t>-59</w:t>
        </w:r>
      </w:hyperlink>
    </w:p>
    <w:p w14:paraId="07FBBB31" w14:textId="65367B28" w:rsidR="006C7165" w:rsidRPr="0051071C" w:rsidRDefault="003836EE" w:rsidP="0051071C">
      <w:pPr>
        <w:spacing w:line="360" w:lineRule="auto"/>
        <w:jc w:val="both"/>
      </w:pPr>
      <w:proofErr w:type="spellStart"/>
      <w:r>
        <w:t>avr</w:t>
      </w:r>
      <w:r w:rsidR="006C7165" w:rsidRPr="0051071C">
        <w:t>Hines</w:t>
      </w:r>
      <w:proofErr w:type="spellEnd"/>
      <w:r w:rsidR="006C7165" w:rsidRPr="0051071C">
        <w:t>, P. (2016). Toyota Supplier System in Japan and the UK. In: Pawar, K.S., Rogers, H., Potter, A., Naim, M. (eds) Developments in Logistics and Supply Chain Management. Palgrave Macmillan, London. https://doi.org/10.1057/9781137541253_11</w:t>
      </w:r>
    </w:p>
    <w:p w14:paraId="5F48FF98" w14:textId="77777777" w:rsidR="006C7165" w:rsidRPr="0051071C" w:rsidRDefault="006C7165" w:rsidP="0051071C">
      <w:pPr>
        <w:spacing w:line="360" w:lineRule="auto"/>
        <w:jc w:val="both"/>
      </w:pPr>
      <w:r w:rsidRPr="0051071C">
        <w:lastRenderedPageBreak/>
        <w:t xml:space="preserve">Hofstede, G., Hofstede, G.J. and Minkov, M. (2010) *Cultures and Organizations: Software of the Mind*. 3rd </w:t>
      </w:r>
      <w:proofErr w:type="spellStart"/>
      <w:r w:rsidRPr="0051071C">
        <w:t>edn</w:t>
      </w:r>
      <w:proofErr w:type="spellEnd"/>
      <w:r w:rsidRPr="0051071C">
        <w:t>. New York: McGraw-</w:t>
      </w:r>
      <w:proofErr w:type="spellStart"/>
      <w:r w:rsidRPr="0051071C">
        <w:t>Hill.Comparative</w:t>
      </w:r>
      <w:proofErr w:type="spellEnd"/>
      <w:r w:rsidRPr="0051071C">
        <w:t xml:space="preserve"> synthesis</w:t>
      </w:r>
    </w:p>
    <w:p w14:paraId="3296EEDD" w14:textId="77777777" w:rsidR="006C7165" w:rsidRPr="0051071C" w:rsidRDefault="006C7165" w:rsidP="0051071C">
      <w:pPr>
        <w:spacing w:line="360" w:lineRule="auto"/>
        <w:jc w:val="both"/>
      </w:pPr>
      <w:r w:rsidRPr="0051071C">
        <w:t xml:space="preserve">Information Commissioner’s Office (2026) </w:t>
      </w:r>
      <w:r w:rsidRPr="0051071C">
        <w:rPr>
          <w:i/>
          <w:iCs/>
        </w:rPr>
        <w:t>Direct marketing and privacy and electronic communications guidance</w:t>
      </w:r>
      <w:r w:rsidRPr="0051071C">
        <w:t>. Wilmslow: ICO.</w:t>
      </w:r>
    </w:p>
    <w:p w14:paraId="040193C6" w14:textId="77777777" w:rsidR="006C7165" w:rsidRPr="0051071C" w:rsidRDefault="006C7165" w:rsidP="0051071C">
      <w:pPr>
        <w:spacing w:line="360" w:lineRule="auto"/>
        <w:jc w:val="both"/>
      </w:pPr>
      <w:r w:rsidRPr="0051071C">
        <w:t xml:space="preserve">International Energy Agency (2026) </w:t>
      </w:r>
      <w:r w:rsidRPr="0051071C">
        <w:rPr>
          <w:i/>
          <w:iCs/>
        </w:rPr>
        <w:t>Global EV Outlook 2026</w:t>
      </w:r>
      <w:r w:rsidRPr="0051071C">
        <w:t>. Paris: IEA.</w:t>
      </w:r>
    </w:p>
    <w:p w14:paraId="4B8ECEB9" w14:textId="77777777" w:rsidR="006C7165" w:rsidRPr="0051071C" w:rsidRDefault="006C7165" w:rsidP="0051071C">
      <w:pPr>
        <w:spacing w:line="360" w:lineRule="auto"/>
        <w:jc w:val="both"/>
      </w:pPr>
      <w:r w:rsidRPr="0051071C">
        <w:t xml:space="preserve">Japan Automobile Manufacturers Association (2019) </w:t>
      </w:r>
      <w:r w:rsidRPr="0051071C">
        <w:rPr>
          <w:i/>
          <w:iCs/>
        </w:rPr>
        <w:t>The Motor Industry of Japan 2019</w:t>
      </w:r>
      <w:r w:rsidRPr="0051071C">
        <w:t>. Tokyo: JAMA.</w:t>
      </w:r>
    </w:p>
    <w:p w14:paraId="409D7E18" w14:textId="77777777" w:rsidR="006C7165" w:rsidRPr="0051071C" w:rsidRDefault="006C7165" w:rsidP="0051071C">
      <w:pPr>
        <w:spacing w:line="360" w:lineRule="auto"/>
        <w:jc w:val="both"/>
      </w:pPr>
      <w:r w:rsidRPr="0051071C">
        <w:t xml:space="preserve">Johanson, J. and Vahlne, J.-E. (1977) ‘The internationalization process of the firm’, </w:t>
      </w:r>
      <w:r w:rsidRPr="0051071C">
        <w:rPr>
          <w:i/>
          <w:iCs/>
        </w:rPr>
        <w:t>Journal of International Business Studies</w:t>
      </w:r>
      <w:r w:rsidRPr="0051071C">
        <w:t>, 8(1), pp. 23–32.</w:t>
      </w:r>
    </w:p>
    <w:p w14:paraId="74FB22AD" w14:textId="77777777" w:rsidR="006C7165" w:rsidRPr="0051071C" w:rsidRDefault="006C7165" w:rsidP="0051071C">
      <w:pPr>
        <w:spacing w:line="360" w:lineRule="auto"/>
        <w:jc w:val="both"/>
      </w:pPr>
      <w:r w:rsidRPr="0051071C">
        <w:t xml:space="preserve">McSweeney, B. (2002) ‘Hofstede’s model of national cultural differences and their consequences: A triumph of faith—a failure of analysis’, </w:t>
      </w:r>
      <w:r w:rsidRPr="0051071C">
        <w:rPr>
          <w:i/>
          <w:iCs/>
        </w:rPr>
        <w:t>Human Relations</w:t>
      </w:r>
      <w:r w:rsidRPr="0051071C">
        <w:t xml:space="preserve">, 55(1), pp. 89–118. </w:t>
      </w:r>
      <w:proofErr w:type="spellStart"/>
      <w:r w:rsidRPr="0051071C">
        <w:t>doi</w:t>
      </w:r>
      <w:proofErr w:type="spellEnd"/>
      <w:r w:rsidRPr="0051071C">
        <w:t>: 10.1177/0018726702551004.</w:t>
      </w:r>
    </w:p>
    <w:p w14:paraId="5D35C03A" w14:textId="77777777" w:rsidR="006C7165" w:rsidRPr="0051071C" w:rsidRDefault="006C7165" w:rsidP="0051071C">
      <w:pPr>
        <w:spacing w:line="360" w:lineRule="auto"/>
        <w:jc w:val="both"/>
      </w:pPr>
      <w:r w:rsidRPr="0051071C">
        <w:t xml:space="preserve">Miller, K. (2022). </w:t>
      </w:r>
      <w:r w:rsidRPr="0051071C">
        <w:rPr>
          <w:i/>
          <w:iCs/>
        </w:rPr>
        <w:t>An astute and engaging pestle analysis of Toyota</w:t>
      </w:r>
      <w:r w:rsidRPr="0051071C">
        <w:t xml:space="preserve">. [online] </w:t>
      </w:r>
      <w:proofErr w:type="spellStart"/>
      <w:r w:rsidRPr="0051071C">
        <w:t>Crowjack</w:t>
      </w:r>
      <w:proofErr w:type="spellEnd"/>
      <w:r w:rsidRPr="0051071C">
        <w:t xml:space="preserve">. Available at: </w:t>
      </w:r>
      <w:hyperlink r:id="rId10" w:history="1">
        <w:r w:rsidRPr="0051071C">
          <w:rPr>
            <w:rStyle w:val="Hyperlink"/>
            <w:color w:val="auto"/>
          </w:rPr>
          <w:t>https://crowjack.com/pestle-analysis/toyota</w:t>
        </w:r>
      </w:hyperlink>
      <w:r w:rsidRPr="0051071C">
        <w:t xml:space="preserve"> </w:t>
      </w:r>
    </w:p>
    <w:p w14:paraId="721C52ED" w14:textId="77777777" w:rsidR="006C7165" w:rsidRPr="0051071C" w:rsidRDefault="006C7165" w:rsidP="0051071C">
      <w:pPr>
        <w:spacing w:line="360" w:lineRule="auto"/>
        <w:jc w:val="both"/>
      </w:pPr>
      <w:r w:rsidRPr="0051071C">
        <w:t xml:space="preserve">Ministry of Economy, Trade and Industry (2019). </w:t>
      </w:r>
      <w:r w:rsidRPr="0051071C">
        <w:rPr>
          <w:i/>
          <w:iCs/>
        </w:rPr>
        <w:t>Automobile industry / METI ministry of Economy, trade and industry</w:t>
      </w:r>
      <w:r w:rsidRPr="0051071C">
        <w:t xml:space="preserve">. [online] Www.meti.go.jp. Available at: </w:t>
      </w:r>
      <w:hyperlink r:id="rId11" w:history="1">
        <w:r w:rsidRPr="0051071C">
          <w:rPr>
            <w:rStyle w:val="Hyperlink"/>
            <w:color w:val="auto"/>
          </w:rPr>
          <w:t>https://www.meti.go.jp/english/policy/mono_info_service/automobile_industry/index.html</w:t>
        </w:r>
      </w:hyperlink>
      <w:r w:rsidRPr="0051071C">
        <w:t xml:space="preserve"> </w:t>
      </w:r>
    </w:p>
    <w:p w14:paraId="43A6307B" w14:textId="77777777" w:rsidR="006C7165" w:rsidRPr="0051071C" w:rsidRDefault="006C7165" w:rsidP="0051071C">
      <w:pPr>
        <w:spacing w:line="360" w:lineRule="auto"/>
        <w:jc w:val="both"/>
      </w:pPr>
      <w:r w:rsidRPr="0051071C">
        <w:t xml:space="preserve">Ministry of Economy, Trade and Industry (2024) </w:t>
      </w:r>
      <w:r w:rsidRPr="0051071C">
        <w:rPr>
          <w:i/>
          <w:iCs/>
        </w:rPr>
        <w:t>Clean energy vehicle policy</w:t>
      </w:r>
      <w:r w:rsidRPr="0051071C">
        <w:t>. Tokyo: METI.</w:t>
      </w:r>
    </w:p>
    <w:p w14:paraId="599EA531" w14:textId="77777777" w:rsidR="006C7165" w:rsidRPr="0051071C" w:rsidRDefault="006C7165" w:rsidP="0051071C">
      <w:pPr>
        <w:spacing w:line="360" w:lineRule="auto"/>
        <w:jc w:val="both"/>
      </w:pPr>
      <w:r w:rsidRPr="0051071C">
        <w:t xml:space="preserve">Ministry of Economy, Trade and Industry (2024) </w:t>
      </w:r>
      <w:r w:rsidRPr="0051071C">
        <w:rPr>
          <w:i/>
          <w:iCs/>
        </w:rPr>
        <w:t>Subsidies for the Purchase of Clean Energy Vehicles</w:t>
      </w:r>
      <w:r w:rsidRPr="0051071C">
        <w:t>. Tokyo: METI.</w:t>
      </w:r>
    </w:p>
    <w:p w14:paraId="36341FB8" w14:textId="77777777" w:rsidR="006C7165" w:rsidRPr="0051071C" w:rsidRDefault="006C7165" w:rsidP="0051071C">
      <w:pPr>
        <w:spacing w:line="360" w:lineRule="auto"/>
        <w:jc w:val="both"/>
      </w:pPr>
      <w:r w:rsidRPr="0051071C">
        <w:t xml:space="preserve">Ministry of Economy, Trade and Industry (2026) </w:t>
      </w:r>
      <w:r w:rsidRPr="0051071C">
        <w:rPr>
          <w:i/>
          <w:iCs/>
        </w:rPr>
        <w:t>Battery and Power Industry Strategy</w:t>
      </w:r>
      <w:r w:rsidRPr="0051071C">
        <w:t>. Tokyo: METI.</w:t>
      </w:r>
    </w:p>
    <w:p w14:paraId="21F8B1E8" w14:textId="4243B937" w:rsidR="006C7165" w:rsidRPr="0051071C" w:rsidRDefault="006C7165" w:rsidP="0051071C">
      <w:pPr>
        <w:spacing w:line="360" w:lineRule="auto"/>
        <w:jc w:val="both"/>
      </w:pPr>
      <w:r w:rsidRPr="0051071C">
        <w:lastRenderedPageBreak/>
        <w:t xml:space="preserve">OECD (2024). </w:t>
      </w:r>
      <w:proofErr w:type="gramStart"/>
      <w:r w:rsidRPr="0051071C">
        <w:rPr>
          <w:i/>
          <w:iCs/>
        </w:rPr>
        <w:t>United kingdom</w:t>
      </w:r>
      <w:proofErr w:type="gramEnd"/>
      <w:r w:rsidRPr="0051071C">
        <w:rPr>
          <w:i/>
          <w:iCs/>
        </w:rPr>
        <w:t xml:space="preserve"> economic snapshot</w:t>
      </w:r>
      <w:r w:rsidRPr="0051071C">
        <w:t xml:space="preserve">. [online] </w:t>
      </w:r>
      <w:r w:rsidRPr="0051071C">
        <w:rPr>
          <w:i/>
          <w:iCs/>
        </w:rPr>
        <w:t>OECD</w:t>
      </w:r>
      <w:r w:rsidRPr="0051071C">
        <w:t xml:space="preserve">. Available at: </w:t>
      </w:r>
      <w:hyperlink r:id="rId12" w:history="1">
        <w:r w:rsidR="00521741" w:rsidRPr="0051071C">
          <w:rPr>
            <w:rStyle w:val="Hyperlink"/>
            <w:color w:val="auto"/>
          </w:rPr>
          <w:t>https://www.oecd.org/en/topics/sub-issues/economic-surveys/united-kingdom-economic-snapshot.html</w:t>
        </w:r>
      </w:hyperlink>
      <w:r w:rsidR="00521741" w:rsidRPr="0051071C">
        <w:t xml:space="preserve"> </w:t>
      </w:r>
    </w:p>
    <w:p w14:paraId="5CCDD0E5" w14:textId="77777777" w:rsidR="006C7165" w:rsidRPr="0051071C" w:rsidRDefault="006C7165" w:rsidP="0051071C">
      <w:pPr>
        <w:spacing w:line="360" w:lineRule="auto"/>
        <w:jc w:val="both"/>
      </w:pPr>
      <w:r w:rsidRPr="0051071C">
        <w:t>OECD (2026), </w:t>
      </w:r>
      <w:r w:rsidRPr="0051071C">
        <w:rPr>
          <w:i/>
          <w:iCs/>
        </w:rPr>
        <w:t>OECD Economic Outlook, Volume 2026 Issue 1: Under Pressure</w:t>
      </w:r>
      <w:r w:rsidRPr="0051071C">
        <w:t>, OECD Publishing, Paris, </w:t>
      </w:r>
      <w:hyperlink r:id="rId13" w:history="1">
        <w:r w:rsidRPr="0051071C">
          <w:rPr>
            <w:rStyle w:val="Hyperlink"/>
            <w:color w:val="auto"/>
          </w:rPr>
          <w:t>https://doi.org/10.1787/2d1956f0-en</w:t>
        </w:r>
      </w:hyperlink>
      <w:r w:rsidRPr="0051071C">
        <w:t xml:space="preserve">. </w:t>
      </w:r>
    </w:p>
    <w:p w14:paraId="5ED3C332" w14:textId="5CD2659C" w:rsidR="006C7165" w:rsidRPr="0051071C" w:rsidRDefault="006C7165" w:rsidP="0051071C">
      <w:pPr>
        <w:spacing w:line="360" w:lineRule="auto"/>
        <w:jc w:val="both"/>
      </w:pPr>
      <w:r w:rsidRPr="0051071C">
        <w:t xml:space="preserve">OECD (2026) </w:t>
      </w:r>
      <w:r w:rsidRPr="0051071C">
        <w:rPr>
          <w:i/>
          <w:iCs/>
        </w:rPr>
        <w:t>OECD Economic Surveys: Japan 2026</w:t>
      </w:r>
      <w:r w:rsidRPr="0051071C">
        <w:t>. Paris: OECD Publishing.</w:t>
      </w:r>
    </w:p>
    <w:p w14:paraId="7CF4457A" w14:textId="0E90EE70" w:rsidR="006C7165" w:rsidRPr="0051071C" w:rsidRDefault="006C7165" w:rsidP="0051071C">
      <w:pPr>
        <w:spacing w:line="360" w:lineRule="auto"/>
        <w:jc w:val="both"/>
      </w:pPr>
      <w:r w:rsidRPr="0051071C">
        <w:t xml:space="preserve">OECD (2026) </w:t>
      </w:r>
      <w:r w:rsidRPr="0051071C">
        <w:rPr>
          <w:i/>
          <w:iCs/>
        </w:rPr>
        <w:t>OECD Economic Surveys: United Kingdom 2026</w:t>
      </w:r>
      <w:r w:rsidRPr="0051071C">
        <w:t>. Paris: OECD Publishing.</w:t>
      </w:r>
    </w:p>
    <w:p w14:paraId="421A643D" w14:textId="77777777" w:rsidR="006C7165" w:rsidRPr="0051071C" w:rsidRDefault="006C7165" w:rsidP="0051071C">
      <w:pPr>
        <w:spacing w:line="360" w:lineRule="auto"/>
        <w:jc w:val="both"/>
      </w:pPr>
      <w:r w:rsidRPr="0051071C">
        <w:t xml:space="preserve">Office for National Statistics (2025) </w:t>
      </w:r>
      <w:r w:rsidRPr="0051071C">
        <w:rPr>
          <w:i/>
          <w:iCs/>
        </w:rPr>
        <w:t>Population estimates for the UK: Mid-2024</w:t>
      </w:r>
      <w:r w:rsidRPr="0051071C">
        <w:t>. Newport: ONS.</w:t>
      </w:r>
    </w:p>
    <w:p w14:paraId="09844903" w14:textId="77777777" w:rsidR="006C7165" w:rsidRPr="0051071C" w:rsidRDefault="006C7165" w:rsidP="0051071C">
      <w:pPr>
        <w:spacing w:line="360" w:lineRule="auto"/>
        <w:jc w:val="both"/>
      </w:pPr>
      <w:r w:rsidRPr="0051071C">
        <w:t xml:space="preserve">Office for National Statistics (2026) </w:t>
      </w:r>
      <w:r w:rsidRPr="0051071C">
        <w:rPr>
          <w:i/>
          <w:iCs/>
        </w:rPr>
        <w:t>National population projections: 2024-based</w:t>
      </w:r>
      <w:r w:rsidRPr="0051071C">
        <w:t>. Newport: ONS.</w:t>
      </w:r>
    </w:p>
    <w:p w14:paraId="32F1AB31" w14:textId="77777777" w:rsidR="006C7165" w:rsidRPr="0051071C" w:rsidRDefault="006C7165" w:rsidP="0051071C">
      <w:pPr>
        <w:spacing w:line="360" w:lineRule="auto"/>
        <w:jc w:val="both"/>
      </w:pPr>
      <w:r w:rsidRPr="0051071C">
        <w:t xml:space="preserve">Personal Information Protection Commission (2023) </w:t>
      </w:r>
      <w:r w:rsidRPr="0051071C">
        <w:rPr>
          <w:i/>
          <w:iCs/>
        </w:rPr>
        <w:t>Act on the Protection of Personal Information: Consolidated text</w:t>
      </w:r>
      <w:r w:rsidRPr="0051071C">
        <w:t>. Tokyo: Government of Japan.</w:t>
      </w:r>
    </w:p>
    <w:p w14:paraId="7C414BFE" w14:textId="77777777" w:rsidR="006C7165" w:rsidRPr="0051071C" w:rsidRDefault="006C7165" w:rsidP="0051071C">
      <w:pPr>
        <w:spacing w:line="360" w:lineRule="auto"/>
        <w:jc w:val="both"/>
      </w:pPr>
      <w:r w:rsidRPr="0051071C">
        <w:t xml:space="preserve">Personal Information Protection Commission (2023). </w:t>
      </w:r>
      <w:r w:rsidRPr="0051071C">
        <w:rPr>
          <w:i/>
          <w:iCs/>
        </w:rPr>
        <w:t>Laws and policies</w:t>
      </w:r>
      <w:r w:rsidRPr="0051071C">
        <w:t xml:space="preserve">. [online] </w:t>
      </w:r>
      <w:r w:rsidRPr="0051071C">
        <w:rPr>
          <w:i/>
          <w:iCs/>
        </w:rPr>
        <w:t>Ppc.go.jp</w:t>
      </w:r>
      <w:r w:rsidRPr="0051071C">
        <w:t>. Available at: https://www.ppc.go.jp/en/legal/ [Accessed 23 July 2026].</w:t>
      </w:r>
    </w:p>
    <w:p w14:paraId="2524824F" w14:textId="77777777" w:rsidR="006C7165" w:rsidRPr="0051071C" w:rsidRDefault="006C7165" w:rsidP="0051071C">
      <w:pPr>
        <w:spacing w:line="360" w:lineRule="auto"/>
        <w:jc w:val="both"/>
      </w:pPr>
      <w:r w:rsidRPr="0051071C">
        <w:t xml:space="preserve">Statistics Bureau of Japan (2025) </w:t>
      </w:r>
      <w:r w:rsidRPr="0051071C">
        <w:rPr>
          <w:i/>
          <w:iCs/>
        </w:rPr>
        <w:t>Current Population Estimates as of October 1, 2024</w:t>
      </w:r>
      <w:r w:rsidRPr="0051071C">
        <w:t>. Tokyo: Ministry of Internal Affairs and Communications.</w:t>
      </w:r>
    </w:p>
    <w:p w14:paraId="04A7D796" w14:textId="77777777" w:rsidR="006C7165" w:rsidRPr="0051071C" w:rsidRDefault="006C7165" w:rsidP="0051071C">
      <w:pPr>
        <w:spacing w:line="360" w:lineRule="auto"/>
        <w:jc w:val="both"/>
      </w:pPr>
      <w:r w:rsidRPr="0051071C">
        <w:t xml:space="preserve">Taras, V., Kirkman, B.L. and Steel, P. (2010) ‘Examining the impact of Culture’s Consequences: A three-decade, multilevel, meta-analytic review of Hofstede’s cultural value dimensions’, </w:t>
      </w:r>
      <w:r w:rsidRPr="0051071C">
        <w:rPr>
          <w:i/>
          <w:iCs/>
        </w:rPr>
        <w:t>Journal of Applied Psychology</w:t>
      </w:r>
      <w:r w:rsidRPr="0051071C">
        <w:t xml:space="preserve">, 95(3), pp. 405–439. </w:t>
      </w:r>
      <w:proofErr w:type="spellStart"/>
      <w:r w:rsidRPr="0051071C">
        <w:t>doi</w:t>
      </w:r>
      <w:proofErr w:type="spellEnd"/>
      <w:r w:rsidRPr="0051071C">
        <w:t>: 10.1037/a0018938.</w:t>
      </w:r>
    </w:p>
    <w:p w14:paraId="36064286" w14:textId="77777777" w:rsidR="006C7165" w:rsidRPr="0051071C" w:rsidRDefault="006C7165" w:rsidP="0051071C">
      <w:pPr>
        <w:spacing w:line="360" w:lineRule="auto"/>
        <w:jc w:val="both"/>
      </w:pPr>
      <w:r w:rsidRPr="0051071C">
        <w:t xml:space="preserve">Team, M.S. (2019). </w:t>
      </w:r>
      <w:r w:rsidRPr="0051071C">
        <w:rPr>
          <w:i/>
          <w:iCs/>
        </w:rPr>
        <w:t xml:space="preserve">Toyota pestle analysis | </w:t>
      </w:r>
      <w:proofErr w:type="spellStart"/>
      <w:r w:rsidRPr="0051071C">
        <w:rPr>
          <w:i/>
          <w:iCs/>
        </w:rPr>
        <w:t>pestel</w:t>
      </w:r>
      <w:proofErr w:type="spellEnd"/>
      <w:r w:rsidRPr="0051071C">
        <w:rPr>
          <w:i/>
          <w:iCs/>
        </w:rPr>
        <w:t xml:space="preserve"> analysis of Toyota</w:t>
      </w:r>
      <w:r w:rsidRPr="0051071C">
        <w:t xml:space="preserve">. [online] </w:t>
      </w:r>
      <w:r w:rsidRPr="0051071C">
        <w:rPr>
          <w:i/>
          <w:iCs/>
        </w:rPr>
        <w:t xml:space="preserve">MBA </w:t>
      </w:r>
      <w:proofErr w:type="spellStart"/>
      <w:r w:rsidRPr="0051071C">
        <w:rPr>
          <w:i/>
          <w:iCs/>
        </w:rPr>
        <w:t>Skool-</w:t>
      </w:r>
      <w:proofErr w:type="gramStart"/>
      <w:r w:rsidRPr="0051071C">
        <w:rPr>
          <w:i/>
          <w:iCs/>
        </w:rPr>
        <w:t>Study.Learn.Share</w:t>
      </w:r>
      <w:proofErr w:type="spellEnd"/>
      <w:proofErr w:type="gramEnd"/>
      <w:r w:rsidRPr="0051071C">
        <w:rPr>
          <w:i/>
          <w:iCs/>
        </w:rPr>
        <w:t>.</w:t>
      </w:r>
      <w:r w:rsidRPr="0051071C">
        <w:t xml:space="preserve"> Available at: https://www.mbaskool.com/pestle-analysis/companies/17959-toyota.html [Accessed 21 July 2026].</w:t>
      </w:r>
    </w:p>
    <w:p w14:paraId="22035CFF" w14:textId="77777777" w:rsidR="006C7165" w:rsidRPr="0051071C" w:rsidRDefault="006C7165" w:rsidP="0051071C">
      <w:pPr>
        <w:spacing w:line="360" w:lineRule="auto"/>
        <w:jc w:val="both"/>
      </w:pPr>
      <w:r w:rsidRPr="0051071C">
        <w:t>Toyota GB (2015) ‘Toyota celebrates 50 years in the UK’, 23 July.</w:t>
      </w:r>
    </w:p>
    <w:p w14:paraId="76137701" w14:textId="77777777" w:rsidR="006C7165" w:rsidRPr="0051071C" w:rsidRDefault="006C7165" w:rsidP="0051071C">
      <w:pPr>
        <w:spacing w:line="360" w:lineRule="auto"/>
        <w:jc w:val="both"/>
      </w:pPr>
      <w:r w:rsidRPr="0051071C">
        <w:lastRenderedPageBreak/>
        <w:t>Toyota GB (2026) ‘The Toyota Circular Factory: Where the end of vehicle life is the beginning of new opportunities’, 26 March.</w:t>
      </w:r>
    </w:p>
    <w:p w14:paraId="63C94F6E" w14:textId="77777777" w:rsidR="006C7165" w:rsidRPr="0051071C" w:rsidRDefault="006C7165" w:rsidP="0051071C">
      <w:pPr>
        <w:spacing w:line="360" w:lineRule="auto"/>
        <w:jc w:val="both"/>
      </w:pPr>
      <w:r w:rsidRPr="0051071C">
        <w:t>Toyota GB (2026) </w:t>
      </w:r>
      <w:r w:rsidRPr="0051071C">
        <w:rPr>
          <w:i/>
          <w:iCs/>
        </w:rPr>
        <w:t>Toyota: 2025 wrap and 2026 preview</w:t>
      </w:r>
      <w:r w:rsidRPr="0051071C">
        <w:t>. Epsom: Toyota GB plc.</w:t>
      </w:r>
    </w:p>
    <w:p w14:paraId="3CF928B8" w14:textId="77777777" w:rsidR="006C7165" w:rsidRPr="0051071C" w:rsidRDefault="006C7165" w:rsidP="0051071C">
      <w:pPr>
        <w:spacing w:line="360" w:lineRule="auto"/>
        <w:jc w:val="both"/>
      </w:pPr>
      <w:r w:rsidRPr="0051071C">
        <w:t>Toyota Japan (2026a) </w:t>
      </w:r>
      <w:r w:rsidRPr="0051071C">
        <w:rPr>
          <w:i/>
          <w:iCs/>
        </w:rPr>
        <w:t>Toyota vehicle range and owner support</w:t>
      </w:r>
      <w:r w:rsidRPr="0051071C">
        <w:t>. Toyota City: Toyota Motor Corporation.</w:t>
      </w:r>
    </w:p>
    <w:p w14:paraId="3D9BFB0D" w14:textId="77777777" w:rsidR="006C7165" w:rsidRPr="0051071C" w:rsidRDefault="006C7165" w:rsidP="0051071C">
      <w:pPr>
        <w:spacing w:line="360" w:lineRule="auto"/>
        <w:jc w:val="both"/>
      </w:pPr>
      <w:r w:rsidRPr="0051071C">
        <w:t>Toyota Japan (2026b) </w:t>
      </w:r>
      <w:r w:rsidRPr="0051071C">
        <w:rPr>
          <w:i/>
          <w:iCs/>
        </w:rPr>
        <w:t>KINTO: Toyota vehicle subscription service</w:t>
      </w:r>
      <w:r w:rsidRPr="0051071C">
        <w:t>. Toyota City: Toyota Motor Corporation.</w:t>
      </w:r>
    </w:p>
    <w:p w14:paraId="23FB0441" w14:textId="77777777" w:rsidR="006C7165" w:rsidRPr="0051071C" w:rsidRDefault="006C7165" w:rsidP="0051071C">
      <w:pPr>
        <w:spacing w:line="360" w:lineRule="auto"/>
        <w:jc w:val="both"/>
      </w:pPr>
      <w:r w:rsidRPr="0051071C">
        <w:t>Toyota Motor Corporation (2017) 'Toyota launches "Start Your Impossible" global corporate initiative'. Toyota City: Toyota Motor Corporation. Available at: </w:t>
      </w:r>
      <w:hyperlink r:id="rId14" w:tgtFrame="_blank" w:history="1">
        <w:r w:rsidRPr="0051071C">
          <w:rPr>
            <w:rStyle w:val="Hyperlink"/>
            <w:color w:val="auto"/>
          </w:rPr>
          <w:t>https://global.toyota/en/detail/19134508</w:t>
        </w:r>
      </w:hyperlink>
      <w:r w:rsidRPr="0051071C">
        <w:t> (Accessed: 23 July 2026</w:t>
      </w:r>
      <w:proofErr w:type="gramStart"/>
      <w:r w:rsidRPr="0051071C">
        <w:t>).-</w:t>
      </w:r>
      <w:proofErr w:type="gramEnd"/>
    </w:p>
    <w:p w14:paraId="6FDF05FB" w14:textId="77777777" w:rsidR="006C7165" w:rsidRPr="0051071C" w:rsidRDefault="006C7165" w:rsidP="0051071C">
      <w:pPr>
        <w:spacing w:line="360" w:lineRule="auto"/>
        <w:jc w:val="both"/>
      </w:pPr>
      <w:r w:rsidRPr="0051071C">
        <w:t xml:space="preserve">TOYOTA MOTOR CORPORATION (2020). </w:t>
      </w:r>
      <w:r w:rsidRPr="0051071C">
        <w:rPr>
          <w:i/>
          <w:iCs/>
        </w:rPr>
        <w:t>Products and initiatives | Toyota’s initiatives | your journey, our mission | mobility | Toyota motor corporation official global website</w:t>
      </w:r>
      <w:r w:rsidRPr="0051071C">
        <w:t>. [online] Toyota motor corporation official global website. Available at: https://global.toyota/en/mobility/disability-support/welfare/product/#cwalks [Accessed 23 July 2026].</w:t>
      </w:r>
    </w:p>
    <w:p w14:paraId="59F55C41" w14:textId="77777777" w:rsidR="006C7165" w:rsidRPr="0051071C" w:rsidRDefault="006C7165" w:rsidP="0051071C">
      <w:pPr>
        <w:spacing w:line="360" w:lineRule="auto"/>
        <w:jc w:val="both"/>
      </w:pPr>
      <w:r w:rsidRPr="0051071C">
        <w:t xml:space="preserve">Toyota Motor Corporation (2023) 'Toyota launches all-new Alphard and </w:t>
      </w:r>
      <w:proofErr w:type="spellStart"/>
      <w:r w:rsidRPr="0051071C">
        <w:t>Vellfire</w:t>
      </w:r>
      <w:proofErr w:type="spellEnd"/>
      <w:r w:rsidRPr="0051071C">
        <w:t xml:space="preserve"> in Japan'. Toyota City: Toyota Motor Corporation. Available at: </w:t>
      </w:r>
      <w:hyperlink r:id="rId15" w:tgtFrame="_blank" w:history="1">
        <w:r w:rsidRPr="0051071C">
          <w:rPr>
            <w:rStyle w:val="Hyperlink"/>
            <w:color w:val="auto"/>
          </w:rPr>
          <w:t>https://global.toyota/en/newsroom/toyota/39287317.html</w:t>
        </w:r>
      </w:hyperlink>
      <w:r w:rsidRPr="0051071C">
        <w:t> (Accessed: 23 July 2026).</w:t>
      </w:r>
    </w:p>
    <w:p w14:paraId="34E0FD02" w14:textId="77777777" w:rsidR="006C7165" w:rsidRPr="0051071C" w:rsidRDefault="006C7165" w:rsidP="0051071C">
      <w:pPr>
        <w:spacing w:line="360" w:lineRule="auto"/>
        <w:jc w:val="both"/>
      </w:pPr>
      <w:r w:rsidRPr="0051071C">
        <w:t xml:space="preserve">Toyota Motor Corporation (2025) </w:t>
      </w:r>
      <w:r w:rsidRPr="0051071C">
        <w:rPr>
          <w:i/>
          <w:iCs/>
        </w:rPr>
        <w:t>Integrated Report 2025</w:t>
      </w:r>
      <w:r w:rsidRPr="0051071C">
        <w:t>. Toyota City: Toyota Motor Corporation.</w:t>
      </w:r>
    </w:p>
    <w:p w14:paraId="563DFB6D" w14:textId="77777777" w:rsidR="006C7165" w:rsidRPr="0051071C" w:rsidRDefault="006C7165" w:rsidP="0051071C">
      <w:pPr>
        <w:spacing w:line="360" w:lineRule="auto"/>
        <w:jc w:val="both"/>
      </w:pPr>
      <w:r w:rsidRPr="0051071C">
        <w:t xml:space="preserve">Toyota Motor Europe (2001) </w:t>
      </w:r>
      <w:r w:rsidRPr="0051071C">
        <w:rPr>
          <w:i/>
          <w:iCs/>
        </w:rPr>
        <w:t>Memorandum submitted to the House of Commons Trade and Industry Committee</w:t>
      </w:r>
      <w:r w:rsidRPr="0051071C">
        <w:t>. London: UK Parliament.</w:t>
      </w:r>
    </w:p>
    <w:p w14:paraId="22E372AB" w14:textId="77777777" w:rsidR="006C7165" w:rsidRPr="0051071C" w:rsidRDefault="006C7165" w:rsidP="0051071C">
      <w:pPr>
        <w:spacing w:line="360" w:lineRule="auto"/>
        <w:jc w:val="both"/>
      </w:pPr>
      <w:r w:rsidRPr="0051071C">
        <w:t xml:space="preserve">Toyota Motor Europe (2025) ‘Toyota reinforces its multi-pathway approach and its commitment to customer-focused innovation’, 12 March. </w:t>
      </w:r>
    </w:p>
    <w:p w14:paraId="37322A89" w14:textId="77777777" w:rsidR="006C7165" w:rsidRPr="0051071C" w:rsidRDefault="006C7165" w:rsidP="0051071C">
      <w:pPr>
        <w:spacing w:line="360" w:lineRule="auto"/>
        <w:jc w:val="both"/>
      </w:pPr>
      <w:r w:rsidRPr="0051071C">
        <w:lastRenderedPageBreak/>
        <w:t xml:space="preserve">Toyota Motor Manufacturing UK (2026) </w:t>
      </w:r>
      <w:r w:rsidRPr="0051071C">
        <w:rPr>
          <w:i/>
          <w:iCs/>
        </w:rPr>
        <w:t>Toyota in the UK</w:t>
      </w:r>
      <w:r w:rsidRPr="0051071C">
        <w:t xml:space="preserve">. </w:t>
      </w:r>
      <w:proofErr w:type="spellStart"/>
      <w:r w:rsidRPr="0051071C">
        <w:t>Burnaston</w:t>
      </w:r>
      <w:proofErr w:type="spellEnd"/>
      <w:r w:rsidRPr="0051071C">
        <w:t>: Toyota Motor Manufacturing UK.</w:t>
      </w:r>
    </w:p>
    <w:p w14:paraId="1A969DC4" w14:textId="77777777" w:rsidR="006C7165" w:rsidRPr="0051071C" w:rsidRDefault="006C7165" w:rsidP="0051071C">
      <w:pPr>
        <w:spacing w:line="360" w:lineRule="auto"/>
        <w:jc w:val="both"/>
      </w:pPr>
      <w:r w:rsidRPr="0051071C">
        <w:t xml:space="preserve">Toyota Motor Manufacturing UK (2026) </w:t>
      </w:r>
      <w:r w:rsidRPr="0051071C">
        <w:rPr>
          <w:i/>
          <w:iCs/>
        </w:rPr>
        <w:t>Toyota Motor Manufacturing UK</w:t>
      </w:r>
      <w:r w:rsidRPr="0051071C">
        <w:t xml:space="preserve">. </w:t>
      </w:r>
      <w:proofErr w:type="spellStart"/>
      <w:r w:rsidRPr="0051071C">
        <w:t>Burnaston</w:t>
      </w:r>
      <w:proofErr w:type="spellEnd"/>
      <w:r w:rsidRPr="0051071C">
        <w:t>: TMUK.</w:t>
      </w:r>
    </w:p>
    <w:p w14:paraId="1F2F336F" w14:textId="77777777" w:rsidR="006C7165" w:rsidRPr="0051071C" w:rsidRDefault="006C7165" w:rsidP="0051071C">
      <w:pPr>
        <w:spacing w:line="360" w:lineRule="auto"/>
        <w:jc w:val="both"/>
      </w:pPr>
      <w:r w:rsidRPr="0051071C">
        <w:t>Toyota Motor Manufacturing UK (2026) </w:t>
      </w:r>
      <w:r w:rsidRPr="0051071C">
        <w:rPr>
          <w:i/>
          <w:iCs/>
        </w:rPr>
        <w:t>Toyota Motor Manufacturing UK</w:t>
      </w:r>
      <w:r w:rsidRPr="0051071C">
        <w:t xml:space="preserve">. </w:t>
      </w:r>
      <w:proofErr w:type="spellStart"/>
      <w:r w:rsidRPr="0051071C">
        <w:t>Burnaston</w:t>
      </w:r>
      <w:proofErr w:type="spellEnd"/>
      <w:r w:rsidRPr="0051071C">
        <w:t>: Toyota Motor Manufacturing UK. Available at: </w:t>
      </w:r>
      <w:hyperlink r:id="rId16" w:tgtFrame="_blank" w:history="1">
        <w:r w:rsidRPr="0051071C">
          <w:rPr>
            <w:rStyle w:val="Hyperlink"/>
            <w:color w:val="auto"/>
          </w:rPr>
          <w:t>https://www.toyotauk.com</w:t>
        </w:r>
      </w:hyperlink>
      <w:r w:rsidRPr="0051071C">
        <w:t> (Accessed: 23 July 2026).</w:t>
      </w:r>
    </w:p>
    <w:p w14:paraId="70D4EAE2" w14:textId="321EA1F3" w:rsidR="006C7165" w:rsidRPr="0051071C" w:rsidRDefault="006C7165" w:rsidP="0051071C">
      <w:pPr>
        <w:spacing w:line="360" w:lineRule="auto"/>
        <w:jc w:val="both"/>
      </w:pPr>
      <w:r w:rsidRPr="0051071C">
        <w:t>Toyota UK (2026) </w:t>
      </w:r>
      <w:r w:rsidRPr="0051071C">
        <w:rPr>
          <w:i/>
          <w:iCs/>
        </w:rPr>
        <w:t>New cars and vans: View the range</w:t>
      </w:r>
      <w:r w:rsidRPr="0051071C">
        <w:t>. Epsom: Toyota GB plc. Available at: </w:t>
      </w:r>
      <w:hyperlink r:id="rId17" w:tgtFrame="_blank" w:history="1">
        <w:r w:rsidRPr="0051071C">
          <w:rPr>
            <w:rStyle w:val="Hyperlink"/>
            <w:color w:val="auto"/>
          </w:rPr>
          <w:t>https://www.toyota.co.uk/new-cars</w:t>
        </w:r>
      </w:hyperlink>
      <w:r w:rsidRPr="0051071C">
        <w:t> (Accessed: 23 July 2026).</w:t>
      </w:r>
    </w:p>
    <w:p w14:paraId="3343DDD5" w14:textId="5C37C2EA" w:rsidR="006C7165" w:rsidRPr="0051071C" w:rsidRDefault="006C7165" w:rsidP="0051071C">
      <w:pPr>
        <w:spacing w:line="360" w:lineRule="auto"/>
        <w:jc w:val="both"/>
      </w:pPr>
      <w:r w:rsidRPr="0051071C">
        <w:t>Toyota UK (2026) </w:t>
      </w:r>
      <w:r w:rsidRPr="0051071C">
        <w:rPr>
          <w:i/>
          <w:iCs/>
        </w:rPr>
        <w:t>Current offers and vehicle finance</w:t>
      </w:r>
      <w:r w:rsidRPr="0051071C">
        <w:t>. Epsom: Toyota GB plc.</w:t>
      </w:r>
    </w:p>
    <w:p w14:paraId="4DA2066D" w14:textId="623D6A77" w:rsidR="006C7165" w:rsidRPr="0051071C" w:rsidRDefault="006C7165" w:rsidP="0051071C">
      <w:pPr>
        <w:spacing w:line="360" w:lineRule="auto"/>
        <w:jc w:val="both"/>
      </w:pPr>
      <w:r w:rsidRPr="0051071C">
        <w:t>Toyota UK (2026) </w:t>
      </w:r>
      <w:r w:rsidRPr="0051071C">
        <w:rPr>
          <w:i/>
          <w:iCs/>
        </w:rPr>
        <w:t>Toyota warranty and approved-used vehicle programme</w:t>
      </w:r>
      <w:r w:rsidRPr="0051071C">
        <w:t>. Epsom: Toyota GB plc. Available at: </w:t>
      </w:r>
      <w:hyperlink r:id="rId18" w:tgtFrame="_blank" w:history="1">
        <w:r w:rsidRPr="0051071C">
          <w:rPr>
            <w:rStyle w:val="Hyperlink"/>
            <w:color w:val="auto"/>
          </w:rPr>
          <w:t>https://www.toyota.co.uk/owners/toyota-warranty</w:t>
        </w:r>
      </w:hyperlink>
      <w:r w:rsidRPr="0051071C">
        <w:t> (Accessed: 23 July 2026).</w:t>
      </w:r>
    </w:p>
    <w:p w14:paraId="5BDD5977" w14:textId="77777777" w:rsidR="006C7165" w:rsidRPr="0051071C" w:rsidRDefault="006C7165" w:rsidP="0051071C">
      <w:pPr>
        <w:spacing w:line="360" w:lineRule="auto"/>
        <w:jc w:val="both"/>
      </w:pPr>
      <w:r w:rsidRPr="0051071C">
        <w:t xml:space="preserve">Vehicle Certification Agency (2026) </w:t>
      </w:r>
      <w:r w:rsidRPr="0051071C">
        <w:rPr>
          <w:i/>
          <w:iCs/>
        </w:rPr>
        <w:t>What is vehicle type approval?</w:t>
      </w:r>
      <w:r w:rsidRPr="0051071C">
        <w:t xml:space="preserve"> Bristol: Vehicle Certification Agency.</w:t>
      </w:r>
    </w:p>
    <w:p w14:paraId="55BE0A36" w14:textId="77777777" w:rsidR="006C7165" w:rsidRPr="0051071C" w:rsidRDefault="006C7165" w:rsidP="0051071C">
      <w:pPr>
        <w:spacing w:line="360" w:lineRule="auto"/>
        <w:jc w:val="both"/>
      </w:pPr>
      <w:proofErr w:type="spellStart"/>
      <w:r w:rsidRPr="0051071C">
        <w:t>Vrontis</w:t>
      </w:r>
      <w:proofErr w:type="spellEnd"/>
      <w:r w:rsidRPr="0051071C">
        <w:t xml:space="preserve">, D., </w:t>
      </w:r>
      <w:proofErr w:type="spellStart"/>
      <w:r w:rsidRPr="0051071C">
        <w:t>Thrassou</w:t>
      </w:r>
      <w:proofErr w:type="spellEnd"/>
      <w:r w:rsidRPr="0051071C">
        <w:t xml:space="preserve">, A. and </w:t>
      </w:r>
      <w:proofErr w:type="spellStart"/>
      <w:r w:rsidRPr="0051071C">
        <w:t>Lamprianou</w:t>
      </w:r>
      <w:proofErr w:type="spellEnd"/>
      <w:r w:rsidRPr="0051071C">
        <w:t xml:space="preserve">, I. (2009) ‘International marketing adaptation versus standardisation of multinational companies’, </w:t>
      </w:r>
      <w:r w:rsidRPr="0051071C">
        <w:rPr>
          <w:i/>
          <w:iCs/>
        </w:rPr>
        <w:t>International Marketing Review</w:t>
      </w:r>
      <w:r w:rsidRPr="0051071C">
        <w:t>, 26(4/5), pp. 477–500.</w:t>
      </w:r>
    </w:p>
    <w:p w14:paraId="769AAD9A" w14:textId="58A3379B" w:rsidR="006C7165" w:rsidRPr="0051071C" w:rsidRDefault="006C7165" w:rsidP="0051071C">
      <w:pPr>
        <w:spacing w:line="360" w:lineRule="auto"/>
        <w:jc w:val="both"/>
      </w:pPr>
    </w:p>
    <w:sectPr w:rsidR="006C7165" w:rsidRPr="0051071C">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8E65A" w14:textId="77777777" w:rsidR="003866BC" w:rsidRDefault="003866BC" w:rsidP="00554962">
      <w:pPr>
        <w:spacing w:after="0" w:line="240" w:lineRule="auto"/>
      </w:pPr>
      <w:r>
        <w:separator/>
      </w:r>
    </w:p>
  </w:endnote>
  <w:endnote w:type="continuationSeparator" w:id="0">
    <w:p w14:paraId="047FDDAB" w14:textId="77777777" w:rsidR="003866BC" w:rsidRDefault="003866BC" w:rsidP="00554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5AF15" w14:textId="77777777" w:rsidR="00554962" w:rsidRDefault="00554962">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0B09DA93" w14:textId="77777777" w:rsidR="00554962" w:rsidRDefault="00554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D5B26" w14:textId="77777777" w:rsidR="003866BC" w:rsidRDefault="003866BC" w:rsidP="00554962">
      <w:pPr>
        <w:spacing w:after="0" w:line="240" w:lineRule="auto"/>
      </w:pPr>
      <w:r>
        <w:separator/>
      </w:r>
    </w:p>
  </w:footnote>
  <w:footnote w:type="continuationSeparator" w:id="0">
    <w:p w14:paraId="1336D39A" w14:textId="77777777" w:rsidR="003866BC" w:rsidRDefault="003866BC" w:rsidP="005549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B09C4" w14:textId="3925FE04" w:rsidR="00554962" w:rsidRDefault="00554962">
    <w:pPr>
      <w:pStyle w:val="Header"/>
    </w:pPr>
    <w:r>
      <w:rPr>
        <w:noProof/>
      </w:rPr>
      <w:drawing>
        <wp:anchor distT="0" distB="0" distL="114300" distR="114300" simplePos="0" relativeHeight="251658240" behindDoc="0" locked="0" layoutInCell="1" allowOverlap="1" wp14:anchorId="2F0C08F8" wp14:editId="09D732B0">
          <wp:simplePos x="0" y="0"/>
          <wp:positionH relativeFrom="column">
            <wp:posOffset>4064000</wp:posOffset>
          </wp:positionH>
          <wp:positionV relativeFrom="paragraph">
            <wp:posOffset>-138430</wp:posOffset>
          </wp:positionV>
          <wp:extent cx="2381250" cy="952500"/>
          <wp:effectExtent l="0" t="0" r="0" b="0"/>
          <wp:wrapTopAndBottom/>
          <wp:docPr id="1890203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225339" name="Picture 516225339"/>
                  <pic:cNvPicPr/>
                </pic:nvPicPr>
                <pic:blipFill>
                  <a:blip r:embed="rId1">
                    <a:extLst>
                      <a:ext uri="{28A0092B-C50C-407E-A947-70E740481C1C}">
                        <a14:useLocalDpi xmlns:a14="http://schemas.microsoft.com/office/drawing/2010/main" val="0"/>
                      </a:ext>
                    </a:extLst>
                  </a:blip>
                  <a:stretch>
                    <a:fillRect/>
                  </a:stretch>
                </pic:blipFill>
                <pic:spPr>
                  <a:xfrm>
                    <a:off x="0" y="0"/>
                    <a:ext cx="2381250" cy="952500"/>
                  </a:xfrm>
                  <a:prstGeom prst="rect">
                    <a:avLst/>
                  </a:prstGeom>
                </pic:spPr>
              </pic:pic>
            </a:graphicData>
          </a:graphic>
        </wp:anchor>
      </w:drawing>
    </w:r>
  </w:p>
  <w:p w14:paraId="7C65793B" w14:textId="3D567728" w:rsidR="00554962" w:rsidRDefault="005549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AE7F39"/>
    <w:multiLevelType w:val="multilevel"/>
    <w:tmpl w:val="01902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D737E96"/>
    <w:multiLevelType w:val="hybridMultilevel"/>
    <w:tmpl w:val="2AC41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974526">
    <w:abstractNumId w:val="1"/>
  </w:num>
  <w:num w:numId="2" w16cid:durableId="1091005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9A8"/>
    <w:rsid w:val="0002556C"/>
    <w:rsid w:val="000466DB"/>
    <w:rsid w:val="0007189F"/>
    <w:rsid w:val="00081B39"/>
    <w:rsid w:val="000A366B"/>
    <w:rsid w:val="000B37D0"/>
    <w:rsid w:val="000D4286"/>
    <w:rsid w:val="000E039D"/>
    <w:rsid w:val="00146300"/>
    <w:rsid w:val="00154F14"/>
    <w:rsid w:val="0016019B"/>
    <w:rsid w:val="00167CF7"/>
    <w:rsid w:val="00177DDE"/>
    <w:rsid w:val="0018787D"/>
    <w:rsid w:val="001B0611"/>
    <w:rsid w:val="002055F1"/>
    <w:rsid w:val="002144EB"/>
    <w:rsid w:val="00234D4C"/>
    <w:rsid w:val="002729EE"/>
    <w:rsid w:val="0027398D"/>
    <w:rsid w:val="00297ED5"/>
    <w:rsid w:val="002C4941"/>
    <w:rsid w:val="002D1BDB"/>
    <w:rsid w:val="002F443D"/>
    <w:rsid w:val="00346E28"/>
    <w:rsid w:val="00371DE4"/>
    <w:rsid w:val="003836EE"/>
    <w:rsid w:val="003866BC"/>
    <w:rsid w:val="003D45B0"/>
    <w:rsid w:val="003F53CC"/>
    <w:rsid w:val="00420AAB"/>
    <w:rsid w:val="00443EB0"/>
    <w:rsid w:val="004515D9"/>
    <w:rsid w:val="004609A8"/>
    <w:rsid w:val="00462ED3"/>
    <w:rsid w:val="00482B3D"/>
    <w:rsid w:val="00483C6D"/>
    <w:rsid w:val="00485026"/>
    <w:rsid w:val="00494F26"/>
    <w:rsid w:val="004A0065"/>
    <w:rsid w:val="004B26B9"/>
    <w:rsid w:val="004C1EFD"/>
    <w:rsid w:val="004E3AA7"/>
    <w:rsid w:val="005076E4"/>
    <w:rsid w:val="0051071C"/>
    <w:rsid w:val="00521741"/>
    <w:rsid w:val="0052314B"/>
    <w:rsid w:val="005274F2"/>
    <w:rsid w:val="00554962"/>
    <w:rsid w:val="00565AEF"/>
    <w:rsid w:val="00591DE3"/>
    <w:rsid w:val="005B224A"/>
    <w:rsid w:val="005C2636"/>
    <w:rsid w:val="005C416D"/>
    <w:rsid w:val="005D49E8"/>
    <w:rsid w:val="006B634D"/>
    <w:rsid w:val="006C70B6"/>
    <w:rsid w:val="006C7165"/>
    <w:rsid w:val="006F275E"/>
    <w:rsid w:val="0070579B"/>
    <w:rsid w:val="007113F7"/>
    <w:rsid w:val="00716B6B"/>
    <w:rsid w:val="00763628"/>
    <w:rsid w:val="00767FAE"/>
    <w:rsid w:val="007736AB"/>
    <w:rsid w:val="00793546"/>
    <w:rsid w:val="00835E54"/>
    <w:rsid w:val="00863CA2"/>
    <w:rsid w:val="00871B64"/>
    <w:rsid w:val="00885F66"/>
    <w:rsid w:val="008C5303"/>
    <w:rsid w:val="008F56B2"/>
    <w:rsid w:val="00901E84"/>
    <w:rsid w:val="00933D02"/>
    <w:rsid w:val="00933EA7"/>
    <w:rsid w:val="0093710B"/>
    <w:rsid w:val="0094072E"/>
    <w:rsid w:val="0094141F"/>
    <w:rsid w:val="00967B7F"/>
    <w:rsid w:val="00973A67"/>
    <w:rsid w:val="00975ED6"/>
    <w:rsid w:val="009840F7"/>
    <w:rsid w:val="00987391"/>
    <w:rsid w:val="009A756B"/>
    <w:rsid w:val="009C0655"/>
    <w:rsid w:val="009C1CCF"/>
    <w:rsid w:val="00A32D03"/>
    <w:rsid w:val="00A42373"/>
    <w:rsid w:val="00A61745"/>
    <w:rsid w:val="00A71BC1"/>
    <w:rsid w:val="00A77ED5"/>
    <w:rsid w:val="00A83D21"/>
    <w:rsid w:val="00A964E2"/>
    <w:rsid w:val="00AB4D7E"/>
    <w:rsid w:val="00B167BB"/>
    <w:rsid w:val="00B30464"/>
    <w:rsid w:val="00B3216C"/>
    <w:rsid w:val="00B46317"/>
    <w:rsid w:val="00B66AC9"/>
    <w:rsid w:val="00BB4221"/>
    <w:rsid w:val="00BC61BB"/>
    <w:rsid w:val="00C0021B"/>
    <w:rsid w:val="00C07B19"/>
    <w:rsid w:val="00C5030F"/>
    <w:rsid w:val="00C53A61"/>
    <w:rsid w:val="00C86D35"/>
    <w:rsid w:val="00C940E6"/>
    <w:rsid w:val="00CA16DB"/>
    <w:rsid w:val="00CB369E"/>
    <w:rsid w:val="00CC4A25"/>
    <w:rsid w:val="00CC4FE8"/>
    <w:rsid w:val="00CD4BC2"/>
    <w:rsid w:val="00D214ED"/>
    <w:rsid w:val="00D27FCD"/>
    <w:rsid w:val="00D34443"/>
    <w:rsid w:val="00D52A51"/>
    <w:rsid w:val="00D57F08"/>
    <w:rsid w:val="00D60AA2"/>
    <w:rsid w:val="00D623F0"/>
    <w:rsid w:val="00DB0A09"/>
    <w:rsid w:val="00E17C94"/>
    <w:rsid w:val="00E30D91"/>
    <w:rsid w:val="00E31B86"/>
    <w:rsid w:val="00E55704"/>
    <w:rsid w:val="00E64BEE"/>
    <w:rsid w:val="00E64CC8"/>
    <w:rsid w:val="00E8262E"/>
    <w:rsid w:val="00EA48C5"/>
    <w:rsid w:val="00EA698E"/>
    <w:rsid w:val="00EB5379"/>
    <w:rsid w:val="00EB785A"/>
    <w:rsid w:val="00ED3EF1"/>
    <w:rsid w:val="00EE6B6C"/>
    <w:rsid w:val="00EF0B80"/>
    <w:rsid w:val="00EF3CCA"/>
    <w:rsid w:val="00F03C33"/>
    <w:rsid w:val="00F14756"/>
    <w:rsid w:val="00F32F3D"/>
    <w:rsid w:val="00F513B8"/>
    <w:rsid w:val="00F57F1D"/>
    <w:rsid w:val="00F65107"/>
    <w:rsid w:val="00F82ABD"/>
    <w:rsid w:val="00F85C35"/>
    <w:rsid w:val="00FB42CA"/>
    <w:rsid w:val="00FC519B"/>
    <w:rsid w:val="00FD64F3"/>
    <w:rsid w:val="00FE26E0"/>
    <w:rsid w:val="00FF226B"/>
    <w:rsid w:val="00FF3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00CD3A"/>
  <w15:chartTrackingRefBased/>
  <w15:docId w15:val="{03027D05-CE39-4596-AB2A-E59E4C7E1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09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4609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09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09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09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09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09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09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09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09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09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09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09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09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09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09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09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09A8"/>
    <w:rPr>
      <w:rFonts w:eastAsiaTheme="majorEastAsia" w:cstheme="majorBidi"/>
      <w:color w:val="272727" w:themeColor="text1" w:themeTint="D8"/>
    </w:rPr>
  </w:style>
  <w:style w:type="paragraph" w:styleId="Title">
    <w:name w:val="Title"/>
    <w:basedOn w:val="Normal"/>
    <w:next w:val="Normal"/>
    <w:link w:val="TitleChar"/>
    <w:uiPriority w:val="10"/>
    <w:qFormat/>
    <w:rsid w:val="004609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09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09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09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09A8"/>
    <w:pPr>
      <w:spacing w:before="160"/>
      <w:jc w:val="center"/>
    </w:pPr>
    <w:rPr>
      <w:i/>
      <w:iCs/>
      <w:color w:val="404040" w:themeColor="text1" w:themeTint="BF"/>
    </w:rPr>
  </w:style>
  <w:style w:type="character" w:customStyle="1" w:styleId="QuoteChar">
    <w:name w:val="Quote Char"/>
    <w:basedOn w:val="DefaultParagraphFont"/>
    <w:link w:val="Quote"/>
    <w:uiPriority w:val="29"/>
    <w:rsid w:val="004609A8"/>
    <w:rPr>
      <w:i/>
      <w:iCs/>
      <w:color w:val="404040" w:themeColor="text1" w:themeTint="BF"/>
    </w:rPr>
  </w:style>
  <w:style w:type="paragraph" w:styleId="ListParagraph">
    <w:name w:val="List Paragraph"/>
    <w:basedOn w:val="Normal"/>
    <w:link w:val="ListParagraphChar"/>
    <w:uiPriority w:val="1"/>
    <w:qFormat/>
    <w:rsid w:val="004609A8"/>
    <w:pPr>
      <w:ind w:left="720"/>
      <w:contextualSpacing/>
    </w:pPr>
  </w:style>
  <w:style w:type="character" w:styleId="IntenseEmphasis">
    <w:name w:val="Intense Emphasis"/>
    <w:basedOn w:val="DefaultParagraphFont"/>
    <w:uiPriority w:val="21"/>
    <w:qFormat/>
    <w:rsid w:val="004609A8"/>
    <w:rPr>
      <w:i/>
      <w:iCs/>
      <w:color w:val="0F4761" w:themeColor="accent1" w:themeShade="BF"/>
    </w:rPr>
  </w:style>
  <w:style w:type="paragraph" w:styleId="IntenseQuote">
    <w:name w:val="Intense Quote"/>
    <w:basedOn w:val="Normal"/>
    <w:next w:val="Normal"/>
    <w:link w:val="IntenseQuoteChar"/>
    <w:uiPriority w:val="30"/>
    <w:qFormat/>
    <w:rsid w:val="004609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09A8"/>
    <w:rPr>
      <w:i/>
      <w:iCs/>
      <w:color w:val="0F4761" w:themeColor="accent1" w:themeShade="BF"/>
    </w:rPr>
  </w:style>
  <w:style w:type="character" w:styleId="IntenseReference">
    <w:name w:val="Intense Reference"/>
    <w:basedOn w:val="DefaultParagraphFont"/>
    <w:uiPriority w:val="32"/>
    <w:qFormat/>
    <w:rsid w:val="004609A8"/>
    <w:rPr>
      <w:b/>
      <w:bCs/>
      <w:smallCaps/>
      <w:color w:val="0F4761" w:themeColor="accent1" w:themeShade="BF"/>
      <w:spacing w:val="5"/>
    </w:rPr>
  </w:style>
  <w:style w:type="character" w:customStyle="1" w:styleId="ListParagraphChar">
    <w:name w:val="List Paragraph Char"/>
    <w:basedOn w:val="DefaultParagraphFont"/>
    <w:link w:val="ListParagraph"/>
    <w:uiPriority w:val="1"/>
    <w:qFormat/>
    <w:locked/>
    <w:rsid w:val="00554962"/>
  </w:style>
  <w:style w:type="paragraph" w:customStyle="1" w:styleId="TableParagraph">
    <w:name w:val="Table Paragraph"/>
    <w:basedOn w:val="Normal"/>
    <w:uiPriority w:val="1"/>
    <w:qFormat/>
    <w:rsid w:val="00554962"/>
    <w:pPr>
      <w:widowControl w:val="0"/>
      <w:autoSpaceDE w:val="0"/>
      <w:autoSpaceDN w:val="0"/>
      <w:spacing w:after="0" w:line="240" w:lineRule="auto"/>
    </w:pPr>
    <w:rPr>
      <w:rFonts w:ascii="Arial" w:eastAsia="Arial" w:hAnsi="Arial" w:cs="Arial"/>
      <w:kern w:val="0"/>
      <w:sz w:val="22"/>
      <w:szCs w:val="22"/>
      <w:lang w:val="en-US"/>
      <w14:ligatures w14:val="none"/>
    </w:rPr>
  </w:style>
  <w:style w:type="paragraph" w:styleId="Header">
    <w:name w:val="header"/>
    <w:basedOn w:val="Normal"/>
    <w:link w:val="HeaderChar"/>
    <w:uiPriority w:val="99"/>
    <w:unhideWhenUsed/>
    <w:rsid w:val="00554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4962"/>
  </w:style>
  <w:style w:type="paragraph" w:styleId="Footer">
    <w:name w:val="footer"/>
    <w:basedOn w:val="Normal"/>
    <w:link w:val="FooterChar"/>
    <w:uiPriority w:val="99"/>
    <w:unhideWhenUsed/>
    <w:rsid w:val="00554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4962"/>
  </w:style>
  <w:style w:type="character" w:styleId="Hyperlink">
    <w:name w:val="Hyperlink"/>
    <w:basedOn w:val="DefaultParagraphFont"/>
    <w:uiPriority w:val="99"/>
    <w:unhideWhenUsed/>
    <w:rsid w:val="00871B64"/>
    <w:rPr>
      <w:color w:val="467886" w:themeColor="hyperlink"/>
      <w:u w:val="single"/>
    </w:rPr>
  </w:style>
  <w:style w:type="character" w:styleId="UnresolvedMention">
    <w:name w:val="Unresolved Mention"/>
    <w:basedOn w:val="DefaultParagraphFont"/>
    <w:uiPriority w:val="99"/>
    <w:semiHidden/>
    <w:unhideWhenUsed/>
    <w:rsid w:val="00871B64"/>
    <w:rPr>
      <w:color w:val="605E5C"/>
      <w:shd w:val="clear" w:color="auto" w:fill="E1DFDD"/>
    </w:rPr>
  </w:style>
  <w:style w:type="character" w:styleId="FollowedHyperlink">
    <w:name w:val="FollowedHyperlink"/>
    <w:basedOn w:val="DefaultParagraphFont"/>
    <w:uiPriority w:val="99"/>
    <w:semiHidden/>
    <w:unhideWhenUsed/>
    <w:rsid w:val="00C0021B"/>
    <w:rPr>
      <w:color w:val="96607D" w:themeColor="followedHyperlink"/>
      <w:u w:val="single"/>
    </w:rPr>
  </w:style>
  <w:style w:type="table" w:styleId="TableGridLight">
    <w:name w:val="Grid Table Light"/>
    <w:basedOn w:val="TableNormal"/>
    <w:uiPriority w:val="40"/>
    <w:rsid w:val="0014630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library.parliament.uk/global-net-zero-commitments/" TargetMode="External"/><Relationship Id="rId13" Type="http://schemas.openxmlformats.org/officeDocument/2006/relationships/hyperlink" Target="https://doi.org/10.1787/2d1956f0-en" TargetMode="External"/><Relationship Id="rId18" Type="http://schemas.openxmlformats.org/officeDocument/2006/relationships/hyperlink" Target="https://www.toyota.co.uk/owners/toyota-warranty"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gov.uk/government/consultations/phasing-out-sales-of-new-petrol-and-diesel-cars-from-2030-and-supporting-the-zev-transition/outcome/phasing-out-sales-of-new-petrol-and-diesel-cars-from-2030-and-supporting-the-zev-transition-summary-of-responses-and-joint-government-response" TargetMode="External"/><Relationship Id="rId12" Type="http://schemas.openxmlformats.org/officeDocument/2006/relationships/hyperlink" Target="https://www.oecd.org/en/topics/sub-issues/economic-surveys/united-kingdom-economic-snapshot.html" TargetMode="External"/><Relationship Id="rId17" Type="http://schemas.openxmlformats.org/officeDocument/2006/relationships/hyperlink" Target="https://www.toyota.co.uk/new-cars" TargetMode="External"/><Relationship Id="rId2" Type="http://schemas.openxmlformats.org/officeDocument/2006/relationships/styles" Target="styles.xml"/><Relationship Id="rId16" Type="http://schemas.openxmlformats.org/officeDocument/2006/relationships/hyperlink" Target="https://www.toyotauk.co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eti.go.jp/english/policy/mono_info_service/automobile_industry/index.html" TargetMode="External"/><Relationship Id="rId5" Type="http://schemas.openxmlformats.org/officeDocument/2006/relationships/footnotes" Target="footnotes.xml"/><Relationship Id="rId15" Type="http://schemas.openxmlformats.org/officeDocument/2006/relationships/hyperlink" Target="https://global.toyota/en/newsroom/toyota/39287317.html" TargetMode="External"/><Relationship Id="rId10" Type="http://schemas.openxmlformats.org/officeDocument/2006/relationships/hyperlink" Target="https://crowjack.com/pestle-analysis/toyota"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merald.com/apjml/article-abstract/28/5/862/61934/Global-identity-strategy-and-its-efficacy-for" TargetMode="External"/><Relationship Id="rId14" Type="http://schemas.openxmlformats.org/officeDocument/2006/relationships/hyperlink" Target="https://global.toyota/en/detail/19134508"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587</TotalTime>
  <Pages>32</Pages>
  <Words>7835</Words>
  <Characters>44666</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Sakhawut Nahida, Sifa S</dc:creator>
  <cp:keywords/>
  <dc:description/>
  <cp:lastModifiedBy>Sakhawut Nahida, Sifa S</cp:lastModifiedBy>
  <cp:revision>135</cp:revision>
  <dcterms:created xsi:type="dcterms:W3CDTF">2026-07-18T12:21:00Z</dcterms:created>
  <dcterms:modified xsi:type="dcterms:W3CDTF">2026-07-23T22:35:00Z</dcterms:modified>
</cp:coreProperties>
</file>