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C3C28" w14:textId="77777777" w:rsidR="005C7BD9" w:rsidRPr="005C7BD9" w:rsidRDefault="005C7BD9" w:rsidP="005C7BD9">
      <w:pPr>
        <w:jc w:val="right"/>
        <w:rPr>
          <w:b/>
          <w:bCs/>
          <w:sz w:val="24"/>
          <w:szCs w:val="24"/>
        </w:rPr>
      </w:pPr>
      <w:bookmarkStart w:id="0" w:name="_GoBack"/>
      <w:bookmarkEnd w:id="0"/>
      <w:r w:rsidRPr="005C7BD9">
        <w:rPr>
          <w:b/>
          <w:bCs/>
          <w:sz w:val="24"/>
          <w:szCs w:val="24"/>
        </w:rPr>
        <w:t>GOBBET: JACOB-NICOLAS MOREAU, ‘PRINCIPALS OF MONARCHY’ (1773)</w:t>
      </w:r>
    </w:p>
    <w:p w14:paraId="3E4CBC46" w14:textId="77777777" w:rsidR="007C4472" w:rsidRDefault="00AF37A3">
      <w:r>
        <w:t>Moreau’s ‘Principals of Monarchy’</w:t>
      </w:r>
      <w:r>
        <w:rPr>
          <w:rStyle w:val="FootnoteReference"/>
        </w:rPr>
        <w:footnoteReference w:id="1"/>
      </w:r>
      <w:r>
        <w:t xml:space="preserve"> was </w:t>
      </w:r>
      <w:r w:rsidR="007C4472">
        <w:t xml:space="preserve">written for the instruction of the dauphin, it therefore treats </w:t>
      </w:r>
      <w:r w:rsidR="007F68FB">
        <w:t>the King’s power as a god given right - however despite this Moreau makes it clear that the power is not “absolute”</w:t>
      </w:r>
      <w:r>
        <w:rPr>
          <w:rStyle w:val="FootnoteReference"/>
        </w:rPr>
        <w:footnoteReference w:id="2"/>
      </w:r>
      <w:r w:rsidR="007F68FB">
        <w:t xml:space="preserve"> - it’s purposeful and measured</w:t>
      </w:r>
      <w:r w:rsidR="002C7516">
        <w:t xml:space="preserve">. </w:t>
      </w:r>
      <w:r w:rsidR="006C5150">
        <w:t>As powerful as the kings were, they were not a singular authority for all administrations; provinces had an element of autonomy with their own feudal traditions, laws, taxation, and criminal justice systems.</w:t>
      </w:r>
      <w:r w:rsidR="006C5150">
        <w:rPr>
          <w:rStyle w:val="FootnoteReference"/>
        </w:rPr>
        <w:footnoteReference w:id="3"/>
      </w:r>
      <w:r w:rsidR="006C5150">
        <w:t xml:space="preserve"> </w:t>
      </w:r>
      <w:r w:rsidR="002A0DD4">
        <w:t>This proves that despite the apparent divine right of kings, Moreau is right to assert the lack of absolute power and warn the reading dauphin against this well-practiced system of government. Moreover, ‘Généralités’ were another form of municipal governance; though not democratically elected, intendants oversaw administrative works in localities.</w:t>
      </w:r>
      <w:r w:rsidR="002A0DD4">
        <w:rPr>
          <w:rStyle w:val="FootnoteReference"/>
        </w:rPr>
        <w:footnoteReference w:id="4"/>
      </w:r>
      <w:r w:rsidR="002A0DD4">
        <w:t xml:space="preserve"> These became increasingly important during the 18</w:t>
      </w:r>
      <w:r w:rsidR="002A0DD4" w:rsidRPr="002A0DD4">
        <w:rPr>
          <w:vertAlign w:val="superscript"/>
        </w:rPr>
        <w:t>th</w:t>
      </w:r>
      <w:r w:rsidR="002A0DD4">
        <w:t xml:space="preserve"> century as the population grew in townships and cities and therefore the need for order increased. Moreau, however, heeds a warning that even “the most independent Sovereignty…is conserved through good use”</w:t>
      </w:r>
      <w:r w:rsidR="002A0DD4">
        <w:rPr>
          <w:rStyle w:val="FootnoteReference"/>
        </w:rPr>
        <w:footnoteReference w:id="5"/>
      </w:r>
      <w:r w:rsidR="002A0DD4">
        <w:t xml:space="preserve">, tactically avoiding the decreasing individual power of the king over all things and instead claiming that the monarch’s power should be used sparingly. </w:t>
      </w:r>
    </w:p>
    <w:p w14:paraId="20DF98EE" w14:textId="77777777" w:rsidR="007C4472" w:rsidRDefault="00AF37A3">
      <w:r>
        <w:t xml:space="preserve">In this extract, Moreau </w:t>
      </w:r>
      <w:r w:rsidR="002C7516">
        <w:t xml:space="preserve">seems to be convincing the reader that subjects have rights just as their rulers do; he makes </w:t>
      </w:r>
      <w:r w:rsidR="00DB5ADF">
        <w:t>effort to root the Dauphin’s rule in “human matters”</w:t>
      </w:r>
      <w:r>
        <w:rPr>
          <w:rStyle w:val="FootnoteReference"/>
        </w:rPr>
        <w:footnoteReference w:id="6"/>
      </w:r>
      <w:r w:rsidR="00DB5ADF">
        <w:t xml:space="preserve"> and heeding an explicit warning </w:t>
      </w:r>
      <w:r w:rsidR="00E03242">
        <w:t xml:space="preserve">that </w:t>
      </w:r>
      <w:r w:rsidR="00E464E7">
        <w:t>power may be “changed by abuse”</w:t>
      </w:r>
      <w:r w:rsidR="00DB5ADF">
        <w:t>.</w:t>
      </w:r>
      <w:r w:rsidR="00E464E7">
        <w:rPr>
          <w:rStyle w:val="FootnoteReference"/>
        </w:rPr>
        <w:footnoteReference w:id="7"/>
      </w:r>
      <w:r w:rsidR="00DB5ADF">
        <w:t xml:space="preserve"> </w:t>
      </w:r>
      <w:r w:rsidR="00E464E7">
        <w:t xml:space="preserve">This warning may seem obvious to a modern reader, but the fact that the Dauphin must be told this insinuates a lack of basic morality expected from the crown prince. Additionally, </w:t>
      </w:r>
      <w:r w:rsidR="007C6C0F">
        <w:t xml:space="preserve">Moreau states that </w:t>
      </w:r>
      <w:r w:rsidR="00E464E7">
        <w:t>a good governor</w:t>
      </w:r>
      <w:r w:rsidR="007C6C0F">
        <w:t xml:space="preserve"> would “ensure…all the advantages of the Author of Nature attributed to…societies”</w:t>
      </w:r>
      <w:r>
        <w:rPr>
          <w:rStyle w:val="FootnoteReference"/>
        </w:rPr>
        <w:footnoteReference w:id="8"/>
      </w:r>
      <w:r w:rsidR="00E464E7">
        <w:t xml:space="preserve"> be honoured</w:t>
      </w:r>
      <w:r w:rsidR="007C6C0F">
        <w:t xml:space="preserve">; this </w:t>
      </w:r>
      <w:r w:rsidR="00E464E7">
        <w:t xml:space="preserve">asserts </w:t>
      </w:r>
      <w:r w:rsidR="007C6C0F">
        <w:t xml:space="preserve">a </w:t>
      </w:r>
      <w:r w:rsidR="00E464E7">
        <w:t xml:space="preserve">series of </w:t>
      </w:r>
      <w:r w:rsidR="007C6C0F">
        <w:t>right</w:t>
      </w:r>
      <w:r w:rsidR="00E464E7">
        <w:t>s</w:t>
      </w:r>
      <w:r w:rsidR="007C6C0F">
        <w:t xml:space="preserve"> bestowed upon all people, and that a </w:t>
      </w:r>
      <w:r w:rsidR="00E464E7">
        <w:t>king</w:t>
      </w:r>
      <w:r w:rsidR="007C6C0F">
        <w:t xml:space="preserve"> simply enforces the rules laid out by god. </w:t>
      </w:r>
      <w:r w:rsidR="00E464E7">
        <w:t>This diminishes the ‘divine right of kings’</w:t>
      </w:r>
      <w:r w:rsidR="00E464E7">
        <w:rPr>
          <w:rStyle w:val="FootnoteReference"/>
        </w:rPr>
        <w:footnoteReference w:id="9"/>
      </w:r>
      <w:r w:rsidR="00E464E7">
        <w:t xml:space="preserve"> and instead insinuates a divine right of humanity, something that was perhaps badly received during the period when aristocracy and monarchy viewed themselves as above the common man. However, Moreau takes steps to compliment the inalienable power of the king, stating that countries are best suited to a system whereby “Kings are powerful and Peoples free and happy”.</w:t>
      </w:r>
      <w:r w:rsidR="00E464E7">
        <w:rPr>
          <w:rStyle w:val="FootnoteReference"/>
        </w:rPr>
        <w:footnoteReference w:id="10"/>
      </w:r>
      <w:r w:rsidR="00E464E7">
        <w:t xml:space="preserve"> He maintains the power of the king so as not to offend, but asserts the autonomy of the people while doing this. </w:t>
      </w:r>
    </w:p>
    <w:p w14:paraId="3CFAB196" w14:textId="77777777" w:rsidR="007C4472" w:rsidRDefault="00AF37A3">
      <w:r>
        <w:t xml:space="preserve">The explicit statement that the king’s </w:t>
      </w:r>
      <w:r w:rsidR="00DB5ADF">
        <w:t>“reign does not mean to be delight</w:t>
      </w:r>
      <w:r w:rsidR="00E51329">
        <w:t>ed, it rather means to delight others”</w:t>
      </w:r>
      <w:r>
        <w:rPr>
          <w:rStyle w:val="FootnoteReference"/>
        </w:rPr>
        <w:footnoteReference w:id="11"/>
      </w:r>
      <w:r w:rsidR="00E51329">
        <w:t xml:space="preserve"> - despite this belief, the aristocracy still maintained grandiose living rather than focusing on </w:t>
      </w:r>
      <w:r w:rsidR="007C6C0F">
        <w:t>the “delight”</w:t>
      </w:r>
      <w:r>
        <w:rPr>
          <w:rStyle w:val="FootnoteReference"/>
        </w:rPr>
        <w:footnoteReference w:id="12"/>
      </w:r>
      <w:r w:rsidR="007C6C0F">
        <w:t xml:space="preserve"> of the people. The insinuation that the dauphin must be “convinced of the inalienable rights of humanity”</w:t>
      </w:r>
      <w:r>
        <w:rPr>
          <w:rStyle w:val="FootnoteReference"/>
        </w:rPr>
        <w:footnoteReference w:id="13"/>
      </w:r>
      <w:r w:rsidR="007C6C0F">
        <w:t xml:space="preserve"> or, in other words, be taught that his subjects are entitled to the same rights as his peers evokes an image of an unempathetic lineage of crown </w:t>
      </w:r>
      <w:r w:rsidR="007C6C0F">
        <w:lastRenderedPageBreak/>
        <w:t xml:space="preserve">princes with a relatively numb </w:t>
      </w:r>
      <w:r>
        <w:t>view of the people he will preside over and a significant necessity to teach the young man about the rights of the people. It is important to note that Louis XVI was not the original heir to the French throne</w:t>
      </w:r>
      <w:r>
        <w:rPr>
          <w:rStyle w:val="FootnoteReference"/>
        </w:rPr>
        <w:footnoteReference w:id="14"/>
      </w:r>
      <w:r>
        <w:t xml:space="preserve"> and that, in fact, his father Louis</w:t>
      </w:r>
      <w:r w:rsidR="006C5150">
        <w:t xml:space="preserve"> de France</w:t>
      </w:r>
      <w:r>
        <w:t xml:space="preserve"> was groomed for the crown until his untimely death to tuberculosis aged just 36</w:t>
      </w:r>
      <w:r w:rsidR="006C5150">
        <w:t>.</w:t>
      </w:r>
      <w:r w:rsidR="006C5150">
        <w:rPr>
          <w:rStyle w:val="FootnoteReference"/>
        </w:rPr>
        <w:footnoteReference w:id="15"/>
      </w:r>
      <w:r w:rsidR="006C5150">
        <w:t xml:space="preserve"> Louis XVI came to the throne one year after the publication of Moreau’s ‘Principals’, it is therefore likely that they were written for both his benefit and the benefit of his future heirs. This remains significant as we can infer the narcissism and lack of empathy from the King in his earlier life and therefore map the eventual downfall of the king due to his continued selfishness throughout his reign. </w:t>
      </w:r>
    </w:p>
    <w:p w14:paraId="787B9A23" w14:textId="77777777" w:rsidR="005C7BD9" w:rsidRDefault="00E03242">
      <w:r>
        <w:t xml:space="preserve">While </w:t>
      </w:r>
      <w:r w:rsidR="002A0DD4">
        <w:t xml:space="preserve">Moreau presents a slightly differing portrait of </w:t>
      </w:r>
      <w:r>
        <w:t xml:space="preserve">power for the context of his writings, and maintains an element </w:t>
      </w:r>
      <w:r w:rsidR="00E464E7">
        <w:t xml:space="preserve">of </w:t>
      </w:r>
      <w:r w:rsidR="002461C7">
        <w:t xml:space="preserve">warning and guidance toward fairness that should arguably be innate </w:t>
      </w:r>
      <w:r>
        <w:t>in his content</w:t>
      </w:r>
      <w:r w:rsidR="002461C7">
        <w:t xml:space="preserve"> -</w:t>
      </w:r>
      <w:r>
        <w:t xml:space="preserve"> the</w:t>
      </w:r>
      <w:r w:rsidR="00E464E7">
        <w:t xml:space="preserve"> most</w:t>
      </w:r>
      <w:r>
        <w:t xml:space="preserve"> significan</w:t>
      </w:r>
      <w:r w:rsidR="00E464E7">
        <w:t>t element</w:t>
      </w:r>
      <w:r>
        <w:t xml:space="preserve"> </w:t>
      </w:r>
      <w:r w:rsidR="00E464E7">
        <w:t>is that</w:t>
      </w:r>
      <w:r>
        <w:t xml:space="preserve"> much of his writing serv</w:t>
      </w:r>
      <w:r w:rsidR="00E464E7">
        <w:t xml:space="preserve">es </w:t>
      </w:r>
      <w:r>
        <w:t>to teach the dauphin basic human decencies and the importance of the peoples’ rights serves to show us a stark reality of a detached and almost inhumane personality forged by years of hereditary entitlement.</w:t>
      </w:r>
    </w:p>
    <w:p w14:paraId="38D517F8" w14:textId="77777777" w:rsidR="005C7BD9" w:rsidRDefault="005C7BD9" w:rsidP="005C7BD9">
      <w:pPr>
        <w:pBdr>
          <w:bottom w:val="single" w:sz="4" w:space="1" w:color="auto"/>
        </w:pBdr>
      </w:pPr>
    </w:p>
    <w:p w14:paraId="62054442" w14:textId="77777777" w:rsidR="002461C7" w:rsidRPr="005C7BD9" w:rsidRDefault="002461C7" w:rsidP="005C7BD9">
      <w:pPr>
        <w:jc w:val="right"/>
        <w:rPr>
          <w:b/>
          <w:bCs/>
          <w:sz w:val="24"/>
          <w:szCs w:val="24"/>
        </w:rPr>
      </w:pPr>
      <w:r w:rsidRPr="005C7BD9">
        <w:rPr>
          <w:b/>
          <w:bCs/>
          <w:sz w:val="24"/>
          <w:szCs w:val="24"/>
        </w:rPr>
        <w:t>BIBLIOGRAPHY:</w:t>
      </w:r>
    </w:p>
    <w:p w14:paraId="7F187688" w14:textId="77777777" w:rsidR="002461C7" w:rsidRPr="002461C7" w:rsidRDefault="002461C7" w:rsidP="002461C7">
      <w:pPr>
        <w:spacing w:after="0"/>
        <w:rPr>
          <w:i/>
          <w:iCs/>
          <w:sz w:val="24"/>
          <w:szCs w:val="24"/>
          <w:u w:val="single"/>
        </w:rPr>
      </w:pPr>
      <w:r w:rsidRPr="002461C7">
        <w:rPr>
          <w:i/>
          <w:iCs/>
          <w:sz w:val="24"/>
          <w:szCs w:val="24"/>
          <w:u w:val="single"/>
        </w:rPr>
        <w:t>Primary Source:</w:t>
      </w:r>
    </w:p>
    <w:p w14:paraId="68884873" w14:textId="77777777" w:rsidR="002461C7" w:rsidRDefault="002461C7">
      <w:r>
        <w:t xml:space="preserve">Moreau, Jacob-Nicolas, </w:t>
      </w:r>
      <w:proofErr w:type="spellStart"/>
      <w:r w:rsidRPr="00E03242">
        <w:rPr>
          <w:i/>
          <w:iCs/>
        </w:rPr>
        <w:t>Le</w:t>
      </w:r>
      <w:r w:rsidRPr="00E03242">
        <w:rPr>
          <w:rFonts w:cs="Courier New"/>
          <w:i/>
          <w:iCs/>
        </w:rPr>
        <w:t>ç</w:t>
      </w:r>
      <w:r w:rsidRPr="00E03242">
        <w:rPr>
          <w:i/>
          <w:iCs/>
        </w:rPr>
        <w:t>ons</w:t>
      </w:r>
      <w:proofErr w:type="spellEnd"/>
      <w:r w:rsidRPr="00E03242">
        <w:rPr>
          <w:i/>
          <w:iCs/>
        </w:rPr>
        <w:t xml:space="preserve"> </w:t>
      </w:r>
      <w:r>
        <w:rPr>
          <w:i/>
          <w:iCs/>
        </w:rPr>
        <w:t xml:space="preserve">de Morale, de Politique et de Droit Public, </w:t>
      </w:r>
      <w:r>
        <w:t xml:space="preserve">(Versailles, De L’Impreimiere de Department des </w:t>
      </w:r>
      <w:proofErr w:type="spellStart"/>
      <w:r>
        <w:t>Affaired</w:t>
      </w:r>
      <w:proofErr w:type="spellEnd"/>
      <w:r>
        <w:t xml:space="preserve"> </w:t>
      </w:r>
      <w:proofErr w:type="spellStart"/>
      <w:r>
        <w:t>Étrangères</w:t>
      </w:r>
      <w:proofErr w:type="spellEnd"/>
      <w:r>
        <w:t xml:space="preserve">, 1773), pp. 15-16, 21-26, 49, 76-80, 139-148.  </w:t>
      </w:r>
    </w:p>
    <w:p w14:paraId="4F504628" w14:textId="77777777" w:rsidR="002461C7" w:rsidRPr="005C7BD9" w:rsidRDefault="002461C7" w:rsidP="005C7BD9">
      <w:pPr>
        <w:spacing w:after="0"/>
        <w:rPr>
          <w:i/>
          <w:iCs/>
          <w:sz w:val="24"/>
          <w:szCs w:val="24"/>
          <w:u w:val="single"/>
        </w:rPr>
      </w:pPr>
      <w:r w:rsidRPr="005C7BD9">
        <w:rPr>
          <w:i/>
          <w:iCs/>
          <w:sz w:val="24"/>
          <w:szCs w:val="24"/>
          <w:u w:val="single"/>
        </w:rPr>
        <w:t>Secondary Sources:</w:t>
      </w:r>
    </w:p>
    <w:p w14:paraId="55A05953" w14:textId="77777777" w:rsidR="002461C7" w:rsidRDefault="005C7BD9">
      <w:r w:rsidRPr="005C7BD9">
        <w:t>Scott, A</w:t>
      </w:r>
      <w:r>
        <w:t>lexander</w:t>
      </w:r>
      <w:r w:rsidRPr="005C7BD9">
        <w:t xml:space="preserve">, ‘The </w:t>
      </w:r>
      <w:proofErr w:type="spellStart"/>
      <w:r w:rsidRPr="005C7BD9">
        <w:t>Ancien</w:t>
      </w:r>
      <w:proofErr w:type="spellEnd"/>
      <w:r w:rsidRPr="005C7BD9">
        <w:t xml:space="preserve"> </w:t>
      </w:r>
      <w:proofErr w:type="spellStart"/>
      <w:r w:rsidRPr="005C7BD9">
        <w:t>Régime</w:t>
      </w:r>
      <w:proofErr w:type="spellEnd"/>
      <w:r w:rsidRPr="005C7BD9">
        <w:t>’, HPHI4005</w:t>
      </w:r>
      <w:r w:rsidRPr="005C7BD9">
        <w:rPr>
          <w:i/>
          <w:iCs/>
        </w:rPr>
        <w:t>, Age of Revolution: Transformation and Change in Europe and Beyond, c. 1789-1848,</w:t>
      </w:r>
      <w:r w:rsidRPr="005C7BD9">
        <w:t xml:space="preserve"> (University of Wales Trinity Saint David, Unpublished, 2019)</w:t>
      </w:r>
      <w:r>
        <w:t>.</w:t>
      </w:r>
    </w:p>
    <w:p w14:paraId="038FBB78" w14:textId="77777777" w:rsidR="002461C7" w:rsidRPr="003421CE" w:rsidRDefault="005C7BD9">
      <w:r>
        <w:t>‘</w:t>
      </w:r>
      <w:r w:rsidRPr="005C7BD9">
        <w:t>Susan’</w:t>
      </w:r>
      <w:r w:rsidRPr="005C7BD9">
        <w:rPr>
          <w:i/>
          <w:iCs/>
        </w:rPr>
        <w:t>, Louis, Dauphin of France</w:t>
      </w:r>
      <w:r w:rsidRPr="005C7BD9">
        <w:t>, (26/05/2019) &lt;</w:t>
      </w:r>
      <w:r w:rsidRPr="005C7BD9">
        <w:rPr>
          <w:u w:val="single"/>
        </w:rPr>
        <w:t>http://www.unofficialroyalty.com/louis-dauphin-of-france/</w:t>
      </w:r>
      <w:r w:rsidRPr="005C7BD9">
        <w:t>&gt; [Accessed: 26/10/2019].</w:t>
      </w:r>
    </w:p>
    <w:sectPr w:rsidR="002461C7" w:rsidRPr="003421C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F3EEB" w14:textId="77777777" w:rsidR="003421CE" w:rsidRDefault="003421CE" w:rsidP="003421CE">
      <w:pPr>
        <w:spacing w:after="0" w:line="240" w:lineRule="auto"/>
      </w:pPr>
      <w:r>
        <w:separator/>
      </w:r>
    </w:p>
  </w:endnote>
  <w:endnote w:type="continuationSeparator" w:id="0">
    <w:p w14:paraId="5B7C355C" w14:textId="77777777" w:rsidR="003421CE" w:rsidRDefault="003421CE" w:rsidP="00342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tardust Adventure">
    <w:panose1 w:val="00000000000000000000"/>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EA25F3" w14:textId="77777777" w:rsidR="003421CE" w:rsidRDefault="003421CE" w:rsidP="003421CE">
      <w:pPr>
        <w:spacing w:after="0" w:line="240" w:lineRule="auto"/>
      </w:pPr>
      <w:r>
        <w:separator/>
      </w:r>
    </w:p>
  </w:footnote>
  <w:footnote w:type="continuationSeparator" w:id="0">
    <w:p w14:paraId="14C10B5E" w14:textId="77777777" w:rsidR="003421CE" w:rsidRDefault="003421CE" w:rsidP="003421CE">
      <w:pPr>
        <w:spacing w:after="0" w:line="240" w:lineRule="auto"/>
      </w:pPr>
      <w:r>
        <w:continuationSeparator/>
      </w:r>
    </w:p>
  </w:footnote>
  <w:footnote w:id="1">
    <w:p w14:paraId="1F9E0158" w14:textId="77777777" w:rsidR="00AF37A3" w:rsidRPr="00E03242" w:rsidRDefault="00AF37A3">
      <w:pPr>
        <w:pStyle w:val="FootnoteText"/>
      </w:pPr>
      <w:r>
        <w:rPr>
          <w:rStyle w:val="FootnoteReference"/>
        </w:rPr>
        <w:footnoteRef/>
      </w:r>
      <w:r>
        <w:t xml:space="preserve"> </w:t>
      </w:r>
      <w:r w:rsidR="002461C7" w:rsidRPr="002461C7">
        <w:t>Moreau, J</w:t>
      </w:r>
      <w:r w:rsidR="002461C7">
        <w:t>. N.</w:t>
      </w:r>
      <w:r w:rsidR="002461C7" w:rsidRPr="002461C7">
        <w:t xml:space="preserve">, </w:t>
      </w:r>
      <w:proofErr w:type="spellStart"/>
      <w:r w:rsidR="002461C7" w:rsidRPr="002461C7">
        <w:rPr>
          <w:i/>
          <w:iCs/>
        </w:rPr>
        <w:t>Leçons</w:t>
      </w:r>
      <w:proofErr w:type="spellEnd"/>
      <w:r w:rsidR="002461C7" w:rsidRPr="002461C7">
        <w:rPr>
          <w:i/>
          <w:iCs/>
        </w:rPr>
        <w:t xml:space="preserve"> de Morale, de Politique et de Droit Public,</w:t>
      </w:r>
      <w:r w:rsidR="002461C7" w:rsidRPr="002461C7">
        <w:t xml:space="preserve"> (Versailles, De L’Impreimiere de Department des </w:t>
      </w:r>
      <w:proofErr w:type="spellStart"/>
      <w:r w:rsidR="002461C7" w:rsidRPr="002461C7">
        <w:t>Affaired</w:t>
      </w:r>
      <w:proofErr w:type="spellEnd"/>
      <w:r w:rsidR="002461C7" w:rsidRPr="002461C7">
        <w:t xml:space="preserve"> </w:t>
      </w:r>
      <w:proofErr w:type="spellStart"/>
      <w:r w:rsidR="002461C7" w:rsidRPr="002461C7">
        <w:t>Étrangères</w:t>
      </w:r>
      <w:proofErr w:type="spellEnd"/>
      <w:r w:rsidR="002461C7" w:rsidRPr="002461C7">
        <w:t xml:space="preserve">, 1773), pp. 15-16, 21-26, 49, 76-80, 139-148.  </w:t>
      </w:r>
    </w:p>
  </w:footnote>
  <w:footnote w:id="2">
    <w:p w14:paraId="0BA65A13" w14:textId="77777777" w:rsidR="00AF37A3" w:rsidRDefault="00AF37A3">
      <w:pPr>
        <w:pStyle w:val="FootnoteText"/>
      </w:pPr>
      <w:r>
        <w:rPr>
          <w:rStyle w:val="FootnoteReference"/>
        </w:rPr>
        <w:footnoteRef/>
      </w:r>
      <w:r w:rsidR="00E03242">
        <w:t xml:space="preserve"> Moreau, 1773</w:t>
      </w:r>
      <w:r w:rsidR="00E464E7">
        <w:t>.</w:t>
      </w:r>
    </w:p>
  </w:footnote>
  <w:footnote w:id="3">
    <w:p w14:paraId="07DA3ADC" w14:textId="77777777" w:rsidR="006C5150" w:rsidRPr="002461C7" w:rsidRDefault="006C5150">
      <w:pPr>
        <w:pStyle w:val="FootnoteText"/>
      </w:pPr>
      <w:r>
        <w:rPr>
          <w:rStyle w:val="FootnoteReference"/>
        </w:rPr>
        <w:footnoteRef/>
      </w:r>
      <w:r w:rsidR="00E03242">
        <w:t xml:space="preserve"> Scott, A., </w:t>
      </w:r>
      <w:r w:rsidR="002461C7">
        <w:t xml:space="preserve">‘The </w:t>
      </w:r>
      <w:proofErr w:type="spellStart"/>
      <w:r w:rsidR="002461C7">
        <w:t>Ancien</w:t>
      </w:r>
      <w:proofErr w:type="spellEnd"/>
      <w:r w:rsidR="002461C7">
        <w:t xml:space="preserve"> </w:t>
      </w:r>
      <w:proofErr w:type="spellStart"/>
      <w:r w:rsidR="002461C7">
        <w:t>Régime</w:t>
      </w:r>
      <w:proofErr w:type="spellEnd"/>
      <w:r w:rsidR="002461C7">
        <w:t xml:space="preserve">’, HPHI4005, </w:t>
      </w:r>
      <w:r w:rsidR="002461C7">
        <w:rPr>
          <w:i/>
          <w:iCs/>
        </w:rPr>
        <w:t xml:space="preserve">Age of Revolution: Transformation and Change in Europe and Beyond, c. 1789-1848, </w:t>
      </w:r>
      <w:r w:rsidR="002461C7">
        <w:t xml:space="preserve">(University of Wales Trinity Saint David, </w:t>
      </w:r>
      <w:r w:rsidR="005C7BD9">
        <w:t>Unpublished, 2019).</w:t>
      </w:r>
    </w:p>
  </w:footnote>
  <w:footnote w:id="4">
    <w:p w14:paraId="5A10C6FD" w14:textId="77777777" w:rsidR="002A0DD4" w:rsidRDefault="002A0DD4">
      <w:pPr>
        <w:pStyle w:val="FootnoteText"/>
      </w:pPr>
      <w:r>
        <w:rPr>
          <w:rStyle w:val="FootnoteReference"/>
        </w:rPr>
        <w:footnoteRef/>
      </w:r>
      <w:r w:rsidR="00E03242">
        <w:t xml:space="preserve"> Scott</w:t>
      </w:r>
      <w:r w:rsidR="00E464E7">
        <w:t>, 2019.</w:t>
      </w:r>
    </w:p>
  </w:footnote>
  <w:footnote w:id="5">
    <w:p w14:paraId="50AEB32C" w14:textId="77777777" w:rsidR="002A0DD4" w:rsidRDefault="002A0DD4">
      <w:pPr>
        <w:pStyle w:val="FootnoteText"/>
      </w:pPr>
      <w:r>
        <w:rPr>
          <w:rStyle w:val="FootnoteReference"/>
        </w:rPr>
        <w:footnoteRef/>
      </w:r>
      <w:r w:rsidR="00E03242">
        <w:t xml:space="preserve"> Moreau</w:t>
      </w:r>
      <w:r w:rsidR="00E464E7">
        <w:t>, 1773.</w:t>
      </w:r>
    </w:p>
  </w:footnote>
  <w:footnote w:id="6">
    <w:p w14:paraId="591C81F7" w14:textId="77777777" w:rsidR="00AF37A3" w:rsidRDefault="00AF37A3">
      <w:pPr>
        <w:pStyle w:val="FootnoteText"/>
      </w:pPr>
      <w:r>
        <w:rPr>
          <w:rStyle w:val="FootnoteReference"/>
        </w:rPr>
        <w:footnoteRef/>
      </w:r>
      <w:r w:rsidR="00E03242">
        <w:t xml:space="preserve"> Moreau</w:t>
      </w:r>
      <w:r w:rsidR="00E464E7">
        <w:t>, 1773.</w:t>
      </w:r>
    </w:p>
  </w:footnote>
  <w:footnote w:id="7">
    <w:p w14:paraId="35B2B88C" w14:textId="77777777" w:rsidR="00E464E7" w:rsidRDefault="00E464E7">
      <w:pPr>
        <w:pStyle w:val="FootnoteText"/>
      </w:pPr>
      <w:r>
        <w:rPr>
          <w:rStyle w:val="FootnoteReference"/>
        </w:rPr>
        <w:footnoteRef/>
      </w:r>
      <w:r>
        <w:t xml:space="preserve"> Moreau, 1773.</w:t>
      </w:r>
    </w:p>
  </w:footnote>
  <w:footnote w:id="8">
    <w:p w14:paraId="245EA834" w14:textId="77777777" w:rsidR="00AF37A3" w:rsidRDefault="00AF37A3">
      <w:pPr>
        <w:pStyle w:val="FootnoteText"/>
      </w:pPr>
      <w:r>
        <w:rPr>
          <w:rStyle w:val="FootnoteReference"/>
        </w:rPr>
        <w:footnoteRef/>
      </w:r>
      <w:r w:rsidR="00E03242">
        <w:t xml:space="preserve"> Moreau</w:t>
      </w:r>
      <w:r w:rsidR="00E464E7">
        <w:t>, 1773.</w:t>
      </w:r>
    </w:p>
  </w:footnote>
  <w:footnote w:id="9">
    <w:p w14:paraId="5E67A875" w14:textId="77777777" w:rsidR="00E464E7" w:rsidRDefault="00E464E7">
      <w:pPr>
        <w:pStyle w:val="FootnoteText"/>
      </w:pPr>
      <w:r>
        <w:rPr>
          <w:rStyle w:val="FootnoteReference"/>
        </w:rPr>
        <w:footnoteRef/>
      </w:r>
      <w:r>
        <w:t xml:space="preserve"> Scott, 2019. </w:t>
      </w:r>
    </w:p>
  </w:footnote>
  <w:footnote w:id="10">
    <w:p w14:paraId="49B67AFA" w14:textId="77777777" w:rsidR="00E464E7" w:rsidRDefault="00E464E7">
      <w:pPr>
        <w:pStyle w:val="FootnoteText"/>
      </w:pPr>
      <w:r>
        <w:rPr>
          <w:rStyle w:val="FootnoteReference"/>
        </w:rPr>
        <w:footnoteRef/>
      </w:r>
      <w:r>
        <w:t xml:space="preserve"> Moreau, 1773. </w:t>
      </w:r>
    </w:p>
  </w:footnote>
  <w:footnote w:id="11">
    <w:p w14:paraId="7898A6ED" w14:textId="77777777" w:rsidR="00AF37A3" w:rsidRDefault="00AF37A3">
      <w:pPr>
        <w:pStyle w:val="FootnoteText"/>
      </w:pPr>
      <w:r>
        <w:rPr>
          <w:rStyle w:val="FootnoteReference"/>
        </w:rPr>
        <w:footnoteRef/>
      </w:r>
      <w:r w:rsidR="00E03242">
        <w:t xml:space="preserve"> Moreau</w:t>
      </w:r>
      <w:r w:rsidR="00E464E7">
        <w:t>, 1773.</w:t>
      </w:r>
    </w:p>
  </w:footnote>
  <w:footnote w:id="12">
    <w:p w14:paraId="1348D7B3" w14:textId="77777777" w:rsidR="00AF37A3" w:rsidRDefault="00AF37A3">
      <w:pPr>
        <w:pStyle w:val="FootnoteText"/>
      </w:pPr>
      <w:r>
        <w:rPr>
          <w:rStyle w:val="FootnoteReference"/>
        </w:rPr>
        <w:footnoteRef/>
      </w:r>
      <w:r w:rsidR="00E03242">
        <w:t xml:space="preserve"> Moreau</w:t>
      </w:r>
      <w:r w:rsidR="00E464E7">
        <w:t>, 1773.</w:t>
      </w:r>
    </w:p>
  </w:footnote>
  <w:footnote w:id="13">
    <w:p w14:paraId="6C879C68" w14:textId="77777777" w:rsidR="00AF37A3" w:rsidRDefault="00AF37A3">
      <w:pPr>
        <w:pStyle w:val="FootnoteText"/>
      </w:pPr>
      <w:r>
        <w:rPr>
          <w:rStyle w:val="FootnoteReference"/>
        </w:rPr>
        <w:footnoteRef/>
      </w:r>
      <w:r w:rsidR="00E03242">
        <w:t xml:space="preserve"> Moreau</w:t>
      </w:r>
      <w:r w:rsidR="00E464E7">
        <w:t>, 1773.</w:t>
      </w:r>
    </w:p>
  </w:footnote>
  <w:footnote w:id="14">
    <w:p w14:paraId="29882C55" w14:textId="77777777" w:rsidR="00AF37A3" w:rsidRDefault="00AF37A3">
      <w:pPr>
        <w:pStyle w:val="FootnoteText"/>
      </w:pPr>
      <w:r>
        <w:rPr>
          <w:rStyle w:val="FootnoteReference"/>
        </w:rPr>
        <w:footnoteRef/>
      </w:r>
      <w:r w:rsidR="00E03242">
        <w:t xml:space="preserve"> Scott</w:t>
      </w:r>
      <w:r w:rsidR="00E464E7">
        <w:t>, 2019.</w:t>
      </w:r>
    </w:p>
  </w:footnote>
  <w:footnote w:id="15">
    <w:p w14:paraId="681977BE" w14:textId="77777777" w:rsidR="006C5150" w:rsidRDefault="006C5150">
      <w:pPr>
        <w:pStyle w:val="FootnoteText"/>
      </w:pPr>
      <w:r>
        <w:rPr>
          <w:rStyle w:val="FootnoteReference"/>
        </w:rPr>
        <w:footnoteRef/>
      </w:r>
      <w:r>
        <w:t xml:space="preserve"> </w:t>
      </w:r>
      <w:r w:rsidR="002461C7">
        <w:t xml:space="preserve">‘Susan’, </w:t>
      </w:r>
      <w:r w:rsidR="002461C7">
        <w:rPr>
          <w:i/>
          <w:iCs/>
        </w:rPr>
        <w:t xml:space="preserve">Louis, Dauphin of France, </w:t>
      </w:r>
      <w:r w:rsidR="002461C7">
        <w:t>(26/05/2019) &lt;</w:t>
      </w:r>
      <w:hyperlink r:id="rId1" w:history="1">
        <w:r w:rsidR="002461C7" w:rsidRPr="002461C7">
          <w:rPr>
            <w:rStyle w:val="Hyperlink"/>
            <w:color w:val="auto"/>
          </w:rPr>
          <w:t>http://www.unofficialroyalty.com/louis-dauphin-of-france/</w:t>
        </w:r>
      </w:hyperlink>
      <w:r w:rsidR="002461C7">
        <w:t>&gt; [Accessed: 26/10/2019]</w:t>
      </w:r>
      <w:r w:rsidR="005C7BD9">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B02110" w14:textId="77777777" w:rsidR="005C7BD9" w:rsidRDefault="005C7BD9">
    <w:pPr>
      <w:pStyle w:val="Header"/>
    </w:pPr>
    <w:r>
      <w:t>Rose Cornwell / 1901653.</w:t>
    </w:r>
    <w:r>
      <w:tab/>
    </w:r>
    <w:r>
      <w:tab/>
      <w:t>768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E"/>
    <w:rsid w:val="002156BD"/>
    <w:rsid w:val="002461C7"/>
    <w:rsid w:val="00265EB5"/>
    <w:rsid w:val="002A0DD4"/>
    <w:rsid w:val="002C7516"/>
    <w:rsid w:val="003144DD"/>
    <w:rsid w:val="003421CE"/>
    <w:rsid w:val="003D7E61"/>
    <w:rsid w:val="004B28CE"/>
    <w:rsid w:val="005C7BD9"/>
    <w:rsid w:val="00641134"/>
    <w:rsid w:val="006C5150"/>
    <w:rsid w:val="006D44E0"/>
    <w:rsid w:val="007C4472"/>
    <w:rsid w:val="007C6C0F"/>
    <w:rsid w:val="007F68FB"/>
    <w:rsid w:val="00AF37A3"/>
    <w:rsid w:val="00C829B1"/>
    <w:rsid w:val="00DB5ADF"/>
    <w:rsid w:val="00E03242"/>
    <w:rsid w:val="00E464E7"/>
    <w:rsid w:val="00E51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D23F1"/>
  <w15:chartTrackingRefBased/>
  <w15:docId w15:val="{54EF3E57-3F56-4C85-81A1-33576455D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65E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5EB5"/>
    <w:pPr>
      <w:ind w:left="720"/>
      <w:contextualSpacing/>
    </w:pPr>
  </w:style>
  <w:style w:type="paragraph" w:styleId="FootnoteText">
    <w:name w:val="footnote text"/>
    <w:basedOn w:val="Normal"/>
    <w:link w:val="FootnoteTextChar"/>
    <w:uiPriority w:val="99"/>
    <w:semiHidden/>
    <w:unhideWhenUsed/>
    <w:rsid w:val="003421C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21CE"/>
    <w:rPr>
      <w:sz w:val="20"/>
      <w:szCs w:val="20"/>
    </w:rPr>
  </w:style>
  <w:style w:type="character" w:styleId="FootnoteReference">
    <w:name w:val="footnote reference"/>
    <w:basedOn w:val="DefaultParagraphFont"/>
    <w:uiPriority w:val="99"/>
    <w:semiHidden/>
    <w:unhideWhenUsed/>
    <w:rsid w:val="003421CE"/>
    <w:rPr>
      <w:vertAlign w:val="superscript"/>
    </w:rPr>
  </w:style>
  <w:style w:type="paragraph" w:styleId="Header">
    <w:name w:val="header"/>
    <w:basedOn w:val="Normal"/>
    <w:link w:val="HeaderChar"/>
    <w:uiPriority w:val="99"/>
    <w:unhideWhenUsed/>
    <w:rsid w:val="0021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6BD"/>
  </w:style>
  <w:style w:type="paragraph" w:styleId="Footer">
    <w:name w:val="footer"/>
    <w:basedOn w:val="Normal"/>
    <w:link w:val="FooterChar"/>
    <w:uiPriority w:val="99"/>
    <w:unhideWhenUsed/>
    <w:rsid w:val="0021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6BD"/>
  </w:style>
  <w:style w:type="character" w:styleId="Hyperlink">
    <w:name w:val="Hyperlink"/>
    <w:basedOn w:val="DefaultParagraphFont"/>
    <w:uiPriority w:val="99"/>
    <w:unhideWhenUsed/>
    <w:rsid w:val="006C5150"/>
    <w:rPr>
      <w:color w:val="0000FF"/>
      <w:u w:val="single"/>
    </w:rPr>
  </w:style>
  <w:style w:type="character" w:styleId="UnresolvedMention">
    <w:name w:val="Unresolved Mention"/>
    <w:basedOn w:val="DefaultParagraphFont"/>
    <w:uiPriority w:val="99"/>
    <w:semiHidden/>
    <w:unhideWhenUsed/>
    <w:rsid w:val="002461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www.unofficialroyalty.com/louis-dauphin-of-fr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Stardust Adventure"/>
        <a:ea typeface=""/>
        <a:cs typeface=""/>
      </a:majorFont>
      <a:minorFont>
        <a:latin typeface="Cambr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714</Words>
  <Characters>4071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 cornwell</dc:creator>
  <cp:keywords/>
  <dc:description/>
  <cp:lastModifiedBy>rose cornwell</cp:lastModifiedBy>
  <cp:revision>2</cp:revision>
  <dcterms:created xsi:type="dcterms:W3CDTF">2019-10-27T14:21:00Z</dcterms:created>
  <dcterms:modified xsi:type="dcterms:W3CDTF">2019-10-27T14:21:00Z</dcterms:modified>
</cp:coreProperties>
</file>