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05D260" w14:textId="77777777" w:rsidR="00142FFD" w:rsidRDefault="00142FFD">
      <w:pPr>
        <w:pBdr>
          <w:top w:val="nil"/>
          <w:left w:val="nil"/>
          <w:bottom w:val="nil"/>
          <w:right w:val="nil"/>
          <w:between w:val="nil"/>
        </w:pBdr>
        <w:spacing w:before="4" w:line="360" w:lineRule="auto"/>
        <w:rPr>
          <w:color w:val="000000"/>
          <w:sz w:val="4"/>
          <w:szCs w:val="4"/>
        </w:rPr>
      </w:pPr>
    </w:p>
    <w:p w14:paraId="4C64A3A3" w14:textId="5C1D14DD" w:rsidR="00142FFD" w:rsidRDefault="005C0A99" w:rsidP="005C0A99">
      <w:pPr>
        <w:pBdr>
          <w:top w:val="nil"/>
          <w:left w:val="nil"/>
          <w:bottom w:val="nil"/>
          <w:right w:val="nil"/>
          <w:between w:val="nil"/>
        </w:pBdr>
        <w:spacing w:line="360" w:lineRule="auto"/>
        <w:ind w:left="307"/>
        <w:jc w:val="center"/>
        <w:rPr>
          <w:color w:val="000000"/>
          <w:sz w:val="20"/>
          <w:szCs w:val="20"/>
        </w:rPr>
      </w:pPr>
      <w:r>
        <w:rPr>
          <w:noProof/>
        </w:rPr>
        <w:drawing>
          <wp:inline distT="0" distB="0" distL="0" distR="0" wp14:anchorId="46C41A47" wp14:editId="3B372668">
            <wp:extent cx="3209925" cy="1340066"/>
            <wp:effectExtent l="0" t="0" r="0" b="0"/>
            <wp:docPr id="235750005" name="Picture 20"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9978" cy="1344263"/>
                    </a:xfrm>
                    <a:prstGeom prst="rect">
                      <a:avLst/>
                    </a:prstGeom>
                    <a:noFill/>
                    <a:ln>
                      <a:noFill/>
                    </a:ln>
                  </pic:spPr>
                </pic:pic>
              </a:graphicData>
            </a:graphic>
          </wp:inline>
        </w:drawing>
      </w:r>
    </w:p>
    <w:p w14:paraId="1CED1318" w14:textId="77777777" w:rsidR="005B6DDF" w:rsidRDefault="005B6DDF" w:rsidP="005C0A99">
      <w:pPr>
        <w:pBdr>
          <w:top w:val="nil"/>
          <w:left w:val="nil"/>
          <w:bottom w:val="nil"/>
          <w:right w:val="nil"/>
          <w:between w:val="nil"/>
        </w:pBdr>
        <w:spacing w:line="360" w:lineRule="auto"/>
        <w:ind w:left="307"/>
        <w:jc w:val="center"/>
        <w:rPr>
          <w:color w:val="000000"/>
          <w:sz w:val="20"/>
          <w:szCs w:val="20"/>
        </w:rPr>
      </w:pPr>
    </w:p>
    <w:p w14:paraId="47F6B9DE" w14:textId="77777777" w:rsidR="005B6DDF" w:rsidRDefault="005B6DDF" w:rsidP="005C0A99">
      <w:pPr>
        <w:pBdr>
          <w:top w:val="nil"/>
          <w:left w:val="nil"/>
          <w:bottom w:val="nil"/>
          <w:right w:val="nil"/>
          <w:between w:val="nil"/>
        </w:pBdr>
        <w:spacing w:line="360" w:lineRule="auto"/>
        <w:ind w:left="307"/>
        <w:jc w:val="center"/>
        <w:rPr>
          <w:color w:val="000000"/>
          <w:sz w:val="20"/>
          <w:szCs w:val="20"/>
        </w:rPr>
      </w:pPr>
    </w:p>
    <w:p w14:paraId="385B596F" w14:textId="77777777" w:rsidR="005B6DDF" w:rsidRDefault="005B6DDF" w:rsidP="005C0A99">
      <w:pPr>
        <w:pBdr>
          <w:top w:val="nil"/>
          <w:left w:val="nil"/>
          <w:bottom w:val="nil"/>
          <w:right w:val="nil"/>
          <w:between w:val="nil"/>
        </w:pBdr>
        <w:spacing w:line="360" w:lineRule="auto"/>
        <w:ind w:left="307"/>
        <w:jc w:val="center"/>
        <w:rPr>
          <w:color w:val="000000"/>
          <w:sz w:val="20"/>
          <w:szCs w:val="20"/>
        </w:rPr>
      </w:pPr>
    </w:p>
    <w:p w14:paraId="68D375A4" w14:textId="77777777" w:rsidR="005B6DDF" w:rsidRDefault="005B6DDF" w:rsidP="005C0A99">
      <w:pPr>
        <w:pBdr>
          <w:top w:val="nil"/>
          <w:left w:val="nil"/>
          <w:bottom w:val="nil"/>
          <w:right w:val="nil"/>
          <w:between w:val="nil"/>
        </w:pBdr>
        <w:spacing w:line="360" w:lineRule="auto"/>
        <w:ind w:left="307"/>
        <w:jc w:val="center"/>
        <w:rPr>
          <w:color w:val="000000"/>
          <w:sz w:val="20"/>
          <w:szCs w:val="20"/>
        </w:rPr>
      </w:pPr>
    </w:p>
    <w:p w14:paraId="3E003CE3" w14:textId="77777777" w:rsidR="005B6DDF" w:rsidRDefault="005B6DDF" w:rsidP="005C0A99">
      <w:pPr>
        <w:pBdr>
          <w:top w:val="nil"/>
          <w:left w:val="nil"/>
          <w:bottom w:val="nil"/>
          <w:right w:val="nil"/>
          <w:between w:val="nil"/>
        </w:pBdr>
        <w:spacing w:line="360" w:lineRule="auto"/>
        <w:ind w:left="307"/>
        <w:jc w:val="center"/>
        <w:rPr>
          <w:color w:val="000000"/>
          <w:sz w:val="20"/>
          <w:szCs w:val="20"/>
        </w:rPr>
      </w:pPr>
    </w:p>
    <w:p w14:paraId="4CCAF7BC" w14:textId="55D963E6" w:rsidR="00142FFD" w:rsidRPr="00EA2081" w:rsidRDefault="00000000" w:rsidP="00EA2081">
      <w:pPr>
        <w:spacing w:before="1" w:line="360" w:lineRule="auto"/>
        <w:ind w:right="138"/>
        <w:jc w:val="center"/>
        <w:rPr>
          <w:rFonts w:ascii="Arial" w:hAnsi="Arial" w:cs="Arial"/>
          <w:b/>
          <w:bCs/>
          <w:sz w:val="28"/>
          <w:szCs w:val="28"/>
        </w:rPr>
      </w:pPr>
      <w:r w:rsidRPr="00EA2081">
        <w:rPr>
          <w:rFonts w:ascii="Arial" w:hAnsi="Arial" w:cs="Arial"/>
          <w:b/>
          <w:bCs/>
          <w:sz w:val="28"/>
          <w:szCs w:val="28"/>
        </w:rPr>
        <w:t>Title</w:t>
      </w:r>
      <w:r w:rsidR="00EA2081">
        <w:rPr>
          <w:rFonts w:ascii="Arial" w:hAnsi="Arial" w:cs="Arial"/>
          <w:b/>
          <w:bCs/>
          <w:sz w:val="28"/>
          <w:szCs w:val="28"/>
        </w:rPr>
        <w:t xml:space="preserve">: </w:t>
      </w:r>
      <w:r w:rsidRPr="00EA2081">
        <w:rPr>
          <w:rFonts w:ascii="Arial" w:hAnsi="Arial" w:cs="Arial"/>
          <w:b/>
          <w:bCs/>
          <w:sz w:val="28"/>
          <w:szCs w:val="28"/>
        </w:rPr>
        <w:t>Delivery Plan for Partnership to Reduce</w:t>
      </w:r>
      <w:r w:rsidR="00E110E0" w:rsidRPr="00EA2081">
        <w:rPr>
          <w:rFonts w:ascii="Arial" w:hAnsi="Arial" w:cs="Arial"/>
          <w:b/>
          <w:bCs/>
          <w:sz w:val="28"/>
          <w:szCs w:val="28"/>
        </w:rPr>
        <w:t xml:space="preserve"> </w:t>
      </w:r>
      <w:r w:rsidRPr="00EA2081">
        <w:rPr>
          <w:rFonts w:ascii="Arial" w:hAnsi="Arial" w:cs="Arial"/>
          <w:b/>
          <w:bCs/>
          <w:sz w:val="28"/>
          <w:szCs w:val="28"/>
        </w:rPr>
        <w:t>Childhood Obesity in the London Borough of Tower Hamlets</w:t>
      </w:r>
    </w:p>
    <w:p w14:paraId="5ABB80C4" w14:textId="77777777" w:rsidR="00EA2081" w:rsidRPr="00EA2081" w:rsidRDefault="00EA2081" w:rsidP="00E110E0">
      <w:pPr>
        <w:spacing w:line="360" w:lineRule="auto"/>
        <w:ind w:left="567" w:right="606" w:hanging="101"/>
        <w:jc w:val="center"/>
        <w:rPr>
          <w:rFonts w:ascii="Arial" w:hAnsi="Arial" w:cs="Arial"/>
          <w:b/>
          <w:bCs/>
          <w:sz w:val="28"/>
          <w:szCs w:val="28"/>
        </w:rPr>
      </w:pPr>
    </w:p>
    <w:p w14:paraId="58912F85" w14:textId="7C9A6A9A" w:rsidR="00EA2081" w:rsidRPr="00EA2081" w:rsidRDefault="00EA2081" w:rsidP="00E110E0">
      <w:pPr>
        <w:spacing w:line="360" w:lineRule="auto"/>
        <w:ind w:left="567" w:right="606" w:hanging="101"/>
        <w:jc w:val="center"/>
        <w:rPr>
          <w:rFonts w:ascii="Arial" w:hAnsi="Arial" w:cs="Arial"/>
          <w:b/>
          <w:bCs/>
          <w:sz w:val="28"/>
          <w:szCs w:val="28"/>
        </w:rPr>
      </w:pPr>
      <w:r w:rsidRPr="00EA2081">
        <w:rPr>
          <w:rFonts w:ascii="Arial" w:hAnsi="Arial" w:cs="Arial"/>
          <w:b/>
          <w:bCs/>
          <w:sz w:val="28"/>
          <w:szCs w:val="28"/>
        </w:rPr>
        <w:t>Subject Name: LCHS7005 Service Integration and Partnership</w:t>
      </w:r>
    </w:p>
    <w:p w14:paraId="0AC10334" w14:textId="4B7C9952" w:rsidR="00B2322A" w:rsidRDefault="00EA2081" w:rsidP="00EA2081">
      <w:pPr>
        <w:widowControl/>
        <w:pBdr>
          <w:top w:val="nil"/>
          <w:left w:val="nil"/>
          <w:bottom w:val="nil"/>
          <w:right w:val="nil"/>
          <w:between w:val="nil"/>
        </w:pBdr>
        <w:spacing w:before="240" w:after="240" w:line="360" w:lineRule="auto"/>
        <w:jc w:val="center"/>
        <w:rPr>
          <w:rFonts w:ascii="Arial" w:hAnsi="Arial" w:cs="Arial"/>
          <w:b/>
          <w:bCs/>
          <w:sz w:val="28"/>
          <w:szCs w:val="28"/>
        </w:rPr>
      </w:pPr>
      <w:bookmarkStart w:id="0" w:name="bookmark=id.upp6nda8alqn" w:colFirst="0" w:colLast="0"/>
      <w:bookmarkStart w:id="1" w:name="_heading=h.ssin0pof2nnv" w:colFirst="0" w:colLast="0"/>
      <w:bookmarkEnd w:id="0"/>
      <w:bookmarkEnd w:id="1"/>
      <w:r w:rsidRPr="00EA2081">
        <w:rPr>
          <w:rFonts w:ascii="Arial" w:hAnsi="Arial" w:cs="Arial"/>
          <w:b/>
          <w:bCs/>
          <w:sz w:val="28"/>
          <w:szCs w:val="28"/>
        </w:rPr>
        <w:t>Student Name: Vaishalikumari Vihar Patel</w:t>
      </w:r>
    </w:p>
    <w:p w14:paraId="504450BC" w14:textId="431F1FD2" w:rsidR="00EA2081" w:rsidRPr="00EA2081" w:rsidRDefault="00EA2081" w:rsidP="00EA2081">
      <w:pPr>
        <w:widowControl/>
        <w:pBdr>
          <w:top w:val="nil"/>
          <w:left w:val="nil"/>
          <w:bottom w:val="nil"/>
          <w:right w:val="nil"/>
          <w:between w:val="nil"/>
        </w:pBdr>
        <w:spacing w:before="240" w:after="240" w:line="360" w:lineRule="auto"/>
        <w:jc w:val="center"/>
        <w:rPr>
          <w:rFonts w:ascii="Arial" w:hAnsi="Arial" w:cs="Arial"/>
          <w:b/>
          <w:bCs/>
          <w:sz w:val="28"/>
          <w:szCs w:val="28"/>
        </w:rPr>
      </w:pPr>
      <w:r>
        <w:rPr>
          <w:rFonts w:ascii="Arial" w:hAnsi="Arial" w:cs="Arial"/>
          <w:b/>
          <w:bCs/>
          <w:sz w:val="28"/>
          <w:szCs w:val="28"/>
        </w:rPr>
        <w:t>Student ID: 2436885</w:t>
      </w:r>
    </w:p>
    <w:p w14:paraId="3A6F712E" w14:textId="77777777" w:rsidR="005B6DDF" w:rsidRDefault="005B6DDF">
      <w:pPr>
        <w:widowControl/>
        <w:pBdr>
          <w:top w:val="nil"/>
          <w:left w:val="nil"/>
          <w:bottom w:val="nil"/>
          <w:right w:val="nil"/>
          <w:between w:val="nil"/>
        </w:pBdr>
        <w:spacing w:before="240" w:after="240" w:line="360" w:lineRule="auto"/>
        <w:jc w:val="both"/>
        <w:rPr>
          <w:sz w:val="24"/>
          <w:szCs w:val="24"/>
        </w:rPr>
      </w:pPr>
    </w:p>
    <w:p w14:paraId="5668F227" w14:textId="77777777" w:rsidR="005B6DDF" w:rsidRDefault="005B6DDF">
      <w:pPr>
        <w:widowControl/>
        <w:pBdr>
          <w:top w:val="nil"/>
          <w:left w:val="nil"/>
          <w:bottom w:val="nil"/>
          <w:right w:val="nil"/>
          <w:between w:val="nil"/>
        </w:pBdr>
        <w:spacing w:before="240" w:after="240" w:line="360" w:lineRule="auto"/>
        <w:jc w:val="both"/>
        <w:rPr>
          <w:sz w:val="24"/>
          <w:szCs w:val="24"/>
        </w:rPr>
      </w:pPr>
    </w:p>
    <w:p w14:paraId="2EF5D793" w14:textId="77777777" w:rsidR="005B6DDF" w:rsidRDefault="005B6DDF">
      <w:pPr>
        <w:widowControl/>
        <w:pBdr>
          <w:top w:val="nil"/>
          <w:left w:val="nil"/>
          <w:bottom w:val="nil"/>
          <w:right w:val="nil"/>
          <w:between w:val="nil"/>
        </w:pBdr>
        <w:spacing w:before="240" w:after="240" w:line="360" w:lineRule="auto"/>
        <w:jc w:val="both"/>
        <w:rPr>
          <w:sz w:val="24"/>
          <w:szCs w:val="24"/>
        </w:rPr>
      </w:pPr>
    </w:p>
    <w:p w14:paraId="14598D89" w14:textId="77777777" w:rsidR="005B6DDF" w:rsidRDefault="005B6DDF">
      <w:pPr>
        <w:widowControl/>
        <w:pBdr>
          <w:top w:val="nil"/>
          <w:left w:val="nil"/>
          <w:bottom w:val="nil"/>
          <w:right w:val="nil"/>
          <w:between w:val="nil"/>
        </w:pBdr>
        <w:spacing w:before="240" w:after="240" w:line="360" w:lineRule="auto"/>
        <w:jc w:val="both"/>
        <w:rPr>
          <w:sz w:val="24"/>
          <w:szCs w:val="24"/>
        </w:rPr>
      </w:pPr>
    </w:p>
    <w:p w14:paraId="6D34C2A7" w14:textId="77777777" w:rsidR="005B6DDF" w:rsidRDefault="005B6DDF">
      <w:pPr>
        <w:widowControl/>
        <w:pBdr>
          <w:top w:val="nil"/>
          <w:left w:val="nil"/>
          <w:bottom w:val="nil"/>
          <w:right w:val="nil"/>
          <w:between w:val="nil"/>
        </w:pBdr>
        <w:spacing w:before="240" w:after="240" w:line="360" w:lineRule="auto"/>
        <w:jc w:val="both"/>
        <w:rPr>
          <w:sz w:val="24"/>
          <w:szCs w:val="24"/>
        </w:rPr>
      </w:pPr>
    </w:p>
    <w:p w14:paraId="2720F24A" w14:textId="77777777" w:rsidR="005B6DDF" w:rsidRDefault="005B6DDF">
      <w:pPr>
        <w:widowControl/>
        <w:pBdr>
          <w:top w:val="nil"/>
          <w:left w:val="nil"/>
          <w:bottom w:val="nil"/>
          <w:right w:val="nil"/>
          <w:between w:val="nil"/>
        </w:pBdr>
        <w:spacing w:before="240" w:after="240" w:line="360" w:lineRule="auto"/>
        <w:jc w:val="both"/>
        <w:rPr>
          <w:sz w:val="24"/>
          <w:szCs w:val="24"/>
        </w:rPr>
      </w:pPr>
    </w:p>
    <w:p w14:paraId="3761A965" w14:textId="77777777" w:rsidR="005B6DDF" w:rsidRDefault="005B6DDF">
      <w:pPr>
        <w:widowControl/>
        <w:pBdr>
          <w:top w:val="nil"/>
          <w:left w:val="nil"/>
          <w:bottom w:val="nil"/>
          <w:right w:val="nil"/>
          <w:between w:val="nil"/>
        </w:pBdr>
        <w:spacing w:before="240" w:after="240" w:line="360" w:lineRule="auto"/>
        <w:jc w:val="both"/>
        <w:rPr>
          <w:sz w:val="24"/>
          <w:szCs w:val="24"/>
        </w:rPr>
      </w:pPr>
    </w:p>
    <w:p w14:paraId="21AFF0A5" w14:textId="77777777" w:rsidR="005B6DDF" w:rsidRDefault="005B6DDF">
      <w:pPr>
        <w:widowControl/>
        <w:pBdr>
          <w:top w:val="nil"/>
          <w:left w:val="nil"/>
          <w:bottom w:val="nil"/>
          <w:right w:val="nil"/>
          <w:between w:val="nil"/>
        </w:pBdr>
        <w:spacing w:before="240" w:after="240" w:line="360" w:lineRule="auto"/>
        <w:jc w:val="both"/>
        <w:rPr>
          <w:sz w:val="24"/>
          <w:szCs w:val="24"/>
        </w:rPr>
      </w:pPr>
    </w:p>
    <w:p w14:paraId="47C771DE" w14:textId="77777777" w:rsidR="005B6DDF" w:rsidRDefault="005B6DDF">
      <w:pPr>
        <w:widowControl/>
        <w:pBdr>
          <w:top w:val="nil"/>
          <w:left w:val="nil"/>
          <w:bottom w:val="nil"/>
          <w:right w:val="nil"/>
          <w:between w:val="nil"/>
        </w:pBdr>
        <w:spacing w:before="240" w:after="240" w:line="360" w:lineRule="auto"/>
        <w:jc w:val="both"/>
        <w:rPr>
          <w:color w:val="000000"/>
          <w:sz w:val="24"/>
          <w:szCs w:val="24"/>
        </w:rPr>
      </w:pPr>
    </w:p>
    <w:p w14:paraId="39FF1AA5" w14:textId="3D4CC833" w:rsidR="006975F2" w:rsidRPr="00EA2081" w:rsidRDefault="006975F2" w:rsidP="006975F2">
      <w:pPr>
        <w:pStyle w:val="Heading1"/>
        <w:rPr>
          <w:rFonts w:ascii="Arial" w:hAnsi="Arial" w:cs="Arial"/>
          <w:sz w:val="24"/>
          <w:szCs w:val="24"/>
        </w:rPr>
      </w:pPr>
      <w:bookmarkStart w:id="2" w:name="_Toc223302862"/>
      <w:r w:rsidRPr="00EA2081">
        <w:rPr>
          <w:rFonts w:ascii="Arial" w:eastAsia="Arial" w:hAnsi="Arial" w:cs="Arial"/>
          <w:sz w:val="24"/>
          <w:szCs w:val="24"/>
        </w:rPr>
        <w:lastRenderedPageBreak/>
        <w:t>Partnership</w:t>
      </w:r>
      <w:bookmarkEnd w:id="2"/>
    </w:p>
    <w:p w14:paraId="6417E6E4" w14:textId="3B39F880" w:rsidR="00142FFD" w:rsidRPr="00EA2081" w:rsidRDefault="00000000">
      <w:pPr>
        <w:widowControl/>
        <w:spacing w:before="240" w:after="240" w:line="360" w:lineRule="auto"/>
        <w:jc w:val="both"/>
        <w:rPr>
          <w:rFonts w:ascii="Arial" w:hAnsi="Arial" w:cs="Arial"/>
          <w:sz w:val="24"/>
          <w:szCs w:val="24"/>
        </w:rPr>
      </w:pPr>
      <w:r w:rsidRPr="00EA2081">
        <w:rPr>
          <w:rFonts w:ascii="Arial" w:hAnsi="Arial" w:cs="Arial"/>
          <w:color w:val="000000"/>
          <w:sz w:val="24"/>
          <w:szCs w:val="24"/>
        </w:rPr>
        <w:t xml:space="preserve">The partnership proposal is based on a prevention-oriented, integrated framework known as Healthy Futures Tower Hamlets. The vision is common and grounded on the need to curb childhood obesity and lessen health disparities </w:t>
      </w:r>
      <w:r w:rsidRPr="00EA2081">
        <w:rPr>
          <w:rFonts w:ascii="Arial" w:hAnsi="Arial" w:cs="Arial"/>
          <w:sz w:val="24"/>
          <w:szCs w:val="24"/>
        </w:rPr>
        <w:t>through</w:t>
      </w:r>
      <w:r w:rsidRPr="00EA2081">
        <w:rPr>
          <w:rFonts w:ascii="Arial" w:hAnsi="Arial" w:cs="Arial"/>
          <w:color w:val="000000"/>
          <w:sz w:val="24"/>
          <w:szCs w:val="24"/>
        </w:rPr>
        <w:t xml:space="preserve"> local action. According to national guidance, JSNAs and joint health strategies need to inform commissioning and enhance outcomes (Department of Health, 2011). Thus, the model revolves around partnership working.</w:t>
      </w:r>
    </w:p>
    <w:p w14:paraId="0401B417" w14:textId="77777777" w:rsidR="00142FFD" w:rsidRPr="00EA2081" w:rsidRDefault="00000000">
      <w:pPr>
        <w:widowControl/>
        <w:spacing w:before="240" w:after="240" w:line="360" w:lineRule="auto"/>
        <w:jc w:val="both"/>
        <w:rPr>
          <w:rFonts w:ascii="Arial" w:hAnsi="Arial" w:cs="Arial"/>
          <w:sz w:val="24"/>
          <w:szCs w:val="24"/>
        </w:rPr>
      </w:pPr>
      <w:r w:rsidRPr="00EA2081">
        <w:rPr>
          <w:rFonts w:ascii="Arial" w:hAnsi="Arial" w:cs="Arial"/>
          <w:color w:val="000000"/>
          <w:sz w:val="24"/>
          <w:szCs w:val="24"/>
        </w:rPr>
        <w:t>The principal partners are the Public Health, NHS Primary care Networks, schools, housing services, voluntary community organisations, faith leaders, and HealthWatch. This is because Public Health leads evidence-based data monitoring with JSNA (Tower Hamlets Council, 2025). In the NHS, at-risk children are identified during primary care</w:t>
      </w:r>
      <w:r w:rsidRPr="00EA2081">
        <w:rPr>
          <w:rFonts w:ascii="Arial" w:hAnsi="Arial" w:cs="Arial"/>
          <w:sz w:val="24"/>
          <w:szCs w:val="24"/>
        </w:rPr>
        <w:t>,</w:t>
      </w:r>
      <w:r w:rsidRPr="00EA2081">
        <w:rPr>
          <w:rFonts w:ascii="Arial" w:hAnsi="Arial" w:cs="Arial"/>
          <w:color w:val="000000"/>
          <w:sz w:val="24"/>
          <w:szCs w:val="24"/>
        </w:rPr>
        <w:t xml:space="preserve"> and early referrals are offered. Healthy food and exercise are also fostered in schools, which is important given that crowded housing does not provide safe places to play (Tower Hamlets Council, 2025). Environmental risk factors are also addressed by housing services, including overcrowding.</w:t>
      </w:r>
    </w:p>
    <w:p w14:paraId="5066821D" w14:textId="77777777" w:rsidR="00142FFD" w:rsidRPr="00EA2081" w:rsidRDefault="00000000">
      <w:pPr>
        <w:widowControl/>
        <w:spacing w:before="240" w:after="240" w:line="360" w:lineRule="auto"/>
        <w:jc w:val="both"/>
        <w:rPr>
          <w:rFonts w:ascii="Arial" w:hAnsi="Arial" w:cs="Arial"/>
          <w:sz w:val="24"/>
          <w:szCs w:val="24"/>
        </w:rPr>
      </w:pPr>
      <w:r w:rsidRPr="00EA2081">
        <w:rPr>
          <w:rFonts w:ascii="Arial" w:hAnsi="Arial" w:cs="Arial"/>
          <w:color w:val="000000"/>
          <w:sz w:val="24"/>
          <w:szCs w:val="24"/>
        </w:rPr>
        <w:t>Community organisations are important to culturally appropriate engagement. About 34.6% of the population is of Bangladeshi origin, and many families do not speak English (Tower Hamlets Council, 2025). According to Powell et al. (2024), peer-based programmes can be delivered through community health champions, conducted in local languages. This is working in an asset-based partnership, which incorporates local strengths to enhance results.</w:t>
      </w:r>
    </w:p>
    <w:p w14:paraId="24636781" w14:textId="77777777" w:rsidR="00142FFD" w:rsidRPr="00EA2081" w:rsidRDefault="00000000">
      <w:pPr>
        <w:widowControl/>
        <w:spacing w:before="240" w:after="240" w:line="360" w:lineRule="auto"/>
        <w:jc w:val="both"/>
        <w:rPr>
          <w:rFonts w:ascii="Arial" w:hAnsi="Arial" w:cs="Arial"/>
          <w:sz w:val="24"/>
          <w:szCs w:val="24"/>
        </w:rPr>
      </w:pPr>
      <w:r w:rsidRPr="00EA2081">
        <w:rPr>
          <w:rFonts w:ascii="Arial" w:hAnsi="Arial" w:cs="Arial"/>
          <w:color w:val="000000"/>
          <w:sz w:val="24"/>
          <w:szCs w:val="24"/>
        </w:rPr>
        <w:t>The common goals are a decrease in the childhood BMI rate, increased access to prevention services, and a decrease in the long-term risk of diabetes and cardiovascular disease. Marcus et al. (2022) state that childhood obesity predisposes individuals to chronic diseases in adulthood. Roles are assigned to each partner, but they share responsibility. The model promotes combined commissions and coordination of services across sectors. This model of partnership will have an evidence-based, culturally responsive, and inequality-reduction-oriented service</w:t>
      </w:r>
      <w:r w:rsidRPr="00EA2081">
        <w:rPr>
          <w:rFonts w:ascii="Arial" w:hAnsi="Arial" w:cs="Arial"/>
          <w:sz w:val="24"/>
          <w:szCs w:val="24"/>
        </w:rPr>
        <w:t>.</w:t>
      </w:r>
    </w:p>
    <w:p w14:paraId="56796703" w14:textId="77777777" w:rsidR="00B2322A" w:rsidRPr="00EA2081" w:rsidRDefault="00B2322A">
      <w:pPr>
        <w:widowControl/>
        <w:spacing w:before="240" w:after="240" w:line="360" w:lineRule="auto"/>
        <w:jc w:val="both"/>
        <w:rPr>
          <w:rFonts w:ascii="Arial" w:hAnsi="Arial" w:cs="Arial"/>
          <w:sz w:val="24"/>
          <w:szCs w:val="24"/>
        </w:rPr>
      </w:pPr>
    </w:p>
    <w:p w14:paraId="02504A3F" w14:textId="77777777" w:rsidR="00B2322A" w:rsidRPr="00EA2081" w:rsidRDefault="00B2322A">
      <w:pPr>
        <w:widowControl/>
        <w:spacing w:before="240" w:after="240" w:line="360" w:lineRule="auto"/>
        <w:jc w:val="both"/>
        <w:rPr>
          <w:rFonts w:ascii="Arial" w:hAnsi="Arial" w:cs="Arial"/>
          <w:sz w:val="24"/>
          <w:szCs w:val="24"/>
        </w:rPr>
      </w:pPr>
    </w:p>
    <w:p w14:paraId="5A8BE353" w14:textId="77777777" w:rsidR="00B2322A" w:rsidRPr="00EA2081" w:rsidRDefault="00B2322A">
      <w:pPr>
        <w:widowControl/>
        <w:spacing w:before="240" w:after="240" w:line="360" w:lineRule="auto"/>
        <w:jc w:val="both"/>
        <w:rPr>
          <w:rFonts w:ascii="Arial" w:hAnsi="Arial" w:cs="Arial"/>
          <w:sz w:val="24"/>
          <w:szCs w:val="24"/>
        </w:rPr>
      </w:pPr>
    </w:p>
    <w:p w14:paraId="706AF905" w14:textId="7BEF0E8C" w:rsidR="00B2322A" w:rsidRPr="00EA2081" w:rsidRDefault="00B2322A" w:rsidP="00B2322A">
      <w:pPr>
        <w:pStyle w:val="Heading1"/>
        <w:rPr>
          <w:rFonts w:ascii="Arial" w:hAnsi="Arial" w:cs="Arial"/>
          <w:sz w:val="24"/>
          <w:szCs w:val="24"/>
        </w:rPr>
      </w:pPr>
      <w:r w:rsidRPr="00EA2081">
        <w:rPr>
          <w:rFonts w:ascii="Arial" w:eastAsia="Arial" w:hAnsi="Arial" w:cs="Arial"/>
          <w:sz w:val="24"/>
          <w:szCs w:val="24"/>
        </w:rPr>
        <w:lastRenderedPageBreak/>
        <w:t>Reference List</w:t>
      </w:r>
    </w:p>
    <w:p w14:paraId="28B52ECB" w14:textId="439CC629" w:rsidR="00B2322A" w:rsidRPr="00EA2081" w:rsidRDefault="00B2322A">
      <w:pPr>
        <w:widowControl/>
        <w:spacing w:before="240" w:after="240" w:line="360" w:lineRule="auto"/>
        <w:jc w:val="both"/>
        <w:rPr>
          <w:rFonts w:ascii="Arial" w:hAnsi="Arial" w:cs="Arial"/>
          <w:sz w:val="24"/>
          <w:szCs w:val="24"/>
        </w:rPr>
      </w:pPr>
      <w:r w:rsidRPr="00EA2081">
        <w:rPr>
          <w:rFonts w:ascii="Arial" w:hAnsi="Arial" w:cs="Arial"/>
          <w:sz w:val="24"/>
          <w:szCs w:val="24"/>
        </w:rPr>
        <w:t xml:space="preserve">Department of Health (2011). </w:t>
      </w:r>
      <w:r w:rsidRPr="00EA2081">
        <w:rPr>
          <w:rFonts w:ascii="Arial" w:hAnsi="Arial" w:cs="Arial"/>
          <w:i/>
          <w:iCs/>
          <w:sz w:val="24"/>
          <w:szCs w:val="24"/>
        </w:rPr>
        <w:t>Joint Strategic Needs Assessment and joint health and well-being strategies explained Commissioning for populations</w:t>
      </w:r>
      <w:r w:rsidRPr="00EA2081">
        <w:rPr>
          <w:rFonts w:ascii="Arial" w:hAnsi="Arial" w:cs="Arial"/>
          <w:sz w:val="24"/>
          <w:szCs w:val="24"/>
        </w:rPr>
        <w:t xml:space="preserve">. [online] Available at: </w:t>
      </w:r>
      <w:hyperlink r:id="rId9">
        <w:r w:rsidRPr="00EA2081">
          <w:rPr>
            <w:rFonts w:ascii="Arial" w:hAnsi="Arial" w:cs="Arial"/>
            <w:color w:val="0000FF"/>
            <w:sz w:val="24"/>
            <w:szCs w:val="24"/>
            <w:u w:val="single"/>
          </w:rPr>
          <w:t>https://assets.publishing.service.gov.uk/media/5a7c62dced915d696ccfc6e3/dh_131733.pdf</w:t>
        </w:r>
      </w:hyperlink>
      <w:r w:rsidRPr="00EA2081">
        <w:rPr>
          <w:rFonts w:ascii="Arial" w:hAnsi="Arial" w:cs="Arial"/>
          <w:sz w:val="24"/>
          <w:szCs w:val="24"/>
        </w:rPr>
        <w:t xml:space="preserve"> [Accessed 20 Feb. 2026].</w:t>
      </w:r>
    </w:p>
    <w:p w14:paraId="4A058A50" w14:textId="500BF261" w:rsidR="00B2322A" w:rsidRPr="00EA2081" w:rsidRDefault="00B2322A">
      <w:pPr>
        <w:widowControl/>
        <w:spacing w:before="240" w:after="240" w:line="360" w:lineRule="auto"/>
        <w:jc w:val="both"/>
        <w:rPr>
          <w:rFonts w:ascii="Arial" w:hAnsi="Arial" w:cs="Arial"/>
          <w:sz w:val="24"/>
          <w:szCs w:val="24"/>
        </w:rPr>
      </w:pPr>
      <w:r w:rsidRPr="00EA2081">
        <w:rPr>
          <w:rFonts w:ascii="Arial" w:hAnsi="Arial" w:cs="Arial"/>
          <w:sz w:val="24"/>
          <w:szCs w:val="24"/>
        </w:rPr>
        <w:t xml:space="preserve">Tower Hamlets Council (2025). </w:t>
      </w:r>
      <w:r w:rsidRPr="00EA2081">
        <w:rPr>
          <w:rFonts w:ascii="Arial" w:hAnsi="Arial" w:cs="Arial"/>
          <w:i/>
          <w:iCs/>
          <w:sz w:val="24"/>
          <w:szCs w:val="24"/>
        </w:rPr>
        <w:t>Joint Strategic Needs Assessment Summary Document Life, Health, and Wellbeing in Tower Hamlets Tower Hamlets JSNA Reference Group</w:t>
      </w:r>
      <w:r w:rsidRPr="00EA2081">
        <w:rPr>
          <w:rFonts w:ascii="Arial" w:hAnsi="Arial" w:cs="Arial"/>
          <w:sz w:val="24"/>
          <w:szCs w:val="24"/>
        </w:rPr>
        <w:t xml:space="preserve">. [online] Available at: </w:t>
      </w:r>
      <w:hyperlink r:id="rId10">
        <w:r w:rsidRPr="00EA2081">
          <w:rPr>
            <w:rFonts w:ascii="Arial" w:hAnsi="Arial" w:cs="Arial"/>
            <w:color w:val="0000FF"/>
            <w:sz w:val="24"/>
            <w:szCs w:val="24"/>
            <w:u w:val="single"/>
          </w:rPr>
          <w:t>https://www.towerhamlets.gov.uk/Documents/Public-Health/JSNA/JSNA_Summary.pdf</w:t>
        </w:r>
      </w:hyperlink>
      <w:r w:rsidRPr="00EA2081">
        <w:rPr>
          <w:rFonts w:ascii="Arial" w:hAnsi="Arial" w:cs="Arial"/>
          <w:sz w:val="24"/>
          <w:szCs w:val="24"/>
        </w:rPr>
        <w:t xml:space="preserve"> [Accessed 25 Feb. 2026].</w:t>
      </w:r>
    </w:p>
    <w:p w14:paraId="59F56CCD" w14:textId="5B342022" w:rsidR="00B2322A" w:rsidRPr="00EA2081" w:rsidRDefault="00B2322A">
      <w:pPr>
        <w:widowControl/>
        <w:spacing w:before="240" w:after="240" w:line="360" w:lineRule="auto"/>
        <w:jc w:val="both"/>
        <w:rPr>
          <w:rFonts w:ascii="Arial" w:hAnsi="Arial" w:cs="Arial"/>
          <w:sz w:val="24"/>
          <w:szCs w:val="24"/>
        </w:rPr>
      </w:pPr>
      <w:r w:rsidRPr="00EA2081">
        <w:rPr>
          <w:rFonts w:ascii="Arial" w:hAnsi="Arial" w:cs="Arial"/>
          <w:sz w:val="24"/>
          <w:szCs w:val="24"/>
        </w:rPr>
        <w:t xml:space="preserve">Powell, N., Dalton, H., Lawrence-Bourne, J. and Perkins, D. (2024). Co-creating community wellbeing initiatives: what is the evidence and how do they work? </w:t>
      </w:r>
      <w:r w:rsidRPr="00EA2081">
        <w:rPr>
          <w:rFonts w:ascii="Arial" w:hAnsi="Arial" w:cs="Arial"/>
          <w:i/>
          <w:iCs/>
          <w:sz w:val="24"/>
          <w:szCs w:val="24"/>
        </w:rPr>
        <w:t>International Journal of Mental Health Systems</w:t>
      </w:r>
      <w:r w:rsidRPr="00EA2081">
        <w:rPr>
          <w:rFonts w:ascii="Arial" w:hAnsi="Arial" w:cs="Arial"/>
          <w:sz w:val="24"/>
          <w:szCs w:val="24"/>
        </w:rPr>
        <w:t xml:space="preserve">, 18(1). </w:t>
      </w:r>
      <w:hyperlink r:id="rId11">
        <w:r w:rsidRPr="00EA2081">
          <w:rPr>
            <w:rFonts w:ascii="Arial" w:hAnsi="Arial" w:cs="Arial"/>
            <w:color w:val="0000FF"/>
            <w:sz w:val="24"/>
            <w:szCs w:val="24"/>
            <w:u w:val="single"/>
          </w:rPr>
          <w:t>https://doi.org/10.1186/s13033-024-00645-7</w:t>
        </w:r>
      </w:hyperlink>
      <w:r w:rsidRPr="00EA2081">
        <w:rPr>
          <w:rFonts w:ascii="Arial" w:hAnsi="Arial" w:cs="Arial"/>
          <w:sz w:val="24"/>
          <w:szCs w:val="24"/>
        </w:rPr>
        <w:t xml:space="preserve">. </w:t>
      </w:r>
    </w:p>
    <w:p w14:paraId="4C728CCE" w14:textId="583B3B25" w:rsidR="00750E16" w:rsidRPr="00EA2081" w:rsidRDefault="00B2322A" w:rsidP="005B6DDF">
      <w:pPr>
        <w:widowControl/>
        <w:spacing w:before="240" w:after="240" w:line="360" w:lineRule="auto"/>
        <w:jc w:val="both"/>
        <w:rPr>
          <w:rFonts w:ascii="Arial" w:hAnsi="Arial" w:cs="Arial"/>
          <w:sz w:val="24"/>
          <w:szCs w:val="24"/>
        </w:rPr>
      </w:pPr>
      <w:r w:rsidRPr="00EA2081">
        <w:rPr>
          <w:rFonts w:ascii="Arial" w:hAnsi="Arial" w:cs="Arial"/>
          <w:sz w:val="24"/>
          <w:szCs w:val="24"/>
        </w:rPr>
        <w:t xml:space="preserve">Marcus, C., Danielsson, P. and Hagman, E. (2022). </w:t>
      </w:r>
      <w:proofErr w:type="spellStart"/>
      <w:r w:rsidRPr="00EA2081">
        <w:rPr>
          <w:rFonts w:ascii="Arial" w:hAnsi="Arial" w:cs="Arial"/>
          <w:sz w:val="24"/>
          <w:szCs w:val="24"/>
        </w:rPr>
        <w:t>Pediatric</w:t>
      </w:r>
      <w:proofErr w:type="spellEnd"/>
      <w:r w:rsidRPr="00EA2081">
        <w:rPr>
          <w:rFonts w:ascii="Arial" w:hAnsi="Arial" w:cs="Arial"/>
          <w:sz w:val="24"/>
          <w:szCs w:val="24"/>
        </w:rPr>
        <w:t xml:space="preserve"> obesity—Long</w:t>
      </w:r>
      <w:r w:rsidRPr="00EA2081">
        <w:rPr>
          <w:rFonts w:ascii="Cambria Math" w:hAnsi="Cambria Math" w:cs="Cambria Math"/>
          <w:sz w:val="24"/>
          <w:szCs w:val="24"/>
        </w:rPr>
        <w:t>‐</w:t>
      </w:r>
      <w:r w:rsidRPr="00EA2081">
        <w:rPr>
          <w:rFonts w:ascii="Arial" w:hAnsi="Arial" w:cs="Arial"/>
          <w:sz w:val="24"/>
          <w:szCs w:val="24"/>
        </w:rPr>
        <w:t xml:space="preserve">term consequences and effect of weight loss. </w:t>
      </w:r>
      <w:r w:rsidRPr="00EA2081">
        <w:rPr>
          <w:rFonts w:ascii="Arial" w:hAnsi="Arial" w:cs="Arial"/>
          <w:i/>
          <w:iCs/>
          <w:sz w:val="24"/>
          <w:szCs w:val="24"/>
        </w:rPr>
        <w:t>Journal of Internal Medicine</w:t>
      </w:r>
      <w:r w:rsidRPr="00EA2081">
        <w:rPr>
          <w:rFonts w:ascii="Arial" w:hAnsi="Arial" w:cs="Arial"/>
          <w:sz w:val="24"/>
          <w:szCs w:val="24"/>
        </w:rPr>
        <w:t xml:space="preserve">, [online] 292(6), pp.870–891. </w:t>
      </w:r>
      <w:hyperlink r:id="rId12">
        <w:r w:rsidRPr="00EA2081">
          <w:rPr>
            <w:rFonts w:ascii="Arial" w:hAnsi="Arial" w:cs="Arial"/>
            <w:color w:val="0000FF"/>
            <w:sz w:val="24"/>
            <w:szCs w:val="24"/>
            <w:u w:val="single"/>
          </w:rPr>
          <w:t>https://doi.org/10.1111/joim.13547</w:t>
        </w:r>
      </w:hyperlink>
      <w:r w:rsidRPr="00EA2081">
        <w:rPr>
          <w:rFonts w:ascii="Arial" w:hAnsi="Arial" w:cs="Arial"/>
          <w:sz w:val="24"/>
          <w:szCs w:val="24"/>
        </w:rPr>
        <w:t xml:space="preserve">. </w:t>
      </w:r>
    </w:p>
    <w:sectPr w:rsidR="00750E16" w:rsidRPr="00EA2081" w:rsidSect="005B6DDF">
      <w:headerReference w:type="default" r:id="rId13"/>
      <w:footerReference w:type="default" r:id="rId14"/>
      <w:pgSz w:w="11910" w:h="16840"/>
      <w:pgMar w:top="1900" w:right="992" w:bottom="1240" w:left="1133" w:header="1451" w:footer="104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2D6ADF" w14:textId="77777777" w:rsidR="003349FB" w:rsidRDefault="003349FB">
      <w:r>
        <w:separator/>
      </w:r>
    </w:p>
  </w:endnote>
  <w:endnote w:type="continuationSeparator" w:id="0">
    <w:p w14:paraId="32327F8F" w14:textId="77777777" w:rsidR="003349FB" w:rsidRDefault="003349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11AAE8B5-E912-4D0D-B926-AB3E60B1C55E}"/>
  </w:font>
  <w:font w:name="Cambria">
    <w:panose1 w:val="02040503050406030204"/>
    <w:charset w:val="00"/>
    <w:family w:val="roman"/>
    <w:pitch w:val="variable"/>
    <w:sig w:usb0="E00006FF" w:usb1="420024FF" w:usb2="02000000" w:usb3="00000000" w:csb0="0000019F" w:csb1="00000000"/>
    <w:embedRegular r:id="rId2" w:fontKey="{2DABDE65-7DB3-4FB9-ACEB-089B498E8216}"/>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3" w:fontKey="{7075B7E4-34A4-4A96-AB6F-CB905250751F}"/>
  </w:font>
  <w:font w:name="Calibri">
    <w:panose1 w:val="020F0502020204030204"/>
    <w:charset w:val="00"/>
    <w:family w:val="swiss"/>
    <w:pitch w:val="variable"/>
    <w:sig w:usb0="E4002EFF" w:usb1="C200247B" w:usb2="00000009" w:usb3="00000000" w:csb0="000001FF" w:csb1="00000000"/>
    <w:embedRegular r:id="rId4" w:fontKey="{D7CE3F87-26F0-466B-8C10-72F57F111848}"/>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5" w:fontKey="{99D6E571-1581-4762-9822-08AECE08159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6D5E7A" w14:textId="77777777" w:rsidR="00142FFD" w:rsidRDefault="00000000">
    <w:pPr>
      <w:pBdr>
        <w:top w:val="nil"/>
        <w:left w:val="nil"/>
        <w:bottom w:val="nil"/>
        <w:right w:val="nil"/>
        <w:between w:val="nil"/>
      </w:pBdr>
      <w:spacing w:line="14" w:lineRule="auto"/>
      <w:rPr>
        <w:color w:val="000000"/>
        <w:sz w:val="20"/>
        <w:szCs w:val="20"/>
      </w:rPr>
    </w:pPr>
    <w:r>
      <w:rPr>
        <w:noProof/>
      </w:rPr>
      <mc:AlternateContent>
        <mc:Choice Requires="wps">
          <w:drawing>
            <wp:anchor distT="0" distB="0" distL="0" distR="0" simplePos="0" relativeHeight="251675648" behindDoc="1" locked="0" layoutInCell="1" hidden="0" allowOverlap="1" wp14:anchorId="3FC7F464" wp14:editId="74F7657C">
              <wp:simplePos x="0" y="0"/>
              <wp:positionH relativeFrom="column">
                <wp:posOffset>2935034</wp:posOffset>
              </wp:positionH>
              <wp:positionV relativeFrom="paragraph">
                <wp:posOffset>9883606</wp:posOffset>
              </wp:positionV>
              <wp:extent cx="269875" cy="205740"/>
              <wp:effectExtent l="0" t="0" r="0" b="0"/>
              <wp:wrapNone/>
              <wp:docPr id="21" name="Rectangle 21"/>
              <wp:cNvGraphicFramePr/>
              <a:graphic xmlns:a="http://schemas.openxmlformats.org/drawingml/2006/main">
                <a:graphicData uri="http://schemas.microsoft.com/office/word/2010/wordprocessingShape">
                  <wps:wsp>
                    <wps:cNvSpPr/>
                    <wps:spPr>
                      <a:xfrm>
                        <a:off x="5215825" y="3681893"/>
                        <a:ext cx="260350" cy="196215"/>
                      </a:xfrm>
                      <a:prstGeom prst="rect">
                        <a:avLst/>
                      </a:prstGeom>
                      <a:noFill/>
                      <a:ln>
                        <a:noFill/>
                      </a:ln>
                    </wps:spPr>
                    <wps:txbx>
                      <w:txbxContent>
                        <w:p w14:paraId="35FAF521" w14:textId="77777777" w:rsidR="00142FFD" w:rsidRDefault="00000000">
                          <w:pPr>
                            <w:spacing w:before="12"/>
                            <w:ind w:left="60"/>
                            <w:textDirection w:val="btLr"/>
                          </w:pPr>
                          <w:r>
                            <w:rPr>
                              <w:rFonts w:ascii="Arial" w:eastAsia="Arial" w:hAnsi="Arial" w:cs="Arial"/>
                              <w:color w:val="000000"/>
                              <w:sz w:val="24"/>
                            </w:rPr>
                            <w:t xml:space="preserve"> PAGE 10</w:t>
                          </w:r>
                        </w:p>
                      </w:txbxContent>
                    </wps:txbx>
                    <wps:bodyPr spcFirstLastPara="1" wrap="square" lIns="0" tIns="0" rIns="0" bIns="0" anchor="t" anchorCtr="0">
                      <a:noAutofit/>
                    </wps:bodyPr>
                  </wps:wsp>
                </a:graphicData>
              </a:graphic>
            </wp:anchor>
          </w:drawing>
        </mc:Choice>
        <mc:Fallback>
          <w:pict>
            <v:rect w14:anchorId="3FC7F464" id="Rectangle 21" o:spid="_x0000_s1027" style="position:absolute;margin-left:231.1pt;margin-top:778.25pt;width:21.25pt;height:16.2pt;z-index:-251640832;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" filled="f" stroked="f">
              <v:textbox inset="0,0,0,0">
                <w:txbxContent>
                  <w:p w14:paraId="35FAF521" w14:textId="77777777" w:rsidR="00142FFD" w:rsidRDefault="00000000">
                    <w:pPr>
                      <w:spacing w:before="12"/>
                      <w:ind w:left="60"/>
                      <w:textDirection w:val="btLr"/>
                    </w:pPr>
                    <w:r>
                      <w:rPr>
                        <w:rFonts w:ascii="Arial" w:eastAsia="Arial" w:hAnsi="Arial" w:cs="Arial"/>
                        <w:color w:val="000000"/>
                        <w:sz w:val="24"/>
                      </w:rPr>
                      <w:t xml:space="preserve"> PAGE 10</w:t>
                    </w:r>
                  </w:p>
                </w:txbxContent>
              </v:textbox>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24691B" w14:textId="77777777" w:rsidR="003349FB" w:rsidRDefault="003349FB">
      <w:r>
        <w:separator/>
      </w:r>
    </w:p>
  </w:footnote>
  <w:footnote w:type="continuationSeparator" w:id="0">
    <w:p w14:paraId="04D5234C" w14:textId="77777777" w:rsidR="003349FB" w:rsidRDefault="003349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FCF037" w14:textId="77777777" w:rsidR="00142FFD" w:rsidRDefault="00000000">
    <w:pPr>
      <w:pBdr>
        <w:top w:val="nil"/>
        <w:left w:val="nil"/>
        <w:bottom w:val="nil"/>
        <w:right w:val="nil"/>
        <w:between w:val="nil"/>
      </w:pBdr>
      <w:spacing w:line="14" w:lineRule="auto"/>
      <w:rPr>
        <w:color w:val="000000"/>
        <w:sz w:val="20"/>
        <w:szCs w:val="20"/>
      </w:rPr>
    </w:pPr>
    <w:r>
      <w:rPr>
        <w:noProof/>
        <w:color w:val="000000"/>
        <w:sz w:val="20"/>
        <w:szCs w:val="20"/>
      </w:rPr>
      <mc:AlternateContent>
        <mc:Choice Requires="wps">
          <w:drawing>
            <wp:anchor distT="0" distB="0" distL="0" distR="0" simplePos="0" relativeHeight="251674624" behindDoc="1" locked="0" layoutInCell="1" hidden="0" allowOverlap="1" wp14:anchorId="0FD3C082" wp14:editId="498CF60C">
              <wp:simplePos x="0" y="0"/>
              <wp:positionH relativeFrom="page">
                <wp:posOffset>897255</wp:posOffset>
              </wp:positionH>
              <wp:positionV relativeFrom="page">
                <wp:posOffset>903866</wp:posOffset>
              </wp:positionV>
              <wp:extent cx="1440180" cy="262254"/>
              <wp:effectExtent l="0" t="0" r="0" b="0"/>
              <wp:wrapNone/>
              <wp:docPr id="27" name="Rectangle 27"/>
              <wp:cNvGraphicFramePr/>
              <a:graphic xmlns:a="http://schemas.openxmlformats.org/drawingml/2006/main">
                <a:graphicData uri="http://schemas.microsoft.com/office/word/2010/wordprocessingShape">
                  <wps:wsp>
                    <wps:cNvSpPr/>
                    <wps:spPr>
                      <a:xfrm>
                        <a:off x="4630673" y="3653636"/>
                        <a:ext cx="1430655" cy="252729"/>
                      </a:xfrm>
                      <a:prstGeom prst="rect">
                        <a:avLst/>
                      </a:prstGeom>
                      <a:noFill/>
                      <a:ln>
                        <a:noFill/>
                      </a:ln>
                    </wps:spPr>
                    <wps:txbx>
                      <w:txbxContent>
                        <w:p w14:paraId="46EB7D19" w14:textId="26F597D2" w:rsidR="00142FFD" w:rsidRDefault="00142FFD">
                          <w:pPr>
                            <w:spacing w:before="8"/>
                            <w:ind w:left="20" w:firstLine="20"/>
                            <w:textDirection w:val="btLr"/>
                          </w:pPr>
                        </w:p>
                      </w:txbxContent>
                    </wps:txbx>
                    <wps:bodyPr spcFirstLastPara="1" wrap="square" lIns="0" tIns="0" rIns="0" bIns="0" anchor="t" anchorCtr="0">
                      <a:noAutofit/>
                    </wps:bodyPr>
                  </wps:wsp>
                </a:graphicData>
              </a:graphic>
            </wp:anchor>
          </w:drawing>
        </mc:Choice>
        <mc:Fallback>
          <w:pict>
            <v:rect w14:anchorId="0FD3C082" id="Rectangle 27" o:spid="_x0000_s1026" style="position:absolute;margin-left:70.65pt;margin-top:71.15pt;width:113.4pt;height:20.65pt;z-index:-2516418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" filled="f" stroked="f">
              <v:textbox inset="0,0,0,0">
                <w:txbxContent>
                  <w:p w14:paraId="46EB7D19" w14:textId="26F597D2" w:rsidR="00142FFD" w:rsidRDefault="00142FFD">
                    <w:pPr>
                      <w:spacing w:before="8"/>
                      <w:ind w:left="20" w:firstLine="20"/>
                      <w:textDirection w:val="btLr"/>
                    </w:pPr>
                  </w:p>
                </w:txbxContent>
              </v:textbox>
              <w10:wrap anchorx="page"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2FFD"/>
    <w:rsid w:val="00051D55"/>
    <w:rsid w:val="00142FFD"/>
    <w:rsid w:val="002816EC"/>
    <w:rsid w:val="003349FB"/>
    <w:rsid w:val="004952B6"/>
    <w:rsid w:val="004C0234"/>
    <w:rsid w:val="005B6DDF"/>
    <w:rsid w:val="005C0A99"/>
    <w:rsid w:val="005F73FC"/>
    <w:rsid w:val="006975F2"/>
    <w:rsid w:val="00750E16"/>
    <w:rsid w:val="008225BC"/>
    <w:rsid w:val="00880D7E"/>
    <w:rsid w:val="0097127B"/>
    <w:rsid w:val="00B2322A"/>
    <w:rsid w:val="00C45AEB"/>
    <w:rsid w:val="00E110E0"/>
    <w:rsid w:val="00EA2081"/>
    <w:rsid w:val="00EC410C"/>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E517A7"/>
  <w15:docId w15:val="{C0DF1670-A784-42DB-88D8-18E181569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2"/>
        <w:szCs w:val="22"/>
        <w:lang w:val="en-IN" w:eastAsia="zh-CN"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975F2"/>
    <w:pPr>
      <w:keepNext/>
      <w:keepLines/>
      <w:spacing w:before="480" w:after="120"/>
      <w:outlineLvl w:val="0"/>
    </w:pPr>
    <w:rPr>
      <w:b/>
      <w:bCs/>
      <w:sz w:val="2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BodyText">
    <w:name w:val="Body Text"/>
    <w:basedOn w:val="Normal"/>
    <w:uiPriority w:val="1"/>
    <w:qFormat/>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rmalWeb">
    <w:name w:val="Normal (Web)"/>
    <w:basedOn w:val="Normal"/>
    <w:uiPriority w:val="99"/>
    <w:unhideWhenUsed/>
    <w:rsid w:val="00080AC5"/>
    <w:pPr>
      <w:widowControl/>
      <w:spacing w:before="100" w:beforeAutospacing="1" w:after="100" w:afterAutospacing="1"/>
    </w:pPr>
    <w:rPr>
      <w:sz w:val="24"/>
      <w:szCs w:val="24"/>
      <w:lang w:eastAsia="en-IN"/>
    </w:rPr>
  </w:style>
  <w:style w:type="character" w:styleId="Hyperlink">
    <w:name w:val="Hyperlink"/>
    <w:basedOn w:val="DefaultParagraphFont"/>
    <w:uiPriority w:val="99"/>
    <w:unhideWhenUsed/>
    <w:rsid w:val="004D3C84"/>
    <w:rPr>
      <w:color w:val="0000FF" w:themeColor="hyperlink"/>
      <w:u w:val="single"/>
    </w:rPr>
  </w:style>
  <w:style w:type="paragraph" w:styleId="Header">
    <w:name w:val="header"/>
    <w:basedOn w:val="Normal"/>
    <w:link w:val="HeaderChar"/>
    <w:uiPriority w:val="99"/>
    <w:unhideWhenUsed/>
    <w:rsid w:val="00AD6C41"/>
    <w:pPr>
      <w:tabs>
        <w:tab w:val="center" w:pos="4513"/>
        <w:tab w:val="right" w:pos="9026"/>
      </w:tabs>
    </w:pPr>
  </w:style>
  <w:style w:type="character" w:customStyle="1" w:styleId="HeaderChar">
    <w:name w:val="Header Char"/>
    <w:basedOn w:val="DefaultParagraphFont"/>
    <w:link w:val="Header"/>
    <w:uiPriority w:val="99"/>
    <w:rsid w:val="00AD6C41"/>
    <w:rPr>
      <w:rFonts w:ascii="Times New Roman" w:eastAsia="Times New Roman" w:hAnsi="Times New Roman" w:cs="Times New Roman"/>
    </w:rPr>
  </w:style>
  <w:style w:type="paragraph" w:styleId="Footer">
    <w:name w:val="footer"/>
    <w:basedOn w:val="Normal"/>
    <w:link w:val="FooterChar"/>
    <w:uiPriority w:val="99"/>
    <w:unhideWhenUsed/>
    <w:rsid w:val="00AD6C41"/>
    <w:pPr>
      <w:tabs>
        <w:tab w:val="center" w:pos="4513"/>
        <w:tab w:val="right" w:pos="9026"/>
      </w:tabs>
    </w:pPr>
  </w:style>
  <w:style w:type="character" w:customStyle="1" w:styleId="FooterChar">
    <w:name w:val="Footer Char"/>
    <w:basedOn w:val="DefaultParagraphFont"/>
    <w:link w:val="Footer"/>
    <w:uiPriority w:val="99"/>
    <w:rsid w:val="00AD6C41"/>
    <w:rPr>
      <w:rFonts w:ascii="Times New Roman" w:eastAsia="Times New Roman" w:hAnsi="Times New Roman" w:cs="Times New Roman"/>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paragraph" w:styleId="TOCHeading">
    <w:name w:val="TOC Heading"/>
    <w:basedOn w:val="Heading1"/>
    <w:next w:val="Normal"/>
    <w:uiPriority w:val="39"/>
    <w:unhideWhenUsed/>
    <w:qFormat/>
    <w:rsid w:val="00750E16"/>
    <w:pPr>
      <w:widowControl/>
      <w:spacing w:before="240" w:after="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2">
    <w:name w:val="toc 2"/>
    <w:basedOn w:val="Normal"/>
    <w:next w:val="Normal"/>
    <w:autoRedefine/>
    <w:uiPriority w:val="39"/>
    <w:unhideWhenUsed/>
    <w:rsid w:val="005C0A99"/>
    <w:pPr>
      <w:widowControl/>
      <w:spacing w:after="100" w:line="259" w:lineRule="auto"/>
      <w:ind w:left="220"/>
    </w:pPr>
    <w:rPr>
      <w:rFonts w:asciiTheme="minorHAnsi" w:eastAsiaTheme="minorEastAsia" w:hAnsiTheme="minorHAnsi"/>
      <w:lang w:val="en-US" w:eastAsia="en-US"/>
    </w:rPr>
  </w:style>
  <w:style w:type="paragraph" w:styleId="TOC1">
    <w:name w:val="toc 1"/>
    <w:basedOn w:val="Normal"/>
    <w:next w:val="Normal"/>
    <w:autoRedefine/>
    <w:uiPriority w:val="39"/>
    <w:unhideWhenUsed/>
    <w:rsid w:val="005C0A99"/>
    <w:pPr>
      <w:widowControl/>
      <w:spacing w:after="100" w:line="259" w:lineRule="auto"/>
    </w:pPr>
    <w:rPr>
      <w:rFonts w:asciiTheme="minorHAnsi" w:eastAsiaTheme="minorEastAsia" w:hAnsiTheme="minorHAnsi"/>
      <w:lang w:val="en-US" w:eastAsia="en-US"/>
    </w:rPr>
  </w:style>
  <w:style w:type="paragraph" w:styleId="TOC3">
    <w:name w:val="toc 3"/>
    <w:basedOn w:val="Normal"/>
    <w:next w:val="Normal"/>
    <w:autoRedefine/>
    <w:uiPriority w:val="39"/>
    <w:unhideWhenUsed/>
    <w:rsid w:val="005C0A99"/>
    <w:pPr>
      <w:widowControl/>
      <w:spacing w:after="100" w:line="259" w:lineRule="auto"/>
      <w:ind w:left="440"/>
    </w:pPr>
    <w:rPr>
      <w:rFonts w:asciiTheme="minorHAnsi" w:eastAsiaTheme="minorEastAsia" w:hAnsiTheme="minorHAns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joim.13547"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3033-024-00645-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owerhamlets.gov.uk/Documents/Public-Health/JSNA/JSNA_Summary.pdf" TargetMode="External"/><Relationship Id="rId4" Type="http://schemas.openxmlformats.org/officeDocument/2006/relationships/settings" Target="settings.xml"/><Relationship Id="rId9" Type="http://schemas.openxmlformats.org/officeDocument/2006/relationships/hyperlink" Target="https://assets.publishing.service.gov.uk/media/5a7c62dced915d696ccfc6e3/dh_131733.pdf"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WA6zqJAAnEJC/tyoPar5yfM2g==">CgMxLjAaFAoBMBIPCg0IB0IJEgdHdW5nc3VoMg9pZC51cHA2bmRhOGFscW4yDmguc3NpbjBwb2Yybm52Mg9pZC5uY2NyeTFmcTUyMGE4AHIhMXI4Q0RnVzVmb1lzOGJqZGo5T3lBa09lNVhtR1BJNjVZ</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3574BC-991B-46A7-9EFD-6135C71C1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3</Pages>
  <Words>552</Words>
  <Characters>3151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Vihar Patel</cp:lastModifiedBy>
  <cp:revision>8</cp:revision>
  <dcterms:created xsi:type="dcterms:W3CDTF">2026-02-27T12:30:00Z</dcterms:created>
  <dcterms:modified xsi:type="dcterms:W3CDTF">2026-03-10T22:59:00Z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2026-02-12T00:00:00Z</vt:filetime>
  </property>
  <property fmtid="{D5CDD505-2E9C-101B-9397-08002B2CF9AE}" pid="3" name="Creator">
    <vt:lpwstr>Microsoft Word</vt:lpwstr>
  </property>
  <property fmtid="{D5CDD505-2E9C-101B-9397-08002B2CF9AE}" pid="4" name="LastSaved">
    <vt:filetime>2026-02-27T00:00:00Z</vt:filetime>
  </property>
</Properties>
</file>