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xmlns:wp14="http://schemas.microsoft.com/office/word/2010/wordml" w:rsidRPr="00752C57" w:rsidR="00B322E0" w:rsidP="009C2D59" w:rsidRDefault="00B322E0" w14:paraId="672A6659" wp14:textId="77777777">
      <w:pPr>
        <w:rPr>
          <w:b/>
          <w:i/>
          <w:color w:val="auto"/>
          <w:sz w:val="88"/>
          <w:szCs w:val="88"/>
        </w:rPr>
      </w:pPr>
      <w:bookmarkStart w:name="__RefHeading___Toc82856599" w:id="0"/>
      <w:bookmarkEnd w:id="0"/>
    </w:p>
    <w:p xmlns:wp14="http://schemas.microsoft.com/office/word/2010/wordml" w:rsidRPr="00752C57" w:rsidR="00B322E0" w:rsidRDefault="00B322E0" w14:paraId="0A37501D" wp14:textId="77777777">
      <w:pPr>
        <w:jc w:val="center"/>
        <w:rPr>
          <w:b/>
          <w:i/>
          <w:color w:val="auto"/>
          <w:sz w:val="88"/>
          <w:szCs w:val="88"/>
        </w:rPr>
      </w:pPr>
    </w:p>
    <w:p xmlns:wp14="http://schemas.microsoft.com/office/word/2010/wordml" w:rsidR="00D83BC8" w:rsidRDefault="00D83BC8" w14:paraId="5DAB6C7B" wp14:textId="77777777">
      <w:pPr>
        <w:jc w:val="center"/>
        <w:rPr>
          <w:rFonts w:ascii="Arial" w:hAnsi="Arial" w:cs="Arial"/>
          <w:b/>
          <w:bCs/>
          <w:i/>
          <w:color w:val="auto"/>
          <w:sz w:val="40"/>
          <w:szCs w:val="40"/>
        </w:rPr>
      </w:pPr>
    </w:p>
    <w:p xmlns:wp14="http://schemas.microsoft.com/office/word/2010/wordml" w:rsidRPr="00D83BC8" w:rsidR="00793373" w:rsidRDefault="00D56320" w14:paraId="2C4A8278" wp14:textId="77777777">
      <w:pPr>
        <w:jc w:val="center"/>
      </w:pPr>
      <w:r w:rsidRPr="7A36D1D6" w:rsidR="00D56320">
        <w:rPr>
          <w:rFonts w:ascii="Arial" w:hAnsi="Arial" w:cs="Arial"/>
          <w:b w:val="1"/>
          <w:bCs w:val="1"/>
          <w:i w:val="1"/>
          <w:iCs w:val="1"/>
          <w:color w:val="auto"/>
          <w:sz w:val="40"/>
          <w:szCs w:val="40"/>
        </w:rPr>
        <w:t>Depression as a Public Health Issue: Disease Monitoring, Control Strategies and Community Health and Social Care Support</w:t>
      </w:r>
      <w:r w:rsidRPr="7A36D1D6" w:rsidR="009C2D59">
        <w:rPr>
          <w:rFonts w:ascii="Arial" w:hAnsi="Arial" w:cs="Arial"/>
          <w:b w:val="1"/>
          <w:bCs w:val="1"/>
          <w:i w:val="1"/>
          <w:iCs w:val="1"/>
          <w:color w:val="auto"/>
          <w:sz w:val="40"/>
          <w:szCs w:val="40"/>
        </w:rPr>
        <w:t> </w:t>
      </w:r>
      <w:r w:rsidRPr="7A36D1D6" w:rsidR="00B57A65">
        <w:rPr>
          <w:rFonts w:ascii="Arial" w:hAnsi="Arial" w:cs="Arial"/>
          <w:b w:val="1"/>
          <w:bCs w:val="1"/>
          <w:i w:val="1"/>
          <w:iCs w:val="1"/>
          <w:color w:val="auto"/>
          <w:sz w:val="40"/>
          <w:szCs w:val="40"/>
        </w:rPr>
        <w:t xml:space="preserve"> </w:t>
      </w:r>
    </w:p>
    <w:p w:rsidR="7A36D1D6" w:rsidP="7A36D1D6" w:rsidRDefault="7A36D1D6" w14:paraId="2B57A44C" w14:textId="563AAF30">
      <w:pPr>
        <w:jc w:val="center"/>
        <w:rPr>
          <w:rFonts w:ascii="Arial" w:hAnsi="Arial" w:cs="Arial"/>
          <w:b w:val="1"/>
          <w:bCs w:val="1"/>
          <w:i w:val="1"/>
          <w:iCs w:val="1"/>
          <w:color w:val="auto"/>
          <w:sz w:val="40"/>
          <w:szCs w:val="40"/>
        </w:rPr>
      </w:pPr>
    </w:p>
    <w:p w:rsidR="7297A973" w:rsidP="7A36D1D6" w:rsidRDefault="7297A973" w14:paraId="70F09C2B" w14:textId="48F58F2E">
      <w:pPr>
        <w:jc w:val="center"/>
      </w:pPr>
      <w:r w:rsidRPr="7A36D1D6" w:rsidR="7297A973">
        <w:rPr>
          <w:rFonts w:ascii="Arial" w:hAnsi="Arial" w:cs="Arial"/>
          <w:b w:val="1"/>
          <w:bCs w:val="1"/>
          <w:i w:val="1"/>
          <w:iCs w:val="1"/>
          <w:color w:val="auto"/>
          <w:sz w:val="40"/>
          <w:szCs w:val="40"/>
        </w:rPr>
        <w:t>Saheda Amir</w:t>
      </w:r>
    </w:p>
    <w:p w:rsidR="7297A973" w:rsidP="7A36D1D6" w:rsidRDefault="7297A973" w14:paraId="2E2E115F" w14:textId="47D457E0">
      <w:pPr>
        <w:jc w:val="center"/>
      </w:pPr>
      <w:r w:rsidRPr="7A36D1D6" w:rsidR="7297A973">
        <w:rPr>
          <w:rFonts w:ascii="Arial" w:hAnsi="Arial" w:cs="Arial"/>
          <w:b w:val="1"/>
          <w:bCs w:val="1"/>
          <w:i w:val="1"/>
          <w:iCs w:val="1"/>
          <w:color w:val="auto"/>
          <w:sz w:val="40"/>
          <w:szCs w:val="40"/>
        </w:rPr>
        <w:t>LSCH4008</w:t>
      </w:r>
    </w:p>
    <w:p w:rsidR="7297A973" w:rsidP="7A36D1D6" w:rsidRDefault="7297A973" w14:paraId="2483C88A" w14:textId="245E0352">
      <w:pPr>
        <w:jc w:val="center"/>
      </w:pPr>
      <w:r w:rsidRPr="7A36D1D6" w:rsidR="7297A973">
        <w:rPr>
          <w:rFonts w:ascii="Arial" w:hAnsi="Arial" w:cs="Arial"/>
          <w:b w:val="1"/>
          <w:bCs w:val="1"/>
          <w:i w:val="1"/>
          <w:iCs w:val="1"/>
          <w:color w:val="auto"/>
          <w:sz w:val="40"/>
          <w:szCs w:val="40"/>
        </w:rPr>
        <w:t>2527273</w:t>
      </w:r>
    </w:p>
    <w:p xmlns:wp14="http://schemas.microsoft.com/office/word/2010/wordml" w:rsidRPr="00D83BC8" w:rsidR="00793373" w:rsidRDefault="00793373" w14:paraId="22E0FC93" wp14:textId="77777777">
      <w:pPr>
        <w:pStyle w:val="ContentsHeading"/>
        <w:pageBreakBefore/>
        <w:rPr>
          <w:rFonts w:ascii="Arial" w:hAnsi="Arial" w:cs="Arial"/>
          <w:color w:val="auto"/>
          <w:sz w:val="22"/>
          <w:szCs w:val="22"/>
        </w:rPr>
      </w:pPr>
      <w:r w:rsidRPr="00D83BC8">
        <w:rPr>
          <w:rFonts w:ascii="Arial" w:hAnsi="Arial" w:cs="Arial"/>
          <w:color w:val="auto"/>
          <w:sz w:val="22"/>
          <w:szCs w:val="22"/>
        </w:rPr>
        <w:t>Table of Contents</w:t>
      </w:r>
    </w:p>
    <w:p xmlns:wp14="http://schemas.microsoft.com/office/word/2010/wordml" w:rsidRPr="00D83BC8" w:rsidR="00D56320" w:rsidRDefault="00793373" w14:paraId="474369E6" wp14:textId="77777777">
      <w:pPr>
        <w:pStyle w:val="TOC1"/>
        <w:rPr>
          <w:rFonts w:ascii="Arial" w:hAnsi="Arial" w:eastAsia="Times New Roman" w:cs="Arial"/>
          <w:noProof/>
          <w:color w:val="auto"/>
          <w:sz w:val="22"/>
          <w:lang w:eastAsia="en-GB"/>
        </w:rPr>
      </w:pPr>
      <w:r w:rsidRPr="00D83BC8">
        <w:rPr>
          <w:rFonts w:ascii="Arial" w:hAnsi="Arial" w:cs="Arial"/>
          <w:color w:val="auto"/>
          <w:sz w:val="22"/>
        </w:rPr>
        <w:fldChar w:fldCharType="begin"/>
      </w:r>
      <w:r w:rsidRPr="00D83BC8">
        <w:rPr>
          <w:rFonts w:ascii="Arial" w:hAnsi="Arial" w:cs="Arial"/>
          <w:color w:val="auto"/>
          <w:sz w:val="22"/>
        </w:rPr>
        <w:instrText xml:space="preserve"> TOC \f \o "1-9" \o "1-9" </w:instrText>
      </w:r>
      <w:r w:rsidRPr="00D83BC8">
        <w:rPr>
          <w:rFonts w:ascii="Arial" w:hAnsi="Arial" w:cs="Arial"/>
          <w:color w:val="auto"/>
          <w:sz w:val="22"/>
        </w:rPr>
        <w:fldChar w:fldCharType="separate"/>
      </w:r>
      <w:r w:rsidRPr="00D83BC8" w:rsidR="00D56320">
        <w:rPr>
          <w:rFonts w:ascii="Arial" w:hAnsi="Arial" w:cs="Arial"/>
          <w:noProof/>
          <w:sz w:val="22"/>
        </w:rPr>
        <w:t>1. Introduction</w:t>
      </w:r>
      <w:r w:rsidRPr="00D83BC8" w:rsidR="00D56320">
        <w:rPr>
          <w:rFonts w:ascii="Arial" w:hAnsi="Arial" w:cs="Arial"/>
          <w:noProof/>
          <w:sz w:val="22"/>
        </w:rPr>
        <w:tab/>
      </w:r>
      <w:r w:rsidRPr="00D83BC8" w:rsidR="00D56320">
        <w:rPr>
          <w:rFonts w:ascii="Arial" w:hAnsi="Arial" w:cs="Arial"/>
          <w:noProof/>
          <w:sz w:val="22"/>
        </w:rPr>
        <w:fldChar w:fldCharType="begin"/>
      </w:r>
      <w:r w:rsidRPr="00D83BC8" w:rsidR="00D56320">
        <w:rPr>
          <w:rFonts w:ascii="Arial" w:hAnsi="Arial" w:cs="Arial"/>
          <w:noProof/>
          <w:sz w:val="22"/>
        </w:rPr>
        <w:instrText xml:space="preserve"> PAGEREF _Toc234660445 \h </w:instrText>
      </w:r>
      <w:r w:rsidRPr="00D83BC8" w:rsidR="00D56320">
        <w:rPr>
          <w:rFonts w:ascii="Arial" w:hAnsi="Arial" w:cs="Arial"/>
          <w:noProof/>
          <w:sz w:val="22"/>
        </w:rPr>
      </w:r>
      <w:r w:rsidRPr="00D83BC8" w:rsidR="00D56320">
        <w:rPr>
          <w:rFonts w:ascii="Arial" w:hAnsi="Arial" w:cs="Arial"/>
          <w:noProof/>
          <w:sz w:val="22"/>
        </w:rPr>
        <w:fldChar w:fldCharType="separate"/>
      </w:r>
      <w:r w:rsidRPr="00D83BC8" w:rsidR="00D56320">
        <w:rPr>
          <w:rFonts w:ascii="Arial" w:hAnsi="Arial" w:cs="Arial"/>
          <w:noProof/>
          <w:sz w:val="22"/>
        </w:rPr>
        <w:t>3</w:t>
      </w:r>
      <w:r w:rsidRPr="00D83BC8" w:rsidR="00D56320">
        <w:rPr>
          <w:rFonts w:ascii="Arial" w:hAnsi="Arial" w:cs="Arial"/>
          <w:noProof/>
          <w:sz w:val="22"/>
        </w:rPr>
        <w:fldChar w:fldCharType="end"/>
      </w:r>
    </w:p>
    <w:p xmlns:wp14="http://schemas.microsoft.com/office/word/2010/wordml" w:rsidRPr="00D83BC8" w:rsidR="00D56320" w:rsidRDefault="00D56320" w14:paraId="09D3883B" wp14:textId="77777777">
      <w:pPr>
        <w:pStyle w:val="TOC1"/>
        <w:rPr>
          <w:rFonts w:ascii="Arial" w:hAnsi="Arial" w:eastAsia="Times New Roman" w:cs="Arial"/>
          <w:noProof/>
          <w:color w:val="auto"/>
          <w:sz w:val="22"/>
          <w:lang w:eastAsia="en-GB"/>
        </w:rPr>
      </w:pPr>
      <w:r w:rsidRPr="00D83BC8">
        <w:rPr>
          <w:rFonts w:ascii="Arial" w:hAnsi="Arial" w:cs="Arial"/>
          <w:noProof/>
          <w:sz w:val="22"/>
        </w:rPr>
        <w:t>2. Different Approaches Used to Measure and Monitor Depression</w:t>
      </w:r>
      <w:r w:rsidRPr="00D83BC8">
        <w:rPr>
          <w:rFonts w:ascii="Arial" w:hAnsi="Arial" w:cs="Arial"/>
          <w:noProof/>
          <w:sz w:val="22"/>
        </w:rPr>
        <w:tab/>
      </w:r>
      <w:r w:rsidRPr="00D83BC8">
        <w:rPr>
          <w:rFonts w:ascii="Arial" w:hAnsi="Arial" w:cs="Arial"/>
          <w:noProof/>
          <w:sz w:val="22"/>
        </w:rPr>
        <w:fldChar w:fldCharType="begin"/>
      </w:r>
      <w:r w:rsidRPr="00D83BC8">
        <w:rPr>
          <w:rFonts w:ascii="Arial" w:hAnsi="Arial" w:cs="Arial"/>
          <w:noProof/>
          <w:sz w:val="22"/>
        </w:rPr>
        <w:instrText xml:space="preserve"> PAGEREF _Toc234660446 \h </w:instrText>
      </w:r>
      <w:r w:rsidRPr="00D83BC8">
        <w:rPr>
          <w:rFonts w:ascii="Arial" w:hAnsi="Arial" w:cs="Arial"/>
          <w:noProof/>
          <w:sz w:val="22"/>
        </w:rPr>
      </w:r>
      <w:r w:rsidRPr="00D83BC8">
        <w:rPr>
          <w:rFonts w:ascii="Arial" w:hAnsi="Arial" w:cs="Arial"/>
          <w:noProof/>
          <w:sz w:val="22"/>
        </w:rPr>
        <w:fldChar w:fldCharType="separate"/>
      </w:r>
      <w:r w:rsidRPr="00D83BC8">
        <w:rPr>
          <w:rFonts w:ascii="Arial" w:hAnsi="Arial" w:cs="Arial"/>
          <w:noProof/>
          <w:sz w:val="22"/>
        </w:rPr>
        <w:t>3</w:t>
      </w:r>
      <w:r w:rsidRPr="00D83BC8">
        <w:rPr>
          <w:rFonts w:ascii="Arial" w:hAnsi="Arial" w:cs="Arial"/>
          <w:noProof/>
          <w:sz w:val="22"/>
        </w:rPr>
        <w:fldChar w:fldCharType="end"/>
      </w:r>
    </w:p>
    <w:p xmlns:wp14="http://schemas.microsoft.com/office/word/2010/wordml" w:rsidRPr="00D83BC8" w:rsidR="00D56320" w:rsidRDefault="00D56320" w14:paraId="2D6CDC21" wp14:textId="77777777">
      <w:pPr>
        <w:pStyle w:val="TOC1"/>
        <w:rPr>
          <w:rFonts w:ascii="Arial" w:hAnsi="Arial" w:eastAsia="Times New Roman" w:cs="Arial"/>
          <w:noProof/>
          <w:color w:val="auto"/>
          <w:sz w:val="22"/>
          <w:lang w:eastAsia="en-GB"/>
        </w:rPr>
      </w:pPr>
      <w:r w:rsidRPr="00D83BC8">
        <w:rPr>
          <w:rFonts w:ascii="Arial" w:hAnsi="Arial" w:cs="Arial"/>
          <w:noProof/>
          <w:sz w:val="22"/>
        </w:rPr>
        <w:t>3. Public Health Approaches Used to Control Depression</w:t>
      </w:r>
      <w:r w:rsidRPr="00D83BC8">
        <w:rPr>
          <w:rFonts w:ascii="Arial" w:hAnsi="Arial" w:cs="Arial"/>
          <w:noProof/>
          <w:sz w:val="22"/>
        </w:rPr>
        <w:tab/>
      </w:r>
      <w:r w:rsidRPr="00D83BC8">
        <w:rPr>
          <w:rFonts w:ascii="Arial" w:hAnsi="Arial" w:cs="Arial"/>
          <w:noProof/>
          <w:sz w:val="22"/>
        </w:rPr>
        <w:fldChar w:fldCharType="begin"/>
      </w:r>
      <w:r w:rsidRPr="00D83BC8">
        <w:rPr>
          <w:rFonts w:ascii="Arial" w:hAnsi="Arial" w:cs="Arial"/>
          <w:noProof/>
          <w:sz w:val="22"/>
        </w:rPr>
        <w:instrText xml:space="preserve"> PAGEREF _Toc234660447 \h </w:instrText>
      </w:r>
      <w:r w:rsidRPr="00D83BC8">
        <w:rPr>
          <w:rFonts w:ascii="Arial" w:hAnsi="Arial" w:cs="Arial"/>
          <w:noProof/>
          <w:sz w:val="22"/>
        </w:rPr>
      </w:r>
      <w:r w:rsidRPr="00D83BC8">
        <w:rPr>
          <w:rFonts w:ascii="Arial" w:hAnsi="Arial" w:cs="Arial"/>
          <w:noProof/>
          <w:sz w:val="22"/>
        </w:rPr>
        <w:fldChar w:fldCharType="separate"/>
      </w:r>
      <w:r w:rsidRPr="00D83BC8">
        <w:rPr>
          <w:rFonts w:ascii="Arial" w:hAnsi="Arial" w:cs="Arial"/>
          <w:noProof/>
          <w:sz w:val="22"/>
        </w:rPr>
        <w:t>4</w:t>
      </w:r>
      <w:r w:rsidRPr="00D83BC8">
        <w:rPr>
          <w:rFonts w:ascii="Arial" w:hAnsi="Arial" w:cs="Arial"/>
          <w:noProof/>
          <w:sz w:val="22"/>
        </w:rPr>
        <w:fldChar w:fldCharType="end"/>
      </w:r>
    </w:p>
    <w:p xmlns:wp14="http://schemas.microsoft.com/office/word/2010/wordml" w:rsidRPr="00D83BC8" w:rsidR="00D56320" w:rsidRDefault="00D56320" w14:paraId="190385B3" wp14:textId="77777777">
      <w:pPr>
        <w:pStyle w:val="TOC1"/>
        <w:rPr>
          <w:rFonts w:ascii="Arial" w:hAnsi="Arial" w:eastAsia="Times New Roman" w:cs="Arial"/>
          <w:noProof/>
          <w:color w:val="auto"/>
          <w:sz w:val="22"/>
          <w:lang w:eastAsia="en-GB"/>
        </w:rPr>
      </w:pPr>
      <w:r w:rsidRPr="00D83BC8">
        <w:rPr>
          <w:rFonts w:ascii="Arial" w:hAnsi="Arial" w:cs="Arial"/>
          <w:noProof/>
          <w:sz w:val="22"/>
        </w:rPr>
        <w:t>4. Consequences of Depression within the Community</w:t>
      </w:r>
      <w:r w:rsidRPr="00D83BC8">
        <w:rPr>
          <w:rFonts w:ascii="Arial" w:hAnsi="Arial" w:cs="Arial"/>
          <w:noProof/>
          <w:sz w:val="22"/>
        </w:rPr>
        <w:tab/>
      </w:r>
      <w:r w:rsidRPr="00D83BC8">
        <w:rPr>
          <w:rFonts w:ascii="Arial" w:hAnsi="Arial" w:cs="Arial"/>
          <w:noProof/>
          <w:sz w:val="22"/>
        </w:rPr>
        <w:fldChar w:fldCharType="begin"/>
      </w:r>
      <w:r w:rsidRPr="00D83BC8">
        <w:rPr>
          <w:rFonts w:ascii="Arial" w:hAnsi="Arial" w:cs="Arial"/>
          <w:noProof/>
          <w:sz w:val="22"/>
        </w:rPr>
        <w:instrText xml:space="preserve"> PAGEREF _Toc234660448 \h </w:instrText>
      </w:r>
      <w:r w:rsidRPr="00D83BC8">
        <w:rPr>
          <w:rFonts w:ascii="Arial" w:hAnsi="Arial" w:cs="Arial"/>
          <w:noProof/>
          <w:sz w:val="22"/>
        </w:rPr>
      </w:r>
      <w:r w:rsidRPr="00D83BC8">
        <w:rPr>
          <w:rFonts w:ascii="Arial" w:hAnsi="Arial" w:cs="Arial"/>
          <w:noProof/>
          <w:sz w:val="22"/>
        </w:rPr>
        <w:fldChar w:fldCharType="separate"/>
      </w:r>
      <w:r w:rsidRPr="00D83BC8">
        <w:rPr>
          <w:rFonts w:ascii="Arial" w:hAnsi="Arial" w:cs="Arial"/>
          <w:noProof/>
          <w:sz w:val="22"/>
        </w:rPr>
        <w:t>5</w:t>
      </w:r>
      <w:r w:rsidRPr="00D83BC8">
        <w:rPr>
          <w:rFonts w:ascii="Arial" w:hAnsi="Arial" w:cs="Arial"/>
          <w:noProof/>
          <w:sz w:val="22"/>
        </w:rPr>
        <w:fldChar w:fldCharType="end"/>
      </w:r>
    </w:p>
    <w:p xmlns:wp14="http://schemas.microsoft.com/office/word/2010/wordml" w:rsidRPr="00D83BC8" w:rsidR="00D56320" w:rsidRDefault="00D56320" w14:paraId="5C6635A0" wp14:textId="77777777">
      <w:pPr>
        <w:pStyle w:val="TOC1"/>
        <w:rPr>
          <w:rFonts w:ascii="Arial" w:hAnsi="Arial" w:eastAsia="Times New Roman" w:cs="Arial"/>
          <w:noProof/>
          <w:color w:val="auto"/>
          <w:sz w:val="22"/>
          <w:lang w:eastAsia="en-GB"/>
        </w:rPr>
      </w:pPr>
      <w:r w:rsidRPr="00D83BC8">
        <w:rPr>
          <w:rFonts w:ascii="Arial" w:hAnsi="Arial" w:cs="Arial"/>
          <w:noProof/>
          <w:sz w:val="22"/>
        </w:rPr>
        <w:t>5. Health and Social Care Support Services</w:t>
      </w:r>
      <w:r w:rsidRPr="00D83BC8">
        <w:rPr>
          <w:rFonts w:ascii="Arial" w:hAnsi="Arial" w:cs="Arial"/>
          <w:noProof/>
          <w:sz w:val="22"/>
        </w:rPr>
        <w:tab/>
      </w:r>
      <w:r w:rsidRPr="00D83BC8">
        <w:rPr>
          <w:rFonts w:ascii="Arial" w:hAnsi="Arial" w:cs="Arial"/>
          <w:noProof/>
          <w:sz w:val="22"/>
        </w:rPr>
        <w:fldChar w:fldCharType="begin"/>
      </w:r>
      <w:r w:rsidRPr="00D83BC8">
        <w:rPr>
          <w:rFonts w:ascii="Arial" w:hAnsi="Arial" w:cs="Arial"/>
          <w:noProof/>
          <w:sz w:val="22"/>
        </w:rPr>
        <w:instrText xml:space="preserve"> PAGEREF _Toc234660449 \h </w:instrText>
      </w:r>
      <w:r w:rsidRPr="00D83BC8">
        <w:rPr>
          <w:rFonts w:ascii="Arial" w:hAnsi="Arial" w:cs="Arial"/>
          <w:noProof/>
          <w:sz w:val="22"/>
        </w:rPr>
      </w:r>
      <w:r w:rsidRPr="00D83BC8">
        <w:rPr>
          <w:rFonts w:ascii="Arial" w:hAnsi="Arial" w:cs="Arial"/>
          <w:noProof/>
          <w:sz w:val="22"/>
        </w:rPr>
        <w:fldChar w:fldCharType="separate"/>
      </w:r>
      <w:r w:rsidRPr="00D83BC8">
        <w:rPr>
          <w:rFonts w:ascii="Arial" w:hAnsi="Arial" w:cs="Arial"/>
          <w:noProof/>
          <w:sz w:val="22"/>
        </w:rPr>
        <w:t>6</w:t>
      </w:r>
      <w:r w:rsidRPr="00D83BC8">
        <w:rPr>
          <w:rFonts w:ascii="Arial" w:hAnsi="Arial" w:cs="Arial"/>
          <w:noProof/>
          <w:sz w:val="22"/>
        </w:rPr>
        <w:fldChar w:fldCharType="end"/>
      </w:r>
    </w:p>
    <w:p xmlns:wp14="http://schemas.microsoft.com/office/word/2010/wordml" w:rsidRPr="00D83BC8" w:rsidR="00D56320" w:rsidRDefault="00D56320" w14:paraId="5B4B12F0" wp14:textId="77777777">
      <w:pPr>
        <w:pStyle w:val="TOC1"/>
        <w:rPr>
          <w:rFonts w:ascii="Arial" w:hAnsi="Arial" w:eastAsia="Times New Roman" w:cs="Arial"/>
          <w:noProof/>
          <w:color w:val="auto"/>
          <w:sz w:val="22"/>
          <w:lang w:eastAsia="en-GB"/>
        </w:rPr>
      </w:pPr>
      <w:r w:rsidRPr="00D83BC8">
        <w:rPr>
          <w:rFonts w:ascii="Arial" w:hAnsi="Arial" w:cs="Arial"/>
          <w:noProof/>
          <w:sz w:val="22"/>
        </w:rPr>
        <w:t>6. Conclusion</w:t>
      </w:r>
      <w:r w:rsidRPr="00D83BC8">
        <w:rPr>
          <w:rFonts w:ascii="Arial" w:hAnsi="Arial" w:cs="Arial"/>
          <w:noProof/>
          <w:sz w:val="22"/>
        </w:rPr>
        <w:tab/>
      </w:r>
      <w:r w:rsidRPr="00D83BC8">
        <w:rPr>
          <w:rFonts w:ascii="Arial" w:hAnsi="Arial" w:cs="Arial"/>
          <w:noProof/>
          <w:sz w:val="22"/>
        </w:rPr>
        <w:fldChar w:fldCharType="begin"/>
      </w:r>
      <w:r w:rsidRPr="00D83BC8">
        <w:rPr>
          <w:rFonts w:ascii="Arial" w:hAnsi="Arial" w:cs="Arial"/>
          <w:noProof/>
          <w:sz w:val="22"/>
        </w:rPr>
        <w:instrText xml:space="preserve"> PAGEREF _Toc234660450 \h </w:instrText>
      </w:r>
      <w:r w:rsidRPr="00D83BC8">
        <w:rPr>
          <w:rFonts w:ascii="Arial" w:hAnsi="Arial" w:cs="Arial"/>
          <w:noProof/>
          <w:sz w:val="22"/>
        </w:rPr>
      </w:r>
      <w:r w:rsidRPr="00D83BC8">
        <w:rPr>
          <w:rFonts w:ascii="Arial" w:hAnsi="Arial" w:cs="Arial"/>
          <w:noProof/>
          <w:sz w:val="22"/>
        </w:rPr>
        <w:fldChar w:fldCharType="separate"/>
      </w:r>
      <w:r w:rsidRPr="00D83BC8">
        <w:rPr>
          <w:rFonts w:ascii="Arial" w:hAnsi="Arial" w:cs="Arial"/>
          <w:noProof/>
          <w:sz w:val="22"/>
        </w:rPr>
        <w:t>7</w:t>
      </w:r>
      <w:r w:rsidRPr="00D83BC8">
        <w:rPr>
          <w:rFonts w:ascii="Arial" w:hAnsi="Arial" w:cs="Arial"/>
          <w:noProof/>
          <w:sz w:val="22"/>
        </w:rPr>
        <w:fldChar w:fldCharType="end"/>
      </w:r>
    </w:p>
    <w:p xmlns:wp14="http://schemas.microsoft.com/office/word/2010/wordml" w:rsidRPr="00D83BC8" w:rsidR="00D56320" w:rsidRDefault="00D56320" w14:paraId="643B376F" wp14:textId="77777777">
      <w:pPr>
        <w:pStyle w:val="TOC1"/>
        <w:rPr>
          <w:rFonts w:ascii="Arial" w:hAnsi="Arial" w:eastAsia="Times New Roman" w:cs="Arial"/>
          <w:noProof/>
          <w:color w:val="auto"/>
          <w:sz w:val="22"/>
          <w:lang w:eastAsia="en-GB"/>
        </w:rPr>
      </w:pPr>
      <w:r w:rsidRPr="00D83BC8">
        <w:rPr>
          <w:rFonts w:ascii="Arial" w:hAnsi="Arial" w:cs="Arial"/>
          <w:noProof/>
          <w:sz w:val="22"/>
        </w:rPr>
        <w:t>References</w:t>
      </w:r>
      <w:r w:rsidRPr="00D83BC8">
        <w:rPr>
          <w:rFonts w:ascii="Arial" w:hAnsi="Arial" w:cs="Arial"/>
          <w:noProof/>
          <w:sz w:val="22"/>
        </w:rPr>
        <w:tab/>
      </w:r>
      <w:r w:rsidRPr="00D83BC8">
        <w:rPr>
          <w:rFonts w:ascii="Arial" w:hAnsi="Arial" w:cs="Arial"/>
          <w:noProof/>
          <w:sz w:val="22"/>
        </w:rPr>
        <w:fldChar w:fldCharType="begin"/>
      </w:r>
      <w:r w:rsidRPr="00D83BC8">
        <w:rPr>
          <w:rFonts w:ascii="Arial" w:hAnsi="Arial" w:cs="Arial"/>
          <w:noProof/>
          <w:sz w:val="22"/>
        </w:rPr>
        <w:instrText xml:space="preserve"> PAGEREF _Toc234660451 \h </w:instrText>
      </w:r>
      <w:r w:rsidRPr="00D83BC8">
        <w:rPr>
          <w:rFonts w:ascii="Arial" w:hAnsi="Arial" w:cs="Arial"/>
          <w:noProof/>
          <w:sz w:val="22"/>
        </w:rPr>
      </w:r>
      <w:r w:rsidRPr="00D83BC8">
        <w:rPr>
          <w:rFonts w:ascii="Arial" w:hAnsi="Arial" w:cs="Arial"/>
          <w:noProof/>
          <w:sz w:val="22"/>
        </w:rPr>
        <w:fldChar w:fldCharType="separate"/>
      </w:r>
      <w:r w:rsidRPr="00D83BC8">
        <w:rPr>
          <w:rFonts w:ascii="Arial" w:hAnsi="Arial" w:cs="Arial"/>
          <w:noProof/>
          <w:sz w:val="22"/>
        </w:rPr>
        <w:t>8</w:t>
      </w:r>
      <w:r w:rsidRPr="00D83BC8">
        <w:rPr>
          <w:rFonts w:ascii="Arial" w:hAnsi="Arial" w:cs="Arial"/>
          <w:noProof/>
          <w:sz w:val="22"/>
        </w:rPr>
        <w:fldChar w:fldCharType="end"/>
      </w:r>
    </w:p>
    <w:p xmlns:wp14="http://schemas.microsoft.com/office/word/2010/wordml" w:rsidRPr="00D83BC8" w:rsidR="005901D0" w:rsidP="005901D0" w:rsidRDefault="00793373" w14:paraId="02EB378F" wp14:textId="77777777">
      <w:pPr>
        <w:pStyle w:val="TOC1"/>
        <w:rPr>
          <w:rFonts w:ascii="Arial" w:hAnsi="Arial" w:cs="Arial"/>
          <w:color w:val="auto"/>
          <w:szCs w:val="24"/>
        </w:rPr>
      </w:pPr>
      <w:r w:rsidRPr="00D83BC8">
        <w:rPr>
          <w:rFonts w:ascii="Arial" w:hAnsi="Arial" w:cs="Arial"/>
          <w:color w:val="auto"/>
          <w:sz w:val="22"/>
        </w:rPr>
        <w:fldChar w:fldCharType="end"/>
      </w:r>
    </w:p>
    <w:p xmlns:wp14="http://schemas.microsoft.com/office/word/2010/wordml" w:rsidRPr="00D83BC8" w:rsidR="00793373" w:rsidRDefault="00793373" w14:paraId="6A05A809" wp14:textId="77777777">
      <w:pPr>
        <w:rPr>
          <w:rFonts w:ascii="Arial" w:hAnsi="Arial" w:cs="Arial"/>
          <w:color w:val="auto"/>
          <w:szCs w:val="24"/>
        </w:rPr>
      </w:pPr>
    </w:p>
    <w:p xmlns:wp14="http://schemas.microsoft.com/office/word/2010/wordml" w:rsidRPr="00D83BC8" w:rsidR="00FA3835" w:rsidRDefault="00FA3835" w14:paraId="5A39BBE3" wp14:textId="77777777">
      <w:pPr>
        <w:rPr>
          <w:rFonts w:ascii="Arial" w:hAnsi="Arial" w:cs="Arial"/>
          <w:color w:val="auto"/>
          <w:szCs w:val="24"/>
        </w:rPr>
      </w:pPr>
    </w:p>
    <w:p xmlns:wp14="http://schemas.microsoft.com/office/word/2010/wordml" w:rsidRPr="00D83BC8" w:rsidR="00FA3835" w:rsidRDefault="00FA3835" w14:paraId="41C8F396" wp14:textId="77777777">
      <w:pPr>
        <w:rPr>
          <w:rFonts w:ascii="Arial" w:hAnsi="Arial" w:cs="Arial"/>
          <w:color w:val="auto"/>
          <w:szCs w:val="24"/>
        </w:rPr>
      </w:pPr>
    </w:p>
    <w:p xmlns:wp14="http://schemas.microsoft.com/office/word/2010/wordml" w:rsidRPr="00D83BC8" w:rsidR="000824D7" w:rsidP="004A42D9" w:rsidRDefault="006407FE" w14:paraId="32A36C38" wp14:textId="77777777">
      <w:pPr>
        <w:pStyle w:val="Heading1"/>
        <w:rPr>
          <w:rFonts w:ascii="Arial" w:hAnsi="Arial" w:cs="Arial"/>
          <w:sz w:val="22"/>
          <w:szCs w:val="22"/>
        </w:rPr>
      </w:pPr>
      <w:r w:rsidRPr="00D83BC8">
        <w:rPr>
          <w:rFonts w:ascii="Arial" w:hAnsi="Arial" w:cs="Arial"/>
        </w:rPr>
        <w:br w:type="page"/>
      </w:r>
      <w:bookmarkStart w:name="_Toc234660445" w:id="1"/>
      <w:r w:rsidRPr="00D83BC8" w:rsidR="00D56320">
        <w:rPr>
          <w:rFonts w:ascii="Arial" w:hAnsi="Arial" w:cs="Arial"/>
          <w:sz w:val="22"/>
          <w:szCs w:val="22"/>
        </w:rPr>
        <w:t xml:space="preserve">1. </w:t>
      </w:r>
      <w:r w:rsidRPr="00D83BC8" w:rsidR="00607926">
        <w:rPr>
          <w:rFonts w:ascii="Arial" w:hAnsi="Arial" w:cs="Arial"/>
          <w:sz w:val="22"/>
          <w:szCs w:val="22"/>
        </w:rPr>
        <w:t>Introduction</w:t>
      </w:r>
      <w:bookmarkEnd w:id="1"/>
    </w:p>
    <w:p xmlns:wp14="http://schemas.microsoft.com/office/word/2010/wordml" w:rsidRPr="00D83BC8" w:rsidR="00D56320" w:rsidP="00D56320" w:rsidRDefault="00D56320" w14:paraId="68B8F8C1" wp14:textId="77777777">
      <w:pPr>
        <w:rPr>
          <w:rFonts w:ascii="Arial" w:hAnsi="Arial" w:cs="Arial"/>
          <w:sz w:val="22"/>
        </w:rPr>
      </w:pPr>
      <w:r w:rsidRPr="00D83BC8">
        <w:rPr>
          <w:rFonts w:ascii="Arial" w:hAnsi="Arial" w:cs="Arial"/>
          <w:sz w:val="22"/>
        </w:rPr>
        <w:t>According to the World Health Organization (WHO), depression is not just a temporary experience of depressed mood or loss of interest, but is a common mental disorder that is marked by depressive symptoms that last for a longer period and have a bigger impact on the person's functioning in everyday life</w:t>
      </w:r>
      <w:r w:rsidRPr="00722631" w:rsidR="00722631">
        <w:t xml:space="preserve"> </w:t>
      </w:r>
      <w:r w:rsidRPr="00722631" w:rsidR="00722631">
        <w:rPr>
          <w:rFonts w:ascii="Arial" w:hAnsi="Arial" w:cs="Arial"/>
          <w:sz w:val="22"/>
        </w:rPr>
        <w:t>(World Health Organization, 2025)</w:t>
      </w:r>
      <w:r w:rsidRPr="00D83BC8">
        <w:rPr>
          <w:rFonts w:ascii="Arial" w:hAnsi="Arial" w:cs="Arial"/>
          <w:sz w:val="22"/>
        </w:rPr>
        <w:t>. In addition, the DSM-5 contains the following c</w:t>
      </w:r>
      <w:r w:rsidR="00722631">
        <w:rPr>
          <w:rFonts w:ascii="Arial" w:hAnsi="Arial" w:cs="Arial"/>
          <w:sz w:val="22"/>
        </w:rPr>
        <w:t>riteria for depression: (</w:t>
      </w:r>
      <w:r w:rsidRPr="00D83BC8">
        <w:rPr>
          <w:rFonts w:ascii="Arial" w:hAnsi="Arial" w:cs="Arial"/>
          <w:sz w:val="22"/>
        </w:rPr>
        <w:t>1)</w:t>
      </w:r>
      <w:r w:rsidR="00722631">
        <w:rPr>
          <w:rFonts w:ascii="Arial" w:hAnsi="Arial" w:cs="Arial"/>
          <w:sz w:val="22"/>
        </w:rPr>
        <w:t xml:space="preserve"> t</w:t>
      </w:r>
      <w:r w:rsidRPr="00D83BC8">
        <w:rPr>
          <w:rFonts w:ascii="Arial" w:hAnsi="Arial" w:cs="Arial"/>
          <w:sz w:val="22"/>
        </w:rPr>
        <w:t>he presence of persistent symptoms lasting at least two weeks that cause clinically significant distress or functional impairment. Symptoms include sadness, loss of pleasure in activities, low energy, insomnia, changes in appetite, difficulty focusing, low feelings of self-worth and suicidal ideation</w:t>
      </w:r>
      <w:r w:rsidRPr="00722631" w:rsidR="00722631">
        <w:t xml:space="preserve"> </w:t>
      </w:r>
      <w:r w:rsidRPr="00722631" w:rsidR="00722631">
        <w:rPr>
          <w:rFonts w:ascii="Arial" w:hAnsi="Arial" w:cs="Arial"/>
          <w:sz w:val="22"/>
        </w:rPr>
        <w:t>(NICE, 2022)</w:t>
      </w:r>
      <w:r w:rsidRPr="00D83BC8">
        <w:rPr>
          <w:rFonts w:ascii="Arial" w:hAnsi="Arial" w:cs="Arial"/>
          <w:sz w:val="22"/>
        </w:rPr>
        <w:t>. Depression is a significant public health problem and is responsible for significant economic and health burden; in England over 15% of the population will have depression at some point in their life and in the world there are about 332 million people affected by depression</w:t>
      </w:r>
      <w:r w:rsidRPr="00722631" w:rsidR="00722631">
        <w:t xml:space="preserve"> </w:t>
      </w:r>
      <w:r w:rsidRPr="00722631" w:rsidR="00722631">
        <w:rPr>
          <w:rFonts w:ascii="Arial" w:hAnsi="Arial" w:cs="Arial"/>
          <w:sz w:val="22"/>
        </w:rPr>
        <w:t>(NICE.org, 2022)</w:t>
      </w:r>
      <w:r w:rsidRPr="00D83BC8">
        <w:rPr>
          <w:rFonts w:ascii="Arial" w:hAnsi="Arial" w:cs="Arial"/>
          <w:sz w:val="22"/>
        </w:rPr>
        <w:t>.</w:t>
      </w:r>
    </w:p>
    <w:p xmlns:wp14="http://schemas.microsoft.com/office/word/2010/wordml" w:rsidRPr="00D83BC8" w:rsidR="00D56320" w:rsidP="00D56320" w:rsidRDefault="00D56320" w14:paraId="72A3D3EC" wp14:textId="77777777">
      <w:pPr>
        <w:rPr>
          <w:rFonts w:ascii="Arial" w:hAnsi="Arial" w:cs="Arial"/>
          <w:sz w:val="22"/>
        </w:rPr>
      </w:pPr>
    </w:p>
    <w:p xmlns:wp14="http://schemas.microsoft.com/office/word/2010/wordml" w:rsidRPr="00D83BC8" w:rsidR="00D56320" w:rsidP="00D56320" w:rsidRDefault="00D56320" w14:paraId="342E0C8C" wp14:textId="77777777">
      <w:pPr>
        <w:pStyle w:val="Heading1"/>
        <w:rPr>
          <w:rFonts w:ascii="Arial" w:hAnsi="Arial" w:cs="Arial"/>
          <w:sz w:val="22"/>
          <w:szCs w:val="22"/>
        </w:rPr>
      </w:pPr>
      <w:bookmarkStart w:name="_Toc234660446" w:id="2"/>
      <w:r w:rsidRPr="00D83BC8">
        <w:rPr>
          <w:rFonts w:ascii="Arial" w:hAnsi="Arial" w:cs="Arial"/>
          <w:sz w:val="22"/>
          <w:szCs w:val="22"/>
        </w:rPr>
        <w:t>2. Different Approaches Used to Measure and Monitor Depression</w:t>
      </w:r>
      <w:bookmarkEnd w:id="2"/>
    </w:p>
    <w:p xmlns:wp14="http://schemas.microsoft.com/office/word/2010/wordml" w:rsidRPr="00D83BC8" w:rsidR="00D56320" w:rsidP="00D56320" w:rsidRDefault="00D56320" w14:paraId="0A8326F5" wp14:textId="77777777">
      <w:pPr>
        <w:rPr>
          <w:rFonts w:ascii="Arial" w:hAnsi="Arial" w:cs="Arial"/>
          <w:sz w:val="22"/>
        </w:rPr>
      </w:pPr>
      <w:r w:rsidRPr="00D83BC8">
        <w:rPr>
          <w:rFonts w:ascii="Arial" w:hAnsi="Arial" w:cs="Arial"/>
          <w:sz w:val="22"/>
        </w:rPr>
        <w:t>Complementary public health surveillance systems, epidemiological indicators and clinical assessment tools monitor depression, which contributes to guiding the prevention strategy, allocation of resources and evaluation of services. Population-level surveillance is conducted at national level through national mental health surveys, WHO Global Health Observatory datasets and UK public health monitoring systems which provide estimates of prevalence, detect inequalities in disease according to demographic groups and identify trends. These are good systems for supporting evidence-based policy development, but they may overestimate the disease burden, as depression is often undiagnosed and unreported due to stigma and less seeking help</w:t>
      </w:r>
      <w:r w:rsidRPr="00722631" w:rsidR="00722631">
        <w:t xml:space="preserve"> </w:t>
      </w:r>
      <w:r w:rsidRPr="00722631" w:rsidR="00722631">
        <w:rPr>
          <w:rFonts w:ascii="Arial" w:hAnsi="Arial" w:cs="Arial"/>
          <w:sz w:val="22"/>
        </w:rPr>
        <w:t>(NICE, 2022)</w:t>
      </w:r>
      <w:r w:rsidRPr="00D83BC8">
        <w:rPr>
          <w:rFonts w:ascii="Arial" w:hAnsi="Arial" w:cs="Arial"/>
          <w:sz w:val="22"/>
        </w:rPr>
        <w:t>.</w:t>
      </w:r>
    </w:p>
    <w:p xmlns:wp14="http://schemas.microsoft.com/office/word/2010/wordml" w:rsidR="00182A61" w:rsidP="00182A61" w:rsidRDefault="00D56320" w14:paraId="7DD87CDF" wp14:textId="77777777">
      <w:pPr>
        <w:ind w:firstLine="720"/>
        <w:rPr>
          <w:rFonts w:ascii="Arial" w:hAnsi="Arial" w:cs="Arial"/>
          <w:sz w:val="22"/>
        </w:rPr>
      </w:pPr>
      <w:r w:rsidRPr="00D83BC8">
        <w:rPr>
          <w:rFonts w:ascii="Arial" w:hAnsi="Arial" w:cs="Arial"/>
          <w:sz w:val="22"/>
        </w:rPr>
        <w:t>Epidemiological monitoring includes the incidence, prevalence rates, morbidity, the mortality rate and suicide rates, as these rates are measures of disease burden. Incidence refers to the number of new cases that occur and provides a feedback signal to the prevention programmes while prevalence provides an estimate of the total number of people affected and can be used to inform workforce and service planning. Morbidity indicators show the functional disability of depression; mortality and suicide statistics assess severity of depression and the efficacy of intervention strategies. These measures, together, allow policymakers to focus investment on mental health and assess the long-term public health outcomes.</w:t>
      </w:r>
    </w:p>
    <w:p xmlns:wp14="http://schemas.microsoft.com/office/word/2010/wordml" w:rsidRPr="00D83BC8" w:rsidR="00D56320" w:rsidP="00182A61" w:rsidRDefault="00D56320" w14:paraId="591971B0" wp14:textId="77777777">
      <w:pPr>
        <w:ind w:firstLine="720"/>
        <w:rPr>
          <w:rFonts w:ascii="Arial" w:hAnsi="Arial" w:cs="Arial"/>
          <w:sz w:val="22"/>
        </w:rPr>
      </w:pPr>
      <w:r w:rsidRPr="00D83BC8">
        <w:rPr>
          <w:rFonts w:ascii="Arial" w:hAnsi="Arial" w:cs="Arial"/>
          <w:sz w:val="22"/>
        </w:rPr>
        <w:t>Clinical monitoring provides information on the severity of symptoms and responses to treatment in addition to the population surveillance. The use of validated instruments like the Patient Health Questionnaire-9 (PHQ-9), Beck Depression Inventory (BDI) and Hamilton Depression Rating Scale (HAM-D) results in reliable and standardised measures, while the diagnostic criteria of the DSM-5 and the classification in the ICD-11 ensure a diagnostic consistency across clinical settings</w:t>
      </w:r>
      <w:r w:rsidRPr="00722631" w:rsidR="00722631">
        <w:t xml:space="preserve"> </w:t>
      </w:r>
      <w:r w:rsidRPr="00722631" w:rsidR="00722631">
        <w:rPr>
          <w:rFonts w:ascii="Arial" w:hAnsi="Arial" w:cs="Arial"/>
          <w:sz w:val="22"/>
        </w:rPr>
        <w:t>(NICE, 2025)</w:t>
      </w:r>
      <w:r w:rsidRPr="00D83BC8">
        <w:rPr>
          <w:rFonts w:ascii="Arial" w:hAnsi="Arial" w:cs="Arial"/>
          <w:sz w:val="22"/>
        </w:rPr>
        <w:t>. In the NHS, GPs routinely screen high-risk people, NHS Talking Therapies routinely use PHQ-9 outcome monitoring and EHRs allow for a longitudinal assessment of patient progress. While surveillance systems give the ability to detect population trends, clinical tools give a more precise diagnosis for individual care. Together, these strategies create the most complete and science-supported strategy for tracking depression and enhancing public health results</w:t>
      </w:r>
      <w:r w:rsidRPr="00722631" w:rsidR="00722631">
        <w:t xml:space="preserve"> </w:t>
      </w:r>
      <w:r w:rsidRPr="00722631" w:rsidR="00722631">
        <w:rPr>
          <w:rFonts w:ascii="Arial" w:hAnsi="Arial" w:cs="Arial"/>
          <w:sz w:val="22"/>
        </w:rPr>
        <w:t>(NHS England, 2024)</w:t>
      </w:r>
      <w:r w:rsidRPr="00D83BC8">
        <w:rPr>
          <w:rFonts w:ascii="Arial" w:hAnsi="Arial" w:cs="Arial"/>
          <w:sz w:val="22"/>
        </w:rPr>
        <w:t>.</w:t>
      </w:r>
    </w:p>
    <w:p xmlns:wp14="http://schemas.microsoft.com/office/word/2010/wordml" w:rsidRPr="00D83BC8" w:rsidR="00D56320" w:rsidP="00D56320" w:rsidRDefault="00D56320" w14:paraId="0D0B940D" wp14:textId="77777777">
      <w:pPr>
        <w:rPr>
          <w:rFonts w:ascii="Arial" w:hAnsi="Arial" w:cs="Arial"/>
          <w:sz w:val="22"/>
        </w:rPr>
      </w:pPr>
    </w:p>
    <w:p xmlns:wp14="http://schemas.microsoft.com/office/word/2010/wordml" w:rsidRPr="00D83BC8" w:rsidR="00D56320" w:rsidP="00D56320" w:rsidRDefault="00D56320" w14:paraId="640358B7" wp14:textId="77777777">
      <w:pPr>
        <w:pStyle w:val="Heading1"/>
        <w:rPr>
          <w:rFonts w:ascii="Arial" w:hAnsi="Arial" w:cs="Arial"/>
          <w:sz w:val="22"/>
          <w:szCs w:val="22"/>
        </w:rPr>
      </w:pPr>
      <w:bookmarkStart w:name="_Toc234660447" w:id="3"/>
      <w:r w:rsidRPr="00D83BC8">
        <w:rPr>
          <w:rFonts w:ascii="Arial" w:hAnsi="Arial" w:cs="Arial"/>
          <w:sz w:val="22"/>
          <w:szCs w:val="22"/>
        </w:rPr>
        <w:t>3. Public Health Approaches Used to Control Depression</w:t>
      </w:r>
      <w:bookmarkEnd w:id="3"/>
      <w:r w:rsidRPr="00D83BC8">
        <w:rPr>
          <w:rFonts w:ascii="Arial" w:hAnsi="Arial" w:cs="Arial"/>
          <w:sz w:val="22"/>
          <w:szCs w:val="22"/>
        </w:rPr>
        <w:t xml:space="preserve"> </w:t>
      </w:r>
    </w:p>
    <w:p xmlns:wp14="http://schemas.microsoft.com/office/word/2010/wordml" w:rsidRPr="00D83BC8" w:rsidR="00D56320" w:rsidP="00D56320" w:rsidRDefault="00D56320" w14:paraId="1B47CA4B" wp14:textId="77777777">
      <w:pPr>
        <w:rPr>
          <w:rFonts w:ascii="Arial" w:hAnsi="Arial" w:cs="Arial"/>
          <w:sz w:val="22"/>
        </w:rPr>
      </w:pPr>
      <w:r w:rsidRPr="00D83BC8">
        <w:rPr>
          <w:rFonts w:ascii="Arial" w:hAnsi="Arial" w:cs="Arial"/>
          <w:sz w:val="22"/>
        </w:rPr>
        <w:t>A public health approach to depression prevention and early detection and evidence-based treatment and coordinated policy implementation is needed for effective control. Primary prevention seeks to minimise the occurrence of depression by supporting mental health by increasing awareness and understanding of depression in the public and educating people about how to maintain their mental health through non-statutory school mental health programmes, workplace wellbeing initiatives, physical activity and anti-stigma campaigns. Community resilience programmes also build protective factors through increased social connectedness and decreased isolation, tackling modifiable psychosocial risk factors prior to onset of clinical symptoms</w:t>
      </w:r>
      <w:r w:rsidRPr="00722631" w:rsidR="00722631">
        <w:t xml:space="preserve"> </w:t>
      </w:r>
      <w:r w:rsidRPr="00722631" w:rsidR="00722631">
        <w:rPr>
          <w:rFonts w:ascii="Arial" w:hAnsi="Arial" w:cs="Arial"/>
          <w:sz w:val="22"/>
        </w:rPr>
        <w:t>(National Institute for Health and Care Excellence, 2022)</w:t>
      </w:r>
      <w:r w:rsidRPr="00D83BC8">
        <w:rPr>
          <w:rFonts w:ascii="Arial" w:hAnsi="Arial" w:cs="Arial"/>
          <w:sz w:val="22"/>
        </w:rPr>
        <w:t>.</w:t>
      </w:r>
    </w:p>
    <w:p xmlns:wp14="http://schemas.microsoft.com/office/word/2010/wordml" w:rsidR="00182A61" w:rsidP="00182A61" w:rsidRDefault="00D56320" w14:paraId="209E7332" wp14:textId="77777777">
      <w:pPr>
        <w:ind w:firstLine="720"/>
        <w:rPr>
          <w:rFonts w:ascii="Arial" w:hAnsi="Arial" w:cs="Arial"/>
          <w:sz w:val="22"/>
        </w:rPr>
      </w:pPr>
      <w:r w:rsidRPr="00D83BC8">
        <w:rPr>
          <w:rFonts w:ascii="Arial" w:hAnsi="Arial" w:cs="Arial"/>
          <w:sz w:val="22"/>
        </w:rPr>
        <w:t>The aim of secondary prevention is to detect depression early, to prevent worsening and to enhance prognosis. Regular GP assessments, validated questionnaires (including the PHQ-9), prompt referral to NHS Talking Therapies and early intervention services allows symptoms to be identified early and will help to limit the severity of the symptoms and disability. The implementation of screening alone is not enough, however, unless backed up by available treatment pathways and suitable follow-up care</w:t>
      </w:r>
      <w:r w:rsidRPr="003E1341" w:rsidR="003E1341">
        <w:t xml:space="preserve"> </w:t>
      </w:r>
      <w:r w:rsidRPr="003E1341" w:rsidR="003E1341">
        <w:rPr>
          <w:rFonts w:ascii="Arial" w:hAnsi="Arial" w:cs="Arial"/>
          <w:sz w:val="22"/>
        </w:rPr>
        <w:t>(NICE, 2022)</w:t>
      </w:r>
      <w:r w:rsidRPr="00D83BC8">
        <w:rPr>
          <w:rFonts w:ascii="Arial" w:hAnsi="Arial" w:cs="Arial"/>
          <w:sz w:val="22"/>
        </w:rPr>
        <w:t>.</w:t>
      </w:r>
    </w:p>
    <w:p xmlns:wp14="http://schemas.microsoft.com/office/word/2010/wordml" w:rsidR="00182A61" w:rsidP="00182A61" w:rsidRDefault="00D56320" w14:paraId="2EA5A00C" wp14:textId="77777777">
      <w:pPr>
        <w:ind w:firstLine="720"/>
        <w:rPr>
          <w:rFonts w:ascii="Arial" w:hAnsi="Arial" w:cs="Arial"/>
          <w:sz w:val="22"/>
        </w:rPr>
      </w:pPr>
      <w:r w:rsidRPr="00D83BC8">
        <w:rPr>
          <w:rFonts w:ascii="Arial" w:hAnsi="Arial" w:cs="Arial"/>
          <w:sz w:val="22"/>
        </w:rPr>
        <w:t>Tertiary prevention aims to minimize relapse and maximize functioning by using cognitive behavioural therapy (CBT), interpersonal therapy, antidepressant medication, multidisciplinary collaborative care, crisis intervention and structured relapse-prevention planning. NICE NG222 suggests a 'matched-care' approach to which the intensity of treatment is matched to the severity of the symptoms and patient preference, which would enhance effectiveness and patient-centred care</w:t>
      </w:r>
      <w:r w:rsidRPr="00722631" w:rsidR="00722631">
        <w:t xml:space="preserve"> </w:t>
      </w:r>
      <w:r w:rsidRPr="00722631" w:rsidR="00722631">
        <w:rPr>
          <w:rFonts w:ascii="Arial" w:hAnsi="Arial" w:cs="Arial"/>
          <w:sz w:val="22"/>
        </w:rPr>
        <w:t>(National Institute for Health and Care Excellence, 2022)</w:t>
      </w:r>
      <w:r w:rsidR="00182A61">
        <w:rPr>
          <w:rFonts w:ascii="Arial" w:hAnsi="Arial" w:cs="Arial"/>
          <w:sz w:val="22"/>
        </w:rPr>
        <w:t>.</w:t>
      </w:r>
    </w:p>
    <w:p xmlns:wp14="http://schemas.microsoft.com/office/word/2010/wordml" w:rsidRPr="00D83BC8" w:rsidR="00D56320" w:rsidP="00182A61" w:rsidRDefault="00D56320" w14:paraId="70658A0C" wp14:textId="77777777">
      <w:pPr>
        <w:ind w:firstLine="720"/>
        <w:rPr>
          <w:rFonts w:ascii="Arial" w:hAnsi="Arial" w:cs="Arial"/>
          <w:sz w:val="22"/>
        </w:rPr>
      </w:pPr>
      <w:r w:rsidRPr="00D83BC8">
        <w:rPr>
          <w:rFonts w:ascii="Arial" w:hAnsi="Arial" w:cs="Arial"/>
          <w:sz w:val="22"/>
        </w:rPr>
        <w:t>The emphasis on integrated community based services, early intervention and recovery orientated services are supported by the NHS Long Term Plan, the Community Mental Health Framework, NICE NG222 and the WHO Mental Health Action Plan. These policies are intended to standardise evidence-based practice, minimise treatment variation, and facilitate an integrated approach to depression care by multiple disciplines, which has led to better individual and population-level depression control. However, they continue to be limited in scope due to staffing shortages and growing demand for mental health services, and a need to invest in these services and their implementation over the long term</w:t>
      </w:r>
      <w:r w:rsidRPr="003E1341" w:rsidR="003E1341">
        <w:t xml:space="preserve"> </w:t>
      </w:r>
      <w:r w:rsidRPr="003E1341" w:rsidR="003E1341">
        <w:rPr>
          <w:rFonts w:ascii="Arial" w:hAnsi="Arial" w:cs="Arial"/>
          <w:sz w:val="22"/>
        </w:rPr>
        <w:t>(NICE, 2022)</w:t>
      </w:r>
      <w:r w:rsidRPr="00D83BC8">
        <w:rPr>
          <w:rFonts w:ascii="Arial" w:hAnsi="Arial" w:cs="Arial"/>
          <w:sz w:val="22"/>
        </w:rPr>
        <w:t>.</w:t>
      </w:r>
    </w:p>
    <w:p xmlns:wp14="http://schemas.microsoft.com/office/word/2010/wordml" w:rsidRPr="00D83BC8" w:rsidR="00D56320" w:rsidP="00D56320" w:rsidRDefault="00D56320" w14:paraId="0E27B00A" wp14:textId="77777777">
      <w:pPr>
        <w:rPr>
          <w:rFonts w:ascii="Arial" w:hAnsi="Arial" w:cs="Arial"/>
          <w:sz w:val="22"/>
        </w:rPr>
      </w:pPr>
    </w:p>
    <w:p xmlns:wp14="http://schemas.microsoft.com/office/word/2010/wordml" w:rsidRPr="00D83BC8" w:rsidR="00D56320" w:rsidP="00D56320" w:rsidRDefault="00D56320" w14:paraId="15397044" wp14:textId="77777777">
      <w:pPr>
        <w:pStyle w:val="Heading1"/>
        <w:rPr>
          <w:rFonts w:ascii="Arial" w:hAnsi="Arial" w:cs="Arial"/>
          <w:sz w:val="22"/>
          <w:szCs w:val="22"/>
        </w:rPr>
      </w:pPr>
      <w:bookmarkStart w:name="_Toc234660448" w:id="4"/>
      <w:r w:rsidRPr="00D83BC8">
        <w:rPr>
          <w:rFonts w:ascii="Arial" w:hAnsi="Arial" w:cs="Arial"/>
          <w:sz w:val="22"/>
          <w:szCs w:val="22"/>
        </w:rPr>
        <w:t>4. Consequences of Depression within the Community</w:t>
      </w:r>
      <w:bookmarkEnd w:id="4"/>
      <w:r w:rsidRPr="00D83BC8">
        <w:rPr>
          <w:rFonts w:ascii="Arial" w:hAnsi="Arial" w:cs="Arial"/>
          <w:sz w:val="22"/>
          <w:szCs w:val="22"/>
        </w:rPr>
        <w:t xml:space="preserve"> </w:t>
      </w:r>
    </w:p>
    <w:p xmlns:wp14="http://schemas.microsoft.com/office/word/2010/wordml" w:rsidRPr="00D83BC8" w:rsidR="00D56320" w:rsidP="00D56320" w:rsidRDefault="00D56320" w14:paraId="7F755A63" wp14:textId="77777777">
      <w:pPr>
        <w:rPr>
          <w:rFonts w:ascii="Arial" w:hAnsi="Arial" w:cs="Arial"/>
          <w:sz w:val="22"/>
        </w:rPr>
      </w:pPr>
      <w:r w:rsidRPr="00D83BC8">
        <w:rPr>
          <w:rFonts w:ascii="Arial" w:hAnsi="Arial" w:cs="Arial"/>
          <w:sz w:val="22"/>
        </w:rPr>
        <w:t>Depression has significant effects for people, families and society, and is a significant public health issue, affecting more than just psychological well-being. Depression impacts quality of life at the individual level as a constant emotional burden, social dysfunction and disability, and heightened risk for self-harm, suicide and chronic physical illnesses like cardiovascular disease and diabetes. World Health Organisation reported that depression is one of the most serious consequences of untreated depression and that early intervention is crucial to stop someone from committing suicide</w:t>
      </w:r>
      <w:r w:rsidRPr="003E1341" w:rsidR="003E1341">
        <w:t xml:space="preserve"> </w:t>
      </w:r>
      <w:r w:rsidRPr="003E1341" w:rsidR="003E1341">
        <w:rPr>
          <w:rFonts w:ascii="Arial" w:hAnsi="Arial" w:cs="Arial"/>
          <w:sz w:val="22"/>
        </w:rPr>
        <w:t>(WHO, 2017)</w:t>
      </w:r>
      <w:r w:rsidRPr="00D83BC8">
        <w:rPr>
          <w:rFonts w:ascii="Arial" w:hAnsi="Arial" w:cs="Arial"/>
          <w:sz w:val="22"/>
        </w:rPr>
        <w:t>.</w:t>
      </w:r>
    </w:p>
    <w:p xmlns:wp14="http://schemas.microsoft.com/office/word/2010/wordml" w:rsidR="00182A61" w:rsidP="00182A61" w:rsidRDefault="00D56320" w14:paraId="26A54B51" wp14:textId="77777777">
      <w:pPr>
        <w:ind w:firstLine="720"/>
        <w:rPr>
          <w:rFonts w:ascii="Arial" w:hAnsi="Arial" w:cs="Arial"/>
          <w:sz w:val="22"/>
        </w:rPr>
      </w:pPr>
      <w:r w:rsidRPr="00D83BC8">
        <w:rPr>
          <w:rFonts w:ascii="Arial" w:hAnsi="Arial" w:cs="Arial"/>
          <w:sz w:val="22"/>
        </w:rPr>
        <w:t>There is often emotional distress, burden of care and financial and relationship difficulties to family members as they support the person practically and emotionally. These pressures could impact the well-being of the carers and make households more unstable. In the community, depression can lead to social isolation, unemployment, disruptions in education, homelessness, lower productivity at work, and lower economic participation, thus exacerbating health disparities</w:t>
      </w:r>
      <w:r w:rsidRPr="003E1341" w:rsidR="003E1341">
        <w:t xml:space="preserve"> </w:t>
      </w:r>
      <w:r w:rsidRPr="003E1341" w:rsidR="003E1341">
        <w:rPr>
          <w:rFonts w:ascii="Arial" w:hAnsi="Arial" w:cs="Arial"/>
          <w:sz w:val="22"/>
        </w:rPr>
        <w:t>(World Health Organization, 2022)</w:t>
      </w:r>
      <w:r w:rsidRPr="00D83BC8">
        <w:rPr>
          <w:rFonts w:ascii="Arial" w:hAnsi="Arial" w:cs="Arial"/>
          <w:sz w:val="22"/>
        </w:rPr>
        <w:t>.</w:t>
      </w:r>
    </w:p>
    <w:p xmlns:wp14="http://schemas.microsoft.com/office/word/2010/wordml" w:rsidRPr="00D83BC8" w:rsidR="00D56320" w:rsidP="00182A61" w:rsidRDefault="00D56320" w14:paraId="044DBA1E" wp14:textId="77777777">
      <w:pPr>
        <w:ind w:firstLine="720"/>
        <w:rPr>
          <w:rFonts w:ascii="Arial" w:hAnsi="Arial" w:cs="Arial"/>
          <w:sz w:val="22"/>
        </w:rPr>
      </w:pPr>
      <w:r w:rsidRPr="00D83BC8">
        <w:rPr>
          <w:rFonts w:ascii="Arial" w:hAnsi="Arial" w:cs="Arial"/>
          <w:sz w:val="22"/>
        </w:rPr>
        <w:t>The situation also puts health and social care under a great strain. Depression sufferers frequently have to call on GP services multiple times, access mental health services and/or be admitted to hospital, depending on the severity of the situation and interventions required. Demand has grown and this has resulted in longer access times to the NHS mental health services and more workload pressures, especially in community mental health teams. Therefore, depression costs the NHS a lot in terms of direct treatment costs and indirect costs related to long-term disability and lost productivity</w:t>
      </w:r>
      <w:r w:rsidRPr="003E1341" w:rsidR="003E1341">
        <w:t xml:space="preserve"> </w:t>
      </w:r>
      <w:r w:rsidRPr="003E1341" w:rsidR="003E1341">
        <w:rPr>
          <w:rFonts w:ascii="Arial" w:hAnsi="Arial" w:cs="Arial"/>
          <w:sz w:val="22"/>
        </w:rPr>
        <w:t>(NICE.org, 2022)</w:t>
      </w:r>
      <w:r w:rsidRPr="00D83BC8">
        <w:rPr>
          <w:rFonts w:ascii="Arial" w:hAnsi="Arial" w:cs="Arial"/>
          <w:sz w:val="22"/>
        </w:rPr>
        <w:t>. The broad scope of these effects shows that preventing and intervening early not only has an impact on the lives of the people concerned but also on the strain on health, social care and society.</w:t>
      </w:r>
    </w:p>
    <w:p xmlns:wp14="http://schemas.microsoft.com/office/word/2010/wordml" w:rsidRPr="00D83BC8" w:rsidR="00D56320" w:rsidP="00D56320" w:rsidRDefault="00D56320" w14:paraId="60061E4C" wp14:textId="77777777">
      <w:pPr>
        <w:rPr>
          <w:rFonts w:ascii="Arial" w:hAnsi="Arial" w:cs="Arial"/>
          <w:sz w:val="22"/>
        </w:rPr>
      </w:pPr>
    </w:p>
    <w:p xmlns:wp14="http://schemas.microsoft.com/office/word/2010/wordml" w:rsidRPr="00D83BC8" w:rsidR="00D56320" w:rsidP="00D56320" w:rsidRDefault="00D56320" w14:paraId="01F3E437" wp14:textId="77777777">
      <w:pPr>
        <w:pStyle w:val="Heading1"/>
        <w:rPr>
          <w:rFonts w:ascii="Arial" w:hAnsi="Arial" w:cs="Arial"/>
          <w:sz w:val="22"/>
          <w:szCs w:val="22"/>
        </w:rPr>
      </w:pPr>
      <w:bookmarkStart w:name="_Toc234660449" w:id="5"/>
      <w:r w:rsidRPr="00D83BC8">
        <w:rPr>
          <w:rFonts w:ascii="Arial" w:hAnsi="Arial" w:cs="Arial"/>
          <w:sz w:val="22"/>
          <w:szCs w:val="22"/>
        </w:rPr>
        <w:t>5. Health and Social Care Support Services</w:t>
      </w:r>
      <w:bookmarkEnd w:id="5"/>
      <w:r w:rsidRPr="00D83BC8">
        <w:rPr>
          <w:rFonts w:ascii="Arial" w:hAnsi="Arial" w:cs="Arial"/>
          <w:sz w:val="22"/>
          <w:szCs w:val="22"/>
        </w:rPr>
        <w:t xml:space="preserve"> </w:t>
      </w:r>
    </w:p>
    <w:p xmlns:wp14="http://schemas.microsoft.com/office/word/2010/wordml" w:rsidRPr="00D83BC8" w:rsidR="00D56320" w:rsidP="00D56320" w:rsidRDefault="00D56320" w14:paraId="121F3D55" wp14:textId="77777777">
      <w:pPr>
        <w:rPr>
          <w:rFonts w:ascii="Arial" w:hAnsi="Arial" w:cs="Arial"/>
          <w:sz w:val="22"/>
        </w:rPr>
      </w:pPr>
      <w:r w:rsidRPr="00D83BC8">
        <w:rPr>
          <w:rFonts w:ascii="Arial" w:hAnsi="Arial" w:cs="Arial"/>
          <w:sz w:val="22"/>
        </w:rPr>
        <w:t>Coordinated health and social care services, addressing clinical symptoms and broader social determinants of health, are needed to effectively manage depression. General Practitioners (GPs) and practice nurses are involved in the assessment, risk assessments and management of medication use as well as referral to NHS Talking Therapies where psychological services are provided based on the NICE guidelines and evidence-based psychological interventions such as Cognitive Behavioural Therapy (CBT) are used.</w:t>
      </w:r>
    </w:p>
    <w:p xmlns:wp14="http://schemas.microsoft.com/office/word/2010/wordml" w:rsidR="00182A61" w:rsidP="00182A61" w:rsidRDefault="00D56320" w14:paraId="0941868E" wp14:textId="77777777">
      <w:pPr>
        <w:ind w:firstLine="720"/>
        <w:rPr>
          <w:rFonts w:ascii="Arial" w:hAnsi="Arial" w:cs="Arial"/>
          <w:sz w:val="22"/>
        </w:rPr>
      </w:pPr>
      <w:r w:rsidRPr="00D83BC8">
        <w:rPr>
          <w:rFonts w:ascii="Arial" w:hAnsi="Arial" w:cs="Arial"/>
          <w:sz w:val="22"/>
        </w:rPr>
        <w:t>For people with moderate or severe depression, specialist mental health services such as Community Mental Health Teams, psychiatrists, clinical psychologists, Crisis Resolution and Home Treatment Teams and in-patient services (where more intensive assessment and treatment is needed) may be required. They are also concerned with social care, which supplements any medical treatment, and supports with social work work, housing and employment advice and community rehabilitation to facilitate independence and recovery</w:t>
      </w:r>
      <w:r w:rsidRPr="003E1341" w:rsidR="003E1341">
        <w:t xml:space="preserve"> </w:t>
      </w:r>
      <w:r w:rsidRPr="003E1341" w:rsidR="003E1341">
        <w:rPr>
          <w:rFonts w:ascii="Arial" w:hAnsi="Arial" w:cs="Arial"/>
          <w:sz w:val="22"/>
        </w:rPr>
        <w:t>(NICE, 2022)</w:t>
      </w:r>
      <w:r w:rsidRPr="00D83BC8">
        <w:rPr>
          <w:rFonts w:ascii="Arial" w:hAnsi="Arial" w:cs="Arial"/>
          <w:sz w:val="22"/>
        </w:rPr>
        <w:t>.</w:t>
      </w:r>
    </w:p>
    <w:p xmlns:wp14="http://schemas.microsoft.com/office/word/2010/wordml" w:rsidR="00D56320" w:rsidP="00182A61" w:rsidRDefault="00D56320" w14:paraId="0CFAC5A6" wp14:textId="77777777">
      <w:pPr>
        <w:ind w:firstLine="720"/>
        <w:rPr>
          <w:rFonts w:ascii="Arial" w:hAnsi="Arial" w:cs="Arial"/>
          <w:sz w:val="22"/>
        </w:rPr>
      </w:pPr>
      <w:r w:rsidRPr="00D83BC8">
        <w:rPr>
          <w:rFonts w:ascii="Arial" w:hAnsi="Arial" w:cs="Arial"/>
          <w:sz w:val="22"/>
        </w:rPr>
        <w:t>Voluntary organisations such as Mind, Rethink Mental Illness, Samaritans and the Mental Health Foundation also support each other in their work to provide more community support through peer groups, helplines, public education and anti-stigma projects that promote early help-seeking and social inclusion. Collaborative care involving GPs, psychiatrists, mental health nurses, occupational therapists, social workers and voluntary organisations to provide co-ordinated, person-centred care also forms part of NICE's recommendations. Multidisciplinary collaboration is better at communicating, maintaining continuity of care, promoting adherence to treatment and preventing relapse, which in turn leads to better recovery results than individual professional interventions</w:t>
      </w:r>
      <w:r w:rsidRPr="003E1341" w:rsidR="003E1341">
        <w:t xml:space="preserve"> </w:t>
      </w:r>
      <w:r w:rsidRPr="003E1341" w:rsidR="003E1341">
        <w:rPr>
          <w:rFonts w:ascii="Arial" w:hAnsi="Arial" w:cs="Arial"/>
          <w:sz w:val="22"/>
        </w:rPr>
        <w:t>(National Institute for Health and Care Excellence, 2022)</w:t>
      </w:r>
      <w:r w:rsidRPr="00D83BC8">
        <w:rPr>
          <w:rFonts w:ascii="Arial" w:hAnsi="Arial" w:cs="Arial"/>
          <w:sz w:val="22"/>
        </w:rPr>
        <w:t>.</w:t>
      </w:r>
    </w:p>
    <w:p xmlns:wp14="http://schemas.microsoft.com/office/word/2010/wordml" w:rsidRPr="00D83BC8" w:rsidR="00D83BC8" w:rsidP="00D56320" w:rsidRDefault="00D83BC8" w14:paraId="44EAFD9C" wp14:textId="77777777">
      <w:pPr>
        <w:rPr>
          <w:rFonts w:ascii="Arial" w:hAnsi="Arial" w:cs="Arial"/>
          <w:sz w:val="22"/>
        </w:rPr>
      </w:pPr>
    </w:p>
    <w:p xmlns:wp14="http://schemas.microsoft.com/office/word/2010/wordml" w:rsidRPr="00D83BC8" w:rsidR="00D56320" w:rsidP="00D56320" w:rsidRDefault="00D56320" w14:paraId="6C34567E" wp14:textId="77777777">
      <w:pPr>
        <w:pStyle w:val="Heading1"/>
        <w:rPr>
          <w:rFonts w:ascii="Arial" w:hAnsi="Arial" w:cs="Arial"/>
          <w:sz w:val="22"/>
          <w:szCs w:val="22"/>
        </w:rPr>
      </w:pPr>
      <w:bookmarkStart w:name="_Toc234660450" w:id="6"/>
      <w:r w:rsidRPr="00D83BC8">
        <w:rPr>
          <w:rFonts w:ascii="Arial" w:hAnsi="Arial" w:cs="Arial"/>
          <w:sz w:val="22"/>
          <w:szCs w:val="22"/>
        </w:rPr>
        <w:t>6. Conclusion</w:t>
      </w:r>
      <w:bookmarkEnd w:id="6"/>
      <w:r w:rsidRPr="00D83BC8">
        <w:rPr>
          <w:rFonts w:ascii="Arial" w:hAnsi="Arial" w:cs="Arial"/>
          <w:sz w:val="22"/>
          <w:szCs w:val="22"/>
        </w:rPr>
        <w:t xml:space="preserve"> </w:t>
      </w:r>
    </w:p>
    <w:p xmlns:wp14="http://schemas.microsoft.com/office/word/2010/wordml" w:rsidRPr="00D83BC8" w:rsidR="00D56320" w:rsidP="00D56320" w:rsidRDefault="00D56320" w14:paraId="43D75BC6" wp14:textId="77777777">
      <w:pPr>
        <w:rPr>
          <w:rFonts w:ascii="Arial" w:hAnsi="Arial" w:cs="Arial"/>
          <w:sz w:val="22"/>
        </w:rPr>
      </w:pPr>
      <w:r w:rsidRPr="00D83BC8">
        <w:rPr>
          <w:rFonts w:ascii="Arial" w:hAnsi="Arial" w:cs="Arial"/>
          <w:sz w:val="22"/>
        </w:rPr>
        <w:t>Given its prevalence, the high disease burden and widespread social impact, depression continues to be a major public health problem in the United Kingdom, and globally. Clinical monitoring and surveillance systems help to identify early, allocate resources and act appropriately. Prevention, early diagnosis and treatment using evidence-based methods, are effective and offer the best opportunities for reducing disease burden and improving long-term outcomes. But depression remains a pervasive and pervasive condition of individuals, families, communities and health care providers. Thus, multidisciplinary health and social care services are essential to health and social care services in order to support recovery, prevent relapses and enhance overall quality of life.</w:t>
      </w:r>
    </w:p>
    <w:p xmlns:wp14="http://schemas.microsoft.com/office/word/2010/wordml" w:rsidR="0074789A" w:rsidP="003E1341" w:rsidRDefault="0082293E" w14:paraId="071E4E01" wp14:textId="77777777">
      <w:pPr>
        <w:pStyle w:val="Heading1"/>
        <w:numPr>
          <w:ilvl w:val="0"/>
          <w:numId w:val="0"/>
        </w:numPr>
        <w:rPr>
          <w:rFonts w:ascii="Arial" w:hAnsi="Arial" w:cs="Arial"/>
          <w:sz w:val="22"/>
          <w:szCs w:val="22"/>
        </w:rPr>
      </w:pPr>
      <w:bookmarkStart w:name="_Toc234660451" w:id="7"/>
      <w:r w:rsidRPr="00D83BC8">
        <w:rPr>
          <w:rFonts w:ascii="Arial" w:hAnsi="Arial" w:cs="Arial"/>
          <w:sz w:val="22"/>
          <w:szCs w:val="22"/>
        </w:rPr>
        <w:t>R</w:t>
      </w:r>
      <w:r w:rsidRPr="00D83BC8" w:rsidR="00D56320">
        <w:rPr>
          <w:rFonts w:ascii="Arial" w:hAnsi="Arial" w:cs="Arial"/>
          <w:sz w:val="22"/>
          <w:szCs w:val="22"/>
        </w:rPr>
        <w:t>eferences</w:t>
      </w:r>
      <w:bookmarkEnd w:id="7"/>
    </w:p>
    <w:p xmlns:wp14="http://schemas.microsoft.com/office/word/2010/wordml" w:rsidRPr="003E1341" w:rsidR="003E1341" w:rsidP="003E1341" w:rsidRDefault="003E1341" w14:paraId="7407942A" wp14:textId="77777777">
      <w:pPr>
        <w:pStyle w:val="NormalWeb"/>
        <w:spacing w:after="240" w:line="240" w:lineRule="auto"/>
        <w:ind w:left="720" w:hanging="720"/>
        <w:rPr>
          <w:rFonts w:ascii="Arial" w:hAnsi="Arial" w:cs="Arial"/>
          <w:sz w:val="22"/>
          <w:szCs w:val="22"/>
        </w:rPr>
      </w:pPr>
      <w:r w:rsidRPr="003E1341">
        <w:rPr>
          <w:rFonts w:ascii="Arial" w:hAnsi="Arial" w:cs="Arial"/>
          <w:sz w:val="22"/>
          <w:szCs w:val="22"/>
        </w:rPr>
        <w:t xml:space="preserve">National Institute for Health and Care Excellence (2022). </w:t>
      </w:r>
      <w:r w:rsidRPr="003E1341">
        <w:rPr>
          <w:rFonts w:ascii="Arial" w:hAnsi="Arial" w:cs="Arial"/>
          <w:i/>
          <w:iCs/>
          <w:sz w:val="22"/>
          <w:szCs w:val="22"/>
        </w:rPr>
        <w:t>Depression in adults: Treatment and Management</w:t>
      </w:r>
      <w:r w:rsidRPr="003E1341">
        <w:rPr>
          <w:rFonts w:ascii="Arial" w:hAnsi="Arial" w:cs="Arial"/>
          <w:sz w:val="22"/>
          <w:szCs w:val="22"/>
        </w:rPr>
        <w:t xml:space="preserve">. [online] Www.nice.org.uk. Available at: </w:t>
      </w:r>
      <w:hyperlink w:history="1" r:id="rId8">
        <w:r w:rsidRPr="003E1341">
          <w:rPr>
            <w:rStyle w:val="Hyperlink"/>
            <w:rFonts w:ascii="Arial" w:hAnsi="Arial" w:cs="Arial"/>
            <w:sz w:val="22"/>
            <w:szCs w:val="22"/>
            <w:lang w:val="en-GB" w:eastAsia="ar-SA" w:bidi="ar-SA"/>
          </w:rPr>
          <w:t>https://www.nice.org.uk/guidance/ng222</w:t>
        </w:r>
      </w:hyperlink>
    </w:p>
    <w:p xmlns:wp14="http://schemas.microsoft.com/office/word/2010/wordml" w:rsidRPr="003E1341" w:rsidR="003E1341" w:rsidP="003E1341" w:rsidRDefault="003E1341" w14:paraId="1AB546DB" wp14:textId="77777777">
      <w:pPr>
        <w:pStyle w:val="NormalWeb"/>
        <w:spacing w:after="240" w:line="240" w:lineRule="auto"/>
        <w:ind w:left="720" w:hanging="720"/>
        <w:rPr>
          <w:rFonts w:ascii="Arial" w:hAnsi="Arial" w:cs="Arial"/>
          <w:sz w:val="22"/>
          <w:szCs w:val="22"/>
        </w:rPr>
      </w:pPr>
      <w:r w:rsidRPr="003E1341">
        <w:rPr>
          <w:rFonts w:ascii="Arial" w:hAnsi="Arial" w:cs="Arial"/>
          <w:sz w:val="22"/>
          <w:szCs w:val="22"/>
        </w:rPr>
        <w:t xml:space="preserve">NHS England (2024). </w:t>
      </w:r>
      <w:r w:rsidRPr="003E1341">
        <w:rPr>
          <w:rFonts w:ascii="Arial" w:hAnsi="Arial" w:cs="Arial"/>
          <w:i/>
          <w:iCs/>
          <w:sz w:val="22"/>
          <w:szCs w:val="22"/>
        </w:rPr>
        <w:t>NHS England » Service standards</w:t>
      </w:r>
      <w:r w:rsidRPr="003E1341">
        <w:rPr>
          <w:rFonts w:ascii="Arial" w:hAnsi="Arial" w:cs="Arial"/>
          <w:sz w:val="22"/>
          <w:szCs w:val="22"/>
        </w:rPr>
        <w:t xml:space="preserve">. [online] Www.england.nhs.uk. Available at: </w:t>
      </w:r>
      <w:hyperlink w:history="1" r:id="rId9">
        <w:r w:rsidRPr="003E1341">
          <w:rPr>
            <w:rStyle w:val="Hyperlink"/>
            <w:rFonts w:ascii="Arial" w:hAnsi="Arial" w:cs="Arial"/>
            <w:sz w:val="22"/>
            <w:szCs w:val="22"/>
            <w:lang w:val="en-GB" w:eastAsia="ar-SA" w:bidi="ar-SA"/>
          </w:rPr>
          <w:t>https://www.england.nhs.uk/mental-health/adults/nhs-talking-therapies/service-standards/</w:t>
        </w:r>
      </w:hyperlink>
    </w:p>
    <w:p xmlns:wp14="http://schemas.microsoft.com/office/word/2010/wordml" w:rsidRPr="003E1341" w:rsidR="003E1341" w:rsidP="003E1341" w:rsidRDefault="003E1341" w14:paraId="000BAEF4" wp14:textId="77777777">
      <w:pPr>
        <w:pStyle w:val="NormalWeb"/>
        <w:spacing w:after="240" w:line="240" w:lineRule="auto"/>
        <w:ind w:left="720" w:hanging="720"/>
        <w:rPr>
          <w:rFonts w:ascii="Arial" w:hAnsi="Arial" w:cs="Arial"/>
          <w:sz w:val="22"/>
          <w:szCs w:val="22"/>
        </w:rPr>
      </w:pPr>
      <w:r w:rsidRPr="003E1341">
        <w:rPr>
          <w:rFonts w:ascii="Arial" w:hAnsi="Arial" w:cs="Arial"/>
          <w:sz w:val="22"/>
          <w:szCs w:val="22"/>
        </w:rPr>
        <w:t xml:space="preserve">NICE (2022). </w:t>
      </w:r>
      <w:r w:rsidRPr="003E1341">
        <w:rPr>
          <w:rFonts w:ascii="Arial" w:hAnsi="Arial" w:cs="Arial"/>
          <w:i/>
          <w:iCs/>
          <w:sz w:val="22"/>
          <w:szCs w:val="22"/>
        </w:rPr>
        <w:t>Recommendations | Depression in adults: Treatment and management | Guidance | NICE</w:t>
      </w:r>
      <w:r w:rsidRPr="003E1341">
        <w:rPr>
          <w:rFonts w:ascii="Arial" w:hAnsi="Arial" w:cs="Arial"/>
          <w:sz w:val="22"/>
          <w:szCs w:val="22"/>
        </w:rPr>
        <w:t xml:space="preserve">. [online] Www.nice.org.uk. Available at: </w:t>
      </w:r>
      <w:hyperlink w:history="1" r:id="rId10">
        <w:r w:rsidRPr="003E1341">
          <w:rPr>
            <w:rStyle w:val="Hyperlink"/>
            <w:rFonts w:ascii="Arial" w:hAnsi="Arial" w:cs="Arial"/>
            <w:sz w:val="22"/>
            <w:szCs w:val="22"/>
            <w:lang w:val="en-GB" w:eastAsia="ar-SA" w:bidi="ar-SA"/>
          </w:rPr>
          <w:t>https://www.nice.org.uk/guidance/ng222/chapter/Recommendations</w:t>
        </w:r>
      </w:hyperlink>
    </w:p>
    <w:p xmlns:wp14="http://schemas.microsoft.com/office/word/2010/wordml" w:rsidRPr="003E1341" w:rsidR="003E1341" w:rsidP="003E1341" w:rsidRDefault="003E1341" w14:paraId="7A8C8B19" wp14:textId="77777777">
      <w:pPr>
        <w:pStyle w:val="NormalWeb"/>
        <w:spacing w:after="240" w:line="240" w:lineRule="auto"/>
        <w:ind w:left="720" w:hanging="720"/>
        <w:rPr>
          <w:rFonts w:ascii="Arial" w:hAnsi="Arial" w:cs="Arial"/>
          <w:sz w:val="22"/>
          <w:szCs w:val="22"/>
        </w:rPr>
      </w:pPr>
      <w:r w:rsidRPr="003E1341">
        <w:rPr>
          <w:rFonts w:ascii="Arial" w:hAnsi="Arial" w:cs="Arial"/>
          <w:sz w:val="22"/>
          <w:szCs w:val="22"/>
        </w:rPr>
        <w:t xml:space="preserve">NICE (2025). </w:t>
      </w:r>
      <w:r w:rsidRPr="003E1341">
        <w:rPr>
          <w:rFonts w:ascii="Arial" w:hAnsi="Arial" w:cs="Arial"/>
          <w:i/>
          <w:iCs/>
          <w:sz w:val="22"/>
          <w:szCs w:val="22"/>
        </w:rPr>
        <w:t>Digitally enabled therapies for adults with depression: early value assessment</w:t>
      </w:r>
      <w:r w:rsidRPr="003E1341">
        <w:rPr>
          <w:rFonts w:ascii="Arial" w:hAnsi="Arial" w:cs="Arial"/>
          <w:sz w:val="22"/>
          <w:szCs w:val="22"/>
        </w:rPr>
        <w:t xml:space="preserve">. [online] Available at: </w:t>
      </w:r>
      <w:hyperlink w:history="1" r:id="rId11">
        <w:r w:rsidRPr="003E1341">
          <w:rPr>
            <w:rStyle w:val="Hyperlink"/>
            <w:rFonts w:ascii="Arial" w:hAnsi="Arial" w:cs="Arial"/>
            <w:sz w:val="22"/>
            <w:szCs w:val="22"/>
            <w:lang w:val="en-GB" w:eastAsia="ar-SA" w:bidi="ar-SA"/>
          </w:rPr>
          <w:t>https://www.nice.org.uk/guidance/htg675/resources/evidence-generation-plan-for-digitally-enabled-therapies-for-adults-with-depression-13254224365/chapter/3-Approach-to-evidence-generation</w:t>
        </w:r>
      </w:hyperlink>
      <w:r w:rsidRPr="003E1341">
        <w:rPr>
          <w:rFonts w:ascii="Arial" w:hAnsi="Arial" w:cs="Arial"/>
          <w:sz w:val="22"/>
          <w:szCs w:val="22"/>
        </w:rPr>
        <w:t>.</w:t>
      </w:r>
    </w:p>
    <w:p xmlns:wp14="http://schemas.microsoft.com/office/word/2010/wordml" w:rsidRPr="003E1341" w:rsidR="003E1341" w:rsidP="003E1341" w:rsidRDefault="003E1341" w14:paraId="0607C5C2" wp14:textId="77777777">
      <w:pPr>
        <w:pStyle w:val="NormalWeb"/>
        <w:spacing w:after="240" w:line="240" w:lineRule="auto"/>
        <w:ind w:left="720" w:hanging="720"/>
        <w:rPr>
          <w:rFonts w:ascii="Arial" w:hAnsi="Arial" w:cs="Arial"/>
          <w:sz w:val="22"/>
          <w:szCs w:val="22"/>
        </w:rPr>
      </w:pPr>
      <w:r w:rsidRPr="003E1341">
        <w:rPr>
          <w:rFonts w:ascii="Arial" w:hAnsi="Arial" w:cs="Arial"/>
          <w:sz w:val="22"/>
          <w:szCs w:val="22"/>
        </w:rPr>
        <w:t xml:space="preserve">NICE.org (2022). </w:t>
      </w:r>
      <w:r w:rsidRPr="003E1341">
        <w:rPr>
          <w:rFonts w:ascii="Arial" w:hAnsi="Arial" w:cs="Arial"/>
          <w:i/>
          <w:iCs/>
          <w:sz w:val="22"/>
          <w:szCs w:val="22"/>
        </w:rPr>
        <w:t>Context | Depression in adults: Treatment and management | Guidance | NICE</w:t>
      </w:r>
      <w:r w:rsidRPr="003E1341">
        <w:rPr>
          <w:rFonts w:ascii="Arial" w:hAnsi="Arial" w:cs="Arial"/>
          <w:sz w:val="22"/>
          <w:szCs w:val="22"/>
        </w:rPr>
        <w:t xml:space="preserve">. [online] Www.nice.org.uk. Available at: </w:t>
      </w:r>
      <w:hyperlink w:history="1" r:id="rId12">
        <w:r w:rsidRPr="003E1341">
          <w:rPr>
            <w:rStyle w:val="Hyperlink"/>
            <w:rFonts w:ascii="Arial" w:hAnsi="Arial" w:cs="Arial"/>
            <w:sz w:val="22"/>
            <w:szCs w:val="22"/>
            <w:lang w:val="en-GB" w:eastAsia="ar-SA" w:bidi="ar-SA"/>
          </w:rPr>
          <w:t>https://www.nice.org.uk/guidance/ng222/chapter/Context</w:t>
        </w:r>
      </w:hyperlink>
    </w:p>
    <w:p xmlns:wp14="http://schemas.microsoft.com/office/word/2010/wordml" w:rsidRPr="003E1341" w:rsidR="003E1341" w:rsidP="003E1341" w:rsidRDefault="003E1341" w14:paraId="2728C1A3" wp14:textId="77777777">
      <w:pPr>
        <w:pStyle w:val="NormalWeb"/>
        <w:spacing w:after="240" w:line="240" w:lineRule="auto"/>
        <w:ind w:left="720" w:hanging="720"/>
        <w:rPr>
          <w:rFonts w:ascii="Arial" w:hAnsi="Arial" w:cs="Arial"/>
          <w:sz w:val="22"/>
          <w:szCs w:val="22"/>
        </w:rPr>
      </w:pPr>
      <w:r w:rsidRPr="003E1341">
        <w:rPr>
          <w:rFonts w:ascii="Arial" w:hAnsi="Arial" w:cs="Arial"/>
          <w:sz w:val="22"/>
          <w:szCs w:val="22"/>
        </w:rPr>
        <w:t xml:space="preserve">WHO (2017). </w:t>
      </w:r>
      <w:r w:rsidRPr="003E1341">
        <w:rPr>
          <w:rFonts w:ascii="Arial" w:hAnsi="Arial" w:cs="Arial"/>
          <w:i/>
          <w:iCs/>
          <w:sz w:val="22"/>
          <w:szCs w:val="22"/>
        </w:rPr>
        <w:t>“Depression: Let’s talk” says WHO, as depression tops list of causes of ill health</w:t>
      </w:r>
      <w:r w:rsidRPr="003E1341">
        <w:rPr>
          <w:rFonts w:ascii="Arial" w:hAnsi="Arial" w:cs="Arial"/>
          <w:sz w:val="22"/>
          <w:szCs w:val="22"/>
        </w:rPr>
        <w:t xml:space="preserve">. [online] Www.who.int. Available at: </w:t>
      </w:r>
      <w:hyperlink w:history="1" r:id="rId13">
        <w:r w:rsidRPr="003E1341">
          <w:rPr>
            <w:rStyle w:val="Hyperlink"/>
            <w:rFonts w:ascii="Arial" w:hAnsi="Arial" w:cs="Arial"/>
            <w:sz w:val="22"/>
            <w:szCs w:val="22"/>
            <w:lang w:val="en-GB" w:eastAsia="ar-SA" w:bidi="ar-SA"/>
          </w:rPr>
          <w:t>https://www.who.int/news-room/detail/30-03-2017--depression-let-s-talk-says-who-as-depression-tops-list-of-causes-of-ill-health</w:t>
        </w:r>
      </w:hyperlink>
    </w:p>
    <w:p xmlns:wp14="http://schemas.microsoft.com/office/word/2010/wordml" w:rsidRPr="003E1341" w:rsidR="003E1341" w:rsidP="003E1341" w:rsidRDefault="003E1341" w14:paraId="3F438794" wp14:textId="77777777">
      <w:pPr>
        <w:pStyle w:val="NormalWeb"/>
        <w:spacing w:after="240" w:line="240" w:lineRule="auto"/>
        <w:ind w:left="720" w:hanging="720"/>
        <w:rPr>
          <w:rFonts w:ascii="Arial" w:hAnsi="Arial" w:cs="Arial"/>
          <w:sz w:val="22"/>
          <w:szCs w:val="22"/>
        </w:rPr>
      </w:pPr>
      <w:r w:rsidRPr="003E1341">
        <w:rPr>
          <w:rFonts w:ascii="Arial" w:hAnsi="Arial" w:cs="Arial"/>
          <w:sz w:val="22"/>
          <w:szCs w:val="22"/>
        </w:rPr>
        <w:t xml:space="preserve">World Health Organization (2022). </w:t>
      </w:r>
      <w:r w:rsidRPr="003E1341">
        <w:rPr>
          <w:rFonts w:ascii="Arial" w:hAnsi="Arial" w:cs="Arial"/>
          <w:i/>
          <w:iCs/>
          <w:sz w:val="22"/>
          <w:szCs w:val="22"/>
        </w:rPr>
        <w:t>Mental health</w:t>
      </w:r>
      <w:r w:rsidRPr="003E1341">
        <w:rPr>
          <w:rFonts w:ascii="Arial" w:hAnsi="Arial" w:cs="Arial"/>
          <w:sz w:val="22"/>
          <w:szCs w:val="22"/>
        </w:rPr>
        <w:t xml:space="preserve">. [online] Www.who.int. Available at: </w:t>
      </w:r>
      <w:hyperlink w:history="1" r:id="rId14">
        <w:r w:rsidRPr="003E1341">
          <w:rPr>
            <w:rStyle w:val="Hyperlink"/>
            <w:rFonts w:ascii="Arial" w:hAnsi="Arial" w:cs="Arial"/>
            <w:sz w:val="22"/>
            <w:szCs w:val="22"/>
            <w:lang w:val="en-GB" w:eastAsia="ar-SA" w:bidi="ar-SA"/>
          </w:rPr>
          <w:t>https://www.who.int/health-topics/mental-health</w:t>
        </w:r>
      </w:hyperlink>
    </w:p>
    <w:p xmlns:wp14="http://schemas.microsoft.com/office/word/2010/wordml" w:rsidRPr="003E1341" w:rsidR="003E1341" w:rsidP="003E1341" w:rsidRDefault="003E1341" w14:paraId="5B995D4B" wp14:textId="77777777">
      <w:pPr>
        <w:pStyle w:val="NormalWeb"/>
        <w:spacing w:after="240" w:line="240" w:lineRule="auto"/>
        <w:ind w:left="720" w:hanging="720"/>
        <w:rPr>
          <w:rFonts w:ascii="Arial" w:hAnsi="Arial" w:cs="Arial"/>
          <w:sz w:val="22"/>
          <w:szCs w:val="22"/>
        </w:rPr>
      </w:pPr>
      <w:r w:rsidRPr="003E1341">
        <w:rPr>
          <w:rFonts w:ascii="Arial" w:hAnsi="Arial" w:cs="Arial"/>
          <w:sz w:val="22"/>
          <w:szCs w:val="22"/>
        </w:rPr>
        <w:t xml:space="preserve">World Health Organization (2025). </w:t>
      </w:r>
      <w:r w:rsidRPr="003E1341">
        <w:rPr>
          <w:rFonts w:ascii="Arial" w:hAnsi="Arial" w:cs="Arial"/>
          <w:i/>
          <w:iCs/>
          <w:sz w:val="22"/>
          <w:szCs w:val="22"/>
        </w:rPr>
        <w:t>Depressive disorder (depression)</w:t>
      </w:r>
      <w:r w:rsidRPr="003E1341">
        <w:rPr>
          <w:rFonts w:ascii="Arial" w:hAnsi="Arial" w:cs="Arial"/>
          <w:sz w:val="22"/>
          <w:szCs w:val="22"/>
        </w:rPr>
        <w:t xml:space="preserve">. [online] World Health Organization. Available at: </w:t>
      </w:r>
      <w:hyperlink w:history="1" r:id="rId15">
        <w:r w:rsidRPr="003E1341">
          <w:rPr>
            <w:rStyle w:val="Hyperlink"/>
            <w:rFonts w:ascii="Arial" w:hAnsi="Arial" w:cs="Arial"/>
            <w:sz w:val="22"/>
            <w:szCs w:val="22"/>
            <w:lang w:val="en-GB" w:eastAsia="ar-SA" w:bidi="ar-SA"/>
          </w:rPr>
          <w:t>https://www.who.int/news-room/fact-sheets/detail/depression</w:t>
        </w:r>
      </w:hyperlink>
    </w:p>
    <w:p xmlns:wp14="http://schemas.microsoft.com/office/word/2010/wordml" w:rsidR="003E1341" w:rsidP="003E1341" w:rsidRDefault="003E1341" w14:paraId="4B94D5A5" wp14:textId="77777777">
      <w:pPr>
        <w:pStyle w:val="NormalWeb"/>
        <w:spacing w:after="240" w:line="240" w:lineRule="auto"/>
        <w:ind w:left="720" w:hanging="720"/>
      </w:pPr>
    </w:p>
    <w:p xmlns:wp14="http://schemas.microsoft.com/office/word/2010/wordml" w:rsidRPr="003E1341" w:rsidR="003E1341" w:rsidP="003E1341" w:rsidRDefault="003E1341" w14:paraId="3DEEC669" wp14:textId="77777777">
      <w:pPr>
        <w:spacing w:line="240" w:lineRule="auto"/>
        <w:ind w:left="720" w:hanging="720"/>
      </w:pPr>
    </w:p>
    <w:sectPr w:rsidRPr="003E1341" w:rsidR="003E1341">
      <w:footerReference w:type="default" r:id="rId16"/>
      <w:pgSz w:w="12240" w:h="15840" w:orient="portrait"/>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2253F6" w:rsidP="00A87747" w:rsidRDefault="002253F6" w14:paraId="3656B9AB" wp14:textId="77777777">
      <w:pPr>
        <w:spacing w:line="240" w:lineRule="auto"/>
      </w:pPr>
      <w:r>
        <w:separator/>
      </w:r>
    </w:p>
  </w:endnote>
  <w:endnote w:type="continuationSeparator" w:id="0">
    <w:p xmlns:wp14="http://schemas.microsoft.com/office/word/2010/wordml" w:rsidR="002253F6" w:rsidP="00A87747" w:rsidRDefault="002253F6" w14:paraId="45FB0818"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charset w:val="80"/>
    <w:family w:val="auto"/>
    <w:pitch w:val="variable"/>
  </w:font>
  <w:font w:name="OpenSymbol">
    <w:altName w:val="Arial Unicode MS"/>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jaVu Sans">
    <w:altName w:val="Yu Gothic"/>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ejaVu Sans Mono">
    <w:charset w:val="80"/>
    <w:family w:val="modern"/>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A87747" w:rsidRDefault="00A87747" w14:paraId="3D3D22A9" wp14:textId="77777777">
    <w:pPr>
      <w:pStyle w:val="Footer"/>
      <w:jc w:val="center"/>
    </w:pPr>
    <w:r>
      <w:fldChar w:fldCharType="begin"/>
    </w:r>
    <w:r>
      <w:instrText xml:space="preserve"> PAGE   \* MERGEFORMAT </w:instrText>
    </w:r>
    <w:r>
      <w:fldChar w:fldCharType="separate"/>
    </w:r>
    <w:r w:rsidR="00F33ED7">
      <w:rPr>
        <w:noProof/>
      </w:rPr>
      <w:t>1</w:t>
    </w:r>
    <w:r>
      <w:rPr>
        <w:noProof/>
      </w:rPr>
      <w:fldChar w:fldCharType="end"/>
    </w:r>
  </w:p>
  <w:p xmlns:wp14="http://schemas.microsoft.com/office/word/2010/wordml" w:rsidR="00A87747" w:rsidRDefault="00A87747" w14:paraId="049F31CB"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2253F6" w:rsidP="00A87747" w:rsidRDefault="002253F6" w14:paraId="53128261" wp14:textId="77777777">
      <w:pPr>
        <w:spacing w:line="240" w:lineRule="auto"/>
      </w:pPr>
      <w:r>
        <w:separator/>
      </w:r>
    </w:p>
  </w:footnote>
  <w:footnote w:type="continuationSeparator" w:id="0">
    <w:p xmlns:wp14="http://schemas.microsoft.com/office/word/2010/wordml" w:rsidR="002253F6" w:rsidP="00A87747" w:rsidRDefault="002253F6" w14:paraId="62486C05" wp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eastAsia="Droid Sans"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D63B8E"/>
    <w:multiLevelType w:val="hybridMultilevel"/>
    <w:tmpl w:val="DE7A844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6" w15:restartNumberingAfterBreak="0">
    <w:nsid w:val="149A1246"/>
    <w:multiLevelType w:val="hybridMultilevel"/>
    <w:tmpl w:val="6EC2A84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1AF00D24"/>
    <w:multiLevelType w:val="multilevel"/>
    <w:tmpl w:val="AC66658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B734712"/>
    <w:multiLevelType w:val="hybridMultilevel"/>
    <w:tmpl w:val="83C831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C0A5D14"/>
    <w:multiLevelType w:val="hybridMultilevel"/>
    <w:tmpl w:val="16B0A1E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1FA95D68"/>
    <w:multiLevelType w:val="hybridMultilevel"/>
    <w:tmpl w:val="CEE26C5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25E162E4"/>
    <w:multiLevelType w:val="hybridMultilevel"/>
    <w:tmpl w:val="2D4AEAF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2"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FC00F71"/>
    <w:multiLevelType w:val="hybridMultilevel"/>
    <w:tmpl w:val="3D3443E8"/>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4" w15:restartNumberingAfterBreak="0">
    <w:nsid w:val="307A64A0"/>
    <w:multiLevelType w:val="hybridMultilevel"/>
    <w:tmpl w:val="32427C6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5" w15:restartNumberingAfterBreak="0">
    <w:nsid w:val="3D077094"/>
    <w:multiLevelType w:val="hybridMultilevel"/>
    <w:tmpl w:val="7054DAE6"/>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6" w15:restartNumberingAfterBreak="0">
    <w:nsid w:val="42382EFF"/>
    <w:multiLevelType w:val="hybridMultilevel"/>
    <w:tmpl w:val="4C1C3548"/>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7" w15:restartNumberingAfterBreak="0">
    <w:nsid w:val="423E0B20"/>
    <w:multiLevelType w:val="hybridMultilevel"/>
    <w:tmpl w:val="E4AE93EE"/>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8"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C3012BA"/>
    <w:multiLevelType w:val="hybridMultilevel"/>
    <w:tmpl w:val="507E7A2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0" w15:restartNumberingAfterBreak="0">
    <w:nsid w:val="51057060"/>
    <w:multiLevelType w:val="hybridMultilevel"/>
    <w:tmpl w:val="DC68366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1" w15:restartNumberingAfterBreak="0">
    <w:nsid w:val="51E86E9B"/>
    <w:multiLevelType w:val="hybridMultilevel"/>
    <w:tmpl w:val="D9DC6A2A"/>
    <w:lvl w:ilvl="0" w:tplc="6A187440">
      <w:start w:val="1"/>
      <w:numFmt w:val="bullet"/>
      <w:lvlText w:val="•"/>
      <w:lvlJc w:val="left"/>
      <w:pPr>
        <w:tabs>
          <w:tab w:val="num" w:pos="720"/>
        </w:tabs>
        <w:ind w:left="720" w:hanging="360"/>
      </w:pPr>
      <w:rPr>
        <w:rFonts w:hint="default" w:ascii="Arial" w:hAnsi="Arial"/>
      </w:rPr>
    </w:lvl>
    <w:lvl w:ilvl="1" w:tplc="4F82AF94" w:tentative="1">
      <w:start w:val="1"/>
      <w:numFmt w:val="bullet"/>
      <w:lvlText w:val="•"/>
      <w:lvlJc w:val="left"/>
      <w:pPr>
        <w:tabs>
          <w:tab w:val="num" w:pos="1440"/>
        </w:tabs>
        <w:ind w:left="1440" w:hanging="360"/>
      </w:pPr>
      <w:rPr>
        <w:rFonts w:hint="default" w:ascii="Arial" w:hAnsi="Arial"/>
      </w:rPr>
    </w:lvl>
    <w:lvl w:ilvl="2" w:tplc="54CEB2D8" w:tentative="1">
      <w:start w:val="1"/>
      <w:numFmt w:val="bullet"/>
      <w:lvlText w:val="•"/>
      <w:lvlJc w:val="left"/>
      <w:pPr>
        <w:tabs>
          <w:tab w:val="num" w:pos="2160"/>
        </w:tabs>
        <w:ind w:left="2160" w:hanging="360"/>
      </w:pPr>
      <w:rPr>
        <w:rFonts w:hint="default" w:ascii="Arial" w:hAnsi="Arial"/>
      </w:rPr>
    </w:lvl>
    <w:lvl w:ilvl="3" w:tplc="AAEA6156" w:tentative="1">
      <w:start w:val="1"/>
      <w:numFmt w:val="bullet"/>
      <w:lvlText w:val="•"/>
      <w:lvlJc w:val="left"/>
      <w:pPr>
        <w:tabs>
          <w:tab w:val="num" w:pos="2880"/>
        </w:tabs>
        <w:ind w:left="2880" w:hanging="360"/>
      </w:pPr>
      <w:rPr>
        <w:rFonts w:hint="default" w:ascii="Arial" w:hAnsi="Arial"/>
      </w:rPr>
    </w:lvl>
    <w:lvl w:ilvl="4" w:tplc="A4FAA4F0" w:tentative="1">
      <w:start w:val="1"/>
      <w:numFmt w:val="bullet"/>
      <w:lvlText w:val="•"/>
      <w:lvlJc w:val="left"/>
      <w:pPr>
        <w:tabs>
          <w:tab w:val="num" w:pos="3600"/>
        </w:tabs>
        <w:ind w:left="3600" w:hanging="360"/>
      </w:pPr>
      <w:rPr>
        <w:rFonts w:hint="default" w:ascii="Arial" w:hAnsi="Arial"/>
      </w:rPr>
    </w:lvl>
    <w:lvl w:ilvl="5" w:tplc="32100022" w:tentative="1">
      <w:start w:val="1"/>
      <w:numFmt w:val="bullet"/>
      <w:lvlText w:val="•"/>
      <w:lvlJc w:val="left"/>
      <w:pPr>
        <w:tabs>
          <w:tab w:val="num" w:pos="4320"/>
        </w:tabs>
        <w:ind w:left="4320" w:hanging="360"/>
      </w:pPr>
      <w:rPr>
        <w:rFonts w:hint="default" w:ascii="Arial" w:hAnsi="Arial"/>
      </w:rPr>
    </w:lvl>
    <w:lvl w:ilvl="6" w:tplc="79787F26" w:tentative="1">
      <w:start w:val="1"/>
      <w:numFmt w:val="bullet"/>
      <w:lvlText w:val="•"/>
      <w:lvlJc w:val="left"/>
      <w:pPr>
        <w:tabs>
          <w:tab w:val="num" w:pos="5040"/>
        </w:tabs>
        <w:ind w:left="5040" w:hanging="360"/>
      </w:pPr>
      <w:rPr>
        <w:rFonts w:hint="default" w:ascii="Arial" w:hAnsi="Arial"/>
      </w:rPr>
    </w:lvl>
    <w:lvl w:ilvl="7" w:tplc="5AE8D476" w:tentative="1">
      <w:start w:val="1"/>
      <w:numFmt w:val="bullet"/>
      <w:lvlText w:val="•"/>
      <w:lvlJc w:val="left"/>
      <w:pPr>
        <w:tabs>
          <w:tab w:val="num" w:pos="5760"/>
        </w:tabs>
        <w:ind w:left="5760" w:hanging="360"/>
      </w:pPr>
      <w:rPr>
        <w:rFonts w:hint="default" w:ascii="Arial" w:hAnsi="Arial"/>
      </w:rPr>
    </w:lvl>
    <w:lvl w:ilvl="8" w:tplc="4A561D38" w:tentative="1">
      <w:start w:val="1"/>
      <w:numFmt w:val="bullet"/>
      <w:lvlText w:val="•"/>
      <w:lvlJc w:val="left"/>
      <w:pPr>
        <w:tabs>
          <w:tab w:val="num" w:pos="6480"/>
        </w:tabs>
        <w:ind w:left="6480" w:hanging="360"/>
      </w:pPr>
      <w:rPr>
        <w:rFonts w:hint="default" w:ascii="Arial" w:hAnsi="Arial"/>
      </w:rPr>
    </w:lvl>
  </w:abstractNum>
  <w:abstractNum w:abstractNumId="22"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63AC0ABA"/>
    <w:multiLevelType w:val="hybridMultilevel"/>
    <w:tmpl w:val="8EC2470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4" w15:restartNumberingAfterBreak="0">
    <w:nsid w:val="66286114"/>
    <w:multiLevelType w:val="hybridMultilevel"/>
    <w:tmpl w:val="4312721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5" w15:restartNumberingAfterBreak="0">
    <w:nsid w:val="67602BD6"/>
    <w:multiLevelType w:val="hybridMultilevel"/>
    <w:tmpl w:val="E304AD8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6" w15:restartNumberingAfterBreak="0">
    <w:nsid w:val="67E92AA1"/>
    <w:multiLevelType w:val="hybridMultilevel"/>
    <w:tmpl w:val="3398C5E6"/>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7" w15:restartNumberingAfterBreak="0">
    <w:nsid w:val="6FEE3B27"/>
    <w:multiLevelType w:val="hybridMultilevel"/>
    <w:tmpl w:val="E23E0BD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8" w15:restartNumberingAfterBreak="0">
    <w:nsid w:val="7DF338A4"/>
    <w:multiLevelType w:val="multilevel"/>
    <w:tmpl w:val="49187E9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790588983">
    <w:abstractNumId w:val="0"/>
  </w:num>
  <w:num w:numId="2" w16cid:durableId="1204908940">
    <w:abstractNumId w:val="1"/>
  </w:num>
  <w:num w:numId="3" w16cid:durableId="426122761">
    <w:abstractNumId w:val="10"/>
  </w:num>
  <w:num w:numId="4" w16cid:durableId="36779724">
    <w:abstractNumId w:val="24"/>
  </w:num>
  <w:num w:numId="5" w16cid:durableId="1618871273">
    <w:abstractNumId w:val="9"/>
  </w:num>
  <w:num w:numId="6" w16cid:durableId="905341689">
    <w:abstractNumId w:val="23"/>
  </w:num>
  <w:num w:numId="7" w16cid:durableId="266087172">
    <w:abstractNumId w:val="27"/>
  </w:num>
  <w:num w:numId="8" w16cid:durableId="1750811133">
    <w:abstractNumId w:val="19"/>
  </w:num>
  <w:num w:numId="9" w16cid:durableId="1007903409">
    <w:abstractNumId w:val="6"/>
  </w:num>
  <w:num w:numId="10" w16cid:durableId="2055079986">
    <w:abstractNumId w:val="16"/>
  </w:num>
  <w:num w:numId="11" w16cid:durableId="450513934">
    <w:abstractNumId w:val="20"/>
  </w:num>
  <w:num w:numId="12" w16cid:durableId="10649590">
    <w:abstractNumId w:val="11"/>
  </w:num>
  <w:num w:numId="13" w16cid:durableId="1121919920">
    <w:abstractNumId w:val="4"/>
  </w:num>
  <w:num w:numId="14" w16cid:durableId="1644774148">
    <w:abstractNumId w:val="17"/>
  </w:num>
  <w:num w:numId="15" w16cid:durableId="916744502">
    <w:abstractNumId w:val="5"/>
  </w:num>
  <w:num w:numId="16" w16cid:durableId="311563189">
    <w:abstractNumId w:val="22"/>
  </w:num>
  <w:num w:numId="17" w16cid:durableId="1108886634">
    <w:abstractNumId w:val="3"/>
  </w:num>
  <w:num w:numId="18" w16cid:durableId="1727028796">
    <w:abstractNumId w:val="18"/>
  </w:num>
  <w:num w:numId="19" w16cid:durableId="15498579">
    <w:abstractNumId w:val="2"/>
  </w:num>
  <w:num w:numId="20" w16cid:durableId="814222039">
    <w:abstractNumId w:val="26"/>
  </w:num>
  <w:num w:numId="21" w16cid:durableId="2058357069">
    <w:abstractNumId w:val="13"/>
  </w:num>
  <w:num w:numId="22" w16cid:durableId="2110151279">
    <w:abstractNumId w:val="12"/>
  </w:num>
  <w:num w:numId="23" w16cid:durableId="570819870">
    <w:abstractNumId w:val="25"/>
  </w:num>
  <w:num w:numId="24" w16cid:durableId="2098672326">
    <w:abstractNumId w:val="28"/>
  </w:num>
  <w:num w:numId="25" w16cid:durableId="471751096">
    <w:abstractNumId w:val="7"/>
  </w:num>
  <w:num w:numId="26" w16cid:durableId="728842773">
    <w:abstractNumId w:val="15"/>
  </w:num>
  <w:num w:numId="27" w16cid:durableId="1568492745">
    <w:abstractNumId w:val="14"/>
  </w:num>
  <w:num w:numId="28" w16cid:durableId="87698478">
    <w:abstractNumId w:val="21"/>
  </w:num>
  <w:num w:numId="29" w16cid:durableId="231277800">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yNbcwNTM0BXKMLJV0lIJTi4sz8/NACixrAX2e2/ssAAAA"/>
  </w:docVars>
  <w:rsids>
    <w:rsidRoot w:val="008D09FF"/>
    <w:rsid w:val="000143B4"/>
    <w:rsid w:val="000157F7"/>
    <w:rsid w:val="000169FC"/>
    <w:rsid w:val="00026F62"/>
    <w:rsid w:val="0003210E"/>
    <w:rsid w:val="00033E1E"/>
    <w:rsid w:val="00043DD1"/>
    <w:rsid w:val="00044E03"/>
    <w:rsid w:val="00051B13"/>
    <w:rsid w:val="0005499F"/>
    <w:rsid w:val="00073CCE"/>
    <w:rsid w:val="00077B6D"/>
    <w:rsid w:val="000824D7"/>
    <w:rsid w:val="0009752E"/>
    <w:rsid w:val="000A0300"/>
    <w:rsid w:val="000A2736"/>
    <w:rsid w:val="000A693F"/>
    <w:rsid w:val="000B55F1"/>
    <w:rsid w:val="000B7C25"/>
    <w:rsid w:val="000C54FA"/>
    <w:rsid w:val="000D13F2"/>
    <w:rsid w:val="000D1E89"/>
    <w:rsid w:val="000D5F91"/>
    <w:rsid w:val="000E3657"/>
    <w:rsid w:val="000E5B1D"/>
    <w:rsid w:val="000E7C63"/>
    <w:rsid w:val="000F7A29"/>
    <w:rsid w:val="0010080F"/>
    <w:rsid w:val="001127EC"/>
    <w:rsid w:val="00115FA2"/>
    <w:rsid w:val="0011725C"/>
    <w:rsid w:val="0012311E"/>
    <w:rsid w:val="00124129"/>
    <w:rsid w:val="00131CE2"/>
    <w:rsid w:val="00135FA8"/>
    <w:rsid w:val="0014081F"/>
    <w:rsid w:val="0014236D"/>
    <w:rsid w:val="001543C4"/>
    <w:rsid w:val="00155DFF"/>
    <w:rsid w:val="00171AB7"/>
    <w:rsid w:val="00182A61"/>
    <w:rsid w:val="001959E7"/>
    <w:rsid w:val="001A2386"/>
    <w:rsid w:val="001A6CE4"/>
    <w:rsid w:val="001B148D"/>
    <w:rsid w:val="001B293F"/>
    <w:rsid w:val="001B2B71"/>
    <w:rsid w:val="001B3DA5"/>
    <w:rsid w:val="001C4B30"/>
    <w:rsid w:val="001C6C19"/>
    <w:rsid w:val="001C7C69"/>
    <w:rsid w:val="001D1CAC"/>
    <w:rsid w:val="001D46FF"/>
    <w:rsid w:val="001F2F9D"/>
    <w:rsid w:val="002037AB"/>
    <w:rsid w:val="00203ADA"/>
    <w:rsid w:val="00207BF7"/>
    <w:rsid w:val="0021152B"/>
    <w:rsid w:val="00214B85"/>
    <w:rsid w:val="002157B6"/>
    <w:rsid w:val="002253F6"/>
    <w:rsid w:val="00245957"/>
    <w:rsid w:val="00245FD9"/>
    <w:rsid w:val="0024714F"/>
    <w:rsid w:val="00251842"/>
    <w:rsid w:val="00255300"/>
    <w:rsid w:val="002650E0"/>
    <w:rsid w:val="00267D0D"/>
    <w:rsid w:val="00273F83"/>
    <w:rsid w:val="002923C2"/>
    <w:rsid w:val="0029461D"/>
    <w:rsid w:val="002A218E"/>
    <w:rsid w:val="002B1C88"/>
    <w:rsid w:val="002B6D16"/>
    <w:rsid w:val="002C58C6"/>
    <w:rsid w:val="002C5976"/>
    <w:rsid w:val="002C5AFE"/>
    <w:rsid w:val="002C5DF6"/>
    <w:rsid w:val="002D5608"/>
    <w:rsid w:val="002E2445"/>
    <w:rsid w:val="002F3715"/>
    <w:rsid w:val="002F4C8F"/>
    <w:rsid w:val="00306373"/>
    <w:rsid w:val="003347F4"/>
    <w:rsid w:val="003407C3"/>
    <w:rsid w:val="00341F1F"/>
    <w:rsid w:val="00352949"/>
    <w:rsid w:val="00354A83"/>
    <w:rsid w:val="003559FD"/>
    <w:rsid w:val="00355AA6"/>
    <w:rsid w:val="0035740A"/>
    <w:rsid w:val="00363625"/>
    <w:rsid w:val="003644F3"/>
    <w:rsid w:val="00371215"/>
    <w:rsid w:val="0037352A"/>
    <w:rsid w:val="00377720"/>
    <w:rsid w:val="00380505"/>
    <w:rsid w:val="00385B84"/>
    <w:rsid w:val="00390787"/>
    <w:rsid w:val="003915E6"/>
    <w:rsid w:val="003A21CE"/>
    <w:rsid w:val="003B2223"/>
    <w:rsid w:val="003D2B08"/>
    <w:rsid w:val="003D6472"/>
    <w:rsid w:val="003E1341"/>
    <w:rsid w:val="003E3CE3"/>
    <w:rsid w:val="003F321A"/>
    <w:rsid w:val="003F58CF"/>
    <w:rsid w:val="003F652C"/>
    <w:rsid w:val="003F6A34"/>
    <w:rsid w:val="004001C6"/>
    <w:rsid w:val="0040516B"/>
    <w:rsid w:val="00406F8A"/>
    <w:rsid w:val="004118BC"/>
    <w:rsid w:val="00412D04"/>
    <w:rsid w:val="00426EFB"/>
    <w:rsid w:val="004275E6"/>
    <w:rsid w:val="00430271"/>
    <w:rsid w:val="0043392D"/>
    <w:rsid w:val="00435F23"/>
    <w:rsid w:val="004510CC"/>
    <w:rsid w:val="00454D5E"/>
    <w:rsid w:val="00455304"/>
    <w:rsid w:val="00460545"/>
    <w:rsid w:val="0046208D"/>
    <w:rsid w:val="0047293C"/>
    <w:rsid w:val="00480840"/>
    <w:rsid w:val="004836C4"/>
    <w:rsid w:val="0049537E"/>
    <w:rsid w:val="00496C57"/>
    <w:rsid w:val="004A17F2"/>
    <w:rsid w:val="004A42D9"/>
    <w:rsid w:val="004A6F78"/>
    <w:rsid w:val="004A78C8"/>
    <w:rsid w:val="004B2DC1"/>
    <w:rsid w:val="004B6253"/>
    <w:rsid w:val="004B637E"/>
    <w:rsid w:val="004D5B16"/>
    <w:rsid w:val="004D5BFC"/>
    <w:rsid w:val="004E44CC"/>
    <w:rsid w:val="004F372C"/>
    <w:rsid w:val="00500202"/>
    <w:rsid w:val="005007FB"/>
    <w:rsid w:val="005025FB"/>
    <w:rsid w:val="0050612C"/>
    <w:rsid w:val="00514B64"/>
    <w:rsid w:val="00514C27"/>
    <w:rsid w:val="005244D0"/>
    <w:rsid w:val="00526156"/>
    <w:rsid w:val="00526B25"/>
    <w:rsid w:val="00531793"/>
    <w:rsid w:val="005363C9"/>
    <w:rsid w:val="00545BE1"/>
    <w:rsid w:val="005466F4"/>
    <w:rsid w:val="00556141"/>
    <w:rsid w:val="005575BB"/>
    <w:rsid w:val="00563005"/>
    <w:rsid w:val="00565E1A"/>
    <w:rsid w:val="00572E0C"/>
    <w:rsid w:val="00583DDF"/>
    <w:rsid w:val="005901D0"/>
    <w:rsid w:val="00591D3F"/>
    <w:rsid w:val="00592304"/>
    <w:rsid w:val="005955CD"/>
    <w:rsid w:val="005978A5"/>
    <w:rsid w:val="00597C27"/>
    <w:rsid w:val="005A4881"/>
    <w:rsid w:val="005B1D0F"/>
    <w:rsid w:val="005B3892"/>
    <w:rsid w:val="005C2B38"/>
    <w:rsid w:val="005C6F1F"/>
    <w:rsid w:val="005C729D"/>
    <w:rsid w:val="005C740A"/>
    <w:rsid w:val="005D49B9"/>
    <w:rsid w:val="005F292C"/>
    <w:rsid w:val="0060463A"/>
    <w:rsid w:val="00607926"/>
    <w:rsid w:val="0061173B"/>
    <w:rsid w:val="00615B24"/>
    <w:rsid w:val="00621B9C"/>
    <w:rsid w:val="006237FB"/>
    <w:rsid w:val="006302B6"/>
    <w:rsid w:val="006407FE"/>
    <w:rsid w:val="006438EC"/>
    <w:rsid w:val="006475FF"/>
    <w:rsid w:val="00654A6E"/>
    <w:rsid w:val="00661773"/>
    <w:rsid w:val="0066496D"/>
    <w:rsid w:val="00671F66"/>
    <w:rsid w:val="00674A76"/>
    <w:rsid w:val="00682A76"/>
    <w:rsid w:val="00682D74"/>
    <w:rsid w:val="00684916"/>
    <w:rsid w:val="006948E8"/>
    <w:rsid w:val="00697727"/>
    <w:rsid w:val="006A724A"/>
    <w:rsid w:val="006B65D2"/>
    <w:rsid w:val="006C51DB"/>
    <w:rsid w:val="006C5469"/>
    <w:rsid w:val="006C5728"/>
    <w:rsid w:val="006D07E0"/>
    <w:rsid w:val="006D6837"/>
    <w:rsid w:val="006D7C5E"/>
    <w:rsid w:val="006E177F"/>
    <w:rsid w:val="006F3799"/>
    <w:rsid w:val="00705F33"/>
    <w:rsid w:val="007130F3"/>
    <w:rsid w:val="00720A6F"/>
    <w:rsid w:val="00722631"/>
    <w:rsid w:val="0072548E"/>
    <w:rsid w:val="00732B9B"/>
    <w:rsid w:val="00746466"/>
    <w:rsid w:val="0074789A"/>
    <w:rsid w:val="007515C4"/>
    <w:rsid w:val="00752C57"/>
    <w:rsid w:val="0075424F"/>
    <w:rsid w:val="00755616"/>
    <w:rsid w:val="00755E7B"/>
    <w:rsid w:val="007626C2"/>
    <w:rsid w:val="00764092"/>
    <w:rsid w:val="00772400"/>
    <w:rsid w:val="007739F9"/>
    <w:rsid w:val="00777727"/>
    <w:rsid w:val="00781B1F"/>
    <w:rsid w:val="007847BC"/>
    <w:rsid w:val="00784EBE"/>
    <w:rsid w:val="00793373"/>
    <w:rsid w:val="00796A0C"/>
    <w:rsid w:val="007B6BA5"/>
    <w:rsid w:val="007C0686"/>
    <w:rsid w:val="007C1004"/>
    <w:rsid w:val="007C3193"/>
    <w:rsid w:val="007D0A05"/>
    <w:rsid w:val="007D1B17"/>
    <w:rsid w:val="007D4E7D"/>
    <w:rsid w:val="007D6079"/>
    <w:rsid w:val="007E5D62"/>
    <w:rsid w:val="007E61B3"/>
    <w:rsid w:val="007E79B8"/>
    <w:rsid w:val="007F543B"/>
    <w:rsid w:val="007F5B80"/>
    <w:rsid w:val="007F654B"/>
    <w:rsid w:val="00814EE5"/>
    <w:rsid w:val="0082293E"/>
    <w:rsid w:val="0083045C"/>
    <w:rsid w:val="0083094A"/>
    <w:rsid w:val="008309B1"/>
    <w:rsid w:val="00831ABD"/>
    <w:rsid w:val="00841350"/>
    <w:rsid w:val="00853117"/>
    <w:rsid w:val="008645D9"/>
    <w:rsid w:val="0087207B"/>
    <w:rsid w:val="00872FDC"/>
    <w:rsid w:val="00884801"/>
    <w:rsid w:val="008934D6"/>
    <w:rsid w:val="008A4FEE"/>
    <w:rsid w:val="008A5AAC"/>
    <w:rsid w:val="008B1D5E"/>
    <w:rsid w:val="008B6785"/>
    <w:rsid w:val="008C4464"/>
    <w:rsid w:val="008C5894"/>
    <w:rsid w:val="008D09FF"/>
    <w:rsid w:val="008E6B1D"/>
    <w:rsid w:val="008F29E6"/>
    <w:rsid w:val="00900DD5"/>
    <w:rsid w:val="009022FD"/>
    <w:rsid w:val="0090744C"/>
    <w:rsid w:val="009125AD"/>
    <w:rsid w:val="00913FA1"/>
    <w:rsid w:val="00914249"/>
    <w:rsid w:val="009172DB"/>
    <w:rsid w:val="00924407"/>
    <w:rsid w:val="00932737"/>
    <w:rsid w:val="0093725C"/>
    <w:rsid w:val="00941F56"/>
    <w:rsid w:val="0094548E"/>
    <w:rsid w:val="00956173"/>
    <w:rsid w:val="009561AE"/>
    <w:rsid w:val="00957CD0"/>
    <w:rsid w:val="00963740"/>
    <w:rsid w:val="00964B2F"/>
    <w:rsid w:val="00970C40"/>
    <w:rsid w:val="00975F56"/>
    <w:rsid w:val="009812B8"/>
    <w:rsid w:val="00982038"/>
    <w:rsid w:val="00991B22"/>
    <w:rsid w:val="00993BA5"/>
    <w:rsid w:val="009A205A"/>
    <w:rsid w:val="009A2AD5"/>
    <w:rsid w:val="009B08FC"/>
    <w:rsid w:val="009B0B1B"/>
    <w:rsid w:val="009B2391"/>
    <w:rsid w:val="009B53D8"/>
    <w:rsid w:val="009C2D59"/>
    <w:rsid w:val="009D18F1"/>
    <w:rsid w:val="009D1961"/>
    <w:rsid w:val="009D507B"/>
    <w:rsid w:val="009D7AE7"/>
    <w:rsid w:val="009E0198"/>
    <w:rsid w:val="009E22EF"/>
    <w:rsid w:val="009E31A5"/>
    <w:rsid w:val="009F0254"/>
    <w:rsid w:val="00A008EC"/>
    <w:rsid w:val="00A0522A"/>
    <w:rsid w:val="00A06682"/>
    <w:rsid w:val="00A17B47"/>
    <w:rsid w:val="00A2542B"/>
    <w:rsid w:val="00A31089"/>
    <w:rsid w:val="00A60F2E"/>
    <w:rsid w:val="00A62491"/>
    <w:rsid w:val="00A630B9"/>
    <w:rsid w:val="00A654E6"/>
    <w:rsid w:val="00A7011E"/>
    <w:rsid w:val="00A70CE1"/>
    <w:rsid w:val="00A73945"/>
    <w:rsid w:val="00A75675"/>
    <w:rsid w:val="00A801A0"/>
    <w:rsid w:val="00A82125"/>
    <w:rsid w:val="00A87747"/>
    <w:rsid w:val="00A90D99"/>
    <w:rsid w:val="00A9411B"/>
    <w:rsid w:val="00A954C7"/>
    <w:rsid w:val="00A97BE1"/>
    <w:rsid w:val="00AA470E"/>
    <w:rsid w:val="00AB326F"/>
    <w:rsid w:val="00AB5583"/>
    <w:rsid w:val="00AB5B5E"/>
    <w:rsid w:val="00AB73A8"/>
    <w:rsid w:val="00AC3A95"/>
    <w:rsid w:val="00AC52A2"/>
    <w:rsid w:val="00AD0E28"/>
    <w:rsid w:val="00AD2CBF"/>
    <w:rsid w:val="00AD2D58"/>
    <w:rsid w:val="00AD58AA"/>
    <w:rsid w:val="00AD7F58"/>
    <w:rsid w:val="00AE6BC8"/>
    <w:rsid w:val="00AF1F9B"/>
    <w:rsid w:val="00AF526C"/>
    <w:rsid w:val="00AF6143"/>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E9D"/>
    <w:rsid w:val="00B3225F"/>
    <w:rsid w:val="00B322E0"/>
    <w:rsid w:val="00B34CA4"/>
    <w:rsid w:val="00B462F2"/>
    <w:rsid w:val="00B465CF"/>
    <w:rsid w:val="00B46E41"/>
    <w:rsid w:val="00B51613"/>
    <w:rsid w:val="00B56352"/>
    <w:rsid w:val="00B57A65"/>
    <w:rsid w:val="00B61DB0"/>
    <w:rsid w:val="00B61FED"/>
    <w:rsid w:val="00B671A3"/>
    <w:rsid w:val="00B7065F"/>
    <w:rsid w:val="00B71230"/>
    <w:rsid w:val="00B74848"/>
    <w:rsid w:val="00B87943"/>
    <w:rsid w:val="00B91486"/>
    <w:rsid w:val="00B97BB3"/>
    <w:rsid w:val="00BA2FDA"/>
    <w:rsid w:val="00BA45F5"/>
    <w:rsid w:val="00BA67AD"/>
    <w:rsid w:val="00BC3B3A"/>
    <w:rsid w:val="00BD180E"/>
    <w:rsid w:val="00BD411F"/>
    <w:rsid w:val="00BE6EAE"/>
    <w:rsid w:val="00BF4E4E"/>
    <w:rsid w:val="00BF5CCF"/>
    <w:rsid w:val="00BF6034"/>
    <w:rsid w:val="00C00C12"/>
    <w:rsid w:val="00C106CE"/>
    <w:rsid w:val="00C14BE6"/>
    <w:rsid w:val="00C24BF1"/>
    <w:rsid w:val="00C41329"/>
    <w:rsid w:val="00C42A3F"/>
    <w:rsid w:val="00C42CEC"/>
    <w:rsid w:val="00C433FF"/>
    <w:rsid w:val="00C47BCC"/>
    <w:rsid w:val="00C52007"/>
    <w:rsid w:val="00C53CCD"/>
    <w:rsid w:val="00C57D30"/>
    <w:rsid w:val="00C66F95"/>
    <w:rsid w:val="00C73ADD"/>
    <w:rsid w:val="00C74D7D"/>
    <w:rsid w:val="00C8669D"/>
    <w:rsid w:val="00C8743A"/>
    <w:rsid w:val="00C919FB"/>
    <w:rsid w:val="00CA59F2"/>
    <w:rsid w:val="00CC3413"/>
    <w:rsid w:val="00CC671B"/>
    <w:rsid w:val="00CD2539"/>
    <w:rsid w:val="00CE4E4E"/>
    <w:rsid w:val="00CE5BDB"/>
    <w:rsid w:val="00CF15D8"/>
    <w:rsid w:val="00CF5F42"/>
    <w:rsid w:val="00D20ECD"/>
    <w:rsid w:val="00D2166C"/>
    <w:rsid w:val="00D23569"/>
    <w:rsid w:val="00D30910"/>
    <w:rsid w:val="00D35421"/>
    <w:rsid w:val="00D4151E"/>
    <w:rsid w:val="00D444CD"/>
    <w:rsid w:val="00D50037"/>
    <w:rsid w:val="00D56320"/>
    <w:rsid w:val="00D73C7F"/>
    <w:rsid w:val="00D81130"/>
    <w:rsid w:val="00D83BC8"/>
    <w:rsid w:val="00D942AF"/>
    <w:rsid w:val="00D9463B"/>
    <w:rsid w:val="00DA3189"/>
    <w:rsid w:val="00DA3A21"/>
    <w:rsid w:val="00DA5D0B"/>
    <w:rsid w:val="00DB19D0"/>
    <w:rsid w:val="00DB5216"/>
    <w:rsid w:val="00DC13DA"/>
    <w:rsid w:val="00DC49BD"/>
    <w:rsid w:val="00DC5F06"/>
    <w:rsid w:val="00DD45E3"/>
    <w:rsid w:val="00DD6A76"/>
    <w:rsid w:val="00DE0958"/>
    <w:rsid w:val="00DE64C4"/>
    <w:rsid w:val="00DF037E"/>
    <w:rsid w:val="00DF2060"/>
    <w:rsid w:val="00DF6304"/>
    <w:rsid w:val="00E000B9"/>
    <w:rsid w:val="00E039C5"/>
    <w:rsid w:val="00E03A4B"/>
    <w:rsid w:val="00E27145"/>
    <w:rsid w:val="00E315EE"/>
    <w:rsid w:val="00E37264"/>
    <w:rsid w:val="00E41AB6"/>
    <w:rsid w:val="00E5396E"/>
    <w:rsid w:val="00E61475"/>
    <w:rsid w:val="00E62EF6"/>
    <w:rsid w:val="00E71F36"/>
    <w:rsid w:val="00E811C1"/>
    <w:rsid w:val="00E859FA"/>
    <w:rsid w:val="00E85B3F"/>
    <w:rsid w:val="00E90A5A"/>
    <w:rsid w:val="00E928CA"/>
    <w:rsid w:val="00E94410"/>
    <w:rsid w:val="00E9780D"/>
    <w:rsid w:val="00EA0745"/>
    <w:rsid w:val="00EA2106"/>
    <w:rsid w:val="00EA7C96"/>
    <w:rsid w:val="00EB02D9"/>
    <w:rsid w:val="00EB0C0B"/>
    <w:rsid w:val="00EB32F9"/>
    <w:rsid w:val="00EB6093"/>
    <w:rsid w:val="00EC3B38"/>
    <w:rsid w:val="00EC3CED"/>
    <w:rsid w:val="00EC74AE"/>
    <w:rsid w:val="00ED6A6B"/>
    <w:rsid w:val="00EE04C1"/>
    <w:rsid w:val="00EE2BBA"/>
    <w:rsid w:val="00EE58F1"/>
    <w:rsid w:val="00EF0350"/>
    <w:rsid w:val="00F05440"/>
    <w:rsid w:val="00F10C64"/>
    <w:rsid w:val="00F16569"/>
    <w:rsid w:val="00F17CBC"/>
    <w:rsid w:val="00F31831"/>
    <w:rsid w:val="00F320B3"/>
    <w:rsid w:val="00F33ED7"/>
    <w:rsid w:val="00F35020"/>
    <w:rsid w:val="00F42555"/>
    <w:rsid w:val="00F52B0E"/>
    <w:rsid w:val="00F71CCB"/>
    <w:rsid w:val="00FA1905"/>
    <w:rsid w:val="00FA3835"/>
    <w:rsid w:val="00FB012C"/>
    <w:rsid w:val="00FB44DD"/>
    <w:rsid w:val="00FB5913"/>
    <w:rsid w:val="00FB636C"/>
    <w:rsid w:val="00FD08F7"/>
    <w:rsid w:val="00FE007F"/>
    <w:rsid w:val="00FE1106"/>
    <w:rsid w:val="00FE22D5"/>
    <w:rsid w:val="00FE2AD0"/>
    <w:rsid w:val="00FE3A7A"/>
    <w:rsid w:val="00FE5D8F"/>
    <w:rsid w:val="00FF574F"/>
    <w:rsid w:val="00FF5CDD"/>
    <w:rsid w:val="224F0126"/>
    <w:rsid w:val="27104CE4"/>
    <w:rsid w:val="71D520A9"/>
    <w:rsid w:val="7297A973"/>
    <w:rsid w:val="7A36D1D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08A28A21"/>
  <w15:chartTrackingRefBased/>
  <w15:docId w15:val="{C170C8C4-676C-46F4-8871-C77D45042F3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WW8Num2z0" w:customStyle="1">
    <w:name w:val="WW8Num2z0"/>
    <w:rPr>
      <w:rFonts w:ascii="Symbol" w:hAnsi="Symbol" w:eastAsia="Droid Sans" w:cs="OpenSymbol"/>
      <w:sz w:val="28"/>
      <w:szCs w:val="24"/>
      <w:lang w:val="en-GB"/>
    </w:rPr>
  </w:style>
  <w:style w:type="character" w:styleId="WW8Num2z1" w:customStyle="1">
    <w:name w:val="WW8Num2z1"/>
    <w:rPr>
      <w:rFonts w:ascii="OpenSymbol" w:hAnsi="OpenSymbol" w:cs="OpenSymbol"/>
    </w:rPr>
  </w:style>
  <w:style w:type="character" w:styleId="WW8Num2z2" w:customStyle="1">
    <w:name w:val="WW8Num2z2"/>
  </w:style>
  <w:style w:type="character" w:styleId="WW8Num2z3" w:customStyle="1">
    <w:name w:val="WW8Num2z3"/>
  </w:style>
  <w:style w:type="character" w:styleId="WW8Num2z4" w:customStyle="1">
    <w:name w:val="WW8Num2z4"/>
  </w:style>
  <w:style w:type="character" w:styleId="WW8Num2z5" w:customStyle="1">
    <w:name w:val="WW8Num2z5"/>
  </w:style>
  <w:style w:type="character" w:styleId="WW8Num2z6" w:customStyle="1">
    <w:name w:val="WW8Num2z6"/>
  </w:style>
  <w:style w:type="character" w:styleId="WW8Num2z7" w:customStyle="1">
    <w:name w:val="WW8Num2z7"/>
  </w:style>
  <w:style w:type="character" w:styleId="WW8Num2z8" w:customStyle="1">
    <w:name w:val="WW8Num2z8"/>
  </w:style>
  <w:style w:type="character" w:styleId="WW8Num3z0" w:customStyle="1">
    <w:name w:val="WW8Num3z0"/>
    <w:rPr>
      <w:rFonts w:ascii="Symbol" w:hAnsi="Symbol" w:cs="OpenSymbol"/>
      <w:lang w:val="en-GB"/>
    </w:rPr>
  </w:style>
  <w:style w:type="character" w:styleId="WW8Num3z1" w:customStyle="1">
    <w:name w:val="WW8Num3z1"/>
    <w:rPr>
      <w:rFonts w:ascii="OpenSymbol" w:hAnsi="OpenSymbol" w:cs="OpenSymbol"/>
    </w:rPr>
  </w:style>
  <w:style w:type="character" w:styleId="WW8Num3z2" w:customStyle="1">
    <w:name w:val="WW8Num3z2"/>
    <w:rPr>
      <w:rFonts w:hint="default" w:ascii="Wingdings" w:hAnsi="Wingdings" w:cs="Wingdings"/>
    </w:rPr>
  </w:style>
  <w:style w:type="character" w:styleId="WW8Num3z3" w:customStyle="1">
    <w:name w:val="WW8Num3z3"/>
  </w:style>
  <w:style w:type="character" w:styleId="WW8Num3z4" w:customStyle="1">
    <w:name w:val="WW8Num3z4"/>
  </w:style>
  <w:style w:type="character" w:styleId="WW8Num3z5" w:customStyle="1">
    <w:name w:val="WW8Num3z5"/>
  </w:style>
  <w:style w:type="character" w:styleId="WW8Num3z6" w:customStyle="1">
    <w:name w:val="WW8Num3z6"/>
  </w:style>
  <w:style w:type="character" w:styleId="WW8Num3z7" w:customStyle="1">
    <w:name w:val="WW8Num3z7"/>
  </w:style>
  <w:style w:type="character" w:styleId="WW8Num3z8" w:customStyle="1">
    <w:name w:val="WW8Num3z8"/>
  </w:style>
  <w:style w:type="character" w:styleId="WW8Num4z0" w:customStyle="1">
    <w:name w:val="WW8Num4z0"/>
    <w:rPr>
      <w:rFonts w:cs="Times New Roman"/>
      <w:lang w:val="en-GB"/>
    </w:rPr>
  </w:style>
  <w:style w:type="character" w:styleId="WW8Num4z1" w:customStyle="1">
    <w:name w:val="WW8Num4z1"/>
  </w:style>
  <w:style w:type="character" w:styleId="WW8Num5z0" w:customStyle="1">
    <w:name w:val="WW8Num5z0"/>
    <w:rPr>
      <w:rFonts w:ascii="Symbol" w:hAnsi="Symbol" w:cs="OpenSymbol"/>
    </w:rPr>
  </w:style>
  <w:style w:type="character" w:styleId="WW8Num5z1" w:customStyle="1">
    <w:name w:val="WW8Num5z1"/>
    <w:rPr>
      <w:rFonts w:ascii="OpenSymbol" w:hAnsi="OpenSymbol" w:cs="OpenSymbol"/>
    </w:rPr>
  </w:style>
  <w:style w:type="character" w:styleId="DefaultParagraphFont0">
    <w:name w:val="Default Paragraph Font0"/>
  </w:style>
  <w:style w:type="character" w:styleId="WW8Num4z2" w:customStyle="1">
    <w:name w:val="WW8Num4z2"/>
  </w:style>
  <w:style w:type="character" w:styleId="WW8Num5z2" w:customStyle="1">
    <w:name w:val="WW8Num5z2"/>
    <w:rPr>
      <w:rFonts w:hint="default" w:ascii="Wingdings" w:hAnsi="Wingdings" w:cs="Wingdings"/>
    </w:rPr>
  </w:style>
  <w:style w:type="character" w:styleId="WW8Num6z0" w:customStyle="1">
    <w:name w:val="WW8Num6z0"/>
    <w:rPr>
      <w:rFonts w:ascii="Symbol" w:hAnsi="Symbol" w:eastAsia="Droid Sans" w:cs="OpenSymbol"/>
      <w:szCs w:val="24"/>
    </w:rPr>
  </w:style>
  <w:style w:type="character" w:styleId="WW8Num6z1" w:customStyle="1">
    <w:name w:val="WW8Num6z1"/>
    <w:rPr>
      <w:rFonts w:ascii="OpenSymbol" w:hAnsi="OpenSymbol" w:cs="OpenSymbol"/>
    </w:rPr>
  </w:style>
  <w:style w:type="character" w:styleId="WW8Num6z2" w:customStyle="1">
    <w:name w:val="WW8Num6z2"/>
    <w:rPr>
      <w:rFonts w:hint="default" w:ascii="Wingdings" w:hAnsi="Wingdings" w:cs="Wingdings"/>
    </w:rPr>
  </w:style>
  <w:style w:type="character" w:styleId="WW8Num7z0" w:customStyle="1">
    <w:name w:val="WW8Num7z0"/>
    <w:rPr>
      <w:rFonts w:ascii="Symbol" w:hAnsi="Symbol" w:cs="OpenSymbol"/>
      <w:color w:val="ED7D31"/>
    </w:rPr>
  </w:style>
  <w:style w:type="character" w:styleId="WW8Num7z1" w:customStyle="1">
    <w:name w:val="WW8Num7z1"/>
    <w:rPr>
      <w:rFonts w:ascii="OpenSymbol" w:hAnsi="OpenSymbol" w:cs="OpenSymbol"/>
    </w:rPr>
  </w:style>
  <w:style w:type="character" w:styleId="WW8Num7z2" w:customStyle="1">
    <w:name w:val="WW8Num7z2"/>
  </w:style>
  <w:style w:type="character" w:styleId="WW8Num8z0" w:customStyle="1">
    <w:name w:val="WW8Num8z0"/>
    <w:rPr>
      <w:rFonts w:ascii="Symbol" w:hAnsi="Symbol" w:cs="OpenSymbol"/>
      <w:caps w:val="0"/>
      <w:smallCaps w:val="0"/>
      <w:color w:val="ED7D31"/>
      <w:spacing w:val="0"/>
      <w:sz w:val="24"/>
    </w:rPr>
  </w:style>
  <w:style w:type="character" w:styleId="WW8Num8z1" w:customStyle="1">
    <w:name w:val="WW8Num8z1"/>
    <w:rPr>
      <w:rFonts w:ascii="OpenSymbol" w:hAnsi="OpenSymbol" w:cs="OpenSymbol"/>
    </w:rPr>
  </w:style>
  <w:style w:type="character" w:styleId="WW8Num8z2" w:customStyle="1">
    <w:name w:val="WW8Num8z2"/>
    <w:rPr>
      <w:rFonts w:hint="default" w:ascii="Wingdings" w:hAnsi="Wingdings" w:cs="Wingdings"/>
    </w:rPr>
  </w:style>
  <w:style w:type="character" w:styleId="WW8Num9z0" w:customStyle="1">
    <w:name w:val="WW8Num9z0"/>
    <w:rPr>
      <w:rFonts w:ascii="Symbol" w:hAnsi="Symbol" w:eastAsia="Droid Sans" w:cs="OpenSymbol"/>
      <w:color w:val="ED7D31"/>
      <w:szCs w:val="24"/>
    </w:rPr>
  </w:style>
  <w:style w:type="character" w:styleId="WW8Num9z1" w:customStyle="1">
    <w:name w:val="WW8Num9z1"/>
    <w:rPr>
      <w:rFonts w:ascii="OpenSymbol" w:hAnsi="OpenSymbol" w:cs="OpenSymbol"/>
    </w:rPr>
  </w:style>
  <w:style w:type="character" w:styleId="WW8Num9z2" w:customStyle="1">
    <w:name w:val="WW8Num9z2"/>
    <w:rPr>
      <w:rFonts w:hint="default" w:ascii="Wingdings" w:hAnsi="Wingdings" w:cs="Wingdings"/>
    </w:rPr>
  </w:style>
  <w:style w:type="character" w:styleId="WW8Num10z0" w:customStyle="1">
    <w:name w:val="WW8Num10z0"/>
    <w:rPr>
      <w:rFonts w:hint="default" w:ascii="Symbol" w:hAnsi="Symbol" w:cs="Symbol"/>
    </w:rPr>
  </w:style>
  <w:style w:type="character" w:styleId="WW8Num10z1" w:customStyle="1">
    <w:name w:val="WW8Num10z1"/>
    <w:rPr>
      <w:rFonts w:hint="default" w:ascii="Courier New" w:hAnsi="Courier New" w:cs="Courier New"/>
    </w:rPr>
  </w:style>
  <w:style w:type="character" w:styleId="WW8Num10z2" w:customStyle="1">
    <w:name w:val="WW8Num10z2"/>
    <w:rPr>
      <w:rFonts w:hint="default" w:ascii="Wingdings" w:hAnsi="Wingdings" w:cs="Wingdings"/>
    </w:rPr>
  </w:style>
  <w:style w:type="character" w:styleId="WW8Num11z0" w:customStyle="1">
    <w:name w:val="WW8Num11z0"/>
    <w:rPr>
      <w:rFonts w:hint="default" w:ascii="Symbol" w:hAnsi="Symbol" w:cs="Symbol"/>
    </w:rPr>
  </w:style>
  <w:style w:type="character" w:styleId="WW8Num11z1" w:customStyle="1">
    <w:name w:val="WW8Num11z1"/>
    <w:rPr>
      <w:rFonts w:hint="default" w:ascii="Courier New" w:hAnsi="Courier New" w:cs="Courier New"/>
    </w:rPr>
  </w:style>
  <w:style w:type="character" w:styleId="WW8Num11z2" w:customStyle="1">
    <w:name w:val="WW8Num11z2"/>
    <w:rPr>
      <w:rFonts w:hint="default" w:ascii="Wingdings" w:hAnsi="Wingdings" w:cs="Wingdings"/>
    </w:rPr>
  </w:style>
  <w:style w:type="character" w:styleId="WW8Num12z0" w:customStyle="1">
    <w:name w:val="WW8Num12z0"/>
    <w:rPr>
      <w:rFonts w:hint="default" w:ascii="Symbol" w:hAnsi="Symbol" w:cs="Symbol"/>
    </w:rPr>
  </w:style>
  <w:style w:type="character" w:styleId="WW8Num12z1" w:customStyle="1">
    <w:name w:val="WW8Num12z1"/>
    <w:rPr>
      <w:rFonts w:hint="default" w:ascii="Courier New" w:hAnsi="Courier New" w:cs="Courier New"/>
    </w:rPr>
  </w:style>
  <w:style w:type="character" w:styleId="WW8Num12z2" w:customStyle="1">
    <w:name w:val="WW8Num12z2"/>
    <w:rPr>
      <w:rFonts w:hint="default" w:ascii="Wingdings" w:hAnsi="Wingdings" w:cs="Wingdings"/>
    </w:rPr>
  </w:style>
  <w:style w:type="character" w:styleId="WW-DefaultParagraphFont" w:customStyle="1">
    <w:name w:val="WW-Default Paragraph Font"/>
  </w:style>
  <w:style w:type="character" w:styleId="WW8Num4z3" w:customStyle="1">
    <w:name w:val="WW8Num4z3"/>
  </w:style>
  <w:style w:type="character" w:styleId="WW8Num4z4" w:customStyle="1">
    <w:name w:val="WW8Num4z4"/>
  </w:style>
  <w:style w:type="character" w:styleId="WW8Num4z5" w:customStyle="1">
    <w:name w:val="WW8Num4z5"/>
  </w:style>
  <w:style w:type="character" w:styleId="WW8Num4z6" w:customStyle="1">
    <w:name w:val="WW8Num4z6"/>
  </w:style>
  <w:style w:type="character" w:styleId="WW8Num4z7" w:customStyle="1">
    <w:name w:val="WW8Num4z7"/>
  </w:style>
  <w:style w:type="character" w:styleId="WW8Num4z8" w:customStyle="1">
    <w:name w:val="WW8Num4z8"/>
  </w:style>
  <w:style w:type="character" w:styleId="WW-DefaultParagraphFont1" w:customStyle="1">
    <w:name w:val="WW-Default Paragraph Font1"/>
  </w:style>
  <w:style w:type="character" w:styleId="WW-DefaultParagraphFont11" w:customStyle="1">
    <w:name w:val="WW-Default Paragraph Font11"/>
  </w:style>
  <w:style w:type="character" w:styleId="WW-DefaultParagraphFont111" w:customStyle="1">
    <w:name w:val="WW-Default Paragraph Font111"/>
  </w:style>
  <w:style w:type="character" w:styleId="HeaderChar" w:customStyle="1">
    <w:name w:val="Header Char"/>
    <w:basedOn w:val="WW-DefaultParagraphFont111"/>
  </w:style>
  <w:style w:type="character" w:styleId="FooterChar" w:customStyle="1">
    <w:name w:val="Footer Char"/>
    <w:basedOn w:val="WW-DefaultParagraphFont111"/>
    <w:uiPriority w:val="99"/>
  </w:style>
  <w:style w:type="character" w:styleId="Heading1Char" w:customStyle="1">
    <w:name w:val="Heading 1 Char"/>
    <w:rPr>
      <w:rFonts w:ascii="Times New Roman" w:hAnsi="Times New Roman" w:eastAsia="Times New Roman" w:cs="Times New Roman"/>
      <w:b/>
      <w:bCs/>
      <w:sz w:val="28"/>
      <w:szCs w:val="28"/>
    </w:rPr>
  </w:style>
  <w:style w:type="character" w:styleId="Heading2Char" w:customStyle="1">
    <w:name w:val="Heading 2 Char"/>
    <w:rPr>
      <w:rFonts w:ascii="Times New Roman" w:hAnsi="Times New Roman" w:eastAsia="Times New Roman" w:cs="Times New Roman"/>
      <w:bCs/>
      <w:sz w:val="24"/>
      <w:szCs w:val="26"/>
      <w:u w:val="single"/>
    </w:rPr>
  </w:style>
  <w:style w:type="character" w:styleId="Bullets" w:customStyle="1">
    <w:name w:val="Bullets"/>
    <w:rPr>
      <w:rFonts w:ascii="OpenSymbol" w:hAnsi="OpenSymbol" w:eastAsia="OpenSymbol" w:cs="OpenSymbol"/>
    </w:rPr>
  </w:style>
  <w:style w:type="character" w:styleId="Hyperlink">
    <w:name w:val="Hyperlink"/>
    <w:uiPriority w:val="99"/>
    <w:rPr>
      <w:color w:val="000080"/>
      <w:u w:val="single"/>
      <w:lang/>
    </w:rPr>
  </w:style>
  <w:style w:type="character" w:styleId="CommentReference">
    <w:name w:val="Comment Reference"/>
    <w:rPr>
      <w:sz w:val="16"/>
      <w:szCs w:val="16"/>
    </w:rPr>
  </w:style>
  <w:style w:type="character" w:styleId="WW8Num7z3" w:customStyle="1">
    <w:name w:val="WW8Num7z3"/>
  </w:style>
  <w:style w:type="character" w:styleId="WW8Num7z4" w:customStyle="1">
    <w:name w:val="WW8Num7z4"/>
  </w:style>
  <w:style w:type="character" w:styleId="WW8Num7z5" w:customStyle="1">
    <w:name w:val="WW8Num7z5"/>
  </w:style>
  <w:style w:type="character" w:styleId="WW8Num7z6" w:customStyle="1">
    <w:name w:val="WW8Num7z6"/>
  </w:style>
  <w:style w:type="character" w:styleId="WW8Num7z7" w:customStyle="1">
    <w:name w:val="WW8Num7z7"/>
  </w:style>
  <w:style w:type="character" w:styleId="WW8Num7z8" w:customStyle="1">
    <w:name w:val="WW8Num7z8"/>
  </w:style>
  <w:style w:type="character" w:styleId="NumberingSymbols" w:customStyle="1">
    <w:name w:val="Numbering Symbols"/>
  </w:style>
  <w:style w:type="character" w:styleId="Strong">
    <w:name w:val="Strong"/>
    <w:uiPriority w:val="22"/>
    <w:qFormat/>
    <w:rPr>
      <w:b/>
      <w:bCs/>
    </w:rPr>
  </w:style>
  <w:style w:type="character" w:styleId="FootnoteCharacters" w:customStyle="1">
    <w:name w:val="Footnote Characters"/>
  </w:style>
  <w:style w:type="character" w:styleId="FootnoteReference">
    <w:name w:val="footnote reference"/>
    <w:rPr>
      <w:vertAlign w:val="superscript"/>
    </w:rPr>
  </w:style>
  <w:style w:type="character" w:styleId="EndnoteCharacters" w:customStyle="1">
    <w:name w:val="Endnote Characters"/>
    <w:rPr>
      <w:vertAlign w:val="superscript"/>
    </w:rPr>
  </w:style>
  <w:style w:type="character" w:styleId="WW-EndnoteCharacters" w:customStyle="1">
    <w:name w:val="WW-Endnote Characters"/>
  </w:style>
  <w:style w:type="character" w:styleId="IndexLink" w:customStyle="1">
    <w:name w:val="Index Link"/>
  </w:style>
  <w:style w:type="character" w:styleId="TitleChar" w:customStyle="1">
    <w:name w:val="Title Char"/>
    <w:rPr>
      <w:rFonts w:ascii="Cambria" w:hAnsi="Cambria" w:eastAsia="Times New Roman" w:cs="Times New Roman"/>
      <w:b/>
      <w:bCs/>
      <w:color w:val="000000"/>
      <w:kern w:val="1"/>
      <w:sz w:val="32"/>
      <w:szCs w:val="32"/>
      <w:lang w:val="en-GB"/>
    </w:rPr>
  </w:style>
  <w:style w:type="paragraph" w:styleId="Heading" w:customStyle="1">
    <w:name w:val="Heading"/>
    <w:basedOn w:val="Normal"/>
    <w:next w:val="BodyText"/>
    <w:pPr>
      <w:keepNext/>
      <w:spacing w:before="240" w:after="120"/>
    </w:pPr>
    <w:rPr>
      <w:rFonts w:ascii="Arial" w:hAnsi="Arial" w:eastAsia="Droid Sans"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styleId="Index" w:customStyle="1">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styleId="ContentsHeading" w:customStyle="1">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hAnsi="Tinos" w:eastAsia="Droid Sans" w:cs="DejaVu Sans"/>
      <w:sz w:val="24"/>
      <w:szCs w:val="24"/>
      <w:lang w:val="en-GB" w:eastAsia="hi-IN" w:bidi="hi-IN"/>
    </w:rPr>
  </w:style>
  <w:style w:type="paragraph" w:styleId="TableContents" w:customStyle="1">
    <w:name w:val="Table Contents"/>
    <w:basedOn w:val="Normal"/>
    <w:pPr>
      <w:suppressLineNumbers/>
    </w:pPr>
  </w:style>
  <w:style w:type="paragraph" w:styleId="TableHeading" w:customStyle="1">
    <w:name w:val="Table Heading"/>
    <w:basedOn w:val="TableContents"/>
    <w:pPr>
      <w:jc w:val="center"/>
    </w:pPr>
    <w:rPr>
      <w:b/>
      <w:bCs/>
    </w:rPr>
  </w:style>
  <w:style w:type="paragraph" w:styleId="PreformattedText" w:customStyle="1">
    <w:name w:val="Preformatted Text"/>
    <w:basedOn w:val="Normal"/>
    <w:rPr>
      <w:rFonts w:ascii="DejaVu Sans Mono" w:hAnsi="DejaVu Sans Mono" w:eastAsia="Droid Sans"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styleId="Contents10" w:customStyle="1">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hAnsi="Cambria" w:eastAsia="Times New Roman"/>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styleId="Heading10" w:customStyle="1">
    <w:name w:val="Heading 10"/>
    <w:basedOn w:val="Heading"/>
    <w:next w:val="BodyText"/>
    <w:pPr>
      <w:numPr>
        <w:numId w:val="2"/>
      </w:numPr>
    </w:pPr>
    <w:rPr>
      <w:b/>
      <w:bCs/>
      <w:sz w:val="21"/>
      <w:szCs w:val="21"/>
    </w:rPr>
  </w:style>
  <w:style w:type="table" w:styleId="TableGrid">
    <w:name w:val="Table Grid"/>
    <w:basedOn w:val="TableNormal"/>
    <w:uiPriority w:val="39"/>
    <w:rsid w:val="006D6837"/>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PlainTable1">
    <w:name w:val="Plain Table 1"/>
    <w:basedOn w:val="TableNormal"/>
    <w:uiPriority w:val="41"/>
    <w:rsid w:val="00565E1A"/>
    <w:tblPr>
      <w:tblStyleRowBandSize w:val="1"/>
      <w:tblStyleColBandSize w:val="1"/>
      <w:tblBorders>
        <w:top w:val="single" w:color="BFBFBF" w:sz="4" w:space="0"/>
        <w:left w:val="single" w:color="BFBFBF" w:sz="4" w:space="0"/>
        <w:bottom w:val="single" w:color="BFBFBF" w:sz="4" w:space="0"/>
        <w:right w:val="single" w:color="BFBFBF" w:sz="4" w:space="0"/>
        <w:insideH w:val="single" w:color="BFBFBF" w:sz="4" w:space="0"/>
        <w:insideV w:val="single" w:color="BFBFBF" w:sz="4" w:space="0"/>
      </w:tblBorders>
    </w:tblPr>
    <w:tblStylePr w:type="firstRow">
      <w:rPr>
        <w:b/>
        <w:bCs/>
      </w:rPr>
    </w:tblStylePr>
    <w:tblStylePr w:type="lastRow">
      <w:rPr>
        <w:b/>
        <w:bCs/>
      </w:rPr>
      <w:tblPr/>
      <w:tcPr>
        <w:tcBorders>
          <w:top w:val="double" w:color="BFBFBF" w:sz="4" w:space="0"/>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454D5E"/>
    <w:rPr>
      <w:i/>
      <w:iCs/>
    </w:rPr>
  </w:style>
  <w:style w:type="paragraph" w:styleId="Default" w:customStyle="1">
    <w:name w:val="Default"/>
    <w:rsid w:val="003407C3"/>
    <w:pPr>
      <w:autoSpaceDE w:val="0"/>
      <w:autoSpaceDN w:val="0"/>
      <w:adjustRightInd w:val="0"/>
    </w:pPr>
    <w:rPr>
      <w:rFonts w:ascii="Arial" w:hAnsi="Arial" w:cs="Arial"/>
      <w:color w:val="000000"/>
      <w:sz w:val="24"/>
      <w:szCs w:val="24"/>
      <w:lang w:val="en-IN" w:eastAsia="en-IN"/>
    </w:rPr>
  </w:style>
  <w:style w:type="character" w:styleId="UnresolvedMention">
    <w:name w:val="Unresolved Mention"/>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193272396">
      <w:bodyDiv w:val="1"/>
      <w:marLeft w:val="0"/>
      <w:marRight w:val="0"/>
      <w:marTop w:val="0"/>
      <w:marBottom w:val="0"/>
      <w:divBdr>
        <w:top w:val="none" w:sz="0" w:space="0" w:color="auto"/>
        <w:left w:val="none" w:sz="0" w:space="0" w:color="auto"/>
        <w:bottom w:val="none" w:sz="0" w:space="0" w:color="auto"/>
        <w:right w:val="none" w:sz="0" w:space="0" w:color="auto"/>
      </w:divBdr>
      <w:divsChild>
        <w:div w:id="204879509">
          <w:marLeft w:val="0"/>
          <w:marRight w:val="0"/>
          <w:marTop w:val="0"/>
          <w:marBottom w:val="0"/>
          <w:divBdr>
            <w:top w:val="none" w:sz="0" w:space="0" w:color="auto"/>
            <w:left w:val="none" w:sz="0" w:space="0" w:color="auto"/>
            <w:bottom w:val="none" w:sz="0" w:space="0" w:color="auto"/>
            <w:right w:val="none" w:sz="0" w:space="0" w:color="auto"/>
          </w:divBdr>
        </w:div>
      </w:divsChild>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nice.org.uk/guidance/ng222" TargetMode="External" Id="rId8" /><Relationship Type="http://schemas.openxmlformats.org/officeDocument/2006/relationships/hyperlink" Target="https://www.who.int/news-room/detail/30-03-2017--depression-let-s-talk-says-who-as-depression-tops-list-of-causes-of-ill-health" TargetMode="External" Id="rId13"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www.nice.org.uk/guidance/ng222/chapter/Context" TargetMode="External" Id="rId12"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nice.org.uk/guidance/htg675/resources/evidence-generation-plan-for-digitally-enabled-therapies-for-adults-with-depression-13254224365/chapter/3-Approach-to-evidence-generation" TargetMode="External" Id="rId11" /><Relationship Type="http://schemas.openxmlformats.org/officeDocument/2006/relationships/webSettings" Target="webSettings.xml" Id="rId5" /><Relationship Type="http://schemas.openxmlformats.org/officeDocument/2006/relationships/hyperlink" Target="https://www.who.int/news-room/fact-sheets/detail/depression" TargetMode="External" Id="rId15" /><Relationship Type="http://schemas.openxmlformats.org/officeDocument/2006/relationships/hyperlink" Target="https://www.nice.org.uk/guidance/ng222/chapter/Recommendations" TargetMode="External" Id="rId10" /><Relationship Type="http://schemas.openxmlformats.org/officeDocument/2006/relationships/settings" Target="settings.xml" Id="rId4" /><Relationship Type="http://schemas.openxmlformats.org/officeDocument/2006/relationships/hyperlink" Target="https://www.england.nhs.uk/mental-health/adults/nhs-talking-therapies/service-standards/" TargetMode="External" Id="rId9" /><Relationship Type="http://schemas.openxmlformats.org/officeDocument/2006/relationships/hyperlink" Target="https://www.who.int/health-topics/mental-health"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A6CCA7-F61A-4CA1-B863-1E014751B96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c:creator>
  <keywords/>
  <lastModifiedBy>Saheda Amir (2527273)</lastModifiedBy>
  <revision>8</revision>
  <lastPrinted>1601-01-01T00:00:00.0000000Z</lastPrinted>
  <dcterms:created xsi:type="dcterms:W3CDTF">2026-07-17T14:24:00.0000000Z</dcterms:created>
  <dcterms:modified xsi:type="dcterms:W3CDTF">2026-07-17T14:26:45.9769966Z</dcterms:modified>
</coreProperties>
</file>