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anchor behindDoc="0" distT="0" distB="0" distL="114300" distR="114300" simplePos="0" locked="0" layoutInCell="1" allowOverlap="1" relativeHeight="6">
            <wp:simplePos x="0" y="0"/>
            <wp:positionH relativeFrom="column">
              <wp:posOffset>1743075</wp:posOffset>
            </wp:positionH>
            <wp:positionV relativeFrom="paragraph">
              <wp:posOffset>635</wp:posOffset>
            </wp:positionV>
            <wp:extent cx="2466975" cy="1447800"/>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2466975" cy="1447800"/>
                    </a:xfrm>
                    <a:prstGeom prst="rect">
                      <a:avLst/>
                    </a:prstGeom>
                  </pic:spPr>
                </pic:pic>
              </a:graphicData>
            </a:graphic>
          </wp:anchor>
        </w:drawing>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t xml:space="preserve"> </w:t>
      </w:r>
      <w:r>
        <w:rPr>
          <w:rFonts w:eastAsia="Times New Roman" w:cs="Times New Roman" w:ascii="Times New Roman" w:hAnsi="Times New Roman"/>
          <w:b/>
          <w:sz w:val="48"/>
          <w:szCs w:val="48"/>
          <w:lang w:val="en-GB"/>
        </w:rPr>
        <w:t>Data Handling and Business Intelligence</w:t>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t>Assessment 2</w:t>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Name student: ANA BAICU</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Student Number: 2012401</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Module code: LCBB5000</w:t>
      </w:r>
    </w:p>
    <w:p>
      <w:pPr>
        <w:pStyle w:val="Normal"/>
        <w:spacing w:lineRule="auto" w:line="360"/>
        <w:jc w:val="right"/>
        <w:rPr>
          <w:rFonts w:eastAsia="Times New Roman" w:cs="Times New Roman"/>
          <w:b/>
          <w:b/>
          <w:color w:val="000000"/>
          <w:sz w:val="32"/>
          <w:szCs w:val="32"/>
          <w:lang w:val="en-GB"/>
        </w:rPr>
      </w:pPr>
      <w:r>
        <w:rPr>
          <w:rFonts w:eastAsia="Times New Roman" w:cs="Times New Roman"/>
          <w:b/>
          <w:color w:val="000000"/>
          <w:sz w:val="32"/>
          <w:szCs w:val="32"/>
          <w:lang w:val="en-GB"/>
        </w:rPr>
        <w:t>Module lecturer’s name:   JOE BOTU</w:t>
      </w:r>
    </w:p>
    <w:p>
      <w:pPr>
        <w:pStyle w:val="Normal"/>
        <w:spacing w:lineRule="auto" w:line="259"/>
        <w:jc w:val="left"/>
        <w:rPr/>
      </w:pPr>
      <w:r>
        <w:rPr/>
      </w:r>
    </w:p>
    <w:sdt>
      <w:sdtPr>
        <w:docPartObj>
          <w:docPartGallery w:val="Table of Contents"/>
          <w:docPartUnique w:val="true"/>
        </w:docPartObj>
      </w:sdtPr>
      <w:sdtContent>
        <w:p>
          <w:pPr>
            <w:pStyle w:val="TOCHeading"/>
            <w:rPr/>
          </w:pPr>
          <w:r>
            <w:rPr/>
            <w:t>Contents</w:t>
          </w:r>
        </w:p>
        <w:p>
          <w:pPr>
            <w:pStyle w:val="Contents1"/>
            <w:tabs>
              <w:tab w:val="clear" w:pos="709"/>
              <w:tab w:val="right" w:pos="9350" w:leader="dot"/>
            </w:tabs>
            <w:rPr>
              <w:rFonts w:ascii="Calibri" w:hAnsi="Calibri" w:eastAsia="" w:asciiTheme="minorHAnsi" w:eastAsiaTheme="minorEastAsia" w:hAnsiTheme="minorHAnsi"/>
              <w:sz w:val="22"/>
              <w:lang w:eastAsia="en-GB"/>
            </w:rPr>
          </w:pPr>
          <w:r>
            <w:fldChar w:fldCharType="begin"/>
          </w:r>
          <w:r>
            <w:rPr>
              <w:webHidden/>
              <w:rStyle w:val="IndexLink"/>
            </w:rPr>
            <w:instrText> TOC \z \o "1-3" \u \h</w:instrText>
          </w:r>
          <w:r>
            <w:rPr>
              <w:webHidden/>
              <w:rStyle w:val="IndexLink"/>
            </w:rPr>
            <w:fldChar w:fldCharType="separate"/>
          </w:r>
          <w:hyperlink w:anchor="_Toc103383570">
            <w:r>
              <w:rPr>
                <w:webHidden/>
                <w:rStyle w:val="IndexLink"/>
              </w:rPr>
              <w:t>Introduction</w:t>
            </w:r>
            <w:r>
              <w:rPr>
                <w:webHidden/>
              </w:rPr>
              <w:fldChar w:fldCharType="begin"/>
            </w:r>
            <w:r>
              <w:rPr>
                <w:webHidden/>
              </w:rPr>
              <w:instrText>PAGEREF _Toc103383570 \h</w:instrText>
            </w:r>
            <w:r>
              <w:rPr>
                <w:webHidden/>
              </w:rPr>
              <w:fldChar w:fldCharType="separate"/>
            </w:r>
            <w:r>
              <w:rPr>
                <w:rStyle w:val="IndexLink"/>
                <w:vanish w:val="false"/>
              </w:rPr>
              <w:tab/>
              <w:t>3</w:t>
            </w:r>
            <w:r>
              <w:rPr>
                <w:webHidden/>
              </w:rPr>
              <w:fldChar w:fldCharType="end"/>
            </w:r>
          </w:hyperlink>
        </w:p>
        <w:p>
          <w:pPr>
            <w:pStyle w:val="Contents1"/>
            <w:tabs>
              <w:tab w:val="clear" w:pos="709"/>
              <w:tab w:val="right" w:pos="9350" w:leader="dot"/>
            </w:tabs>
            <w:rPr>
              <w:rFonts w:ascii="Calibri" w:hAnsi="Calibri" w:eastAsia="" w:asciiTheme="minorHAnsi" w:eastAsiaTheme="minorEastAsia" w:hAnsiTheme="minorHAnsi"/>
              <w:sz w:val="22"/>
              <w:lang w:eastAsia="en-GB"/>
            </w:rPr>
          </w:pPr>
          <w:hyperlink w:anchor="_Toc103383571">
            <w:r>
              <w:rPr>
                <w:webHidden/>
                <w:rStyle w:val="IndexLink"/>
              </w:rPr>
              <w:t>Process and presentation of data</w:t>
            </w:r>
            <w:r>
              <w:rPr>
                <w:webHidden/>
              </w:rPr>
              <w:fldChar w:fldCharType="begin"/>
            </w:r>
            <w:r>
              <w:rPr>
                <w:webHidden/>
              </w:rPr>
              <w:instrText>PAGEREF _Toc103383571 \h</w:instrText>
            </w:r>
            <w:r>
              <w:rPr>
                <w:webHidden/>
              </w:rPr>
              <w:fldChar w:fldCharType="separate"/>
            </w:r>
            <w:r>
              <w:rPr>
                <w:rStyle w:val="IndexLink"/>
                <w:vanish w:val="false"/>
              </w:rPr>
              <w:tab/>
              <w:t>4</w:t>
            </w:r>
            <w:r>
              <w:rPr>
                <w:webHidden/>
              </w:rPr>
              <w:fldChar w:fldCharType="end"/>
            </w:r>
          </w:hyperlink>
        </w:p>
        <w:p>
          <w:pPr>
            <w:pStyle w:val="Contents1"/>
            <w:tabs>
              <w:tab w:val="clear" w:pos="709"/>
              <w:tab w:val="right" w:pos="9350" w:leader="dot"/>
            </w:tabs>
            <w:rPr>
              <w:rFonts w:ascii="Calibri" w:hAnsi="Calibri" w:eastAsia="" w:asciiTheme="minorHAnsi" w:eastAsiaTheme="minorEastAsia" w:hAnsiTheme="minorHAnsi"/>
              <w:sz w:val="22"/>
              <w:lang w:eastAsia="en-GB"/>
            </w:rPr>
          </w:pPr>
          <w:hyperlink w:anchor="_Toc103383572">
            <w:r>
              <w:rPr>
                <w:webHidden/>
                <w:rStyle w:val="IndexLink"/>
              </w:rPr>
              <w:t>Conclusions</w:t>
            </w:r>
            <w:r>
              <w:rPr>
                <w:webHidden/>
              </w:rPr>
              <w:fldChar w:fldCharType="begin"/>
            </w:r>
            <w:r>
              <w:rPr>
                <w:webHidden/>
              </w:rPr>
              <w:instrText>PAGEREF _Toc103383572 \h</w:instrText>
            </w:r>
            <w:r>
              <w:rPr>
                <w:webHidden/>
              </w:rPr>
              <w:fldChar w:fldCharType="separate"/>
            </w:r>
            <w:r>
              <w:rPr>
                <w:rStyle w:val="IndexLink"/>
                <w:vanish w:val="false"/>
              </w:rPr>
              <w:tab/>
              <w:t>6</w:t>
            </w:r>
            <w:r>
              <w:rPr>
                <w:webHidden/>
              </w:rPr>
              <w:fldChar w:fldCharType="end"/>
            </w:r>
          </w:hyperlink>
        </w:p>
        <w:p>
          <w:pPr>
            <w:pStyle w:val="Contents1"/>
            <w:tabs>
              <w:tab w:val="clear" w:pos="709"/>
              <w:tab w:val="right" w:pos="9350" w:leader="dot"/>
            </w:tabs>
            <w:rPr>
              <w:rFonts w:ascii="Calibri" w:hAnsi="Calibri" w:eastAsia="" w:asciiTheme="minorHAnsi" w:eastAsiaTheme="minorEastAsia" w:hAnsiTheme="minorHAnsi"/>
              <w:sz w:val="22"/>
              <w:lang w:eastAsia="en-GB"/>
            </w:rPr>
          </w:pPr>
          <w:hyperlink w:anchor="_Toc103383573">
            <w:r>
              <w:rPr>
                <w:webHidden/>
                <w:rStyle w:val="IndexLink"/>
              </w:rPr>
              <w:t>References</w:t>
            </w:r>
            <w:r>
              <w:rPr>
                <w:webHidden/>
              </w:rPr>
              <w:fldChar w:fldCharType="begin"/>
            </w:r>
            <w:r>
              <w:rPr>
                <w:webHidden/>
              </w:rPr>
              <w:instrText>PAGEREF _Toc103383573 \h</w:instrText>
            </w:r>
            <w:r>
              <w:rPr>
                <w:webHidden/>
              </w:rPr>
              <w:fldChar w:fldCharType="separate"/>
            </w:r>
            <w:r>
              <w:rPr>
                <w:rStyle w:val="IndexLink"/>
                <w:vanish w:val="false"/>
              </w:rPr>
              <w:tab/>
              <w:t>7</w:t>
            </w:r>
            <w:r>
              <w:rPr>
                <w:webHidden/>
              </w:rPr>
              <w:fldChar w:fldCharType="end"/>
            </w:r>
          </w:hyperlink>
        </w:p>
        <w:p>
          <w:pPr>
            <w:pStyle w:val="Normal"/>
            <w:rPr/>
          </w:pPr>
          <w:r>
            <w:rPr/>
          </w:r>
          <w:r>
            <w:rPr/>
            <w:fldChar w:fldCharType="end"/>
          </w:r>
        </w:p>
      </w:sdtContent>
    </w:sdt>
    <w:p>
      <w:pPr>
        <w:pStyle w:val="Normal"/>
        <w:jc w:val="left"/>
        <w:rPr/>
      </w:pPr>
      <w:r>
        <w:rPr/>
      </w:r>
    </w:p>
    <w:p>
      <w:pPr>
        <w:pStyle w:val="Normal"/>
        <w:jc w:val="left"/>
        <w:rPr/>
      </w:pPr>
      <w:r>
        <w:rPr/>
      </w:r>
      <w:r>
        <w:br w:type="page"/>
      </w:r>
    </w:p>
    <w:p>
      <w:pPr>
        <w:pStyle w:val="Heading1"/>
        <w:rPr/>
      </w:pPr>
      <w:bookmarkStart w:id="0" w:name="_Toc103383570"/>
      <w:r>
        <w:rPr/>
        <w:t>Introduction</w:t>
      </w:r>
      <w:bookmarkEnd w:id="0"/>
      <w:r>
        <w:rPr/>
        <w:t xml:space="preserve"> </w:t>
      </w:r>
    </w:p>
    <w:p>
      <w:pPr>
        <w:pStyle w:val="Normal"/>
        <w:rPr/>
      </w:pPr>
      <w:r>
        <w:rPr/>
        <w:t xml:space="preserve">Data management is defined as the process by which a specific data set could be analysed to reveal a specific conclusion (Shmueli, Patel and Bruce, 201. In the contemporary world, the significance of data management is increasing day by days because of relevance of data in business intelligence. As data management and big data analysis supports the business intelligence to draw more valid and rigid conclusions, the range of data collection, data sorting and data analysing is expanding rapidly (Howson, 2013). As well, the role of data and data management is being integrated to every part of business decision. </w:t>
      </w:r>
      <w:r>
        <w:br w:type="page"/>
      </w:r>
    </w:p>
    <w:p>
      <w:pPr>
        <w:pStyle w:val="Heading1"/>
        <w:rPr/>
      </w:pPr>
      <w:bookmarkStart w:id="1" w:name="_Toc103383571"/>
      <w:r>
        <w:rPr/>
        <w:t>Process and presentation of data</w:t>
      </w:r>
      <w:bookmarkEnd w:id="1"/>
    </w:p>
    <w:p>
      <w:pPr>
        <w:pStyle w:val="Normal"/>
        <w:rPr>
          <w:b/>
          <w:b/>
        </w:rPr>
      </w:pPr>
      <w:r>
        <w:rPr>
          <w:b/>
        </w:rPr>
        <w:t xml:space="preserve">Education and Crime Rate </w:t>
      </w:r>
    </w:p>
    <w:p>
      <w:pPr>
        <w:pStyle w:val="Normal"/>
        <w:rPr/>
      </w:pPr>
      <w:r>
        <w:rPr/>
      </w:r>
    </w:p>
    <w:p>
      <w:pPr>
        <w:pStyle w:val="Normal"/>
        <w:jc w:val="center"/>
        <w:rPr/>
      </w:pPr>
      <w:r>
        <w:rPr/>
        <w:drawing>
          <wp:inline distT="0" distB="0" distL="0" distR="0">
            <wp:extent cx="4572000" cy="2743200"/>
            <wp:effectExtent l="0" t="0" r="0" b="0"/>
            <wp:docPr id="2" name="Obj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p>
    <w:p>
      <w:pPr>
        <w:pStyle w:val="Normal"/>
        <w:rPr/>
      </w:pPr>
      <w:r>
        <w:rPr/>
        <w:t xml:space="preserve">From the above column chart, it is seen that crime rate is higher in northern states than southern states. It is also found that, the education level is higher in Northern states than the education level of southern states. From this data, it could be inferred that there is a positive relationship between education level and crime rate. </w:t>
      </w:r>
    </w:p>
    <w:p>
      <w:pPr>
        <w:pStyle w:val="Normal"/>
        <w:jc w:val="center"/>
        <w:rPr/>
      </w:pPr>
      <w:r>
        <w:rPr/>
        <w:drawing>
          <wp:inline distT="0" distB="0" distL="0" distR="0">
            <wp:extent cx="4572000" cy="2743200"/>
            <wp:effectExtent l="0" t="0" r="0" b="0"/>
            <wp:docPr id="3" name="Object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pStyle w:val="Normal"/>
        <w:rPr/>
      </w:pPr>
      <w:r>
        <w:rPr/>
        <w:t xml:space="preserve">From the regression analysis between dependant variable crime rate and independent variable education, it is seen that there is a positive relationship between education and crime rate. But the R square value is only 0.0175. That means, only 1.75% of change in dependant variable could be described by change in the dependant variable (Coronel and Morris, 2017). </w:t>
      </w:r>
    </w:p>
    <w:p>
      <w:pPr>
        <w:pStyle w:val="Normal"/>
        <w:rPr/>
      </w:pPr>
      <w:r>
        <w:rPr/>
      </w:r>
    </w:p>
    <w:p>
      <w:pPr>
        <w:pStyle w:val="Normal"/>
        <w:jc w:val="center"/>
        <w:rPr/>
      </w:pPr>
      <w:r>
        <w:rPr/>
        <w:drawing>
          <wp:inline distT="0" distB="0" distL="0" distR="0">
            <wp:extent cx="4572000" cy="2743200"/>
            <wp:effectExtent l="0" t="0" r="0" b="0"/>
            <wp:docPr id="4" name="Object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pStyle w:val="Normal"/>
        <w:rPr/>
      </w:pPr>
      <w:r>
        <w:rPr/>
        <w:t xml:space="preserve">From the above regression line, it is seen that there is a positive relationship between education and crime rate in Sothern States. Also, the value of R square is 0.0435. That means, 4.35% change in dependant variable could be explained in light of the change in the independent variable (Awani, 2018). </w:t>
      </w:r>
    </w:p>
    <w:p>
      <w:pPr>
        <w:pStyle w:val="Normal"/>
        <w:rPr/>
      </w:pPr>
      <w:r>
        <w:rPr/>
        <w:t xml:space="preserve">Comparing relationship between education and crime rate in two regions, it is also found that, the value of the determination of fit is larger in Southern states than in Northern States. On the other hand, the value of slope is larger in Northern states than in Southern states. That means, an increment in the education level in Northern states has more impact on crime rate than an increment in the education level in Southern states (Santos and Costa, 2020). </w:t>
      </w:r>
    </w:p>
    <w:p>
      <w:pPr>
        <w:pStyle w:val="Normal"/>
        <w:rPr/>
      </w:pPr>
      <w:r>
        <w:rPr/>
      </w:r>
    </w:p>
    <w:p>
      <w:pPr>
        <w:pStyle w:val="Normal"/>
        <w:rPr/>
      </w:pPr>
      <w:r>
        <w:rPr/>
      </w:r>
    </w:p>
    <w:p>
      <w:pPr>
        <w:pStyle w:val="Normal"/>
        <w:rPr>
          <w:b/>
          <w:b/>
        </w:rPr>
      </w:pPr>
      <w:r>
        <w:rPr>
          <w:b/>
        </w:rPr>
        <w:t xml:space="preserve">Expenditure and Crime Rate </w:t>
      </w:r>
    </w:p>
    <w:p>
      <w:pPr>
        <w:pStyle w:val="Normal"/>
        <w:jc w:val="center"/>
        <w:rPr/>
      </w:pPr>
      <w:r>
        <w:rPr/>
        <w:drawing>
          <wp:inline distT="0" distB="0" distL="0" distR="0">
            <wp:extent cx="4572000" cy="2743200"/>
            <wp:effectExtent l="0" t="0" r="0" b="0"/>
            <wp:docPr id="5" name="Object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Style w:val="Normal"/>
        <w:rPr/>
      </w:pPr>
      <w:r>
        <w:rPr/>
        <w:t xml:space="preserve">From the above bar graph, it is seen that there is a significance difference in average expenditure between Northern and Southern regions. The average expenditure in Northern region is 88.62; on the other hand, the average expenditure in Southern region is only 69.75. Although there is a significant difference in expenditure between two regions, the crime rate in both regions is quite identical. In the Northern region, the crime rate is 101.98 and the crime rate is 100.68 in the Southern region. That means, there is no significant impact of expenditure on the crime rate of these two regions. </w:t>
      </w:r>
    </w:p>
    <w:p>
      <w:pPr>
        <w:pStyle w:val="Normal"/>
        <w:rPr/>
      </w:pPr>
      <w:r>
        <w:rPr/>
      </w:r>
      <w:r>
        <w:br w:type="page"/>
      </w:r>
    </w:p>
    <w:p>
      <w:pPr>
        <w:pStyle w:val="Normal"/>
        <w:rPr/>
      </w:pPr>
      <w:r>
        <w:rPr/>
      </w:r>
    </w:p>
    <w:p>
      <w:pPr>
        <w:pStyle w:val="Normal"/>
        <w:rPr/>
      </w:pPr>
      <w:r>
        <w:rPr/>
      </w:r>
    </w:p>
    <w:p>
      <w:pPr>
        <w:pStyle w:val="Normal"/>
        <w:rPr/>
      </w:pPr>
      <w:r>
        <w:rPr/>
      </w:r>
    </w:p>
    <w:p>
      <w:pPr>
        <w:pStyle w:val="Heading1"/>
        <w:rPr/>
      </w:pPr>
      <w:bookmarkStart w:id="2" w:name="_Toc103383572"/>
      <w:r>
        <w:rPr/>
        <w:t>Conclusions</w:t>
      </w:r>
      <w:bookmarkEnd w:id="2"/>
      <w:r>
        <w:rPr/>
        <w:t xml:space="preserve"> </w:t>
      </w:r>
    </w:p>
    <w:p>
      <w:pPr>
        <w:pStyle w:val="Normal"/>
        <w:rPr/>
      </w:pPr>
      <w:r>
        <w:rPr/>
        <w:t xml:space="preserve">The principal aim of data handling is to support business intelligence. But the fact is that unreliable and invalid data always have a negative impact on business decision. That is why, it is very important to collect reliable and valid data. As well, collected data must be up-to-date, so that a business can make proper decision to gain competitive advantage in contemporary time. </w:t>
      </w:r>
    </w:p>
    <w:p>
      <w:pPr>
        <w:pStyle w:val="Normal"/>
        <w:jc w:val="left"/>
        <w:rPr/>
      </w:pPr>
      <w:r>
        <w:rPr/>
      </w:r>
      <w:r>
        <w:br w:type="page"/>
      </w:r>
    </w:p>
    <w:p>
      <w:pPr>
        <w:pStyle w:val="Heading1"/>
        <w:rPr/>
      </w:pPr>
      <w:bookmarkStart w:id="3" w:name="_Toc103383573"/>
      <w:r>
        <w:rPr/>
        <w:t>References</w:t>
      </w:r>
      <w:bookmarkEnd w:id="3"/>
      <w:r>
        <w:rPr/>
        <w:t xml:space="preserve"> </w:t>
      </w:r>
    </w:p>
    <w:p>
      <w:pPr>
        <w:pStyle w:val="Normal"/>
        <w:rPr/>
      </w:pPr>
      <w:r>
        <w:rPr/>
        <w:t xml:space="preserve">Awani, A., 2018. </w:t>
      </w:r>
      <w:r>
        <w:rPr>
          <w:i/>
          <w:iCs/>
        </w:rPr>
        <w:t>Data processing project management</w:t>
      </w:r>
      <w:r>
        <w:rPr/>
        <w:t>. 3rd ed. Princeton: Petrocelli.</w:t>
      </w:r>
    </w:p>
    <w:p>
      <w:pPr>
        <w:pStyle w:val="Normal"/>
        <w:rPr/>
      </w:pPr>
      <w:r>
        <w:rPr/>
        <w:t xml:space="preserve">Coronel, C. and Morris, S., 2017. </w:t>
      </w:r>
      <w:r>
        <w:rPr>
          <w:i/>
          <w:iCs/>
        </w:rPr>
        <w:t>Database systems</w:t>
      </w:r>
      <w:r>
        <w:rPr/>
        <w:t>. 4th ed. London: Sage.</w:t>
      </w:r>
    </w:p>
    <w:p>
      <w:pPr>
        <w:pStyle w:val="Normal"/>
        <w:rPr/>
      </w:pPr>
      <w:r>
        <w:rPr/>
        <w:t xml:space="preserve">Howson, C., 2013. </w:t>
      </w:r>
      <w:r>
        <w:rPr>
          <w:i/>
          <w:iCs/>
        </w:rPr>
        <w:t>Successful business intelligence</w:t>
      </w:r>
      <w:r>
        <w:rPr/>
        <w:t>. 3rd ed. London: McGraw-Hill Education.</w:t>
      </w:r>
    </w:p>
    <w:p>
      <w:pPr>
        <w:pStyle w:val="Normal"/>
        <w:rPr/>
      </w:pPr>
      <w:r>
        <w:rPr/>
        <w:t xml:space="preserve">Santos, M. and Costa, C., 2020. </w:t>
      </w:r>
      <w:r>
        <w:rPr>
          <w:i/>
          <w:iCs/>
        </w:rPr>
        <w:t>Big Data</w:t>
      </w:r>
      <w:r>
        <w:rPr/>
        <w:t>. 4th ed. Aalborg: River Publishers.</w:t>
      </w:r>
    </w:p>
    <w:p>
      <w:pPr>
        <w:pStyle w:val="Normal"/>
        <w:rPr/>
      </w:pPr>
      <w:r>
        <w:rPr/>
        <w:t xml:space="preserve">Shmueli, G., Patel, N. and Bruce, P., 2017. </w:t>
      </w:r>
      <w:r>
        <w:rPr>
          <w:i/>
          <w:iCs/>
        </w:rPr>
        <w:t>Data Mining for Business Intelligence</w:t>
      </w:r>
      <w:r>
        <w:rPr/>
        <w:t>. 4th ed. Chicester: John Wiley &amp; Sons.</w:t>
      </w:r>
    </w:p>
    <w:p>
      <w:pPr>
        <w:pStyle w:val="Normal"/>
        <w:widowControl/>
        <w:bidi w:val="0"/>
        <w:spacing w:lineRule="auto" w:line="360" w:before="0" w:after="160"/>
        <w:jc w:val="both"/>
        <w:rPr/>
      </w:pPr>
      <w:r>
        <w:rPr/>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libri Light">
    <w:charset w:val="00"/>
    <w:family w:val="roman"/>
    <w:pitch w:val="variable"/>
  </w:font>
  <w:font w:name="Calibri">
    <w:charset w:val="00"/>
    <w:family w:val="roman"/>
    <w:pitch w:val="variable"/>
  </w:font>
</w:fonts>
</file>

<file path=word/settings.xml><?xml version="1.0" encoding="utf-8"?>
<w:settings xmlns:w="http://schemas.openxmlformats.org/wordprocessingml/2006/main">
  <w:zoom w:percent="101"/>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Cs w:val="24"/>
        <w:lang w:val="en-GB" w:eastAsia="zh-CN" w:bidi="hi-IN"/>
      </w:rPr>
    </w:rPrDefault>
    <w:pPrDefault>
      <w:pPr>
        <w:widowControl/>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f018e"/>
    <w:pPr>
      <w:widowControl/>
      <w:kinsoku w:val="true"/>
      <w:overflowPunct w:val="true"/>
      <w:autoSpaceDE w:val="true"/>
      <w:bidi w:val="0"/>
      <w:spacing w:lineRule="auto" w:line="360" w:before="0" w:after="160"/>
      <w:jc w:val="both"/>
    </w:pPr>
    <w:rPr>
      <w:rFonts w:ascii="Arial" w:hAnsi="Arial" w:eastAsia="NSimSun" w:cs="Lucida Sans"/>
      <w:color w:val="auto"/>
      <w:kern w:val="2"/>
      <w:sz w:val="24"/>
      <w:szCs w:val="24"/>
      <w:lang w:val="en-GB" w:eastAsia="zh-CN" w:bidi="hi-IN"/>
    </w:rPr>
  </w:style>
  <w:style w:type="paragraph" w:styleId="Heading1">
    <w:name w:val="Heading 1"/>
    <w:basedOn w:val="Normal"/>
    <w:next w:val="Normal"/>
    <w:link w:val="Heading1Char"/>
    <w:uiPriority w:val="9"/>
    <w:qFormat/>
    <w:rsid w:val="0055744d"/>
    <w:pPr>
      <w:keepNext w:val="true"/>
      <w:keepLines/>
      <w:spacing w:before="240" w:after="0"/>
      <w:outlineLvl w:val="0"/>
    </w:pPr>
    <w:rPr>
      <w:rFonts w:eastAsia="" w:cs="" w:cstheme="majorBidi" w:eastAsiaTheme="majorEastAsia"/>
      <w:b/>
      <w:color w:val="2F5496" w:themeColor="accent1" w:themeShade="bf"/>
      <w:sz w:val="32"/>
      <w:szCs w:val="32"/>
    </w:rPr>
  </w:style>
  <w:style w:type="paragraph" w:styleId="Heading2">
    <w:name w:val="Heading 2"/>
    <w:basedOn w:val="Normal"/>
    <w:next w:val="Normal"/>
    <w:link w:val="Heading2Char"/>
    <w:uiPriority w:val="9"/>
    <w:semiHidden/>
    <w:unhideWhenUsed/>
    <w:qFormat/>
    <w:rsid w:val="000b1bdb"/>
    <w:pPr>
      <w:keepNext w:val="true"/>
      <w:keepLines/>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paragraph" w:styleId="Heading3">
    <w:name w:val="Heading 3"/>
    <w:basedOn w:val="Normal"/>
    <w:next w:val="Normal"/>
    <w:qFormat/>
    <w:pPr>
      <w:keepNext w:val="true"/>
      <w:keepLines/>
      <w:numPr>
        <w:ilvl w:val="0"/>
        <w:numId w:val="0"/>
      </w:numPr>
      <w:spacing w:before="40" w:after="0"/>
      <w:outlineLvl w:val="2"/>
    </w:pPr>
    <w:rPr>
      <w:rFonts w:eastAsia="NSimSun" w:cs="Vrinda"/>
      <w:b/>
      <w:szCs w:val="24"/>
    </w:rPr>
  </w:style>
  <w:style w:type="paragraph" w:styleId="Heading4">
    <w:name w:val="Heading 4"/>
    <w:basedOn w:val="Normal"/>
    <w:next w:val="Normal"/>
    <w:qFormat/>
    <w:pPr>
      <w:keepNext w:val="true"/>
      <w:keepLines/>
      <w:numPr>
        <w:ilvl w:val="0"/>
        <w:numId w:val="0"/>
      </w:numPr>
      <w:spacing w:before="40" w:after="0"/>
      <w:outlineLvl w:val="3"/>
    </w:pPr>
    <w:rPr>
      <w:rFonts w:ascii="Calibri Light" w:hAnsi="Calibri Light" w:eastAsia="NSimSun" w:cs="Lucida Sans"/>
      <w:color w:val="2F5496"/>
      <w:szCs w:val="24"/>
    </w:rPr>
  </w:style>
  <w:style w:type="paragraph" w:styleId="Heading5">
    <w:name w:val="Heading 5"/>
    <w:basedOn w:val="Normal"/>
    <w:next w:val="Normal"/>
    <w:qFormat/>
    <w:pPr>
      <w:keepNext w:val="true"/>
      <w:keepLines/>
      <w:numPr>
        <w:ilvl w:val="0"/>
        <w:numId w:val="0"/>
      </w:numPr>
      <w:spacing w:before="40" w:after="0"/>
      <w:outlineLvl w:val="4"/>
    </w:pPr>
    <w:rPr>
      <w:rFonts w:ascii="Calibri Light" w:hAnsi="Calibri Light" w:eastAsia="NSimSun" w:cs="Lucida Sans"/>
      <w:caps/>
      <w:color w:val="2F5496"/>
    </w:rPr>
  </w:style>
  <w:style w:type="paragraph" w:styleId="Heading6">
    <w:name w:val="Heading 6"/>
    <w:basedOn w:val="Normal"/>
    <w:next w:val="Normal"/>
    <w:qFormat/>
    <w:pPr>
      <w:keepNext w:val="true"/>
      <w:keepLines/>
      <w:numPr>
        <w:ilvl w:val="0"/>
        <w:numId w:val="0"/>
      </w:numPr>
      <w:spacing w:before="40" w:after="0"/>
      <w:outlineLvl w:val="5"/>
    </w:pPr>
    <w:rPr>
      <w:rFonts w:ascii="Calibri Light" w:hAnsi="Calibri Light" w:eastAsia="NSimSun" w:cs="Lucida Sans"/>
      <w:i/>
      <w:iCs/>
      <w:caps/>
      <w:color w:val="1F3864"/>
    </w:rPr>
  </w:style>
  <w:style w:type="paragraph" w:styleId="Heading7">
    <w:name w:val="Heading 7"/>
    <w:basedOn w:val="Normal"/>
    <w:next w:val="Normal"/>
    <w:qFormat/>
    <w:pPr>
      <w:keepNext w:val="true"/>
      <w:keepLines/>
      <w:numPr>
        <w:ilvl w:val="0"/>
        <w:numId w:val="0"/>
      </w:numPr>
      <w:spacing w:before="40" w:after="0"/>
      <w:outlineLvl w:val="6"/>
    </w:pPr>
    <w:rPr>
      <w:rFonts w:ascii="Calibri Light" w:hAnsi="Calibri Light" w:eastAsia="NSimSun" w:cs="Lucida Sans"/>
      <w:b/>
      <w:bCs/>
      <w:color w:val="1F3864"/>
    </w:rPr>
  </w:style>
  <w:style w:type="paragraph" w:styleId="Heading8">
    <w:name w:val="Heading 8"/>
    <w:basedOn w:val="Normal"/>
    <w:next w:val="Normal"/>
    <w:qFormat/>
    <w:pPr>
      <w:keepNext w:val="true"/>
      <w:keepLines/>
      <w:numPr>
        <w:ilvl w:val="0"/>
        <w:numId w:val="0"/>
      </w:numPr>
      <w:spacing w:before="40" w:after="0"/>
      <w:outlineLvl w:val="7"/>
    </w:pPr>
    <w:rPr>
      <w:rFonts w:ascii="Calibri Light" w:hAnsi="Calibri Light" w:eastAsia="NSimSun" w:cs="Lucida Sans"/>
      <w:b/>
      <w:bCs/>
      <w:i/>
      <w:iCs/>
      <w:color w:val="1F3864"/>
    </w:rPr>
  </w:style>
  <w:style w:type="paragraph" w:styleId="Heading9">
    <w:name w:val="Heading 9"/>
    <w:basedOn w:val="Normal"/>
    <w:next w:val="Normal"/>
    <w:qFormat/>
    <w:pPr>
      <w:keepNext w:val="true"/>
      <w:keepLines/>
      <w:numPr>
        <w:ilvl w:val="0"/>
        <w:numId w:val="0"/>
      </w:numPr>
      <w:spacing w:before="40" w:after="0"/>
      <w:outlineLvl w:val="8"/>
    </w:pPr>
    <w:rPr>
      <w:rFonts w:ascii="Calibri Light" w:hAnsi="Calibri Light" w:eastAsia="NSimSun" w:cs="Lucida Sans"/>
      <w:i/>
      <w:iCs/>
      <w:color w:val="1F386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5744d"/>
    <w:rPr>
      <w:rFonts w:ascii="Arial" w:hAnsi="Arial" w:eastAsia="" w:cs="" w:cstheme="majorBidi" w:eastAsiaTheme="majorEastAsia"/>
      <w:b/>
      <w:color w:val="2F5496" w:themeColor="accent1" w:themeShade="bf"/>
      <w:sz w:val="32"/>
      <w:szCs w:val="32"/>
      <w:lang w:val="en-GB"/>
    </w:rPr>
  </w:style>
  <w:style w:type="character" w:styleId="InternetLink">
    <w:name w:val="Internet Link"/>
    <w:basedOn w:val="DefaultParagraphFont"/>
    <w:uiPriority w:val="99"/>
    <w:unhideWhenUsed/>
    <w:rsid w:val="006c6c3b"/>
    <w:rPr>
      <w:color w:val="0563C1" w:themeColor="hyperlink"/>
      <w:u w:val="single"/>
    </w:rPr>
  </w:style>
  <w:style w:type="character" w:styleId="Heading2Char" w:customStyle="1">
    <w:name w:val="Heading 2 Char"/>
    <w:basedOn w:val="DefaultParagraphFont"/>
    <w:link w:val="Heading2"/>
    <w:uiPriority w:val="9"/>
    <w:semiHidden/>
    <w:qFormat/>
    <w:rsid w:val="000b1bdb"/>
    <w:rPr>
      <w:rFonts w:ascii="Calibri Light" w:hAnsi="Calibri Light" w:eastAsia="" w:cs="" w:asciiTheme="majorHAnsi" w:cstheme="majorBidi" w:eastAsiaTheme="majorEastAsia" w:hAnsiTheme="majorHAnsi"/>
      <w:color w:val="2F5496" w:themeColor="accent1" w:themeShade="bf"/>
      <w:sz w:val="26"/>
      <w:szCs w:val="26"/>
      <w:lang w:val="en-GB"/>
    </w:rPr>
  </w:style>
  <w:style w:type="character" w:styleId="HeaderChar" w:customStyle="1">
    <w:name w:val="Header Char"/>
    <w:basedOn w:val="DefaultParagraphFont"/>
    <w:link w:val="Header"/>
    <w:uiPriority w:val="99"/>
    <w:qFormat/>
    <w:rsid w:val="00621ade"/>
    <w:rPr>
      <w:rFonts w:ascii="Arial" w:hAnsi="Arial"/>
      <w:sz w:val="24"/>
      <w:lang w:val="en-GB"/>
    </w:rPr>
  </w:style>
  <w:style w:type="character" w:styleId="FooterChar" w:customStyle="1">
    <w:name w:val="Footer Char"/>
    <w:basedOn w:val="DefaultParagraphFont"/>
    <w:link w:val="Footer"/>
    <w:uiPriority w:val="99"/>
    <w:qFormat/>
    <w:rsid w:val="00621ade"/>
    <w:rPr>
      <w:rFonts w:ascii="Arial" w:hAnsi="Arial"/>
      <w:sz w:val="24"/>
      <w:lang w:val="en-GB"/>
    </w:rPr>
  </w:style>
  <w:style w:type="character" w:styleId="IndexLink">
    <w:name w:val="Index Link"/>
    <w:qFormat/>
    <w:rPr/>
  </w:style>
  <w:style w:type="character" w:styleId="TitleChar">
    <w:name w:val="Title Char"/>
    <w:basedOn w:val="DefaultParagraphFont"/>
    <w:qFormat/>
    <w:rPr>
      <w:rFonts w:ascii="Times New Roman" w:hAnsi="Times New Roman" w:eastAsia="NSimSun" w:cs="Vrinda"/>
      <w:b/>
      <w:spacing w:val="-10"/>
      <w:kern w:val="2"/>
      <w:sz w:val="48"/>
      <w:szCs w:val="56"/>
      <w:lang w:val="en-GB"/>
    </w:rPr>
  </w:style>
  <w:style w:type="character" w:styleId="Heading3Char">
    <w:name w:val="Heading 3 Char"/>
    <w:basedOn w:val="DefaultParagraphFont"/>
    <w:qFormat/>
    <w:rPr>
      <w:rFonts w:ascii="Times New Roman" w:hAnsi="Times New Roman" w:eastAsia="NSimSun" w:cs="Vrinda"/>
      <w:b/>
      <w:sz w:val="24"/>
      <w:szCs w:val="24"/>
      <w:lang w:val="en-GB"/>
    </w:rPr>
  </w:style>
  <w:style w:type="character" w:styleId="ListLabel33">
    <w:name w:val="ListLabel 33"/>
    <w:qFormat/>
    <w:rPr>
      <w:rFonts w:cs="Wingdings"/>
    </w:rPr>
  </w:style>
  <w:style w:type="character" w:styleId="ListLabel32">
    <w:name w:val="ListLabel 32"/>
    <w:qFormat/>
    <w:rPr>
      <w:rFonts w:cs="Courier New"/>
    </w:rPr>
  </w:style>
  <w:style w:type="character" w:styleId="ListLabel31">
    <w:name w:val="ListLabel 31"/>
    <w:qFormat/>
    <w:rPr>
      <w:rFonts w:cs="Symbol"/>
    </w:rPr>
  </w:style>
  <w:style w:type="character" w:styleId="ListLabel30">
    <w:name w:val="ListLabel 30"/>
    <w:qFormat/>
    <w:rPr>
      <w:rFonts w:cs="Wingdings"/>
    </w:rPr>
  </w:style>
  <w:style w:type="character" w:styleId="ListLabel29">
    <w:name w:val="ListLabel 29"/>
    <w:qFormat/>
    <w:rPr>
      <w:rFonts w:cs="Courier New"/>
    </w:rPr>
  </w:style>
  <w:style w:type="character" w:styleId="ListLabel28">
    <w:name w:val="ListLabel 28"/>
    <w:qFormat/>
    <w:rPr>
      <w:rFonts w:cs="Symbol"/>
    </w:rPr>
  </w:style>
  <w:style w:type="character" w:styleId="ListLabel27">
    <w:name w:val="ListLabel 27"/>
    <w:qFormat/>
    <w:rPr>
      <w:rFonts w:cs="Wingdings"/>
    </w:rPr>
  </w:style>
  <w:style w:type="character" w:styleId="ListLabel26">
    <w:name w:val="ListLabel 26"/>
    <w:qFormat/>
    <w:rPr>
      <w:rFonts w:cs="Courier New"/>
    </w:rPr>
  </w:style>
  <w:style w:type="character" w:styleId="ListLabel25">
    <w:name w:val="ListLabel 25"/>
    <w:qFormat/>
    <w:rPr>
      <w:rFonts w:cs="Wingdings"/>
    </w:rPr>
  </w:style>
  <w:style w:type="character" w:styleId="PlaceholderText">
    <w:name w:val="Placeholder Text"/>
    <w:basedOn w:val="DefaultParagraphFont"/>
    <w:qFormat/>
    <w:rPr>
      <w:color w:val="808080"/>
    </w:rPr>
  </w:style>
  <w:style w:type="character" w:styleId="ListLabel24">
    <w:name w:val="ListLabel 24"/>
    <w:qFormat/>
    <w:rPr>
      <w:rFonts w:cs="Courier New"/>
    </w:rPr>
  </w:style>
  <w:style w:type="character" w:styleId="ListLabel23">
    <w:name w:val="ListLabel 23"/>
    <w:qFormat/>
    <w:rPr>
      <w:rFonts w:cs="Courier New"/>
    </w:rPr>
  </w:style>
  <w:style w:type="character" w:styleId="ListLabel22">
    <w:name w:val="ListLabel 22"/>
    <w:qFormat/>
    <w:rPr>
      <w:rFonts w:cs="Courier New"/>
    </w:rPr>
  </w:style>
  <w:style w:type="character" w:styleId="ListLabel21">
    <w:name w:val="ListLabel 21"/>
    <w:qFormat/>
    <w:rPr>
      <w:rFonts w:cs="Courier New"/>
    </w:rPr>
  </w:style>
  <w:style w:type="character" w:styleId="ListLabel20">
    <w:name w:val="ListLabel 20"/>
    <w:qFormat/>
    <w:rPr>
      <w:rFonts w:cs="Courier New"/>
    </w:rPr>
  </w:style>
  <w:style w:type="character" w:styleId="ListLabel19">
    <w:name w:val="ListLabel 19"/>
    <w:qFormat/>
    <w:rPr>
      <w:rFonts w:cs="Courier New"/>
    </w:rPr>
  </w:style>
  <w:style w:type="character" w:styleId="ListLabel18">
    <w:name w:val="ListLabel 18"/>
    <w:qFormat/>
    <w:rPr>
      <w:sz w:val="20"/>
    </w:rPr>
  </w:style>
  <w:style w:type="character" w:styleId="ListLabel17">
    <w:name w:val="ListLabel 17"/>
    <w:qFormat/>
    <w:rPr>
      <w:sz w:val="20"/>
    </w:rPr>
  </w:style>
  <w:style w:type="character" w:styleId="ListLabel16">
    <w:name w:val="ListLabel 16"/>
    <w:qFormat/>
    <w:rPr>
      <w:sz w:val="20"/>
    </w:rPr>
  </w:style>
  <w:style w:type="character" w:styleId="ListLabel15">
    <w:name w:val="ListLabel 15"/>
    <w:qFormat/>
    <w:rPr>
      <w:sz w:val="20"/>
    </w:rPr>
  </w:style>
  <w:style w:type="character" w:styleId="ListLabel14">
    <w:name w:val="ListLabel 14"/>
    <w:qFormat/>
    <w:rPr>
      <w:sz w:val="20"/>
    </w:rPr>
  </w:style>
  <w:style w:type="character" w:styleId="ListLabel13">
    <w:name w:val="ListLabel 13"/>
    <w:qFormat/>
    <w:rPr>
      <w:sz w:val="20"/>
    </w:rPr>
  </w:style>
  <w:style w:type="character" w:styleId="ListLabel12">
    <w:name w:val="ListLabel 12"/>
    <w:qFormat/>
    <w:rPr>
      <w:sz w:val="20"/>
    </w:rPr>
  </w:style>
  <w:style w:type="character" w:styleId="ListLabel11">
    <w:name w:val="ListLabel 11"/>
    <w:qFormat/>
    <w:rPr>
      <w:sz w:val="20"/>
    </w:rPr>
  </w:style>
  <w:style w:type="character" w:styleId="ListLabel10">
    <w:name w:val="ListLabel 10"/>
    <w:qFormat/>
    <w:rPr>
      <w:sz w:val="20"/>
    </w:rPr>
  </w:style>
  <w:style w:type="character" w:styleId="ListLabel9">
    <w:name w:val="ListLabel 9"/>
    <w:qFormat/>
    <w:rPr>
      <w:sz w:val="20"/>
    </w:rPr>
  </w:style>
  <w:style w:type="character" w:styleId="ListLabel8">
    <w:name w:val="ListLabel 8"/>
    <w:qFormat/>
    <w:rPr>
      <w:sz w:val="20"/>
    </w:rPr>
  </w:style>
  <w:style w:type="character" w:styleId="ListLabel7">
    <w:name w:val="ListLabel 7"/>
    <w:qFormat/>
    <w:rPr>
      <w:sz w:val="20"/>
    </w:rPr>
  </w:style>
  <w:style w:type="character" w:styleId="ListLabel6">
    <w:name w:val="ListLabel 6"/>
    <w:qFormat/>
    <w:rPr>
      <w:sz w:val="20"/>
    </w:rPr>
  </w:style>
  <w:style w:type="character" w:styleId="ListLabel5">
    <w:name w:val="ListLabel 5"/>
    <w:qFormat/>
    <w:rPr>
      <w:sz w:val="20"/>
    </w:rPr>
  </w:style>
  <w:style w:type="character" w:styleId="ListLabel4">
    <w:name w:val="ListLabel 4"/>
    <w:qFormat/>
    <w:rPr>
      <w:sz w:val="20"/>
    </w:rPr>
  </w:style>
  <w:style w:type="character" w:styleId="ListLabel3">
    <w:name w:val="ListLabel 3"/>
    <w:qFormat/>
    <w:rPr>
      <w:sz w:val="20"/>
    </w:rPr>
  </w:style>
  <w:style w:type="character" w:styleId="ListLabel2">
    <w:name w:val="ListLabel 2"/>
    <w:qFormat/>
    <w:rPr>
      <w:sz w:val="20"/>
    </w:rPr>
  </w:style>
  <w:style w:type="character" w:styleId="ListLabel1">
    <w:name w:val="ListLabel 1"/>
    <w:qFormat/>
    <w:rPr>
      <w:sz w:val="20"/>
    </w:rPr>
  </w:style>
  <w:style w:type="character" w:styleId="BookTitle">
    <w:name w:val="Book Title"/>
    <w:basedOn w:val="DefaultParagraphFont"/>
    <w:qFormat/>
    <w:rPr>
      <w:b/>
      <w:bCs/>
      <w:smallCaps/>
      <w:spacing w:val="10"/>
    </w:rPr>
  </w:style>
  <w:style w:type="character" w:styleId="IntenseReference">
    <w:name w:val="Intense Reference"/>
    <w:basedOn w:val="DefaultParagraphFont"/>
    <w:qFormat/>
    <w:rPr>
      <w:b/>
      <w:bCs/>
      <w:smallCaps/>
      <w:color w:val="44546A"/>
      <w:u w:val="single"/>
    </w:rPr>
  </w:style>
  <w:style w:type="character" w:styleId="SubtleReference">
    <w:name w:val="Subtle Reference"/>
    <w:basedOn w:val="DefaultParagraphFont"/>
    <w:qFormat/>
    <w:rPr>
      <w:smallCaps/>
      <w:color w:val="595959"/>
      <w:u w:val="none"/>
    </w:rPr>
  </w:style>
  <w:style w:type="character" w:styleId="IntenseEmphasis">
    <w:name w:val="Intense Emphasis"/>
    <w:basedOn w:val="DefaultParagraphFont"/>
    <w:qFormat/>
    <w:rPr>
      <w:b/>
      <w:bCs/>
      <w:i/>
      <w:iCs/>
    </w:rPr>
  </w:style>
  <w:style w:type="character" w:styleId="SubtleEmphasis">
    <w:name w:val="Subtle Emphasis"/>
    <w:basedOn w:val="DefaultParagraphFont"/>
    <w:qFormat/>
    <w:rPr>
      <w:i/>
      <w:iCs/>
      <w:color w:val="595959"/>
    </w:rPr>
  </w:style>
  <w:style w:type="character" w:styleId="IntenseQuoteChar">
    <w:name w:val="Intense Quote Char"/>
    <w:basedOn w:val="DefaultParagraphFont"/>
    <w:qFormat/>
    <w:rPr>
      <w:rFonts w:ascii="Calibri Light" w:hAnsi="Calibri Light" w:eastAsia="NSimSun" w:cs="Lucida Sans"/>
      <w:color w:val="44546A"/>
      <w:spacing w:val="-6"/>
      <w:sz w:val="32"/>
      <w:szCs w:val="32"/>
    </w:rPr>
  </w:style>
  <w:style w:type="character" w:styleId="QuoteChar">
    <w:name w:val="Quote Char"/>
    <w:basedOn w:val="DefaultParagraphFont"/>
    <w:qFormat/>
    <w:rPr>
      <w:color w:val="44546A"/>
      <w:sz w:val="24"/>
      <w:szCs w:val="24"/>
    </w:rPr>
  </w:style>
  <w:style w:type="character" w:styleId="Emphasis">
    <w:name w:val="Emphasis"/>
    <w:basedOn w:val="DefaultParagraphFont"/>
    <w:qFormat/>
    <w:rPr>
      <w:i/>
      <w:iCs/>
    </w:rPr>
  </w:style>
  <w:style w:type="character" w:styleId="Strong">
    <w:name w:val="Strong"/>
    <w:basedOn w:val="DefaultParagraphFont"/>
    <w:qFormat/>
    <w:rPr>
      <w:b/>
      <w:bCs/>
    </w:rPr>
  </w:style>
  <w:style w:type="character" w:styleId="SubtitleChar">
    <w:name w:val="Subtitle Char"/>
    <w:basedOn w:val="DefaultParagraphFont"/>
    <w:qFormat/>
    <w:rPr>
      <w:rFonts w:ascii="Calibri Light" w:hAnsi="Calibri Light" w:eastAsia="NSimSun" w:cs="Lucida Sans"/>
      <w:color w:val="4472C4"/>
      <w:sz w:val="28"/>
      <w:szCs w:val="28"/>
    </w:rPr>
  </w:style>
  <w:style w:type="character" w:styleId="Heading9Char">
    <w:name w:val="Heading 9 Char"/>
    <w:basedOn w:val="DefaultParagraphFont"/>
    <w:qFormat/>
    <w:rPr>
      <w:rFonts w:ascii="Calibri Light" w:hAnsi="Calibri Light" w:eastAsia="NSimSun" w:cs="Lucida Sans"/>
      <w:i/>
      <w:iCs/>
      <w:color w:val="1F3864"/>
    </w:rPr>
  </w:style>
  <w:style w:type="character" w:styleId="Heading8Char">
    <w:name w:val="Heading 8 Char"/>
    <w:basedOn w:val="DefaultParagraphFont"/>
    <w:qFormat/>
    <w:rPr>
      <w:rFonts w:ascii="Calibri Light" w:hAnsi="Calibri Light" w:eastAsia="NSimSun" w:cs="Lucida Sans"/>
      <w:b/>
      <w:bCs/>
      <w:i/>
      <w:iCs/>
      <w:color w:val="1F3864"/>
    </w:rPr>
  </w:style>
  <w:style w:type="character" w:styleId="Heading7Char">
    <w:name w:val="Heading 7 Char"/>
    <w:basedOn w:val="DefaultParagraphFont"/>
    <w:qFormat/>
    <w:rPr>
      <w:rFonts w:ascii="Calibri Light" w:hAnsi="Calibri Light" w:eastAsia="NSimSun" w:cs="Lucida Sans"/>
      <w:b/>
      <w:bCs/>
      <w:color w:val="1F3864"/>
    </w:rPr>
  </w:style>
  <w:style w:type="character" w:styleId="Heading6Char">
    <w:name w:val="Heading 6 Char"/>
    <w:basedOn w:val="DefaultParagraphFont"/>
    <w:qFormat/>
    <w:rPr>
      <w:rFonts w:ascii="Calibri Light" w:hAnsi="Calibri Light" w:eastAsia="NSimSun" w:cs="Lucida Sans"/>
      <w:i/>
      <w:iCs/>
      <w:caps/>
      <w:color w:val="1F3864"/>
    </w:rPr>
  </w:style>
  <w:style w:type="character" w:styleId="Heading5Char">
    <w:name w:val="Heading 5 Char"/>
    <w:basedOn w:val="DefaultParagraphFont"/>
    <w:qFormat/>
    <w:rPr>
      <w:rFonts w:ascii="Calibri Light" w:hAnsi="Calibri Light" w:eastAsia="NSimSun" w:cs="Lucida Sans"/>
      <w:caps/>
      <w:color w:val="2F5496"/>
    </w:rPr>
  </w:style>
  <w:style w:type="character" w:styleId="Heading4Char">
    <w:name w:val="Heading 4 Char"/>
    <w:basedOn w:val="DefaultParagraphFont"/>
    <w:qFormat/>
    <w:rPr>
      <w:rFonts w:ascii="Calibri Light" w:hAnsi="Calibri Light" w:eastAsia="NSimSun" w:cs="Lucida Sans"/>
      <w:color w:val="2F5496"/>
      <w:sz w:val="24"/>
      <w:szCs w:val="24"/>
    </w:rPr>
  </w:style>
  <w:style w:type="character" w:styleId="NoSpacingChar">
    <w:name w:val="No Spacing Char"/>
    <w:basedOn w:val="DefaultParagraphFont"/>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OCHeading">
    <w:name w:val="TOC Heading"/>
    <w:basedOn w:val="Heading1"/>
    <w:next w:val="Normal"/>
    <w:uiPriority w:val="39"/>
    <w:unhideWhenUsed/>
    <w:qFormat/>
    <w:rsid w:val="0055744d"/>
    <w:pPr>
      <w:jc w:val="left"/>
    </w:pPr>
    <w:rPr>
      <w:lang w:val="en-US"/>
    </w:rPr>
  </w:style>
  <w:style w:type="paragraph" w:styleId="Contents1">
    <w:name w:val="TOC 1"/>
    <w:basedOn w:val="Normal"/>
    <w:next w:val="Normal"/>
    <w:autoRedefine/>
    <w:uiPriority w:val="39"/>
    <w:unhideWhenUsed/>
    <w:rsid w:val="006c6c3b"/>
    <w:pPr>
      <w:spacing w:before="0" w:after="100"/>
    </w:pPr>
    <w:rPr/>
  </w:style>
  <w:style w:type="paragraph" w:styleId="NormalWeb">
    <w:name w:val="Normal (Web)"/>
    <w:basedOn w:val="Normal"/>
    <w:uiPriority w:val="99"/>
    <w:semiHidden/>
    <w:unhideWhenUsed/>
    <w:qFormat/>
    <w:rsid w:val="000b1bdb"/>
    <w:pPr>
      <w:spacing w:lineRule="auto" w:line="240" w:beforeAutospacing="1" w:afterAutospacing="1"/>
      <w:jc w:val="left"/>
    </w:pPr>
    <w:rPr>
      <w:rFonts w:ascii="Times New Roman" w:hAnsi="Times New Roman" w:eastAsia="Times New Roman" w:cs="Times New Roman"/>
      <w:szCs w:val="24"/>
      <w:lang w:val="en-US"/>
    </w:rPr>
  </w:style>
  <w:style w:type="paragraph" w:styleId="Header">
    <w:name w:val="Header"/>
    <w:basedOn w:val="Normal"/>
    <w:link w:val="HeaderChar"/>
    <w:uiPriority w:val="99"/>
    <w:unhideWhenUsed/>
    <w:rsid w:val="00621ade"/>
    <w:pPr>
      <w:tabs>
        <w:tab w:val="clear" w:pos="709"/>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621ade"/>
    <w:pPr>
      <w:tabs>
        <w:tab w:val="clear" w:pos="709"/>
        <w:tab w:val="center" w:pos="4513" w:leader="none"/>
        <w:tab w:val="right" w:pos="9026" w:leader="none"/>
      </w:tabs>
      <w:spacing w:lineRule="auto" w:line="240" w:before="0" w:after="0"/>
    </w:pPr>
    <w:rPr/>
  </w:style>
  <w:style w:type="paragraph" w:styleId="Title">
    <w:name w:val="Title"/>
    <w:basedOn w:val="Normal"/>
    <w:next w:val="Normal"/>
    <w:qFormat/>
    <w:pPr>
      <w:spacing w:before="0" w:after="0"/>
      <w:contextualSpacing/>
      <w:jc w:val="center"/>
    </w:pPr>
    <w:rPr>
      <w:rFonts w:eastAsia="NSimSun" w:cs="Vrinda"/>
      <w:b/>
      <w:spacing w:val="-10"/>
      <w:kern w:val="2"/>
      <w:sz w:val="48"/>
      <w:szCs w:val="56"/>
    </w:rPr>
  </w:style>
  <w:style w:type="paragraph" w:styleId="Contents2">
    <w:name w:val="TOC 2"/>
    <w:basedOn w:val="Normal"/>
    <w:next w:val="Normal"/>
    <w:pPr>
      <w:spacing w:before="0" w:after="100"/>
      <w:ind w:left="240" w:right="0" w:hanging="0"/>
    </w:pPr>
    <w:rPr/>
  </w:style>
  <w:style w:type="paragraph" w:styleId="Normal1">
    <w:name w:val="Normal1"/>
    <w:qFormat/>
    <w:pPr>
      <w:widowControl/>
      <w:kinsoku w:val="true"/>
      <w:overflowPunct w:val="false"/>
      <w:autoSpaceDE w:val="true"/>
      <w:bidi w:val="0"/>
      <w:spacing w:lineRule="auto" w:line="276" w:before="0" w:after="160"/>
      <w:jc w:val="left"/>
    </w:pPr>
    <w:rPr>
      <w:rFonts w:ascii="Calibri" w:hAnsi="Calibri" w:eastAsia="Calibri" w:cs="Lucida Sans" w:asciiTheme="minorHAnsi" w:eastAsiaTheme="minorHAnsi" w:hAnsiTheme="minorHAnsi"/>
      <w:color w:val="auto"/>
      <w:kern w:val="0"/>
      <w:sz w:val="24"/>
      <w:szCs w:val="22"/>
      <w:lang w:val="en-US" w:eastAsia="en-US" w:bidi="ar-SA"/>
    </w:rPr>
  </w:style>
  <w:style w:type="paragraph" w:styleId="ListParagraph">
    <w:name w:val="List Paragraph"/>
    <w:basedOn w:val="Normal"/>
    <w:qFormat/>
    <w:pPr>
      <w:spacing w:before="0" w:after="160"/>
      <w:ind w:left="720" w:right="0" w:hanging="0"/>
      <w:contextualSpacing/>
    </w:pPr>
    <w:rPr/>
  </w:style>
  <w:style w:type="paragraph" w:styleId="IntenseQuote">
    <w:name w:val="Intense Quote"/>
    <w:basedOn w:val="Normal"/>
    <w:next w:val="Normal"/>
    <w:qFormat/>
    <w:pPr>
      <w:spacing w:lineRule="auto" w:line="240" w:before="280" w:after="240"/>
      <w:ind w:left="720" w:right="0" w:hanging="0"/>
      <w:jc w:val="center"/>
    </w:pPr>
    <w:rPr>
      <w:rFonts w:ascii="Calibri Light" w:hAnsi="Calibri Light" w:eastAsia="NSimSun" w:cs="Lucida Sans"/>
      <w:color w:val="44546A"/>
      <w:spacing w:val="-6"/>
      <w:sz w:val="32"/>
      <w:szCs w:val="32"/>
    </w:rPr>
  </w:style>
  <w:style w:type="paragraph" w:styleId="Quote">
    <w:name w:val="Quote"/>
    <w:basedOn w:val="Normal"/>
    <w:next w:val="Normal"/>
    <w:qFormat/>
    <w:pPr>
      <w:spacing w:before="120" w:after="120"/>
      <w:ind w:left="720" w:right="0" w:hanging="0"/>
    </w:pPr>
    <w:rPr>
      <w:color w:val="44546A"/>
      <w:szCs w:val="24"/>
    </w:rPr>
  </w:style>
  <w:style w:type="paragraph" w:styleId="Subtitle">
    <w:name w:val="Subtitle"/>
    <w:basedOn w:val="Normal"/>
    <w:next w:val="Normal"/>
    <w:qFormat/>
    <w:pPr>
      <w:spacing w:lineRule="auto" w:line="240" w:before="0" w:after="240"/>
    </w:pPr>
    <w:rPr>
      <w:rFonts w:ascii="Calibri Light" w:hAnsi="Calibri Light" w:eastAsia="NSimSun" w:cs="Lucida Sans"/>
      <w:color w:val="4472C4"/>
      <w:sz w:val="28"/>
      <w:szCs w:val="28"/>
    </w:rPr>
  </w:style>
  <w:style w:type="paragraph" w:styleId="Caption1">
    <w:name w:val="caption"/>
    <w:basedOn w:val="Normal"/>
    <w:next w:val="Normal"/>
    <w:qFormat/>
    <w:pPr>
      <w:spacing w:lineRule="auto" w:line="240"/>
    </w:pPr>
    <w:rPr>
      <w:b/>
      <w:bCs/>
      <w:smallCaps/>
      <w:color w:val="44546A"/>
    </w:rPr>
  </w:style>
  <w:style w:type="paragraph" w:styleId="NoSpacing">
    <w:name w:val="No Spacing"/>
    <w:qFormat/>
    <w:pPr>
      <w:widowControl/>
      <w:kinsoku w:val="true"/>
      <w:overflowPunct w:val="false"/>
      <w:autoSpaceDE w:val="true"/>
      <w:bidi w:val="0"/>
      <w:spacing w:lineRule="auto" w:line="240" w:before="0" w:after="0"/>
      <w:jc w:val="left"/>
    </w:pPr>
    <w:rPr>
      <w:rFonts w:ascii="Times New Roman" w:hAnsi="Times New Roman" w:eastAsia="NSimSun" w:cs="Lucida Sans"/>
      <w:color w:val="auto"/>
      <w:kern w:val="2"/>
      <w:sz w:val="24"/>
      <w:szCs w:val="24"/>
      <w:lang w:val="en-GB" w:eastAsia="zh-CN" w:bidi="hi-IN"/>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chart" Target="charts/chart1.xml"/><Relationship Id="rId4" Type="http://schemas.openxmlformats.org/officeDocument/2006/relationships/chart" Target="charts/chart2.xml"/><Relationship Id="rId5" Type="http://schemas.openxmlformats.org/officeDocument/2006/relationships/chart" Target="charts/chart3.xml"/><Relationship Id="rId6" Type="http://schemas.openxmlformats.org/officeDocument/2006/relationships/chart" Target="charts/chart4.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Relationship between crime rate and education in Northern and Southern States </a:t>
            </a:r>
          </a:p>
        </c:rich>
      </c:tx>
      <c:overlay val="0"/>
      <c:spPr>
        <a:noFill/>
        <a:ln>
          <a:noFill/>
        </a:ln>
      </c:spPr>
    </c:title>
    <c:autoTitleDeleted val="0"/>
    <c:plotArea>
      <c:barChart>
        <c:barDir val="col"/>
        <c:grouping val="clustered"/>
        <c:varyColors val="0"/>
        <c:ser>
          <c:idx val="0"/>
          <c:order val="0"/>
          <c:tx>
            <c:strRef>
              <c:f>label 0</c:f>
              <c:strCache>
                <c:ptCount val="1"/>
                <c:pt idx="0">
                  <c:v>Education(Average)</c:v>
                </c:pt>
              </c:strCache>
            </c:strRef>
          </c:tx>
          <c:spPr>
            <a:solidFill>
              <a:srgbClr val="4472c4"/>
            </a:solidFill>
            <a:ln>
              <a:noFill/>
            </a:ln>
          </c:spPr>
          <c:invertIfNegative val="0"/>
          <c:dLbls>
            <c:numFmt formatCode="General" sourceLinked="1"/>
            <c:txPr>
              <a:bodyPr/>
              <a:lstStyle/>
              <a:p>
                <a:pPr>
                  <a:defRPr b="0" sz="900" spc="-1" strike="noStrike">
                    <a:solidFill>
                      <a:srgbClr val="404040"/>
                    </a:solidFill>
                    <a:latin typeface="Calibri"/>
                  </a:defRPr>
                </a:pPr>
              </a:p>
            </c:txPr>
            <c:dLblPos val="outEnd"/>
            <c:showLegendKey val="0"/>
            <c:showVal val="1"/>
            <c:showCatName val="0"/>
            <c:showSerName val="0"/>
            <c:showPercent val="0"/>
            <c:separator>; </c:separator>
            <c:showLeaderLines val="0"/>
          </c:dLbls>
          <c:cat>
            <c:strRef>
              <c:f>categories</c:f>
              <c:strCache>
                <c:ptCount val="2"/>
                <c:pt idx="0">
                  <c:v>Northern</c:v>
                </c:pt>
                <c:pt idx="1">
                  <c:v>Southern</c:v>
                </c:pt>
              </c:strCache>
            </c:strRef>
          </c:cat>
          <c:val>
            <c:numRef>
              <c:f>0</c:f>
              <c:numCache>
                <c:formatCode>General</c:formatCode>
                <c:ptCount val="2"/>
                <c:pt idx="0">
                  <c:v>12.7871</c:v>
                </c:pt>
                <c:pt idx="1">
                  <c:v>11.625</c:v>
                </c:pt>
              </c:numCache>
            </c:numRef>
          </c:val>
        </c:ser>
        <c:ser>
          <c:idx val="1"/>
          <c:order val="1"/>
          <c:tx>
            <c:strRef>
              <c:f>label 1</c:f>
              <c:strCache>
                <c:ptCount val="1"/>
                <c:pt idx="0">
                  <c:v>Crime Rate( Average)</c:v>
                </c:pt>
              </c:strCache>
            </c:strRef>
          </c:tx>
          <c:spPr>
            <a:solidFill>
              <a:srgbClr val="ed7d31"/>
            </a:solidFill>
            <a:ln>
              <a:noFill/>
            </a:ln>
          </c:spPr>
          <c:invertIfNegative val="0"/>
          <c:dLbls>
            <c:numFmt formatCode="General" sourceLinked="1"/>
            <c:txPr>
              <a:bodyPr/>
              <a:lstStyle/>
              <a:p>
                <a:pPr>
                  <a:defRPr b="0" sz="900" spc="-1" strike="noStrike">
                    <a:solidFill>
                      <a:srgbClr val="404040"/>
                    </a:solidFill>
                    <a:latin typeface="Calibri"/>
                  </a:defRPr>
                </a:pPr>
              </a:p>
            </c:txPr>
            <c:dLblPos val="outEnd"/>
            <c:showLegendKey val="0"/>
            <c:showVal val="1"/>
            <c:showCatName val="0"/>
            <c:showSerName val="0"/>
            <c:showPercent val="0"/>
            <c:separator>; </c:separator>
            <c:showLeaderLines val="0"/>
          </c:dLbls>
          <c:cat>
            <c:strRef>
              <c:f>categories</c:f>
              <c:strCache>
                <c:ptCount val="2"/>
                <c:pt idx="0">
                  <c:v>Northern</c:v>
                </c:pt>
                <c:pt idx="1">
                  <c:v>Southern</c:v>
                </c:pt>
              </c:strCache>
            </c:strRef>
          </c:cat>
          <c:val>
            <c:numRef>
              <c:f>1</c:f>
              <c:numCache>
                <c:formatCode>General</c:formatCode>
                <c:ptCount val="2"/>
                <c:pt idx="0">
                  <c:v>103.9065</c:v>
                </c:pt>
                <c:pt idx="1">
                  <c:v>100.6813</c:v>
                </c:pt>
              </c:numCache>
            </c:numRef>
          </c:val>
        </c:ser>
        <c:gapWidth val="219"/>
        <c:overlap val="-27"/>
        <c:axId val="2835765"/>
        <c:axId val="1797549"/>
      </c:barChart>
      <c:catAx>
        <c:axId val="2835765"/>
        <c:scaling>
          <c:orientation val="minMax"/>
        </c:scaling>
        <c:delete val="0"/>
        <c:axPos val="b"/>
        <c:numFmt formatCode="[$-809]DD/MM/YYYY" sourceLinked="1"/>
        <c:majorTickMark val="none"/>
        <c:minorTickMark val="none"/>
        <c:tickLblPos val="nextTo"/>
        <c:spPr>
          <a:ln w="9360">
            <a:solidFill>
              <a:srgbClr val="d9d9d9"/>
            </a:solidFill>
            <a:round/>
          </a:ln>
        </c:spPr>
        <c:txPr>
          <a:bodyPr/>
          <a:lstStyle/>
          <a:p>
            <a:pPr>
              <a:defRPr b="0" sz="900" spc="-1" strike="noStrike">
                <a:solidFill>
                  <a:srgbClr val="595959"/>
                </a:solidFill>
                <a:latin typeface="Calibri"/>
              </a:defRPr>
            </a:pPr>
          </a:p>
        </c:txPr>
        <c:crossAx val="1797549"/>
        <c:crosses val="autoZero"/>
        <c:auto val="1"/>
        <c:lblAlgn val="ctr"/>
        <c:lblOffset val="100"/>
      </c:catAx>
      <c:valAx>
        <c:axId val="1797549"/>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6480">
            <a:noFill/>
          </a:ln>
        </c:spPr>
        <c:txPr>
          <a:bodyPr/>
          <a:lstStyle/>
          <a:p>
            <a:pPr>
              <a:defRPr b="0" sz="900" spc="-1" strike="noStrike">
                <a:solidFill>
                  <a:srgbClr val="595959"/>
                </a:solidFill>
                <a:latin typeface="Calibri"/>
              </a:defRPr>
            </a:pPr>
          </a:p>
        </c:txPr>
        <c:crossAx val="2835765"/>
        <c:crosses val="autoZero"/>
      </c:valAx>
      <c:spPr>
        <a:noFill/>
        <a:ln>
          <a:noFill/>
        </a:ln>
      </c:spPr>
    </c:plotArea>
    <c:legend>
      <c:legendPos val="b"/>
      <c:overlay val="0"/>
      <c:spPr>
        <a:noFill/>
        <a:ln>
          <a:noFill/>
        </a:ln>
      </c:spPr>
      <c:txPr>
        <a:bodyPr/>
        <a:lstStyle/>
        <a:p>
          <a:pPr>
            <a:defRPr b="0" sz="900" spc="-1" strike="noStrike">
              <a:solidFill>
                <a:srgbClr val="595959"/>
              </a:solidFill>
              <a:latin typeface="Calibri"/>
            </a:defRPr>
          </a:pPr>
        </a:p>
      </c:txPr>
    </c:legend>
    <c:plotVisOnly val="1"/>
    <c:dispBlanksAs val="gap"/>
  </c:chart>
  <c:spPr>
    <a:solidFill>
      <a:srgbClr val="ffffff"/>
    </a:solidFill>
    <a:ln w="9360">
      <a:solidFill>
        <a:srgbClr val="d9d9d9"/>
      </a:solidFill>
      <a:round/>
    </a:ln>
  </c:spPr>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Relationship between education and crime rate in Northern States </a:t>
            </a:r>
          </a:p>
        </c:rich>
      </c:tx>
      <c:overlay val="0"/>
      <c:spPr>
        <a:noFill/>
        <a:ln>
          <a:noFill/>
        </a:ln>
      </c:spPr>
    </c:title>
    <c:autoTitleDeleted val="0"/>
    <c:plotArea>
      <c:scatterChart>
        <c:scatterStyle val="lineMarker"/>
        <c:varyColors val="0"/>
        <c:ser>
          <c:idx val="0"/>
          <c:order val="0"/>
          <c:tx>
            <c:strRef>
              <c:f>label 1</c:f>
              <c:strCache>
                <c:ptCount val="1"/>
                <c:pt idx="0">
                  <c:v/>
                </c:pt>
              </c:strCache>
            </c:strRef>
          </c:tx>
          <c:spPr>
            <a:solidFill>
              <a:srgbClr val="4472c4"/>
            </a:solidFill>
            <a:ln w="19080">
              <a:noFill/>
            </a:ln>
          </c:spPr>
          <c:marker>
            <c:symbol val="circle"/>
            <c:size val="5"/>
            <c:spPr>
              <a:solidFill>
                <a:srgbClr val="4472c4"/>
              </a:solidFill>
            </c:spPr>
          </c:marker>
          <c:dLbls>
            <c:numFmt formatCode="General" sourceLinked="1"/>
            <c:txPr>
              <a:bodyPr/>
              <a:lstStyle/>
              <a:p>
                <a:pPr>
                  <a:defRPr b="0" sz="1000" spc="-1" strike="noStrike">
                    <a:solidFill>
                      <a:srgbClr val="000000"/>
                    </a:solidFill>
                    <a:latin typeface="Calibri"/>
                  </a:defRPr>
                </a:pPr>
              </a:p>
            </c:txPr>
            <c:dLblPos val="r"/>
            <c:showLegendKey val="0"/>
            <c:showVal val="0"/>
            <c:showCatName val="0"/>
            <c:showSerName val="0"/>
            <c:showPercent val="0"/>
            <c:separator>; </c:separator>
            <c:showLeaderLines val="0"/>
          </c:dLbls>
          <c:trendline>
            <c:spPr>
              <a:ln cap="rnd" w="19080">
                <a:solidFill>
                  <a:srgbClr val="4472c4"/>
                </a:solidFill>
                <a:prstDash val="sysDot"/>
                <a:round/>
              </a:ln>
            </c:spPr>
            <c:trendlineType val="linear"/>
            <c:forward val="0"/>
            <c:backward val="0"/>
            <c:dispRSqr val="1"/>
            <c:dispEq val="1"/>
          </c:trendline>
          <c:xVal>
            <c:numRef>
              <c:f>1</c:f>
              <c:numCache>
                <c:formatCode>General</c:formatCode>
                <c:ptCount val="31"/>
                <c:pt idx="0">
                  <c:v>12.4</c:v>
                </c:pt>
                <c:pt idx="1">
                  <c:v>10.9</c:v>
                </c:pt>
                <c:pt idx="2">
                  <c:v>12.2</c:v>
                </c:pt>
                <c:pt idx="3">
                  <c:v>13.5</c:v>
                </c:pt>
                <c:pt idx="4">
                  <c:v>14.1</c:v>
                </c:pt>
                <c:pt idx="5">
                  <c:v>12.9</c:v>
                </c:pt>
                <c:pt idx="6">
                  <c:v>12.9</c:v>
                </c:pt>
                <c:pt idx="7">
                  <c:v>11.4</c:v>
                </c:pt>
                <c:pt idx="8">
                  <c:v>12.5</c:v>
                </c:pt>
                <c:pt idx="9">
                  <c:v>13.6</c:v>
                </c:pt>
                <c:pt idx="10">
                  <c:v>13.2</c:v>
                </c:pt>
                <c:pt idx="11">
                  <c:v>12.9</c:v>
                </c:pt>
                <c:pt idx="12">
                  <c:v>12.7</c:v>
                </c:pt>
                <c:pt idx="13">
                  <c:v>13.3</c:v>
                </c:pt>
                <c:pt idx="14">
                  <c:v>12</c:v>
                </c:pt>
                <c:pt idx="15">
                  <c:v>12.5</c:v>
                </c:pt>
                <c:pt idx="16">
                  <c:v>13.4</c:v>
                </c:pt>
                <c:pt idx="17">
                  <c:v>13.7</c:v>
                </c:pt>
                <c:pt idx="18">
                  <c:v>13.8</c:v>
                </c:pt>
                <c:pt idx="19">
                  <c:v>13.7</c:v>
                </c:pt>
                <c:pt idx="20">
                  <c:v>12.9</c:v>
                </c:pt>
                <c:pt idx="21">
                  <c:v>11.9</c:v>
                </c:pt>
                <c:pt idx="22">
                  <c:v>10.4</c:v>
                </c:pt>
                <c:pt idx="23">
                  <c:v>12</c:v>
                </c:pt>
                <c:pt idx="24">
                  <c:v>12.5</c:v>
                </c:pt>
                <c:pt idx="25">
                  <c:v>14.2</c:v>
                </c:pt>
                <c:pt idx="26">
                  <c:v>12</c:v>
                </c:pt>
                <c:pt idx="27">
                  <c:v>12.3</c:v>
                </c:pt>
                <c:pt idx="28">
                  <c:v>12.3</c:v>
                </c:pt>
                <c:pt idx="29">
                  <c:v>15.1</c:v>
                </c:pt>
                <c:pt idx="30">
                  <c:v>13.2</c:v>
                </c:pt>
              </c:numCache>
            </c:numRef>
          </c:xVal>
          <c:yVal>
            <c:numRef>
              <c:f>0</c:f>
              <c:numCache>
                <c:formatCode>General</c:formatCode>
                <c:ptCount val="31"/>
                <c:pt idx="0">
                  <c:v>45.5</c:v>
                </c:pt>
                <c:pt idx="1">
                  <c:v>52.3</c:v>
                </c:pt>
                <c:pt idx="2">
                  <c:v>64.2</c:v>
                </c:pt>
                <c:pt idx="3">
                  <c:v>67.6</c:v>
                </c:pt>
                <c:pt idx="4">
                  <c:v>70.5</c:v>
                </c:pt>
                <c:pt idx="5">
                  <c:v>73.2</c:v>
                </c:pt>
                <c:pt idx="6">
                  <c:v>75</c:v>
                </c:pt>
                <c:pt idx="7">
                  <c:v>78.1</c:v>
                </c:pt>
                <c:pt idx="8">
                  <c:v>82.3</c:v>
                </c:pt>
                <c:pt idx="9">
                  <c:v>83.1</c:v>
                </c:pt>
                <c:pt idx="10">
                  <c:v>84.9</c:v>
                </c:pt>
                <c:pt idx="11">
                  <c:v>88</c:v>
                </c:pt>
                <c:pt idx="12">
                  <c:v>92.3</c:v>
                </c:pt>
                <c:pt idx="13">
                  <c:v>94.3</c:v>
                </c:pt>
                <c:pt idx="14">
                  <c:v>95.3</c:v>
                </c:pt>
                <c:pt idx="15">
                  <c:v>104.3</c:v>
                </c:pt>
                <c:pt idx="16">
                  <c:v>105.9</c:v>
                </c:pt>
                <c:pt idx="17">
                  <c:v>107.2</c:v>
                </c:pt>
                <c:pt idx="18">
                  <c:v>108.3</c:v>
                </c:pt>
                <c:pt idx="19">
                  <c:v>115.1</c:v>
                </c:pt>
                <c:pt idx="20">
                  <c:v>117.2</c:v>
                </c:pt>
                <c:pt idx="21">
                  <c:v>119.7</c:v>
                </c:pt>
                <c:pt idx="22">
                  <c:v>127.2</c:v>
                </c:pt>
                <c:pt idx="23">
                  <c:v>132.4</c:v>
                </c:pt>
                <c:pt idx="24">
                  <c:v>135.5</c:v>
                </c:pt>
                <c:pt idx="25">
                  <c:v>137.8</c:v>
                </c:pt>
                <c:pt idx="26">
                  <c:v>140.8</c:v>
                </c:pt>
                <c:pt idx="27">
                  <c:v>149.3</c:v>
                </c:pt>
                <c:pt idx="28">
                  <c:v>154.3</c:v>
                </c:pt>
                <c:pt idx="29">
                  <c:v>157.7</c:v>
                </c:pt>
                <c:pt idx="30">
                  <c:v>161.8</c:v>
                </c:pt>
              </c:numCache>
            </c:numRef>
          </c:yVal>
          <c:smooth val="0"/>
        </c:ser>
        <c:axId val="69900211"/>
        <c:axId val="2526049"/>
      </c:scatterChart>
      <c:valAx>
        <c:axId val="69900211"/>
        <c:scaling>
          <c:orientation val="minMax"/>
        </c:scaling>
        <c:delete val="0"/>
        <c:axPos val="b"/>
        <c:title>
          <c:tx>
            <c:rich>
              <a:bodyPr rot="0"/>
              <a:lstStyle/>
              <a:p>
                <a:pPr>
                  <a:defRPr b="0" sz="1000" spc="-1" strike="noStrike">
                    <a:solidFill>
                      <a:srgbClr val="595959"/>
                    </a:solidFill>
                    <a:latin typeface="Calibri"/>
                  </a:defRPr>
                </a:pPr>
                <a:r>
                  <a:rPr b="0" sz="1000" spc="-1" strike="noStrike">
                    <a:solidFill>
                      <a:srgbClr val="595959"/>
                    </a:solidFill>
                    <a:latin typeface="Calibri"/>
                  </a:rPr>
                  <a:t>Education</a:t>
                </a:r>
              </a:p>
            </c:rich>
          </c:tx>
          <c:overlay val="0"/>
          <c:spPr>
            <a:noFill/>
            <a:ln>
              <a:noFill/>
            </a:ln>
          </c:spPr>
        </c:title>
        <c:numFmt formatCode="General" sourceLinked="0"/>
        <c:majorTickMark val="out"/>
        <c:minorTickMark val="none"/>
        <c:tickLblPos val="nextTo"/>
        <c:spPr>
          <a:ln w="9360">
            <a:solidFill>
              <a:srgbClr val="bfbfbf"/>
            </a:solidFill>
            <a:round/>
          </a:ln>
        </c:spPr>
        <c:txPr>
          <a:bodyPr/>
          <a:lstStyle/>
          <a:p>
            <a:pPr>
              <a:defRPr b="0" sz="900" spc="-1" strike="noStrike">
                <a:solidFill>
                  <a:srgbClr val="595959"/>
                </a:solidFill>
                <a:latin typeface="Calibri"/>
              </a:defRPr>
            </a:pPr>
          </a:p>
        </c:txPr>
        <c:crossAx val="2526049"/>
        <c:crosses val="autoZero"/>
        <c:crossBetween val="midCat"/>
      </c:valAx>
      <c:valAx>
        <c:axId val="2526049"/>
        <c:scaling>
          <c:orientation val="minMax"/>
        </c:scaling>
        <c:delete val="0"/>
        <c:axPos val="l"/>
        <c:majorGridlines>
          <c:spPr>
            <a:ln w="9360">
              <a:solidFill>
                <a:srgbClr val="d9d9d9"/>
              </a:solidFill>
              <a:round/>
            </a:ln>
          </c:spPr>
        </c:majorGridlines>
        <c:title>
          <c:tx>
            <c:rich>
              <a:bodyPr rot="-5400000"/>
              <a:lstStyle/>
              <a:p>
                <a:pPr>
                  <a:defRPr b="0" sz="1000" spc="-1" strike="noStrike">
                    <a:solidFill>
                      <a:srgbClr val="595959"/>
                    </a:solidFill>
                    <a:latin typeface="Calibri"/>
                  </a:defRPr>
                </a:pPr>
                <a:r>
                  <a:rPr b="0" sz="1000" spc="-1" strike="noStrike">
                    <a:solidFill>
                      <a:srgbClr val="595959"/>
                    </a:solidFill>
                    <a:latin typeface="Calibri"/>
                  </a:rPr>
                  <a:t>Crime Rate </a:t>
                </a:r>
              </a:p>
            </c:rich>
          </c:tx>
          <c:overlay val="0"/>
          <c:spPr>
            <a:noFill/>
            <a:ln>
              <a:noFill/>
            </a:ln>
          </c:spPr>
        </c:title>
        <c:numFmt formatCode="General" sourceLinked="0"/>
        <c:majorTickMark val="out"/>
        <c:minorTickMark val="none"/>
        <c:tickLblPos val="nextTo"/>
        <c:spPr>
          <a:ln w="9360">
            <a:solidFill>
              <a:srgbClr val="bfbfbf"/>
            </a:solidFill>
            <a:round/>
          </a:ln>
        </c:spPr>
        <c:txPr>
          <a:bodyPr/>
          <a:lstStyle/>
          <a:p>
            <a:pPr>
              <a:defRPr b="0" sz="900" spc="-1" strike="noStrike">
                <a:solidFill>
                  <a:srgbClr val="595959"/>
                </a:solidFill>
                <a:latin typeface="Calibri"/>
              </a:defRPr>
            </a:pPr>
          </a:p>
        </c:txPr>
        <c:crossAx val="69900211"/>
        <c:crosses val="autoZero"/>
        <c:crossBetween val="midCat"/>
      </c:valAx>
      <c:spPr>
        <a:noFill/>
        <a:ln>
          <a:noFill/>
        </a:ln>
      </c:spPr>
    </c:plotArea>
    <c:plotVisOnly val="1"/>
    <c:dispBlanksAs val="gap"/>
  </c:chart>
  <c:spPr>
    <a:solidFill>
      <a:srgbClr val="ffffff"/>
    </a:solidFill>
    <a:ln w="9360">
      <a:solidFill>
        <a:srgbClr val="d9d9d9"/>
      </a:solidFill>
      <a:round/>
    </a:ln>
  </c:spPr>
</c:chartSpace>
</file>

<file path=word/charts/chart3.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Relationship between crime rate and education in Southern States </a:t>
            </a:r>
          </a:p>
        </c:rich>
      </c:tx>
      <c:overlay val="0"/>
      <c:spPr>
        <a:noFill/>
        <a:ln>
          <a:noFill/>
        </a:ln>
      </c:spPr>
    </c:title>
    <c:autoTitleDeleted val="0"/>
    <c:plotArea>
      <c:scatterChart>
        <c:scatterStyle val="lineMarker"/>
        <c:varyColors val="0"/>
        <c:ser>
          <c:idx val="0"/>
          <c:order val="0"/>
          <c:tx>
            <c:strRef>
              <c:f>label 0</c:f>
              <c:strCache>
                <c:ptCount val="1"/>
                <c:pt idx="0">
                  <c:v>Education</c:v>
                </c:pt>
              </c:strCache>
            </c:strRef>
          </c:tx>
          <c:spPr>
            <a:solidFill>
              <a:srgbClr val="4472c4"/>
            </a:solidFill>
            <a:ln w="19080">
              <a:noFill/>
            </a:ln>
          </c:spPr>
          <c:marker>
            <c:symbol val="circle"/>
            <c:size val="5"/>
            <c:spPr>
              <a:solidFill>
                <a:srgbClr val="4472c4"/>
              </a:solidFill>
            </c:spPr>
          </c:marker>
          <c:dLbls>
            <c:numFmt formatCode="General" sourceLinked="1"/>
            <c:txPr>
              <a:bodyPr/>
              <a:lstStyle/>
              <a:p>
                <a:pPr>
                  <a:defRPr b="0" sz="1000" spc="-1" strike="noStrike">
                    <a:solidFill>
                      <a:srgbClr val="000000"/>
                    </a:solidFill>
                    <a:latin typeface="Calibri"/>
                  </a:defRPr>
                </a:pPr>
              </a:p>
            </c:txPr>
            <c:dLblPos val="r"/>
            <c:showLegendKey val="0"/>
            <c:showVal val="0"/>
            <c:showCatName val="0"/>
            <c:showSerName val="0"/>
            <c:showPercent val="0"/>
            <c:separator>; </c:separator>
            <c:showLeaderLines val="0"/>
          </c:dLbls>
          <c:trendline>
            <c:spPr>
              <a:ln cap="rnd" w="19080">
                <a:solidFill>
                  <a:srgbClr val="4472c4"/>
                </a:solidFill>
                <a:prstDash val="sysDot"/>
                <a:round/>
              </a:ln>
            </c:spPr>
            <c:trendlineType val="linear"/>
            <c:forward val="0"/>
            <c:backward val="0"/>
            <c:dispRSqr val="1"/>
            <c:dispEq val="1"/>
          </c:trendline>
          <c:xVal>
            <c:numRef>
              <c:f>1</c:f>
              <c:numCache>
                <c:formatCode>General</c:formatCode>
                <c:ptCount val="16"/>
                <c:pt idx="0">
                  <c:v>56.6</c:v>
                </c:pt>
                <c:pt idx="1">
                  <c:v>60.3</c:v>
                </c:pt>
                <c:pt idx="2">
                  <c:v>79.8</c:v>
                </c:pt>
                <c:pt idx="3">
                  <c:v>85.6</c:v>
                </c:pt>
                <c:pt idx="4">
                  <c:v>96.8</c:v>
                </c:pt>
                <c:pt idx="5">
                  <c:v>97.4</c:v>
                </c:pt>
                <c:pt idx="6">
                  <c:v>98.7</c:v>
                </c:pt>
                <c:pt idx="7">
                  <c:v>99.9</c:v>
                </c:pt>
                <c:pt idx="8">
                  <c:v>103</c:v>
                </c:pt>
                <c:pt idx="9">
                  <c:v>106.6</c:v>
                </c:pt>
                <c:pt idx="10">
                  <c:v>109.4</c:v>
                </c:pt>
                <c:pt idx="11">
                  <c:v>112.1</c:v>
                </c:pt>
                <c:pt idx="12">
                  <c:v>114.3</c:v>
                </c:pt>
                <c:pt idx="13">
                  <c:v>121.6</c:v>
                </c:pt>
                <c:pt idx="14">
                  <c:v>123.4</c:v>
                </c:pt>
                <c:pt idx="15">
                  <c:v>145.4</c:v>
                </c:pt>
              </c:numCache>
            </c:numRef>
          </c:xVal>
          <c:yVal>
            <c:numRef>
              <c:f>0</c:f>
              <c:numCache>
                <c:formatCode>General</c:formatCode>
                <c:ptCount val="16"/>
                <c:pt idx="0">
                  <c:v>11.2</c:v>
                </c:pt>
                <c:pt idx="1">
                  <c:v>11.9</c:v>
                </c:pt>
                <c:pt idx="2">
                  <c:v>12.9</c:v>
                </c:pt>
                <c:pt idx="3">
                  <c:v>11.4</c:v>
                </c:pt>
                <c:pt idx="4">
                  <c:v>10</c:v>
                </c:pt>
                <c:pt idx="5">
                  <c:v>10.8</c:v>
                </c:pt>
                <c:pt idx="6">
                  <c:v>12.1</c:v>
                </c:pt>
                <c:pt idx="7">
                  <c:v>10.7</c:v>
                </c:pt>
                <c:pt idx="8">
                  <c:v>11</c:v>
                </c:pt>
                <c:pt idx="9">
                  <c:v>11.1</c:v>
                </c:pt>
                <c:pt idx="10">
                  <c:v>11.4</c:v>
                </c:pt>
                <c:pt idx="11">
                  <c:v>10.9</c:v>
                </c:pt>
                <c:pt idx="12">
                  <c:v>12.8</c:v>
                </c:pt>
                <c:pt idx="13">
                  <c:v>13.9</c:v>
                </c:pt>
                <c:pt idx="14">
                  <c:v>11.7</c:v>
                </c:pt>
                <c:pt idx="15">
                  <c:v>12.2</c:v>
                </c:pt>
              </c:numCache>
            </c:numRef>
          </c:yVal>
          <c:smooth val="0"/>
        </c:ser>
        <c:axId val="33224612"/>
        <c:axId val="46822447"/>
      </c:scatterChart>
      <c:valAx>
        <c:axId val="33224612"/>
        <c:scaling>
          <c:orientation val="minMax"/>
        </c:scaling>
        <c:delete val="0"/>
        <c:axPos val="b"/>
        <c:title>
          <c:tx>
            <c:rich>
              <a:bodyPr rot="0"/>
              <a:lstStyle/>
              <a:p>
                <a:pPr>
                  <a:defRPr b="0" sz="1000" spc="-1" strike="noStrike">
                    <a:solidFill>
                      <a:srgbClr val="595959"/>
                    </a:solidFill>
                    <a:latin typeface="Calibri"/>
                  </a:defRPr>
                </a:pPr>
                <a:r>
                  <a:rPr b="0" sz="1000" spc="-1" strike="noStrike">
                    <a:solidFill>
                      <a:srgbClr val="595959"/>
                    </a:solidFill>
                    <a:latin typeface="Calibri"/>
                  </a:rPr>
                  <a:t>Education </a:t>
                </a:r>
              </a:p>
            </c:rich>
          </c:tx>
          <c:overlay val="0"/>
          <c:spPr>
            <a:noFill/>
            <a:ln>
              <a:noFill/>
            </a:ln>
          </c:spPr>
        </c:title>
        <c:numFmt formatCode="General" sourceLinked="0"/>
        <c:majorTickMark val="out"/>
        <c:minorTickMark val="none"/>
        <c:tickLblPos val="nextTo"/>
        <c:spPr>
          <a:ln w="9360">
            <a:solidFill>
              <a:srgbClr val="bfbfbf"/>
            </a:solidFill>
            <a:round/>
          </a:ln>
        </c:spPr>
        <c:txPr>
          <a:bodyPr/>
          <a:lstStyle/>
          <a:p>
            <a:pPr>
              <a:defRPr b="0" sz="900" spc="-1" strike="noStrike">
                <a:solidFill>
                  <a:srgbClr val="595959"/>
                </a:solidFill>
                <a:latin typeface="Calibri"/>
              </a:defRPr>
            </a:pPr>
          </a:p>
        </c:txPr>
        <c:crossAx val="46822447"/>
        <c:crosses val="autoZero"/>
        <c:crossBetween val="midCat"/>
      </c:valAx>
      <c:valAx>
        <c:axId val="46822447"/>
        <c:scaling>
          <c:orientation val="minMax"/>
        </c:scaling>
        <c:delete val="0"/>
        <c:axPos val="l"/>
        <c:majorGridlines>
          <c:spPr>
            <a:ln w="9360">
              <a:solidFill>
                <a:srgbClr val="d9d9d9"/>
              </a:solidFill>
              <a:round/>
            </a:ln>
          </c:spPr>
        </c:majorGridlines>
        <c:minorGridlines>
          <c:spPr>
            <a:ln w="9360">
              <a:solidFill>
                <a:srgbClr val="f2f2f2"/>
              </a:solidFill>
              <a:round/>
            </a:ln>
          </c:spPr>
        </c:minorGridlines>
        <c:title>
          <c:tx>
            <c:rich>
              <a:bodyPr rot="-5400000"/>
              <a:lstStyle/>
              <a:p>
                <a:pPr>
                  <a:defRPr b="0" sz="1000" spc="-1" strike="noStrike">
                    <a:solidFill>
                      <a:srgbClr val="595959"/>
                    </a:solidFill>
                    <a:latin typeface="Calibri"/>
                  </a:defRPr>
                </a:pPr>
                <a:r>
                  <a:rPr b="0" sz="1000" spc="-1" strike="noStrike">
                    <a:solidFill>
                      <a:srgbClr val="595959"/>
                    </a:solidFill>
                    <a:latin typeface="Calibri"/>
                  </a:rPr>
                  <a:t>Crime Rate</a:t>
                </a:r>
              </a:p>
            </c:rich>
          </c:tx>
          <c:overlay val="0"/>
          <c:spPr>
            <a:noFill/>
            <a:ln>
              <a:noFill/>
            </a:ln>
          </c:spPr>
        </c:title>
        <c:numFmt formatCode="General" sourceLinked="0"/>
        <c:majorTickMark val="out"/>
        <c:minorTickMark val="none"/>
        <c:tickLblPos val="nextTo"/>
        <c:spPr>
          <a:ln w="9360">
            <a:solidFill>
              <a:srgbClr val="bfbfbf"/>
            </a:solidFill>
            <a:round/>
          </a:ln>
        </c:spPr>
        <c:txPr>
          <a:bodyPr/>
          <a:lstStyle/>
          <a:p>
            <a:pPr>
              <a:defRPr b="0" sz="900" spc="-1" strike="noStrike">
                <a:solidFill>
                  <a:srgbClr val="595959"/>
                </a:solidFill>
                <a:latin typeface="Calibri"/>
              </a:defRPr>
            </a:pPr>
          </a:p>
        </c:txPr>
        <c:crossAx val="33224612"/>
        <c:crosses val="autoZero"/>
        <c:crossBetween val="midCat"/>
      </c:valAx>
      <c:spPr>
        <a:noFill/>
        <a:ln>
          <a:noFill/>
        </a:ln>
      </c:spPr>
    </c:plotArea>
    <c:plotVisOnly val="1"/>
    <c:dispBlanksAs val="gap"/>
  </c:chart>
  <c:spPr>
    <a:solidFill>
      <a:srgbClr val="ffffff"/>
    </a:solidFill>
    <a:ln w="9360">
      <a:solidFill>
        <a:srgbClr val="d9d9d9"/>
      </a:solidFill>
      <a:round/>
    </a:ln>
  </c:spPr>
</c:chartSpace>
</file>

<file path=word/charts/chart4.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Average expenditure and crime rate in Northern and Southern Regions</a:t>
            </a:r>
          </a:p>
        </c:rich>
      </c:tx>
      <c:overlay val="0"/>
      <c:spPr>
        <a:noFill/>
        <a:ln>
          <a:noFill/>
        </a:ln>
      </c:spPr>
    </c:title>
    <c:autoTitleDeleted val="0"/>
    <c:plotArea>
      <c:barChart>
        <c:barDir val="bar"/>
        <c:grouping val="clustered"/>
        <c:varyColors val="0"/>
        <c:ser>
          <c:idx val="0"/>
          <c:order val="0"/>
          <c:tx>
            <c:strRef>
              <c:f>label 0</c:f>
              <c:strCache>
                <c:ptCount val="1"/>
                <c:pt idx="0">
                  <c:v>Northern</c:v>
                </c:pt>
              </c:strCache>
            </c:strRef>
          </c:tx>
          <c:spPr>
            <a:solidFill>
              <a:srgbClr val="4472c4"/>
            </a:solidFill>
            <a:ln>
              <a:noFill/>
            </a:ln>
          </c:spPr>
          <c:invertIfNegative val="0"/>
          <c:dLbls>
            <c:numFmt formatCode="General" sourceLinked="1"/>
            <c:txPr>
              <a:bodyPr/>
              <a:lstStyle/>
              <a:p>
                <a:pPr>
                  <a:defRPr b="0" sz="900" spc="-1" strike="noStrike">
                    <a:solidFill>
                      <a:srgbClr val="404040"/>
                    </a:solidFill>
                    <a:latin typeface="Calibri"/>
                  </a:defRPr>
                </a:pPr>
              </a:p>
            </c:txPr>
            <c:dLblPos val="outEnd"/>
            <c:showLegendKey val="0"/>
            <c:showVal val="1"/>
            <c:showCatName val="0"/>
            <c:showSerName val="0"/>
            <c:showPercent val="0"/>
            <c:separator>; </c:separator>
            <c:showLeaderLines val="0"/>
          </c:dLbls>
          <c:cat>
            <c:strRef>
              <c:f>categories</c:f>
              <c:strCache>
                <c:ptCount val="2"/>
                <c:pt idx="0">
                  <c:v>Expenditure</c:v>
                </c:pt>
                <c:pt idx="1">
                  <c:v>Crime Rate</c:v>
                </c:pt>
              </c:strCache>
            </c:strRef>
          </c:cat>
          <c:val>
            <c:numRef>
              <c:f>0</c:f>
              <c:numCache>
                <c:formatCode>General</c:formatCode>
                <c:ptCount val="2"/>
                <c:pt idx="0">
                  <c:v>88.62</c:v>
                </c:pt>
                <c:pt idx="1">
                  <c:v>101.98</c:v>
                </c:pt>
              </c:numCache>
            </c:numRef>
          </c:val>
        </c:ser>
        <c:ser>
          <c:idx val="1"/>
          <c:order val="1"/>
          <c:tx>
            <c:strRef>
              <c:f>label 1</c:f>
              <c:strCache>
                <c:ptCount val="1"/>
                <c:pt idx="0">
                  <c:v>Southern</c:v>
                </c:pt>
              </c:strCache>
            </c:strRef>
          </c:tx>
          <c:spPr>
            <a:solidFill>
              <a:srgbClr val="ed7d31"/>
            </a:solidFill>
            <a:ln>
              <a:noFill/>
            </a:ln>
          </c:spPr>
          <c:invertIfNegative val="0"/>
          <c:dLbls>
            <c:numFmt formatCode="General" sourceLinked="1"/>
            <c:txPr>
              <a:bodyPr/>
              <a:lstStyle/>
              <a:p>
                <a:pPr>
                  <a:defRPr b="0" sz="900" spc="-1" strike="noStrike">
                    <a:solidFill>
                      <a:srgbClr val="404040"/>
                    </a:solidFill>
                    <a:latin typeface="Calibri"/>
                  </a:defRPr>
                </a:pPr>
              </a:p>
            </c:txPr>
            <c:dLblPos val="outEnd"/>
            <c:showLegendKey val="0"/>
            <c:showVal val="1"/>
            <c:showCatName val="0"/>
            <c:showSerName val="0"/>
            <c:showPercent val="0"/>
            <c:separator>; </c:separator>
            <c:showLeaderLines val="0"/>
          </c:dLbls>
          <c:cat>
            <c:strRef>
              <c:f>categories</c:f>
              <c:strCache>
                <c:ptCount val="2"/>
                <c:pt idx="0">
                  <c:v>Expenditure</c:v>
                </c:pt>
                <c:pt idx="1">
                  <c:v>Crime Rate</c:v>
                </c:pt>
              </c:strCache>
            </c:strRef>
          </c:cat>
          <c:val>
            <c:numRef>
              <c:f>1</c:f>
              <c:numCache>
                <c:formatCode>General</c:formatCode>
                <c:ptCount val="2"/>
                <c:pt idx="0">
                  <c:v>69.75</c:v>
                </c:pt>
                <c:pt idx="1">
                  <c:v>100.68</c:v>
                </c:pt>
              </c:numCache>
            </c:numRef>
          </c:val>
        </c:ser>
        <c:gapWidth val="182"/>
        <c:overlap val="0"/>
        <c:axId val="91940670"/>
        <c:axId val="46972"/>
      </c:barChart>
      <c:catAx>
        <c:axId val="91940670"/>
        <c:scaling>
          <c:orientation val="minMax"/>
        </c:scaling>
        <c:delete val="0"/>
        <c:axPos val="b"/>
        <c:title>
          <c:tx>
            <c:rich>
              <a:bodyPr rot="-5400000"/>
              <a:lstStyle/>
              <a:p>
                <a:pPr>
                  <a:defRPr b="0" sz="1000" spc="-1" strike="noStrike">
                    <a:solidFill>
                      <a:srgbClr val="595959"/>
                    </a:solidFill>
                    <a:latin typeface="Calibri"/>
                  </a:defRPr>
                </a:pPr>
                <a:r>
                  <a:rPr b="0" sz="1000" spc="-1" strike="noStrike">
                    <a:solidFill>
                      <a:srgbClr val="595959"/>
                    </a:solidFill>
                    <a:latin typeface="Calibri"/>
                  </a:rPr>
                  <a:t>Expenditure and Crime rate</a:t>
                </a:r>
              </a:p>
            </c:rich>
          </c:tx>
          <c:overlay val="0"/>
          <c:spPr>
            <a:noFill/>
            <a:ln>
              <a:noFill/>
            </a:ln>
          </c:spPr>
        </c:title>
        <c:numFmt formatCode="[$-809]DD/MM/YYYY" sourceLinked="1"/>
        <c:majorTickMark val="none"/>
        <c:minorTickMark val="none"/>
        <c:tickLblPos val="nextTo"/>
        <c:spPr>
          <a:ln w="9360">
            <a:solidFill>
              <a:srgbClr val="d9d9d9"/>
            </a:solidFill>
            <a:round/>
          </a:ln>
        </c:spPr>
        <c:txPr>
          <a:bodyPr/>
          <a:lstStyle/>
          <a:p>
            <a:pPr>
              <a:defRPr b="0" sz="900" spc="-1" strike="noStrike">
                <a:solidFill>
                  <a:srgbClr val="595959"/>
                </a:solidFill>
                <a:latin typeface="Calibri"/>
              </a:defRPr>
            </a:pPr>
          </a:p>
        </c:txPr>
        <c:crossAx val="46972"/>
        <c:crosses val="autoZero"/>
        <c:auto val="1"/>
        <c:lblAlgn val="ctr"/>
        <c:lblOffset val="100"/>
      </c:catAx>
      <c:valAx>
        <c:axId val="46972"/>
        <c:scaling>
          <c:orientation val="minMax"/>
        </c:scaling>
        <c:delete val="0"/>
        <c:axPos val="l"/>
        <c:majorGridlines>
          <c:spPr>
            <a:ln w="9360">
              <a:solidFill>
                <a:srgbClr val="d9d9d9"/>
              </a:solidFill>
              <a:round/>
            </a:ln>
          </c:spPr>
        </c:majorGridlines>
        <c:title>
          <c:tx>
            <c:rich>
              <a:bodyPr rot="0"/>
              <a:lstStyle/>
              <a:p>
                <a:pPr>
                  <a:defRPr b="0" sz="1000" spc="-1" strike="noStrike">
                    <a:solidFill>
                      <a:srgbClr val="595959"/>
                    </a:solidFill>
                    <a:latin typeface="Calibri"/>
                  </a:defRPr>
                </a:pPr>
                <a:r>
                  <a:rPr b="0" sz="1000" spc="-1" strike="noStrike">
                    <a:solidFill>
                      <a:srgbClr val="595959"/>
                    </a:solidFill>
                    <a:latin typeface="Calibri"/>
                  </a:rPr>
                  <a:t>Region</a:t>
                </a:r>
              </a:p>
            </c:rich>
          </c:tx>
          <c:overlay val="0"/>
          <c:spPr>
            <a:noFill/>
            <a:ln>
              <a:noFill/>
            </a:ln>
          </c:spPr>
        </c:title>
        <c:numFmt formatCode="General" sourceLinked="0"/>
        <c:majorTickMark val="none"/>
        <c:minorTickMark val="none"/>
        <c:tickLblPos val="nextTo"/>
        <c:spPr>
          <a:ln w="6480">
            <a:noFill/>
          </a:ln>
        </c:spPr>
        <c:txPr>
          <a:bodyPr/>
          <a:lstStyle/>
          <a:p>
            <a:pPr>
              <a:defRPr b="0" sz="900" spc="-1" strike="noStrike">
                <a:solidFill>
                  <a:srgbClr val="595959"/>
                </a:solidFill>
                <a:latin typeface="Calibri"/>
              </a:defRPr>
            </a:pPr>
          </a:p>
        </c:txPr>
        <c:crossAx val="91940670"/>
        <c:crosses val="autoZero"/>
      </c:valAx>
      <c:spPr>
        <a:noFill/>
        <a:ln>
          <a:noFill/>
        </a:ln>
      </c:spPr>
    </c:plotArea>
    <c:legend>
      <c:legendPos val="b"/>
      <c:overlay val="0"/>
      <c:spPr>
        <a:noFill/>
        <a:ln>
          <a:noFill/>
        </a:ln>
      </c:spPr>
      <c:txPr>
        <a:bodyPr/>
        <a:lstStyle/>
        <a:p>
          <a:pPr>
            <a:defRPr b="0" sz="900" spc="-1" strike="noStrike">
              <a:solidFill>
                <a:srgbClr val="595959"/>
              </a:solidFill>
              <a:latin typeface="Calibri"/>
            </a:defRPr>
          </a:pPr>
        </a:p>
      </c:txPr>
    </c:legend>
    <c:plotVisOnly val="1"/>
    <c:dispBlanksAs val="gap"/>
  </c:chart>
  <c:spPr>
    <a:solidFill>
      <a:srgbClr val="ffffff"/>
    </a:solidFill>
    <a:ln w="9360">
      <a:solidFill>
        <a:srgbClr val="d9d9d9"/>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6820D-ADF1-404E-9673-52B24A6BC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Application>Trio_Office/6.2.8.2$Windows_x86 LibreOffice_project/</Application>
  <Pages>9</Pages>
  <Words>624</Words>
  <Characters>3252</Characters>
  <CharactersWithSpaces>3862</CharactersWithSpaces>
  <Paragraphs>33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2022-05-13T19:19:00Z</dcterms:created>
  <dc:creator>user</dc:creator>
  <dc:description/>
  <dc:language>en-GB</dc:language>
  <cp:lastModifiedBy/>
  <dcterms:modified xsi:type="dcterms:W3CDTF">2022-05-13T22:48:19Z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