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A5B1532" w14:textId="3EFEC285" w:rsidR="00C90CD6" w:rsidRDefault="00BC6FB5" w:rsidP="00BC6FB5">
      <w:pPr>
        <w:pStyle w:val="Title"/>
      </w:pPr>
      <w:r>
        <w:t>Commentary on Historical Particularism</w:t>
      </w:r>
    </w:p>
    <w:p w14:paraId="4E792FDF" w14:textId="7F881D64" w:rsidR="00BC6FB5" w:rsidRDefault="00BC6FB5" w:rsidP="00BC6FB5"/>
    <w:p w14:paraId="23DC926C" w14:textId="6D0DB256" w:rsidR="00B70C87" w:rsidRPr="008C7D4A" w:rsidRDefault="00B70C87" w:rsidP="00BC6FB5">
      <w:pPr>
        <w:rPr>
          <w:sz w:val="24"/>
          <w:szCs w:val="24"/>
        </w:rPr>
      </w:pPr>
      <w:r w:rsidRPr="008C7D4A">
        <w:rPr>
          <w:sz w:val="24"/>
          <w:szCs w:val="24"/>
        </w:rPr>
        <w:t>As a discipline, anthropology has many different schools of thought</w:t>
      </w:r>
      <w:r w:rsidR="000627B1" w:rsidRPr="008C7D4A">
        <w:rPr>
          <w:sz w:val="24"/>
          <w:szCs w:val="24"/>
        </w:rPr>
        <w:t xml:space="preserve">; some trying to rationalise things with hard empirical evidence and using objective scientific </w:t>
      </w:r>
      <w:r w:rsidR="008C7D4A" w:rsidRPr="008C7D4A">
        <w:rPr>
          <w:sz w:val="24"/>
          <w:szCs w:val="24"/>
        </w:rPr>
        <w:t>whilst o</w:t>
      </w:r>
      <w:r w:rsidR="000627B1" w:rsidRPr="008C7D4A">
        <w:rPr>
          <w:sz w:val="24"/>
          <w:szCs w:val="24"/>
        </w:rPr>
        <w:t xml:space="preserve">ther methods seek to have a perspective that sits more in a ‘grey area’ </w:t>
      </w:r>
      <w:r w:rsidR="008C7D4A" w:rsidRPr="008C7D4A">
        <w:rPr>
          <w:sz w:val="24"/>
          <w:szCs w:val="24"/>
        </w:rPr>
        <w:t>without hard categorical borders</w:t>
      </w:r>
      <w:r w:rsidR="000627B1" w:rsidRPr="008C7D4A">
        <w:rPr>
          <w:sz w:val="24"/>
          <w:szCs w:val="24"/>
        </w:rPr>
        <w:t>.</w:t>
      </w:r>
    </w:p>
    <w:p w14:paraId="25A1A473" w14:textId="6391B56A" w:rsidR="000627B1" w:rsidRPr="008C7D4A" w:rsidRDefault="000627B1" w:rsidP="00BC6FB5">
      <w:pPr>
        <w:rPr>
          <w:sz w:val="24"/>
          <w:szCs w:val="24"/>
        </w:rPr>
      </w:pPr>
      <w:r w:rsidRPr="008C7D4A">
        <w:rPr>
          <w:sz w:val="24"/>
          <w:szCs w:val="24"/>
        </w:rPr>
        <w:t xml:space="preserve">In the case of Historical Particularism, one of the main people associated with the </w:t>
      </w:r>
      <w:r w:rsidR="00A923BA" w:rsidRPr="008C7D4A">
        <w:rPr>
          <w:sz w:val="24"/>
          <w:szCs w:val="24"/>
        </w:rPr>
        <w:t xml:space="preserve">school of thought </w:t>
      </w:r>
      <w:r w:rsidRPr="008C7D4A">
        <w:rPr>
          <w:sz w:val="24"/>
          <w:szCs w:val="24"/>
        </w:rPr>
        <w:t>is Franz Boas</w:t>
      </w:r>
      <w:r w:rsidR="00A923BA" w:rsidRPr="008C7D4A">
        <w:rPr>
          <w:sz w:val="24"/>
          <w:szCs w:val="24"/>
        </w:rPr>
        <w:t xml:space="preserve">. </w:t>
      </w:r>
      <w:r w:rsidR="000E6923" w:rsidRPr="008C7D4A">
        <w:rPr>
          <w:sz w:val="24"/>
          <w:szCs w:val="24"/>
        </w:rPr>
        <w:t>The Encyclopaedia of Social and Cultural Anthropology defines th</w:t>
      </w:r>
      <w:r w:rsidR="0022688B">
        <w:rPr>
          <w:sz w:val="24"/>
          <w:szCs w:val="24"/>
        </w:rPr>
        <w:t>is</w:t>
      </w:r>
      <w:r w:rsidR="000E6923" w:rsidRPr="008C7D4A">
        <w:rPr>
          <w:sz w:val="24"/>
          <w:szCs w:val="24"/>
        </w:rPr>
        <w:t xml:space="preserve"> school as anthropologists seeking to “reconstruct the particular histories of different cultural items, rather than attempt to place them in grand, usually evolutionary or diffusionist, theoretical frameworks” </w:t>
      </w:r>
      <w:sdt>
        <w:sdtPr>
          <w:rPr>
            <w:sz w:val="24"/>
            <w:szCs w:val="24"/>
          </w:rPr>
          <w:id w:val="119112154"/>
          <w:citation/>
        </w:sdtPr>
        <w:sdtContent>
          <w:r w:rsidR="000E6923" w:rsidRPr="008C7D4A">
            <w:rPr>
              <w:sz w:val="24"/>
              <w:szCs w:val="24"/>
            </w:rPr>
            <w:fldChar w:fldCharType="begin"/>
          </w:r>
          <w:r w:rsidR="000E6923" w:rsidRPr="008C7D4A">
            <w:rPr>
              <w:sz w:val="24"/>
              <w:szCs w:val="24"/>
            </w:rPr>
            <w:instrText xml:space="preserve">CITATION Ala96 \p 909 \l 2057 </w:instrText>
          </w:r>
          <w:r w:rsidR="000E6923" w:rsidRPr="008C7D4A">
            <w:rPr>
              <w:sz w:val="24"/>
              <w:szCs w:val="24"/>
            </w:rPr>
            <w:fldChar w:fldCharType="separate"/>
          </w:r>
          <w:r w:rsidR="000E6923" w:rsidRPr="008C7D4A">
            <w:rPr>
              <w:noProof/>
              <w:sz w:val="24"/>
              <w:szCs w:val="24"/>
            </w:rPr>
            <w:t>(Barnard &amp; Spencer, 1996, p. 909)</w:t>
          </w:r>
          <w:r w:rsidR="000E6923" w:rsidRPr="008C7D4A">
            <w:rPr>
              <w:sz w:val="24"/>
              <w:szCs w:val="24"/>
            </w:rPr>
            <w:fldChar w:fldCharType="end"/>
          </w:r>
        </w:sdtContent>
      </w:sdt>
      <w:r w:rsidR="000E6923" w:rsidRPr="008C7D4A">
        <w:rPr>
          <w:sz w:val="24"/>
          <w:szCs w:val="24"/>
        </w:rPr>
        <w:t xml:space="preserve">; with Encyclopaedia Britannica expanding on the definition by adding </w:t>
      </w:r>
      <w:r w:rsidR="00AE4CDA" w:rsidRPr="008C7D4A">
        <w:rPr>
          <w:sz w:val="24"/>
          <w:szCs w:val="24"/>
        </w:rPr>
        <w:t xml:space="preserve">“Boas’ own work emphasised studies of individual cultures, each based on its unique history” </w:t>
      </w:r>
      <w:sdt>
        <w:sdtPr>
          <w:rPr>
            <w:sz w:val="24"/>
            <w:szCs w:val="24"/>
          </w:rPr>
          <w:id w:val="-1470122661"/>
          <w:citation/>
        </w:sdtPr>
        <w:sdtContent>
          <w:r w:rsidR="00AE4CDA" w:rsidRPr="008C7D4A">
            <w:rPr>
              <w:sz w:val="24"/>
              <w:szCs w:val="24"/>
            </w:rPr>
            <w:fldChar w:fldCharType="begin"/>
          </w:r>
          <w:r w:rsidR="00AE4CDA" w:rsidRPr="008C7D4A">
            <w:rPr>
              <w:sz w:val="24"/>
              <w:szCs w:val="24"/>
            </w:rPr>
            <w:instrText xml:space="preserve">CITATION Enc20 \n  \l 2057 </w:instrText>
          </w:r>
          <w:r w:rsidR="00AE4CDA" w:rsidRPr="008C7D4A">
            <w:rPr>
              <w:sz w:val="24"/>
              <w:szCs w:val="24"/>
            </w:rPr>
            <w:fldChar w:fldCharType="separate"/>
          </w:r>
          <w:r w:rsidR="00AE4CDA" w:rsidRPr="008C7D4A">
            <w:rPr>
              <w:noProof/>
              <w:sz w:val="24"/>
              <w:szCs w:val="24"/>
            </w:rPr>
            <w:t>(Particularism, 2020)</w:t>
          </w:r>
          <w:r w:rsidR="00AE4CDA" w:rsidRPr="008C7D4A">
            <w:rPr>
              <w:sz w:val="24"/>
              <w:szCs w:val="24"/>
            </w:rPr>
            <w:fldChar w:fldCharType="end"/>
          </w:r>
        </w:sdtContent>
      </w:sdt>
      <w:r w:rsidR="00AE4CDA" w:rsidRPr="008C7D4A">
        <w:rPr>
          <w:sz w:val="24"/>
          <w:szCs w:val="24"/>
        </w:rPr>
        <w:t>. Looking at these two definitions from a modern perspective, this seems like a very good school of thought as it gives other cultures the specific attention they deserve when it comes to studying them; they are studied not through the lens of comparison to European and American development but rather through their own criteria based on their locale</w:t>
      </w:r>
      <w:r w:rsidR="008C7D4A">
        <w:rPr>
          <w:sz w:val="24"/>
          <w:szCs w:val="24"/>
        </w:rPr>
        <w:t xml:space="preserve"> and own histories</w:t>
      </w:r>
      <w:r w:rsidR="00AE4CDA" w:rsidRPr="008C7D4A">
        <w:rPr>
          <w:sz w:val="24"/>
          <w:szCs w:val="24"/>
        </w:rPr>
        <w:t xml:space="preserve">. </w:t>
      </w:r>
      <w:r w:rsidR="00574357" w:rsidRPr="008C7D4A">
        <w:rPr>
          <w:sz w:val="24"/>
          <w:szCs w:val="24"/>
        </w:rPr>
        <w:t xml:space="preserve">This was running in complete contrast to other </w:t>
      </w:r>
      <w:r w:rsidR="0022688B">
        <w:rPr>
          <w:sz w:val="24"/>
          <w:szCs w:val="24"/>
        </w:rPr>
        <w:t xml:space="preserve">prominent </w:t>
      </w:r>
      <w:r w:rsidR="00574357" w:rsidRPr="008C7D4A">
        <w:rPr>
          <w:sz w:val="24"/>
          <w:szCs w:val="24"/>
        </w:rPr>
        <w:t xml:space="preserve">schools of thought </w:t>
      </w:r>
      <w:r w:rsidR="0022688B">
        <w:rPr>
          <w:sz w:val="24"/>
          <w:szCs w:val="24"/>
        </w:rPr>
        <w:t xml:space="preserve">of the time </w:t>
      </w:r>
      <w:r w:rsidR="00574357" w:rsidRPr="008C7D4A">
        <w:rPr>
          <w:sz w:val="24"/>
          <w:szCs w:val="24"/>
        </w:rPr>
        <w:t>which sought to classify anthropolog</w:t>
      </w:r>
      <w:r w:rsidR="0022688B">
        <w:rPr>
          <w:sz w:val="24"/>
          <w:szCs w:val="24"/>
        </w:rPr>
        <w:t>ical data</w:t>
      </w:r>
      <w:r w:rsidR="00DA3487" w:rsidRPr="008C7D4A">
        <w:rPr>
          <w:sz w:val="24"/>
          <w:szCs w:val="24"/>
        </w:rPr>
        <w:t>,</w:t>
      </w:r>
      <w:r w:rsidR="00574357" w:rsidRPr="008C7D4A">
        <w:rPr>
          <w:sz w:val="24"/>
          <w:szCs w:val="24"/>
        </w:rPr>
        <w:t xml:space="preserve"> like a science, with hard set categories filled with</w:t>
      </w:r>
      <w:r w:rsidR="008C7D4A">
        <w:rPr>
          <w:sz w:val="24"/>
          <w:szCs w:val="24"/>
        </w:rPr>
        <w:t xml:space="preserve"> </w:t>
      </w:r>
      <w:r w:rsidR="00574357" w:rsidRPr="008C7D4A">
        <w:rPr>
          <w:sz w:val="24"/>
          <w:szCs w:val="24"/>
        </w:rPr>
        <w:t>objectiv</w:t>
      </w:r>
      <w:r w:rsidR="0022688B">
        <w:rPr>
          <w:sz w:val="24"/>
          <w:szCs w:val="24"/>
        </w:rPr>
        <w:t>e</w:t>
      </w:r>
      <w:r w:rsidR="00574357" w:rsidRPr="008C7D4A">
        <w:rPr>
          <w:sz w:val="24"/>
          <w:szCs w:val="24"/>
        </w:rPr>
        <w:t xml:space="preserve"> study</w:t>
      </w:r>
      <w:r w:rsidR="0022688B">
        <w:rPr>
          <w:sz w:val="24"/>
          <w:szCs w:val="24"/>
        </w:rPr>
        <w:t xml:space="preserve"> that was the pride of contemporary science at the time; despite Boas himself being “trained in Germany when the radical empiricist movement in the natural sciences was flourishing” </w:t>
      </w:r>
      <w:sdt>
        <w:sdtPr>
          <w:rPr>
            <w:sz w:val="24"/>
            <w:szCs w:val="24"/>
          </w:rPr>
          <w:id w:val="315692625"/>
          <w:citation/>
        </w:sdtPr>
        <w:sdtContent>
          <w:r w:rsidR="0022688B">
            <w:rPr>
              <w:sz w:val="24"/>
              <w:szCs w:val="24"/>
            </w:rPr>
            <w:fldChar w:fldCharType="begin"/>
          </w:r>
          <w:r w:rsidR="0022688B">
            <w:rPr>
              <w:sz w:val="24"/>
              <w:szCs w:val="24"/>
            </w:rPr>
            <w:instrText xml:space="preserve">CITATION Wax56 \p 63 \l 2057 </w:instrText>
          </w:r>
          <w:r w:rsidR="0022688B">
            <w:rPr>
              <w:sz w:val="24"/>
              <w:szCs w:val="24"/>
            </w:rPr>
            <w:fldChar w:fldCharType="separate"/>
          </w:r>
          <w:r w:rsidR="0022688B" w:rsidRPr="0022688B">
            <w:rPr>
              <w:noProof/>
              <w:sz w:val="24"/>
              <w:szCs w:val="24"/>
            </w:rPr>
            <w:t>(Wax, 1956, p. 63)</w:t>
          </w:r>
          <w:r w:rsidR="0022688B">
            <w:rPr>
              <w:sz w:val="24"/>
              <w:szCs w:val="24"/>
            </w:rPr>
            <w:fldChar w:fldCharType="end"/>
          </w:r>
        </w:sdtContent>
      </w:sdt>
      <w:r w:rsidR="0022688B">
        <w:rPr>
          <w:sz w:val="24"/>
          <w:szCs w:val="24"/>
        </w:rPr>
        <w:t>. This rejection of overbearing empiricism aided anthropology flourish with qualitative data instead of shallow quantitative data used to compare groups in separate, arbitrary categories defined by science.</w:t>
      </w:r>
    </w:p>
    <w:p w14:paraId="333B7CEF" w14:textId="462EAA19" w:rsidR="00574357" w:rsidRPr="008C7D4A" w:rsidRDefault="00315422" w:rsidP="00BC6FB5">
      <w:pPr>
        <w:rPr>
          <w:sz w:val="24"/>
          <w:szCs w:val="24"/>
        </w:rPr>
      </w:pPr>
      <w:r w:rsidRPr="008C7D4A">
        <w:rPr>
          <w:sz w:val="24"/>
          <w:szCs w:val="24"/>
        </w:rPr>
        <w:t xml:space="preserve">On the other hand, for all the benefit that specificity can bring in terms of qualitative data, Boas is argued to have a more fundamental issue in that he was almost too individualist. In a discussion about </w:t>
      </w:r>
      <w:r w:rsidR="00CA64AC" w:rsidRPr="008C7D4A">
        <w:rPr>
          <w:sz w:val="24"/>
          <w:szCs w:val="24"/>
        </w:rPr>
        <w:t>this issue</w:t>
      </w:r>
      <w:r w:rsidRPr="008C7D4A">
        <w:rPr>
          <w:sz w:val="24"/>
          <w:szCs w:val="24"/>
        </w:rPr>
        <w:t>, John Buettner-</w:t>
      </w:r>
      <w:proofErr w:type="spellStart"/>
      <w:r w:rsidRPr="008C7D4A">
        <w:rPr>
          <w:sz w:val="24"/>
          <w:szCs w:val="24"/>
        </w:rPr>
        <w:t>Janusch</w:t>
      </w:r>
      <w:proofErr w:type="spellEnd"/>
      <w:r w:rsidRPr="008C7D4A">
        <w:rPr>
          <w:sz w:val="24"/>
          <w:szCs w:val="24"/>
        </w:rPr>
        <w:t xml:space="preserve"> highlights that “Boas’ pass</w:t>
      </w:r>
      <w:r w:rsidR="00CA64AC" w:rsidRPr="008C7D4A">
        <w:rPr>
          <w:sz w:val="24"/>
          <w:szCs w:val="24"/>
        </w:rPr>
        <w:t>io</w:t>
      </w:r>
      <w:r w:rsidRPr="008C7D4A">
        <w:rPr>
          <w:sz w:val="24"/>
          <w:szCs w:val="24"/>
        </w:rPr>
        <w:t xml:space="preserve">n for the individual phenomenon, the dislike of categories, classifications and ‘abstractions of the individual’ were quite different from the view of science” </w:t>
      </w:r>
      <w:sdt>
        <w:sdtPr>
          <w:rPr>
            <w:sz w:val="24"/>
            <w:szCs w:val="24"/>
          </w:rPr>
          <w:id w:val="2090654606"/>
          <w:citation/>
        </w:sdtPr>
        <w:sdtContent>
          <w:r w:rsidRPr="008C7D4A">
            <w:rPr>
              <w:sz w:val="24"/>
              <w:szCs w:val="24"/>
            </w:rPr>
            <w:fldChar w:fldCharType="begin"/>
          </w:r>
          <w:r w:rsidRPr="008C7D4A">
            <w:rPr>
              <w:sz w:val="24"/>
              <w:szCs w:val="24"/>
            </w:rPr>
            <w:instrText xml:space="preserve">CITATION Bue57 \p 322 \l 2057 </w:instrText>
          </w:r>
          <w:r w:rsidRPr="008C7D4A">
            <w:rPr>
              <w:sz w:val="24"/>
              <w:szCs w:val="24"/>
            </w:rPr>
            <w:fldChar w:fldCharType="separate"/>
          </w:r>
          <w:r w:rsidRPr="008C7D4A">
            <w:rPr>
              <w:noProof/>
              <w:sz w:val="24"/>
              <w:szCs w:val="24"/>
            </w:rPr>
            <w:t>(Buettner-Janusch, 1957, p. 322)</w:t>
          </w:r>
          <w:r w:rsidRPr="008C7D4A">
            <w:rPr>
              <w:sz w:val="24"/>
              <w:szCs w:val="24"/>
            </w:rPr>
            <w:fldChar w:fldCharType="end"/>
          </w:r>
        </w:sdtContent>
      </w:sdt>
      <w:r w:rsidRPr="008C7D4A">
        <w:rPr>
          <w:sz w:val="24"/>
          <w:szCs w:val="24"/>
        </w:rPr>
        <w:t xml:space="preserve">. </w:t>
      </w:r>
      <w:r w:rsidR="00CA64AC" w:rsidRPr="008C7D4A">
        <w:rPr>
          <w:sz w:val="24"/>
          <w:szCs w:val="24"/>
        </w:rPr>
        <w:t xml:space="preserve">For a discipline which seeks to study </w:t>
      </w:r>
      <w:r w:rsidR="00AC5079" w:rsidRPr="008C7D4A">
        <w:rPr>
          <w:sz w:val="24"/>
          <w:szCs w:val="24"/>
        </w:rPr>
        <w:t>all</w:t>
      </w:r>
      <w:r w:rsidR="00CA64AC" w:rsidRPr="008C7D4A">
        <w:rPr>
          <w:sz w:val="24"/>
          <w:szCs w:val="24"/>
        </w:rPr>
        <w:t xml:space="preserve"> people</w:t>
      </w:r>
      <w:r w:rsidR="00AC5079" w:rsidRPr="008C7D4A">
        <w:rPr>
          <w:sz w:val="24"/>
          <w:szCs w:val="24"/>
        </w:rPr>
        <w:t>s</w:t>
      </w:r>
      <w:r w:rsidR="00CA64AC" w:rsidRPr="008C7D4A">
        <w:rPr>
          <w:sz w:val="24"/>
          <w:szCs w:val="24"/>
        </w:rPr>
        <w:t xml:space="preserve">, some degree of broad classification will greatly aid and prevent terms and concepts being stuck in a theoretical ether where everyone has a slightly different interpretation. </w:t>
      </w:r>
      <w:r w:rsidR="00AC5079" w:rsidRPr="008C7D4A">
        <w:rPr>
          <w:sz w:val="24"/>
          <w:szCs w:val="24"/>
        </w:rPr>
        <w:t xml:space="preserve">His dislike of broad statements and categories is highlighted again, by Murray Wax, with the observation that “as a </w:t>
      </w:r>
      <w:r w:rsidR="00AC5079" w:rsidRPr="008C7D4A">
        <w:rPr>
          <w:i/>
          <w:iCs/>
          <w:sz w:val="24"/>
          <w:szCs w:val="24"/>
        </w:rPr>
        <w:t>generalisation</w:t>
      </w:r>
      <w:r w:rsidR="00AC5079" w:rsidRPr="008C7D4A">
        <w:rPr>
          <w:sz w:val="24"/>
          <w:szCs w:val="24"/>
        </w:rPr>
        <w:t xml:space="preserve"> it was wholly false and should no longer receive any respect whatsoever from the scientist” </w:t>
      </w:r>
      <w:sdt>
        <w:sdtPr>
          <w:rPr>
            <w:sz w:val="24"/>
            <w:szCs w:val="24"/>
          </w:rPr>
          <w:id w:val="-1697919439"/>
          <w:citation/>
        </w:sdtPr>
        <w:sdtContent>
          <w:r w:rsidR="00AC5079" w:rsidRPr="008C7D4A">
            <w:rPr>
              <w:sz w:val="24"/>
              <w:szCs w:val="24"/>
            </w:rPr>
            <w:fldChar w:fldCharType="begin"/>
          </w:r>
          <w:r w:rsidR="00AC5079" w:rsidRPr="008C7D4A">
            <w:rPr>
              <w:sz w:val="24"/>
              <w:szCs w:val="24"/>
            </w:rPr>
            <w:instrText xml:space="preserve">CITATION Wax56 \p 63 \l 2057 </w:instrText>
          </w:r>
          <w:r w:rsidR="00AC5079" w:rsidRPr="008C7D4A">
            <w:rPr>
              <w:sz w:val="24"/>
              <w:szCs w:val="24"/>
            </w:rPr>
            <w:fldChar w:fldCharType="separate"/>
          </w:r>
          <w:r w:rsidR="00AC5079" w:rsidRPr="008C7D4A">
            <w:rPr>
              <w:noProof/>
              <w:sz w:val="24"/>
              <w:szCs w:val="24"/>
            </w:rPr>
            <w:t>(Wax, 1956, p. 63)</w:t>
          </w:r>
          <w:r w:rsidR="00AC5079" w:rsidRPr="008C7D4A">
            <w:rPr>
              <w:sz w:val="24"/>
              <w:szCs w:val="24"/>
            </w:rPr>
            <w:fldChar w:fldCharType="end"/>
          </w:r>
        </w:sdtContent>
      </w:sdt>
      <w:r w:rsidR="00AC5079" w:rsidRPr="008C7D4A">
        <w:rPr>
          <w:sz w:val="24"/>
          <w:szCs w:val="24"/>
        </w:rPr>
        <w:t xml:space="preserve">. </w:t>
      </w:r>
      <w:r w:rsidR="008C7D4A">
        <w:rPr>
          <w:sz w:val="24"/>
          <w:szCs w:val="24"/>
        </w:rPr>
        <w:t xml:space="preserve">This strong, personal aversion to generalised theories can possibly be a detriment to the school as it could prevent them from publishing findings that are considered ‘too general’ but could be very insightful or useful to the wider academic community. </w:t>
      </w:r>
    </w:p>
    <w:p w14:paraId="4B21ECD1" w14:textId="39E4A7BA" w:rsidR="00DA3487" w:rsidRPr="008C7D4A" w:rsidRDefault="00DA3487" w:rsidP="00BC6FB5">
      <w:pPr>
        <w:rPr>
          <w:sz w:val="24"/>
          <w:szCs w:val="24"/>
        </w:rPr>
      </w:pPr>
      <w:r w:rsidRPr="008C7D4A">
        <w:rPr>
          <w:sz w:val="24"/>
          <w:szCs w:val="24"/>
        </w:rPr>
        <w:t>Historical Particularism as a school of thought provides the focus on qualitative data when conducting specific ethnographic research, with each topic of study being considered in situ</w:t>
      </w:r>
      <w:r w:rsidR="008C7D4A" w:rsidRPr="008C7D4A">
        <w:rPr>
          <w:sz w:val="24"/>
          <w:szCs w:val="24"/>
        </w:rPr>
        <w:t xml:space="preserve">. But simultaneously, this intense focus on individuality can make wider application of the </w:t>
      </w:r>
      <w:r w:rsidR="008C7D4A" w:rsidRPr="008C7D4A">
        <w:rPr>
          <w:sz w:val="24"/>
          <w:szCs w:val="24"/>
        </w:rPr>
        <w:lastRenderedPageBreak/>
        <w:t>findings difficult if they are overly focused on one single aspect in one single culture or group.</w:t>
      </w:r>
      <w:bookmarkStart w:id="0" w:name="_GoBack"/>
      <w:bookmarkEnd w:id="0"/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ja-JP"/>
        </w:rPr>
        <w:id w:val="-1150907621"/>
        <w:docPartObj>
          <w:docPartGallery w:val="Bibliographies"/>
          <w:docPartUnique/>
        </w:docPartObj>
      </w:sdtPr>
      <w:sdtEndPr/>
      <w:sdtContent>
        <w:p w14:paraId="6F000E81" w14:textId="30C3F230" w:rsidR="00BC6FB5" w:rsidRDefault="00BC6FB5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7ECC8083" w14:textId="77777777" w:rsidR="00B70C87" w:rsidRDefault="00BC6FB5" w:rsidP="00B70C87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B70C87">
                <w:rPr>
                  <w:noProof/>
                  <w:lang w:val="en-US"/>
                </w:rPr>
                <w:t xml:space="preserve">Barnard, A., &amp; Spencer, J. (Eds.). (1996). </w:t>
              </w:r>
              <w:r w:rsidR="00B70C87">
                <w:rPr>
                  <w:i/>
                  <w:iCs/>
                  <w:noProof/>
                  <w:lang w:val="en-US"/>
                </w:rPr>
                <w:t>Encylopedia of Social and Cultural Anthropology.</w:t>
              </w:r>
              <w:r w:rsidR="00B70C87">
                <w:rPr>
                  <w:noProof/>
                  <w:lang w:val="en-US"/>
                </w:rPr>
                <w:t xml:space="preserve"> London: Routledge.</w:t>
              </w:r>
            </w:p>
            <w:p w14:paraId="066B14C2" w14:textId="77777777" w:rsidR="00B70C87" w:rsidRDefault="00B70C87" w:rsidP="00B70C87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Buettner-Janusch, J. (1957, April). Boas and Mason: Particularism Versus Generalisation. </w:t>
              </w:r>
              <w:r>
                <w:rPr>
                  <w:i/>
                  <w:iCs/>
                  <w:noProof/>
                  <w:lang w:val="en-US"/>
                </w:rPr>
                <w:t>American Anthropologist, 59</w:t>
              </w:r>
              <w:r>
                <w:rPr>
                  <w:noProof/>
                  <w:lang w:val="en-US"/>
                </w:rPr>
                <w:t>(2), 318-324.</w:t>
              </w:r>
            </w:p>
            <w:p w14:paraId="550810FF" w14:textId="77777777" w:rsidR="00B70C87" w:rsidRDefault="00B70C87" w:rsidP="00B70C87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Encyclopaedia Britannica. (2020, February 19). </w:t>
              </w:r>
              <w:r>
                <w:rPr>
                  <w:i/>
                  <w:iCs/>
                  <w:noProof/>
                  <w:lang w:val="en-US"/>
                </w:rPr>
                <w:t>Particularism</w:t>
              </w:r>
              <w:r>
                <w:rPr>
                  <w:noProof/>
                  <w:lang w:val="en-US"/>
                </w:rPr>
                <w:t>. Retrieved from Britannica: https://www.britannica.com/science/particularism-anthropology</w:t>
              </w:r>
            </w:p>
            <w:p w14:paraId="3180DB28" w14:textId="77777777" w:rsidR="00B70C87" w:rsidRDefault="00B70C87" w:rsidP="00B70C87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Wax, M. (1956, February). The Limitations of Boas' Anthropology. </w:t>
              </w:r>
              <w:r>
                <w:rPr>
                  <w:i/>
                  <w:iCs/>
                  <w:noProof/>
                  <w:lang w:val="en-US"/>
                </w:rPr>
                <w:t>American Anthropologist, 58</w:t>
              </w:r>
              <w:r>
                <w:rPr>
                  <w:noProof/>
                  <w:lang w:val="en-US"/>
                </w:rPr>
                <w:t>(1), 63-74.</w:t>
              </w:r>
            </w:p>
            <w:p w14:paraId="70395509" w14:textId="53756C53" w:rsidR="00BC6FB5" w:rsidRDefault="00BC6FB5" w:rsidP="00B70C8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19C18F6" w14:textId="77777777" w:rsidR="00BC6FB5" w:rsidRPr="00BC6FB5" w:rsidRDefault="00BC6FB5" w:rsidP="00BC6FB5"/>
    <w:sectPr w:rsidR="00BC6FB5" w:rsidRPr="00BC6F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6FB5"/>
    <w:rsid w:val="000627B1"/>
    <w:rsid w:val="000E6923"/>
    <w:rsid w:val="0022688B"/>
    <w:rsid w:val="00315422"/>
    <w:rsid w:val="00574357"/>
    <w:rsid w:val="008C7D4A"/>
    <w:rsid w:val="00A6714D"/>
    <w:rsid w:val="00A923BA"/>
    <w:rsid w:val="00AC5079"/>
    <w:rsid w:val="00AE4CDA"/>
    <w:rsid w:val="00B363C8"/>
    <w:rsid w:val="00B70C87"/>
    <w:rsid w:val="00BC6FB5"/>
    <w:rsid w:val="00BE6615"/>
    <w:rsid w:val="00C90CD6"/>
    <w:rsid w:val="00CA64AC"/>
    <w:rsid w:val="00DA34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BF987E"/>
  <w15:chartTrackingRefBased/>
  <w15:docId w15:val="{98C94B5F-952D-41F2-BAC8-BDCCCB1C1E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C6FB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C6FB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6FB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BC6FB5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paragraph" w:styleId="Bibliography">
    <w:name w:val="Bibliography"/>
    <w:basedOn w:val="Normal"/>
    <w:next w:val="Normal"/>
    <w:uiPriority w:val="37"/>
    <w:unhideWhenUsed/>
    <w:rsid w:val="00B70C8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3647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898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190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97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832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9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966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399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849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958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68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062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Bue57</b:Tag>
    <b:SourceType>JournalArticle</b:SourceType>
    <b:Guid>{102B473B-72C9-4250-910E-FE668C22E0A4}</b:Guid>
    <b:Title>Boas and Mason: Particularism Versus Generalisation</b:Title>
    <b:Year>1957</b:Year>
    <b:Author>
      <b:Author>
        <b:NameList>
          <b:Person>
            <b:Last>Buettner-Janusch</b:Last>
            <b:First>John</b:First>
          </b:Person>
        </b:NameList>
      </b:Author>
    </b:Author>
    <b:JournalName>American Anthropologist</b:JournalName>
    <b:Pages>318-324</b:Pages>
    <b:Month>April</b:Month>
    <b:Volume>59</b:Volume>
    <b:Issue>2</b:Issue>
    <b:RefOrder>4</b:RefOrder>
  </b:Source>
  <b:Source>
    <b:Tag>Wax56</b:Tag>
    <b:SourceType>JournalArticle</b:SourceType>
    <b:Guid>{1E805D39-5132-4DC9-9488-3A3BA66CB473}</b:Guid>
    <b:Title>The Limitations of Boas' Anthropology</b:Title>
    <b:Year>1956</b:Year>
    <b:Pages>63-74</b:Pages>
    <b:Author>
      <b:Author>
        <b:NameList>
          <b:Person>
            <b:Last>Wax</b:Last>
            <b:First>Murray</b:First>
          </b:Person>
        </b:NameList>
      </b:Author>
    </b:Author>
    <b:JournalName>American Anthropologist</b:JournalName>
    <b:Month>February</b:Month>
    <b:Volume>58</b:Volume>
    <b:Issue>1</b:Issue>
    <b:RefOrder>3</b:RefOrder>
  </b:Source>
  <b:Source>
    <b:Tag>Enc20</b:Tag>
    <b:SourceType>InternetSite</b:SourceType>
    <b:Guid>{B5A6A029-5ADD-41E8-A3E3-DA49C8376C35}</b:Guid>
    <b:Title>Particularism</b:Title>
    <b:Year>2020</b:Year>
    <b:Month>February</b:Month>
    <b:Day>19</b:Day>
    <b:InternetSiteTitle>Britannica</b:InternetSiteTitle>
    <b:URL>https://www.britannica.com/science/particularism-anthropology</b:URL>
    <b:Author>
      <b:Author>
        <b:Corporate>Encyclopaedia Britannica</b:Corporate>
      </b:Author>
    </b:Author>
    <b:RefOrder>2</b:RefOrder>
  </b:Source>
  <b:Source>
    <b:Tag>Ala96</b:Tag>
    <b:SourceType>Book</b:SourceType>
    <b:Guid>{17847AB2-3265-48BA-9411-67CCE77D8582}</b:Guid>
    <b:Title>Encylopedia of Social and Cultural Anthropology</b:Title>
    <b:Year>1996</b:Year>
    <b:City>London</b:City>
    <b:Publisher>Routledge</b:Publisher>
    <b:Author>
      <b:Editor>
        <b:NameList>
          <b:Person>
            <b:Last>Barnard</b:Last>
            <b:First>Alan</b:First>
          </b:Person>
          <b:Person>
            <b:Last>Spencer</b:Last>
            <b:First>Jonathan</b:First>
          </b:Person>
        </b:NameList>
      </b:Editor>
    </b:Author>
    <b:RefOrder>1</b:RefOrder>
  </b:Source>
</b:Sources>
</file>

<file path=customXml/itemProps1.xml><?xml version="1.0" encoding="utf-8"?>
<ds:datastoreItem xmlns:ds="http://schemas.openxmlformats.org/officeDocument/2006/customXml" ds:itemID="{D6F0917C-F56B-4871-ACFA-AFFAC98B1D5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</TotalTime>
  <Pages>2</Pages>
  <Words>622</Words>
  <Characters>3549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Murray (1900979)</dc:creator>
  <cp:keywords/>
  <dc:description/>
  <cp:lastModifiedBy>Joshua Murray</cp:lastModifiedBy>
  <cp:revision>6</cp:revision>
  <dcterms:created xsi:type="dcterms:W3CDTF">2020-02-19T13:17:00Z</dcterms:created>
  <dcterms:modified xsi:type="dcterms:W3CDTF">2020-02-19T15:32:00Z</dcterms:modified>
</cp:coreProperties>
</file>