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3AED80" w:rsidP="08FAF266" w:rsidRDefault="263AED80" w14:paraId="09CEEA9B" w14:textId="25AD83F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ECEY4001                           2517331                       Word Count 1,008</w:t>
      </w:r>
    </w:p>
    <w:p w:rsidR="263AED80" w:rsidP="08FAF266" w:rsidRDefault="263AED80" w14:paraId="2E5FDBEA" w14:textId="2816A5A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Maslow’s Significance in Understanding Holistic Child Development: A Critical Exploration</w:t>
      </w:r>
    </w:p>
    <w:p w:rsidR="263AED80" w:rsidP="08FAF266" w:rsidRDefault="263AED80" w14:paraId="6923F276" w14:textId="2D73E4D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Introduction</w:t>
      </w:r>
    </w:p>
    <w:p w:rsidR="263AED80" w:rsidP="08FAF266" w:rsidRDefault="263AED80" w14:paraId="452DBEDD" w14:textId="5FDFEA3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Holistic child development requires attention to physical, emotional, cognitive, and social needs. Maslow’s hierarchy of needs (1943; 1954) remains a powerful framework for understanding how unmet needs can hinder growth. In early years practice, Maslow’s model helps practitioners prioritise children’s well‑being before expecting academic achievement. However, to fully appreciate child development, Maslow must be considered alongside other theorists such as Skinner, Bandura, Vygotsky, and Bowlby, who emphasise behaviour, social learning, cultural mediation, and attachment. This essay explores Maslow’s significance, supported by three practical examples from early years settings, mapped to the EYFS statutory framework, and critically analyses his model in relation to other perspectives.</w:t>
      </w:r>
    </w:p>
    <w:p w:rsidR="263AED80" w:rsidP="08FAF266" w:rsidRDefault="263AED80" w14:paraId="1866E4CD" w14:textId="49D7325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Maslow’s Hierarchy of Needs and Child Development</w:t>
      </w:r>
    </w:p>
    <w:p w:rsidR="263AED80" w:rsidP="08FAF266" w:rsidRDefault="263AED80" w14:paraId="777A1ECD" w14:textId="03F8BC3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Maslow’s hierarchy outlines five levels: physiological, safety, love and belonging, esteem, and self‑actualisation. In early years, this means:</w:t>
      </w:r>
    </w:p>
    <w:p w:rsidR="263AED80" w:rsidP="08FAF266" w:rsidRDefault="263AED80" w14:paraId="27128853" w14:textId="149553D9">
      <w:pPr>
        <w:pStyle w:val="ListParagraph"/>
        <w:numPr>
          <w:ilvl w:val="0"/>
          <w:numId w:val="8"/>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Physiological needs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(nutrition, rest) must be met for children to engage in learning.</w:t>
      </w:r>
    </w:p>
    <w:p w:rsidR="263AED80" w:rsidP="08FAF266" w:rsidRDefault="263AED80" w14:paraId="668CF712" w14:textId="2ABEFEA6">
      <w:pPr>
        <w:pStyle w:val="ListParagraph"/>
        <w:numPr>
          <w:ilvl w:val="0"/>
          <w:numId w:val="8"/>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Safety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(secure environments) underpins emotional regulation.</w:t>
      </w:r>
    </w:p>
    <w:p w:rsidR="263AED80" w:rsidP="08FAF266" w:rsidRDefault="263AED80" w14:paraId="4B736AC0" w14:textId="5323AF77">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Belonging</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(relationships, attachment) fosters resilience. </w:t>
      </w:r>
    </w:p>
    <w:p w:rsidR="263AED80" w:rsidP="08FAF266" w:rsidRDefault="263AED80" w14:paraId="373AA9DF" w14:textId="29240EDD">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Esteem</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(recognition, confidence) supports exploration.</w:t>
      </w:r>
    </w:p>
    <w:p w:rsidR="263AED80" w:rsidP="08FAF266" w:rsidRDefault="263AED80" w14:paraId="563A1DA5" w14:textId="296CC3FD">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Self‑actualisation</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reflects creativity and thriving.</w:t>
      </w:r>
    </w:p>
    <w:p w:rsidR="263AED80" w:rsidP="08FAF266" w:rsidRDefault="263AED80" w14:paraId="7AA31DB6" w14:textId="73B742D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Recent scholarship confirms Maslow’s relevance. Main and Whatman (2023) argue that hunger or insecurity undermines concentration, while Else (2025) highlights belonging and resilience as prerequisites for thriving. However, critics note that Maslow’s hierarchy is culturally biased and overly linear (Gladden, 2020). Children may pursue creativity or belonging even when basic needs are unmet, suggesting flexibility is required.</w:t>
      </w:r>
    </w:p>
    <w:p w:rsidR="263AED80" w:rsidP="08FAF266" w:rsidRDefault="263AED80" w14:paraId="55A92771" w14:textId="21A4C08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Example 1: Meeting Basic Needs in Early Years Settings</w:t>
      </w:r>
    </w:p>
    <w:p w:rsidR="263AED80" w:rsidP="08FAF266" w:rsidRDefault="263AED80" w14:paraId="6E756AD6" w14:textId="094D6F7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In nurseries, practitioners often provide </w:t>
      </w: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healthy snacks and rest areas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to ensure physiological needs are met. This reflects Maslow’s lowest tier. Without adequate nutrition or rest, children struggle to engage in play or learning activities (DfE, 2021).</w:t>
      </w:r>
    </w:p>
    <w:p w:rsidR="263AED80" w:rsidP="08FAF266" w:rsidRDefault="263AED80" w14:paraId="663B1B31" w14:textId="1C9AC02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EYFS Link:</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Physical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 ensuring children have opportunities for healthy eating, rest, and exercise.</w:t>
      </w:r>
    </w:p>
    <w:p w:rsidR="263AED80" w:rsidP="08FAF266" w:rsidRDefault="263AED80" w14:paraId="75292C63" w14:textId="38922AD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Skinner’s behaviourist perspective complements this: reinforcement strategies, such as praise for eating or resting, encourage positive routines (Skinner, 1953). However, Maslow goes further by explaining why these routines matter — they form the foundation for higher‑order development. Thus, early years practice demonstrates Maslow’s significance in prioritising basic needs before expecting cognitive or social growth.</w:t>
      </w:r>
    </w:p>
    <w:p w:rsidR="263AED80" w:rsidP="08FAF266" w:rsidRDefault="263AED80" w14:paraId="57FA4923" w14:textId="0804B61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Example 2: Creating Safe and Secure Environments</w:t>
      </w:r>
    </w:p>
    <w:p w:rsidR="263AED80" w:rsidP="08FAF266" w:rsidRDefault="263AED80" w14:paraId="3F667CFF" w14:textId="0B35E8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Safety is critical in early years. Practitioners establish </w:t>
      </w: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consistent routines and safeguarding measures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to help children feel secure. For example, predictable transitions between activities reduce anxiety, enabling children to focus on exploration.</w:t>
      </w:r>
    </w:p>
    <w:p w:rsidR="263AED80" w:rsidP="08FAF266" w:rsidRDefault="263AED80" w14:paraId="511020B5" w14:textId="28F9062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EYFS Link:</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Personal, Social and Emotional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 supporting children to manage feelings, build trust, and develop secure relationships.</w:t>
      </w:r>
    </w:p>
    <w:p w:rsidR="263AED80" w:rsidP="08FAF266" w:rsidRDefault="263AED80" w14:paraId="37B30675" w14:textId="23EAA2C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Bowlby’s attachment theory (1969) reinforces this point: secure attachments with caregivers provide a “safe base” for exploration. Maslow and Bowlby converge here — both stress that emotional security is essential for development. However, Maslow situates safety within a broader motivational hierarchy, while Bowlby focuses specifically on attachment bonds. In practice, combining these perspectives helps practitioners understand both the environmental and relational dimensions of safety.</w:t>
      </w:r>
    </w:p>
    <w:p w:rsidR="263AED80" w:rsidP="08FAF266" w:rsidRDefault="263AED80" w14:paraId="234C4936" w14:textId="633E9C3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Example 3: Promoting Belonging and Esteem through Play</w:t>
      </w:r>
    </w:p>
    <w:p w:rsidR="263AED80" w:rsidP="08FAF266" w:rsidRDefault="263AED80" w14:paraId="04786D47" w14:textId="7F33FE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Play‑based learning fosters belonging and esteem. For instance, </w:t>
      </w: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group storytelling or cooperative play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allows children to feel included and valued. Practitioners who celebrate children’s contributions build confidence and social identity.</w:t>
      </w:r>
    </w:p>
    <w:p w:rsidR="263AED80" w:rsidP="08FAF266" w:rsidRDefault="263AED80" w14:paraId="14A465DB" w14:textId="7C80F77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EYFS Link:</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Communication and Language</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and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Personal, Social and Emotional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 encouraging interaction, collaboration, and recognition of children’s voices.</w:t>
      </w:r>
    </w:p>
    <w:p w:rsidR="263AED80" w:rsidP="08FAF266" w:rsidRDefault="263AED80" w14:paraId="3674F5C1" w14:textId="4FE1A88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Bandura’s social learning theory (1977) explains how children model behaviours observed in peers and adults. Vygotsky (1978) adds that social interaction within the “zone of proximal development” enables children to achieve more with support than alone. Maslow’s belonging and esteem needs align with these theories: children require relationships and recognition to progress. However, while Bandura and Vygotsky emphasise social processes, Maslow highlights the motivational significance of belonging and esteem. Together, they illustrate why inclusive, supportive play is vital in early years practice.</w:t>
      </w:r>
    </w:p>
    <w:p w:rsidR="263AED80" w:rsidP="08FAF266" w:rsidRDefault="263AED80" w14:paraId="7F55B17A" w14:textId="3193192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Critical Analysis of Theories</w:t>
      </w:r>
    </w:p>
    <w:p w:rsidR="263AED80" w:rsidP="08FAF266" w:rsidRDefault="263AED80" w14:paraId="250D7B37" w14:textId="04F85589">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Maslow’s strengths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lie in highlighting the foundational role of needs. However, his hierarchy is criticised for cultural bias and rigidity (Gladden, 2020).</w:t>
      </w:r>
    </w:p>
    <w:p w:rsidR="08FAF266" w:rsidP="08FAF266" w:rsidRDefault="08FAF266" w14:paraId="1E9C5214" w14:textId="16D4856F">
      <w:pPr>
        <w:spacing w:before="0" w:beforeAutospacing="off" w:after="0" w:afterAutospacing="off"/>
        <w:ind w:left="720"/>
        <w:rPr>
          <w:rFonts w:ascii="Aptos" w:hAnsi="Aptos" w:eastAsia="Aptos" w:cs="Aptos"/>
          <w:b w:val="0"/>
          <w:bCs w:val="0"/>
          <w:i w:val="0"/>
          <w:iCs w:val="0"/>
          <w:caps w:val="0"/>
          <w:smallCaps w:val="0"/>
          <w:noProof w:val="0"/>
          <w:color w:val="000000" w:themeColor="text1" w:themeTint="FF" w:themeShade="FF"/>
          <w:sz w:val="28"/>
          <w:szCs w:val="28"/>
          <w:lang w:val="en-US"/>
        </w:rPr>
      </w:pPr>
    </w:p>
    <w:p w:rsidR="263AED80" w:rsidP="08FAF266" w:rsidRDefault="263AED80" w14:paraId="0339947F" w14:textId="38C2109E">
      <w:pPr>
        <w:pStyle w:val="ListParagraph"/>
        <w:numPr>
          <w:ilvl w:val="0"/>
          <w:numId w:val="10"/>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Skinner’s behaviourism</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explains how reinforcement shapes routines, but it neglects internal motivation. Maslow adds depth by considering why behaviours matter for holistic growth.</w:t>
      </w:r>
    </w:p>
    <w:p w:rsidR="263AED80" w:rsidP="08FAF266" w:rsidRDefault="263AED80" w14:paraId="65BB15B0" w14:textId="55E61CEC">
      <w:pPr>
        <w:pStyle w:val="ListParagraph"/>
        <w:numPr>
          <w:ilvl w:val="0"/>
          <w:numId w:val="9"/>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Bandura’s social learning theory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highlights modelling and observation, complementing Maslow’s belonging and esteem tiers. However, Bandura focuses on external influences, while Maslow emphasises internal motivation. </w:t>
      </w:r>
    </w:p>
    <w:p w:rsidR="263AED80" w:rsidP="08FAF266" w:rsidRDefault="263AED80" w14:paraId="7A021F35" w14:textId="74612EB4">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Vygotsky’s sociocultural theory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stresses cultural mediation and scaffolding, offering a dynamic view of learning. Maslow’s model, however, provides a motivational foundation for why children engage in social learning.</w:t>
      </w:r>
    </w:p>
    <w:p w:rsidR="263AED80" w:rsidP="08FAF266" w:rsidRDefault="263AED80" w14:paraId="55D1D3A7" w14:textId="501A373C">
      <w:pPr>
        <w:pStyle w:val="ListParagraph"/>
        <w:numPr>
          <w:ilvl w:val="0"/>
          <w:numId w:val="9"/>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1"/>
          <w:bCs w:val="1"/>
          <w:i w:val="0"/>
          <w:iCs w:val="0"/>
          <w:caps w:val="0"/>
          <w:smallCaps w:val="0"/>
          <w:noProof w:val="0"/>
          <w:color w:val="000000" w:themeColor="text1" w:themeTint="FF" w:themeShade="FF"/>
          <w:sz w:val="28"/>
          <w:szCs w:val="28"/>
          <w:lang w:val="en-GB"/>
        </w:rPr>
        <w:t>Bowlby’s attachment theory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underscores emotional bonds, aligning with Maslow’s safety and belonging needs. However, Bowlby focuses narrowly on attachment, while Maslow situates it within a broader hierarchy.</w:t>
      </w:r>
    </w:p>
    <w:p w:rsidR="263AED80" w:rsidP="08FAF266" w:rsidRDefault="263AED80" w14:paraId="700822EF" w14:textId="1B2300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Together, these theories show that Maslow’s model is significant but incomplete. Holistic child development requires integrating motivational, behavioural, social, and relational perspectives.</w:t>
      </w:r>
    </w:p>
    <w:p w:rsidR="263AED80" w:rsidP="08FAF266" w:rsidRDefault="263AED80" w14:paraId="492E1FA8" w14:textId="192BB6B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Contemporary Perspectives</w:t>
      </w:r>
    </w:p>
    <w:p w:rsidR="263AED80" w:rsidP="08FAF266" w:rsidRDefault="263AED80" w14:paraId="2511D930" w14:textId="1DBB22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Recent research confirms the importance of holistic approaches. Gladden (2020) argues that Maslow’s hierarchy must be reframed to include digital competence and global citizenship. Main and Whatman (2023) stress integrated approaches addressing both needs and systemic inequalities. Else (2025) highlights resilience, belonging, and creativity as essential for thriving. UNICEF (2016) emphasises equity in meeting children’s basic needs globally, while Siraj‑Blatchford and Sylva (2019) stress policy frameworks that support holistic provision.</w:t>
      </w:r>
    </w:p>
    <w:p w:rsidR="263AED80" w:rsidP="08FAF266" w:rsidRDefault="263AED80" w14:paraId="229A74A2" w14:textId="4244BE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However, these perspectives also show that theories must evolve with societal changes. Maslow’s hierarchy remains significant, but practitioners must adapt it to diverse contexts, integrating insights from Skinner, Bandura, Vygotsky, and Bowlby.</w:t>
      </w:r>
    </w:p>
    <w:p w:rsidR="263AED80" w:rsidP="08FAF266" w:rsidRDefault="263AED80" w14:paraId="70B6D269" w14:textId="207513D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Conclusion</w:t>
      </w:r>
    </w:p>
    <w:p w:rsidR="263AED80" w:rsidP="08FAF266" w:rsidRDefault="263AED80" w14:paraId="51194AD4" w14:textId="3720C9E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Maslow’s hierarchy of needs remains highly significant in understanding child development, particularly in early years practice. Examples such as providing nutrition and rest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Physical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creating safe environments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Personal, Social and Emotional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and fostering belonging through play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Communication and Language</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and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PSED</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illustrate how practitioners apply Maslow’s model daily. Yet, critical analysis shows that Maslow’s framework must be integrated with other theories: Skinner’s reinforcement, Bandura’s modelling, Vygotsky’s scaffolding, and Bowlby’s attachment. Together, these perspectives provide a comprehensive understanding of holistic child development.</w:t>
      </w:r>
    </w:p>
    <w:p w:rsidR="263AED80" w:rsidP="08FAF266" w:rsidRDefault="263AED80" w14:paraId="42A92FD2" w14:textId="2DC9911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Ultimately, Maslow’s significance lies not in offering a complete theory but in reminding practitioners that children’s needs must be met before they can thrive. Early years practice demonstrates this truth vividly, making Maslow’s hierarchy a cornerstone of child development theory and application.</w:t>
      </w:r>
    </w:p>
    <w:p w:rsidR="263AED80" w:rsidP="08FAF266" w:rsidRDefault="263AED80" w14:paraId="391D5A2A" w14:textId="3581C3D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08FAF266" w:rsidR="263AED80">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GB"/>
        </w:rPr>
        <w:t xml:space="preserve"> Bibliology</w:t>
      </w:r>
    </w:p>
    <w:p w:rsidR="263AED80" w:rsidP="08FAF266" w:rsidRDefault="263AED80" w14:paraId="5AA593B2" w14:textId="0F803598">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Bandura, A. (1977).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Social Learning Theory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Englewood Cliffs, NJ: Prentice Hall.</w:t>
      </w:r>
    </w:p>
    <w:p w:rsidR="263AED80" w:rsidP="08FAF266" w:rsidRDefault="263AED80" w14:paraId="7F63FFDA" w14:textId="7A061583">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Bowlby, J. (1969).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Attachment and Loss: Vol. 1. Attachment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London: Hogarth Press.</w:t>
      </w:r>
    </w:p>
    <w:p w:rsidR="263AED80" w:rsidP="08FAF266" w:rsidRDefault="263AED80" w14:paraId="466A4DC0" w14:textId="3CB16F9B">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Bronfenbrenner, U. (1979).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The Ecology of Human Development</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Cambridge, MA: Harvard University Press.</w:t>
      </w:r>
    </w:p>
    <w:p w:rsidR="263AED80" w:rsidP="08FAF266" w:rsidRDefault="263AED80" w14:paraId="69C40955" w14:textId="5D9B2FD4">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Department for Education (DfE) (2021).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Statutory Framework for the Early Years Foundation Stage</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London: DfE.</w:t>
      </w:r>
    </w:p>
    <w:p w:rsidR="263AED80" w:rsidP="08FAF266" w:rsidRDefault="263AED80" w14:paraId="6141DA25" w14:textId="52F04C7E">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Donaldson, G. (2015).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Successful Futures: Independent Review of Curriculum and Assessment Arrangements in Wales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Cardiff: Welsh Government.</w:t>
      </w:r>
    </w:p>
    <w:p w:rsidR="263AED80" w:rsidP="08FAF266" w:rsidRDefault="263AED80" w14:paraId="27EA3390" w14:textId="01FE3600">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Else, M. (2025).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How Maslow’s Hierarchy Helps Children Thrive</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Unlocking Children.</w:t>
      </w:r>
    </w:p>
    <w:p w:rsidR="263AED80" w:rsidP="08FAF266" w:rsidRDefault="263AED80" w14:paraId="66EFF446" w14:textId="75E50EC2">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Erikson, E.H. (1963).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Childhood and Society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2nd ed. New York: Norton.</w:t>
      </w:r>
    </w:p>
    <w:p w:rsidR="263AED80" w:rsidP="08FAF266" w:rsidRDefault="263AED80" w14:paraId="1A0CBA39" w14:textId="00D7C327">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Gladden, M. (2020).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Maslow’s Hierarchy and Child Development in Education</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Unlocking Children.</w:t>
      </w:r>
    </w:p>
    <w:p w:rsidR="263AED80" w:rsidP="08FAF266" w:rsidRDefault="263AED80" w14:paraId="17D15A97" w14:textId="28D2D203">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Main, S. and Whatman, S. (2023).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Meeting Children’s Needs in Education: A Holistic Approach</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Unlocking Children.</w:t>
      </w:r>
    </w:p>
    <w:p w:rsidR="263AED80" w:rsidP="08FAF266" w:rsidRDefault="263AED80" w14:paraId="1A65E453" w14:textId="1B4DA7A1">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Maslow, A.H. (1943). ‘A Theory of Human Motivation’,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Psychological Review</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50(4), pp. 370–396.</w:t>
      </w:r>
    </w:p>
    <w:p w:rsidR="263AED80" w:rsidP="08FAF266" w:rsidRDefault="263AED80" w14:paraId="483C9E8D" w14:textId="0024F34C">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Maslow, A.H. (1954).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Motivation and Personality</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New York: Harper &amp; Row.</w:t>
      </w:r>
    </w:p>
    <w:p w:rsidR="263AED80" w:rsidP="08FAF266" w:rsidRDefault="263AED80" w14:paraId="3938B947" w14:textId="65235EB5">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Piaget, J. (1952).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The Language and Thought of the Child</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London: Routledge &amp; Kegan Paul.</w:t>
      </w:r>
    </w:p>
    <w:p w:rsidR="263AED80" w:rsidP="08FAF266" w:rsidRDefault="263AED80" w14:paraId="4D3D41D1" w14:textId="63EE2514">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Siraj‑Blatchford, I. and Sylva, K. (2019).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Early Childhood Education and Care: Policy and Practice</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London: Routledge.</w:t>
      </w:r>
    </w:p>
    <w:p w:rsidR="263AED80" w:rsidP="08FAF266" w:rsidRDefault="263AED80" w14:paraId="764817CA" w14:textId="704FFCB0">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Skinner, B.F. (1953).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Science and Human Behaviour</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New York: Macmillan.</w:t>
      </w:r>
    </w:p>
    <w:p w:rsidR="263AED80" w:rsidP="08FAF266" w:rsidRDefault="263AED80" w14:paraId="4363E7AC" w14:textId="0F3B9653">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UNICEF (2016).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The State of the World’s Children 2016: A Fair Chance for Every Child</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New York: UNICEF.</w:t>
      </w:r>
    </w:p>
    <w:p w:rsidR="263AED80" w:rsidP="08FAF266" w:rsidRDefault="263AED80" w14:paraId="50B6C9F9" w14:textId="27B41E63">
      <w:pPr>
        <w:pStyle w:val="ListParagraph"/>
        <w:numPr>
          <w:ilvl w:val="0"/>
          <w:numId w:val="12"/>
        </w:num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xml:space="preserve">Vygotsky, L.S. (1978). </w:t>
      </w:r>
      <w:r w:rsidRPr="08FAF266" w:rsidR="263AED80">
        <w:rPr>
          <w:rFonts w:ascii="Aptos" w:hAnsi="Aptos" w:eastAsia="Aptos" w:cs="Aptos"/>
          <w:b w:val="0"/>
          <w:bCs w:val="0"/>
          <w:i w:val="1"/>
          <w:iCs w:val="1"/>
          <w:caps w:val="0"/>
          <w:smallCaps w:val="0"/>
          <w:noProof w:val="0"/>
          <w:color w:val="000000" w:themeColor="text1" w:themeTint="FF" w:themeShade="FF"/>
          <w:sz w:val="28"/>
          <w:szCs w:val="28"/>
          <w:lang w:val="en-GB"/>
        </w:rPr>
        <w:t>Mind in Society: The Development of Higher Psychological Processes</w:t>
      </w:r>
      <w:r w:rsidRPr="08FAF266" w:rsidR="263AED80">
        <w:rPr>
          <w:rFonts w:ascii="Aptos" w:hAnsi="Aptos" w:eastAsia="Aptos" w:cs="Aptos"/>
          <w:b w:val="0"/>
          <w:bCs w:val="0"/>
          <w:i w:val="0"/>
          <w:iCs w:val="0"/>
          <w:caps w:val="0"/>
          <w:smallCaps w:val="0"/>
          <w:noProof w:val="0"/>
          <w:color w:val="000000" w:themeColor="text1" w:themeTint="FF" w:themeShade="FF"/>
          <w:sz w:val="28"/>
          <w:szCs w:val="28"/>
          <w:lang w:val="en-GB"/>
        </w:rPr>
        <w:t>. Cambridge, MA:</w:t>
      </w:r>
    </w:p>
    <w:p w:rsidR="08FAF266" w:rsidP="08FAF266" w:rsidRDefault="08FAF266" w14:paraId="4436690E" w14:textId="57B6B90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26F76009" w14:textId="27F1359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66A1DF6E" w14:textId="296515F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54D5520B" w14:textId="239370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7EE84DCF" w14:textId="19B06C9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6C503516" w14:textId="7E1AC7D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48221EB7" w14:textId="4C8E6AA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51D9B5F2" w14:textId="23750D5F">
      <w:pPr>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4D5C6A87" w14:textId="191348B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3AC20D24" w14:textId="16F6DCC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29E85264" w14:textId="7B1027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6A07BDB1" w14:textId="38929B6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439790E8" w14:textId="5F907DA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8FAF266" w:rsidP="08FAF266" w:rsidRDefault="08FAF266" w14:paraId="7EED3578" w14:textId="33A1F77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14888089" w14:textId="2B00E3A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13BFE64A" w14:textId="06EF4E2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74998282" w14:textId="52BDFA0A">
      <w:pPr>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4919E5B2" w14:textId="49ED268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8FAF266" w:rsidP="08FAF266" w:rsidRDefault="08FAF266" w14:paraId="33A8E1E9" w14:textId="2CAD347A">
      <w:pPr>
        <w:pStyle w:val="Normal"/>
        <w:rPr>
          <w:rFonts w:ascii="Aptos" w:hAnsi="Aptos" w:eastAsia="Aptos" w:cs="Aptos"/>
          <w:i w:val="1"/>
          <w:i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9f1b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92333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470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1e9b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402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a7f5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2f4d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f66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20d2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0c7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460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c850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65124C"/>
    <w:rsid w:val="04CF964B"/>
    <w:rsid w:val="08FAF266"/>
    <w:rsid w:val="0C6460D6"/>
    <w:rsid w:val="263AED80"/>
    <w:rsid w:val="42C35582"/>
    <w:rsid w:val="5EC0C3EA"/>
    <w:rsid w:val="6E291185"/>
    <w:rsid w:val="752ECDBA"/>
    <w:rsid w:val="7765124C"/>
    <w:rsid w:val="7B00D0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124C"/>
  <w15:chartTrackingRefBased/>
  <w15:docId w15:val="{A5DCA019-8B85-47CE-A89F-49130B7AA0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8FAF26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ed6078eb5de42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2025-11-29T20:31:14.1976881Z</dcterms:created>
  <dcterms:modified xsi:type="dcterms:W3CDTF">2025-11-29T20:38:42.7278568Z</dcterms:modified>
  <dc:creator>Janine Morgan (2517331)</dc:creator>
  <lastModifiedBy>Janine Morgan (2517331)</lastModifiedBy>
</coreProperties>
</file>