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87EE00" w14:textId="078E8947" w:rsidR="00D14110" w:rsidRDefault="00D95E15">
      <w:pPr>
        <w:rPr>
          <w:lang w:val="en-GB"/>
        </w:rPr>
      </w:pPr>
      <w:bookmarkStart w:id="0" w:name="_GoBack"/>
      <w:bookmarkEnd w:id="0"/>
      <w:r>
        <w:rPr>
          <w:lang w:val="en-GB"/>
        </w:rPr>
        <w:t>The historical</w:t>
      </w:r>
      <w:r w:rsidR="00622197">
        <w:rPr>
          <w:lang w:val="en-GB"/>
        </w:rPr>
        <w:t xml:space="preserve"> and contemporary role of Islamic</w:t>
      </w:r>
      <w:r>
        <w:rPr>
          <w:lang w:val="en-GB"/>
        </w:rPr>
        <w:t xml:space="preserve"> Politics in Egypt: </w:t>
      </w:r>
    </w:p>
    <w:p w14:paraId="24C24294" w14:textId="77777777" w:rsidR="00380B3D" w:rsidRDefault="00380B3D">
      <w:pPr>
        <w:rPr>
          <w:lang w:val="en-GB"/>
        </w:rPr>
      </w:pPr>
    </w:p>
    <w:p w14:paraId="4B80F3AB" w14:textId="057B6F57" w:rsidR="00380B3D" w:rsidRDefault="00B8712C">
      <w:pPr>
        <w:rPr>
          <w:lang w:val="en-GB"/>
        </w:rPr>
      </w:pPr>
      <w:r>
        <w:rPr>
          <w:lang w:val="en-GB"/>
        </w:rPr>
        <w:t>Islamists have dominated the Egyptian political scene since the 1970’s culminating in them gaining the presidency in Egypt</w:t>
      </w:r>
      <w:r w:rsidR="00B85292">
        <w:rPr>
          <w:lang w:val="en-GB"/>
        </w:rPr>
        <w:t xml:space="preserve"> for a year</w:t>
      </w:r>
      <w:r>
        <w:rPr>
          <w:lang w:val="en-GB"/>
        </w:rPr>
        <w:t xml:space="preserve"> and domina</w:t>
      </w:r>
      <w:r w:rsidR="00825ED9">
        <w:rPr>
          <w:lang w:val="en-GB"/>
        </w:rPr>
        <w:t>ting the</w:t>
      </w:r>
      <w:r w:rsidR="00B85292">
        <w:rPr>
          <w:lang w:val="en-GB"/>
        </w:rPr>
        <w:t xml:space="preserve"> parliament </w:t>
      </w:r>
      <w:r w:rsidR="00825ED9">
        <w:rPr>
          <w:lang w:val="en-GB"/>
        </w:rPr>
        <w:t>fo</w:t>
      </w:r>
      <w:r>
        <w:rPr>
          <w:lang w:val="en-GB"/>
        </w:rPr>
        <w:t xml:space="preserve">llowing the </w:t>
      </w:r>
      <w:r w:rsidR="00825ED9">
        <w:rPr>
          <w:lang w:val="en-GB"/>
        </w:rPr>
        <w:t>vacuum left after Mubarak’s departure.</w:t>
      </w:r>
      <w:r w:rsidR="00825ED9">
        <w:rPr>
          <w:rStyle w:val="FootnoteReference"/>
          <w:lang w:val="en-GB"/>
        </w:rPr>
        <w:footnoteReference w:id="1"/>
      </w:r>
      <w:r w:rsidR="00380B3D">
        <w:rPr>
          <w:lang w:val="en-GB"/>
        </w:rPr>
        <w:t xml:space="preserve"> </w:t>
      </w:r>
      <w:r w:rsidR="00825ED9">
        <w:rPr>
          <w:lang w:val="en-GB"/>
        </w:rPr>
        <w:t xml:space="preserve">However, the Islamic parties cannot be seen as a monolithic block, but crudely as two entities, those who abide by the rules of the democratic game and those who work outside the system, adopting violence to achieve their aims. </w:t>
      </w:r>
      <w:r w:rsidR="005C7800">
        <w:rPr>
          <w:lang w:val="en-GB"/>
        </w:rPr>
        <w:t xml:space="preserve">A number of commentators have argued that the parties such as the Muslim Brotherhood (MB) in Egypt and Jordan and the PJD in Morocco are only playing a clever game, but once holding the reins of power they would abandon elections for a theocracy. As </w:t>
      </w:r>
      <w:r w:rsidR="00DF4336">
        <w:rPr>
          <w:lang w:val="en-GB"/>
        </w:rPr>
        <w:t xml:space="preserve">the American diplomat and writer, Djerejian famously stated, if the Islamists won power they would change the electoral system to “one man, one vote, one time”. </w:t>
      </w:r>
      <w:r w:rsidR="00DF4336">
        <w:rPr>
          <w:rStyle w:val="FootnoteReference"/>
          <w:lang w:val="en-GB"/>
        </w:rPr>
        <w:footnoteReference w:id="2"/>
      </w:r>
    </w:p>
    <w:p w14:paraId="1FF63C94" w14:textId="77777777" w:rsidR="00B85292" w:rsidRDefault="00B85292">
      <w:pPr>
        <w:rPr>
          <w:lang w:val="en-GB"/>
        </w:rPr>
      </w:pPr>
    </w:p>
    <w:p w14:paraId="0E83B172" w14:textId="75A3208C" w:rsidR="00B85292" w:rsidRDefault="00ED2387">
      <w:pPr>
        <w:rPr>
          <w:lang w:val="en-GB"/>
        </w:rPr>
      </w:pPr>
      <w:r>
        <w:rPr>
          <w:lang w:val="en-GB"/>
        </w:rPr>
        <w:t xml:space="preserve">Taking Egypt as an </w:t>
      </w:r>
      <w:r w:rsidR="00E80E31">
        <w:rPr>
          <w:lang w:val="en-GB"/>
        </w:rPr>
        <w:t>example we can see a growth i</w:t>
      </w:r>
      <w:r>
        <w:rPr>
          <w:lang w:val="en-GB"/>
        </w:rPr>
        <w:t>n Islamic activism from the 1970’s. During this period S</w:t>
      </w:r>
      <w:r w:rsidR="00677C42">
        <w:rPr>
          <w:lang w:val="en-GB"/>
        </w:rPr>
        <w:t>adat made a pact with the MB, releasing</w:t>
      </w:r>
      <w:r w:rsidR="00AA1F36">
        <w:rPr>
          <w:lang w:val="en-GB"/>
        </w:rPr>
        <w:t xml:space="preserve"> their members</w:t>
      </w:r>
      <w:r>
        <w:rPr>
          <w:lang w:val="en-GB"/>
        </w:rPr>
        <w:t xml:space="preserve"> from prison and allowing them to </w:t>
      </w:r>
      <w:r w:rsidR="00677C42">
        <w:rPr>
          <w:lang w:val="en-GB"/>
        </w:rPr>
        <w:t xml:space="preserve">meet openly and publish their newspapers. Sadat, in search of his own legitimacy opened the political space for the MB to reorganise and regain legitimacy. </w:t>
      </w:r>
      <w:r w:rsidR="00677C42">
        <w:rPr>
          <w:rStyle w:val="FootnoteReference"/>
          <w:lang w:val="en-GB"/>
        </w:rPr>
        <w:footnoteReference w:id="3"/>
      </w:r>
      <w:r w:rsidR="00677C42">
        <w:rPr>
          <w:lang w:val="en-GB"/>
        </w:rPr>
        <w:t xml:space="preserve"> It was during this period that we also see the growth of </w:t>
      </w:r>
      <w:r w:rsidR="00C92A6C">
        <w:rPr>
          <w:lang w:val="en-GB"/>
        </w:rPr>
        <w:t>violent Islamic groups</w:t>
      </w:r>
      <w:r w:rsidR="00F412A3">
        <w:rPr>
          <w:lang w:val="en-GB"/>
        </w:rPr>
        <w:t xml:space="preserve">, or Islamic Militants (IM). </w:t>
      </w:r>
      <w:r w:rsidR="0059095B">
        <w:rPr>
          <w:lang w:val="en-GB"/>
        </w:rPr>
        <w:t>These groups are largely influenced by the works of Sayid Qutb</w:t>
      </w:r>
      <w:r w:rsidR="007E74AC">
        <w:rPr>
          <w:lang w:val="en-GB"/>
        </w:rPr>
        <w:t>.</w:t>
      </w:r>
      <w:r w:rsidR="007E74AC">
        <w:rPr>
          <w:rStyle w:val="FootnoteReference"/>
          <w:lang w:val="en-GB"/>
        </w:rPr>
        <w:footnoteReference w:id="4"/>
      </w:r>
      <w:r w:rsidR="007E74AC">
        <w:rPr>
          <w:lang w:val="en-GB"/>
        </w:rPr>
        <w:t xml:space="preserve"> </w:t>
      </w:r>
      <w:r w:rsidR="00AA1F36">
        <w:rPr>
          <w:lang w:val="en-GB"/>
        </w:rPr>
        <w:t>During the early period, 1970’s and early 80’s, The Technical Military Academy an</w:t>
      </w:r>
      <w:r w:rsidR="00277E4A">
        <w:rPr>
          <w:lang w:val="en-GB"/>
        </w:rPr>
        <w:t>d Excommunication and Flight were</w:t>
      </w:r>
      <w:r w:rsidR="00AA1F36">
        <w:rPr>
          <w:lang w:val="en-GB"/>
        </w:rPr>
        <w:t xml:space="preserve"> the prominent groups. </w:t>
      </w:r>
      <w:r w:rsidR="00277E4A">
        <w:rPr>
          <w:lang w:val="en-GB"/>
        </w:rPr>
        <w:t xml:space="preserve">During the later period </w:t>
      </w:r>
      <w:r w:rsidR="00033E81">
        <w:rPr>
          <w:lang w:val="en-GB"/>
        </w:rPr>
        <w:t xml:space="preserve">Al Jihad and </w:t>
      </w:r>
      <w:proofErr w:type="spellStart"/>
      <w:r w:rsidR="00033E81">
        <w:rPr>
          <w:lang w:val="en-GB"/>
        </w:rPr>
        <w:t>Jama’</w:t>
      </w:r>
      <w:r w:rsidR="0045299A">
        <w:rPr>
          <w:lang w:val="en-GB"/>
        </w:rPr>
        <w:t>a</w:t>
      </w:r>
      <w:proofErr w:type="spellEnd"/>
      <w:r w:rsidR="0045299A">
        <w:rPr>
          <w:lang w:val="en-GB"/>
        </w:rPr>
        <w:t xml:space="preserve"> al </w:t>
      </w:r>
      <w:proofErr w:type="spellStart"/>
      <w:r w:rsidR="0045299A">
        <w:rPr>
          <w:lang w:val="en-GB"/>
        </w:rPr>
        <w:t>islamiya</w:t>
      </w:r>
      <w:proofErr w:type="spellEnd"/>
      <w:r w:rsidR="0045299A">
        <w:rPr>
          <w:lang w:val="en-GB"/>
        </w:rPr>
        <w:t>, (</w:t>
      </w:r>
      <w:r w:rsidR="00033E81">
        <w:rPr>
          <w:lang w:val="en-GB"/>
        </w:rPr>
        <w:t xml:space="preserve">The Islamic Group), </w:t>
      </w:r>
      <w:r w:rsidR="00282060">
        <w:rPr>
          <w:lang w:val="en-GB"/>
        </w:rPr>
        <w:t>both still present to</w:t>
      </w:r>
      <w:r w:rsidR="0045299A">
        <w:rPr>
          <w:lang w:val="en-GB"/>
        </w:rPr>
        <w:t>day albeit in a different form.</w:t>
      </w:r>
      <w:r w:rsidR="0045299A">
        <w:rPr>
          <w:rStyle w:val="FootnoteReference"/>
          <w:lang w:val="en-GB"/>
        </w:rPr>
        <w:footnoteReference w:id="5"/>
      </w:r>
      <w:r w:rsidR="00660315">
        <w:rPr>
          <w:lang w:val="en-GB"/>
        </w:rPr>
        <w:t xml:space="preserve"> In the contemporary period </w:t>
      </w:r>
      <w:r w:rsidR="00F97A65">
        <w:rPr>
          <w:lang w:val="en-GB"/>
        </w:rPr>
        <w:t xml:space="preserve">Jihadist groups </w:t>
      </w:r>
      <w:r w:rsidR="0088429C">
        <w:rPr>
          <w:lang w:val="en-GB"/>
        </w:rPr>
        <w:t xml:space="preserve">are predominately ISIS affiliates. </w:t>
      </w:r>
      <w:r w:rsidR="0088429C">
        <w:rPr>
          <w:rStyle w:val="FootnoteReference"/>
          <w:lang w:val="en-GB"/>
        </w:rPr>
        <w:footnoteReference w:id="6"/>
      </w:r>
    </w:p>
    <w:p w14:paraId="0FBB822F" w14:textId="77777777" w:rsidR="00144D0A" w:rsidRDefault="00144D0A">
      <w:pPr>
        <w:rPr>
          <w:lang w:val="en-GB"/>
        </w:rPr>
      </w:pPr>
    </w:p>
    <w:p w14:paraId="277E0930" w14:textId="6BDC5B1D" w:rsidR="00144D0A" w:rsidRDefault="00D45BC7">
      <w:pPr>
        <w:rPr>
          <w:lang w:val="en-GB"/>
        </w:rPr>
      </w:pPr>
      <w:r>
        <w:rPr>
          <w:lang w:val="en-GB"/>
        </w:rPr>
        <w:t xml:space="preserve">In essence all Islamic groups, moderate and militant, want the same, a return to a righteous Islamic society, where the </w:t>
      </w:r>
      <w:proofErr w:type="spellStart"/>
      <w:r>
        <w:rPr>
          <w:lang w:val="en-GB"/>
        </w:rPr>
        <w:t>Shari’a</w:t>
      </w:r>
      <w:proofErr w:type="spellEnd"/>
      <w:r>
        <w:rPr>
          <w:lang w:val="en-GB"/>
        </w:rPr>
        <w:t xml:space="preserve"> is applied and </w:t>
      </w:r>
      <w:r w:rsidR="00FF317C">
        <w:rPr>
          <w:lang w:val="en-GB"/>
        </w:rPr>
        <w:t>as a result a healthy and righteous society will exist.</w:t>
      </w:r>
      <w:r w:rsidR="00FF317C">
        <w:rPr>
          <w:rStyle w:val="FootnoteReference"/>
          <w:lang w:val="en-GB"/>
        </w:rPr>
        <w:footnoteReference w:id="7"/>
      </w:r>
      <w:r w:rsidR="00FF317C">
        <w:rPr>
          <w:lang w:val="en-GB"/>
        </w:rPr>
        <w:t xml:space="preserve"> </w:t>
      </w:r>
      <w:r w:rsidR="009F33B4">
        <w:rPr>
          <w:lang w:val="en-GB"/>
        </w:rPr>
        <w:t xml:space="preserve">What is different is the way to reach this Islamic society. For the MB and other moderate groups, the democratic system is used, contesting elections and taking part in the machinery of government. The MB has been successful in this since it renounced violence, despite the challenges it faced, principally not being allowed to form a political party, but having to field independent candidates or ally with other parties. </w:t>
      </w:r>
      <w:r w:rsidR="00263286">
        <w:rPr>
          <w:lang w:val="en-GB"/>
        </w:rPr>
        <w:t xml:space="preserve">The IM </w:t>
      </w:r>
      <w:r w:rsidR="00EB2F77">
        <w:rPr>
          <w:lang w:val="en-GB"/>
        </w:rPr>
        <w:t>groups ado</w:t>
      </w:r>
      <w:r w:rsidR="00E62ACC">
        <w:rPr>
          <w:lang w:val="en-GB"/>
        </w:rPr>
        <w:t xml:space="preserve">pted a different strategy, one of violent opposition to the regime, whom they regarded as </w:t>
      </w:r>
      <w:r w:rsidR="00B46C2E">
        <w:rPr>
          <w:lang w:val="en-GB"/>
        </w:rPr>
        <w:t xml:space="preserve">being </w:t>
      </w:r>
      <w:proofErr w:type="spellStart"/>
      <w:r w:rsidR="00E62ACC">
        <w:rPr>
          <w:lang w:val="en-GB"/>
        </w:rPr>
        <w:t>kafir</w:t>
      </w:r>
      <w:proofErr w:type="spellEnd"/>
      <w:r w:rsidR="00E62ACC">
        <w:rPr>
          <w:lang w:val="en-GB"/>
        </w:rPr>
        <w:t xml:space="preserve">. </w:t>
      </w:r>
      <w:r w:rsidR="00B46C2E">
        <w:rPr>
          <w:rStyle w:val="FootnoteReference"/>
          <w:lang w:val="en-GB"/>
        </w:rPr>
        <w:footnoteReference w:id="8"/>
      </w:r>
      <w:r w:rsidR="00EA12E5">
        <w:rPr>
          <w:lang w:val="en-GB"/>
        </w:rPr>
        <w:t xml:space="preserve"> </w:t>
      </w:r>
    </w:p>
    <w:p w14:paraId="7FA06124" w14:textId="77777777" w:rsidR="00EA12E5" w:rsidRDefault="00EA12E5">
      <w:pPr>
        <w:rPr>
          <w:lang w:val="en-GB"/>
        </w:rPr>
      </w:pPr>
    </w:p>
    <w:p w14:paraId="55F9A77E" w14:textId="77777777" w:rsidR="00B46C2E" w:rsidRDefault="00B46C2E">
      <w:pPr>
        <w:rPr>
          <w:lang w:val="en-GB"/>
        </w:rPr>
      </w:pPr>
    </w:p>
    <w:p w14:paraId="07801E95" w14:textId="46913104" w:rsidR="00B46C2E" w:rsidRDefault="00B46C2E">
      <w:pPr>
        <w:rPr>
          <w:lang w:val="en-GB"/>
        </w:rPr>
      </w:pPr>
      <w:r>
        <w:rPr>
          <w:lang w:val="en-GB"/>
        </w:rPr>
        <w:t xml:space="preserve">The </w:t>
      </w:r>
      <w:r w:rsidR="00EA12E5">
        <w:rPr>
          <w:lang w:val="en-GB"/>
        </w:rPr>
        <w:t xml:space="preserve">split between the MB and the militant groups can be traced back to the 1960’s and Nasser’s prisons. </w:t>
      </w:r>
      <w:proofErr w:type="spellStart"/>
      <w:r w:rsidR="00EA12E5">
        <w:rPr>
          <w:lang w:val="en-GB"/>
        </w:rPr>
        <w:t>Hudaybi</w:t>
      </w:r>
      <w:proofErr w:type="spellEnd"/>
      <w:r w:rsidR="00EA12E5">
        <w:rPr>
          <w:lang w:val="en-GB"/>
        </w:rPr>
        <w:t xml:space="preserve">, who took leadership of the MB following Al </w:t>
      </w:r>
      <w:proofErr w:type="spellStart"/>
      <w:r w:rsidR="00EA12E5">
        <w:rPr>
          <w:lang w:val="en-GB"/>
        </w:rPr>
        <w:t>Banna’s</w:t>
      </w:r>
      <w:proofErr w:type="spellEnd"/>
      <w:r w:rsidR="00EA12E5">
        <w:rPr>
          <w:lang w:val="en-GB"/>
        </w:rPr>
        <w:t xml:space="preserve"> death held a very different ideology towards violence to </w:t>
      </w:r>
      <w:proofErr w:type="spellStart"/>
      <w:r w:rsidR="00EA12E5">
        <w:rPr>
          <w:lang w:val="en-GB"/>
        </w:rPr>
        <w:t>Qutb</w:t>
      </w:r>
      <w:proofErr w:type="spellEnd"/>
      <w:r w:rsidR="00EA12E5">
        <w:rPr>
          <w:lang w:val="en-GB"/>
        </w:rPr>
        <w:t xml:space="preserve">. Whereas </w:t>
      </w:r>
      <w:proofErr w:type="spellStart"/>
      <w:r w:rsidR="00EA12E5">
        <w:rPr>
          <w:lang w:val="en-GB"/>
        </w:rPr>
        <w:t>Hudaybi</w:t>
      </w:r>
      <w:proofErr w:type="spellEnd"/>
      <w:r w:rsidR="00EA12E5">
        <w:rPr>
          <w:lang w:val="en-GB"/>
        </w:rPr>
        <w:t xml:space="preserve"> renounced any violence and resorted to preaching to spread the Islamic message, </w:t>
      </w:r>
      <w:proofErr w:type="spellStart"/>
      <w:r w:rsidR="00EA12E5">
        <w:rPr>
          <w:lang w:val="en-GB"/>
        </w:rPr>
        <w:t>Qutb</w:t>
      </w:r>
      <w:proofErr w:type="spellEnd"/>
      <w:r w:rsidR="00EA12E5">
        <w:rPr>
          <w:lang w:val="en-GB"/>
        </w:rPr>
        <w:t xml:space="preserve"> and his followers adopted Jihad to achieve their aims. </w:t>
      </w:r>
      <w:r w:rsidR="00EA12E5">
        <w:rPr>
          <w:rStyle w:val="FootnoteReference"/>
          <w:lang w:val="en-GB"/>
        </w:rPr>
        <w:footnoteReference w:id="9"/>
      </w:r>
      <w:r w:rsidR="00143191">
        <w:rPr>
          <w:lang w:val="en-GB"/>
        </w:rPr>
        <w:t xml:space="preserve"> As </w:t>
      </w:r>
      <w:proofErr w:type="spellStart"/>
      <w:r w:rsidR="00143191">
        <w:rPr>
          <w:lang w:val="en-GB"/>
        </w:rPr>
        <w:t>Dekmejian</w:t>
      </w:r>
      <w:proofErr w:type="spellEnd"/>
      <w:r w:rsidR="00143191">
        <w:rPr>
          <w:lang w:val="en-GB"/>
        </w:rPr>
        <w:t xml:space="preserve"> states, </w:t>
      </w:r>
      <w:proofErr w:type="spellStart"/>
      <w:r w:rsidR="00143191">
        <w:rPr>
          <w:lang w:val="en-GB"/>
        </w:rPr>
        <w:t>Qutb</w:t>
      </w:r>
      <w:proofErr w:type="spellEnd"/>
      <w:r w:rsidR="00143191">
        <w:rPr>
          <w:lang w:val="en-GB"/>
        </w:rPr>
        <w:t xml:space="preserve"> was the </w:t>
      </w:r>
      <w:r w:rsidR="00112643">
        <w:rPr>
          <w:lang w:val="en-GB"/>
        </w:rPr>
        <w:t>key ideologue in the radicalisation of the Islamists during the 1960’s and 1970’s.</w:t>
      </w:r>
      <w:r w:rsidR="00112643">
        <w:rPr>
          <w:rStyle w:val="FootnoteReference"/>
          <w:lang w:val="en-GB"/>
        </w:rPr>
        <w:footnoteReference w:id="10"/>
      </w:r>
      <w:r w:rsidR="00112643">
        <w:rPr>
          <w:lang w:val="en-GB"/>
        </w:rPr>
        <w:t xml:space="preserve"> For </w:t>
      </w:r>
      <w:proofErr w:type="spellStart"/>
      <w:r w:rsidR="00112643">
        <w:rPr>
          <w:lang w:val="en-GB"/>
        </w:rPr>
        <w:t>Qutb</w:t>
      </w:r>
      <w:proofErr w:type="spellEnd"/>
      <w:r w:rsidR="00112643">
        <w:rPr>
          <w:lang w:val="en-GB"/>
        </w:rPr>
        <w:t xml:space="preserve">, Egyptian society was </w:t>
      </w:r>
      <w:proofErr w:type="spellStart"/>
      <w:r w:rsidR="00112643">
        <w:rPr>
          <w:lang w:val="en-GB"/>
        </w:rPr>
        <w:t>Jahilya</w:t>
      </w:r>
      <w:proofErr w:type="spellEnd"/>
      <w:r w:rsidR="00112643">
        <w:rPr>
          <w:rStyle w:val="FootnoteReference"/>
          <w:lang w:val="en-GB"/>
        </w:rPr>
        <w:footnoteReference w:id="11"/>
      </w:r>
      <w:r w:rsidR="00112643">
        <w:rPr>
          <w:lang w:val="en-GB"/>
        </w:rPr>
        <w:t xml:space="preserve">. Qutb felt that it was the duty of all Muslims to return to a truly Islamic state, and that there would be a vanguard of Muslims whose duty it was to initiate this. </w:t>
      </w:r>
      <w:r w:rsidR="00112643">
        <w:rPr>
          <w:rStyle w:val="FootnoteReference"/>
          <w:lang w:val="en-GB"/>
        </w:rPr>
        <w:footnoteReference w:id="12"/>
      </w:r>
      <w:r w:rsidR="00112643">
        <w:rPr>
          <w:lang w:val="en-GB"/>
        </w:rPr>
        <w:t xml:space="preserve"> </w:t>
      </w:r>
      <w:proofErr w:type="spellStart"/>
      <w:r w:rsidR="00112643">
        <w:rPr>
          <w:lang w:val="en-GB"/>
        </w:rPr>
        <w:t>Qutb</w:t>
      </w:r>
      <w:proofErr w:type="spellEnd"/>
      <w:r w:rsidR="00112643">
        <w:rPr>
          <w:lang w:val="en-GB"/>
        </w:rPr>
        <w:t xml:space="preserve"> was hanged in 1966, but his ideology lived on through the IM groups. </w:t>
      </w:r>
    </w:p>
    <w:p w14:paraId="7F6E53C9" w14:textId="77777777" w:rsidR="00112643" w:rsidRDefault="00112643">
      <w:pPr>
        <w:rPr>
          <w:lang w:val="en-GB"/>
        </w:rPr>
      </w:pPr>
    </w:p>
    <w:p w14:paraId="4B124EFA" w14:textId="5DDB40A6" w:rsidR="00112643" w:rsidRDefault="00702555">
      <w:pPr>
        <w:rPr>
          <w:lang w:val="en-GB"/>
        </w:rPr>
      </w:pPr>
      <w:r>
        <w:rPr>
          <w:lang w:val="en-GB"/>
        </w:rPr>
        <w:t>Research has shown that there is a different demographic between the MB and the IMG. Ibrahim’</w:t>
      </w:r>
      <w:r w:rsidR="0015247A">
        <w:rPr>
          <w:lang w:val="en-GB"/>
        </w:rPr>
        <w:t xml:space="preserve">s study of </w:t>
      </w:r>
      <w:proofErr w:type="spellStart"/>
      <w:r w:rsidR="0015247A">
        <w:rPr>
          <w:lang w:val="en-GB"/>
        </w:rPr>
        <w:t>Takfir</w:t>
      </w:r>
      <w:proofErr w:type="spellEnd"/>
      <w:r w:rsidR="0015247A">
        <w:rPr>
          <w:lang w:val="en-GB"/>
        </w:rPr>
        <w:t xml:space="preserve"> </w:t>
      </w:r>
      <w:proofErr w:type="spellStart"/>
      <w:r w:rsidR="0015247A">
        <w:rPr>
          <w:lang w:val="en-GB"/>
        </w:rPr>
        <w:t>wa</w:t>
      </w:r>
      <w:proofErr w:type="spellEnd"/>
      <w:r w:rsidR="0015247A">
        <w:rPr>
          <w:lang w:val="en-GB"/>
        </w:rPr>
        <w:t xml:space="preserve"> </w:t>
      </w:r>
      <w:proofErr w:type="spellStart"/>
      <w:r w:rsidR="0015247A">
        <w:rPr>
          <w:lang w:val="en-GB"/>
        </w:rPr>
        <w:t>Hijra</w:t>
      </w:r>
      <w:proofErr w:type="spellEnd"/>
      <w:r w:rsidR="0015247A">
        <w:rPr>
          <w:lang w:val="en-GB"/>
        </w:rPr>
        <w:t xml:space="preserve"> and the </w:t>
      </w:r>
      <w:proofErr w:type="spellStart"/>
      <w:r w:rsidR="0015247A">
        <w:rPr>
          <w:lang w:val="en-GB"/>
        </w:rPr>
        <w:t>Miliary</w:t>
      </w:r>
      <w:proofErr w:type="spellEnd"/>
      <w:r w:rsidR="0015247A">
        <w:rPr>
          <w:lang w:val="en-GB"/>
        </w:rPr>
        <w:t xml:space="preserve"> Academy shows the </w:t>
      </w:r>
      <w:r w:rsidR="00EF42B2">
        <w:rPr>
          <w:lang w:val="en-GB"/>
        </w:rPr>
        <w:t>social profile of the militants as being predominately graduates from a middle or lower middle c</w:t>
      </w:r>
      <w:r w:rsidR="00CE0356">
        <w:rPr>
          <w:lang w:val="en-GB"/>
        </w:rPr>
        <w:t xml:space="preserve">lass background, and </w:t>
      </w:r>
      <w:r w:rsidR="00EF42B2">
        <w:rPr>
          <w:lang w:val="en-GB"/>
        </w:rPr>
        <w:t xml:space="preserve">newly arrived in the city. The theory being that these </w:t>
      </w:r>
      <w:r w:rsidR="00CC1C2F">
        <w:rPr>
          <w:lang w:val="en-GB"/>
        </w:rPr>
        <w:t>young members were dislocated from their rural home and felt disconnected to the city. In a later study Ibrahim found that the militants were younger and far less likely to be university g</w:t>
      </w:r>
      <w:r w:rsidR="00CE0356">
        <w:rPr>
          <w:lang w:val="en-GB"/>
        </w:rPr>
        <w:t>raduates, concluding a feeling of</w:t>
      </w:r>
      <w:r w:rsidR="00CC1C2F">
        <w:rPr>
          <w:lang w:val="en-GB"/>
        </w:rPr>
        <w:t xml:space="preserve"> </w:t>
      </w:r>
      <w:r w:rsidR="00126AD3">
        <w:rPr>
          <w:lang w:val="en-GB"/>
        </w:rPr>
        <w:t xml:space="preserve">alienation and suffering relative deprivation. </w:t>
      </w:r>
      <w:r w:rsidR="00126AD3">
        <w:rPr>
          <w:rStyle w:val="FootnoteReference"/>
          <w:lang w:val="en-GB"/>
        </w:rPr>
        <w:footnoteReference w:id="13"/>
      </w:r>
      <w:r w:rsidR="00CE0356">
        <w:rPr>
          <w:lang w:val="en-GB"/>
        </w:rPr>
        <w:t xml:space="preserve"> The MB recruits were generally older, in an established profession and from a stable middle class urban background.</w:t>
      </w:r>
      <w:r w:rsidR="00CE0356">
        <w:rPr>
          <w:rStyle w:val="FootnoteReference"/>
          <w:lang w:val="en-GB"/>
        </w:rPr>
        <w:footnoteReference w:id="14"/>
      </w:r>
      <w:r w:rsidR="00CE0356">
        <w:rPr>
          <w:lang w:val="en-GB"/>
        </w:rPr>
        <w:t xml:space="preserve"> </w:t>
      </w:r>
    </w:p>
    <w:p w14:paraId="3B484065" w14:textId="77777777" w:rsidR="00CE0356" w:rsidRDefault="00CE0356">
      <w:pPr>
        <w:rPr>
          <w:lang w:val="en-GB"/>
        </w:rPr>
      </w:pPr>
    </w:p>
    <w:p w14:paraId="3F4C17F7" w14:textId="645E7708" w:rsidR="00CE0356" w:rsidRDefault="00CE0356">
      <w:pPr>
        <w:rPr>
          <w:lang w:val="en-GB"/>
        </w:rPr>
      </w:pPr>
      <w:r>
        <w:rPr>
          <w:lang w:val="en-GB"/>
        </w:rPr>
        <w:t xml:space="preserve">Research by Ismail highlights the importance of </w:t>
      </w:r>
      <w:r w:rsidR="00A976B3">
        <w:rPr>
          <w:lang w:val="en-GB"/>
        </w:rPr>
        <w:t xml:space="preserve">the socio-spatial </w:t>
      </w:r>
      <w:r w:rsidR="00824E9C">
        <w:rPr>
          <w:lang w:val="en-GB"/>
        </w:rPr>
        <w:t xml:space="preserve">environment in which the </w:t>
      </w:r>
      <w:r w:rsidR="00A976B3">
        <w:rPr>
          <w:lang w:val="en-GB"/>
        </w:rPr>
        <w:t xml:space="preserve">Islamists located themselves. </w:t>
      </w:r>
      <w:r w:rsidR="00A976B3">
        <w:rPr>
          <w:rStyle w:val="FootnoteReference"/>
          <w:lang w:val="en-GB"/>
        </w:rPr>
        <w:footnoteReference w:id="15"/>
      </w:r>
      <w:r w:rsidR="00A976B3">
        <w:rPr>
          <w:lang w:val="en-GB"/>
        </w:rPr>
        <w:t xml:space="preserve"> The IM groups </w:t>
      </w:r>
      <w:r w:rsidR="00E34501">
        <w:rPr>
          <w:lang w:val="en-GB"/>
        </w:rPr>
        <w:t>were able to embed themselves in informal settlements on the periphery of Cairo.</w:t>
      </w:r>
      <w:r w:rsidR="00E34501">
        <w:rPr>
          <w:rStyle w:val="FootnoteReference"/>
          <w:lang w:val="en-GB"/>
        </w:rPr>
        <w:footnoteReference w:id="16"/>
      </w:r>
      <w:r w:rsidR="00762560">
        <w:rPr>
          <w:lang w:val="en-GB"/>
        </w:rPr>
        <w:t xml:space="preserve"> These areas were outside of government control </w:t>
      </w:r>
      <w:r w:rsidR="001F5FCF">
        <w:rPr>
          <w:lang w:val="en-GB"/>
        </w:rPr>
        <w:t>and made an easy hiding place for the militants</w:t>
      </w:r>
      <w:r w:rsidR="000F2BCD">
        <w:rPr>
          <w:lang w:val="en-GB"/>
        </w:rPr>
        <w:t xml:space="preserve">. The IM were able to impose their own </w:t>
      </w:r>
      <w:r w:rsidR="00D67F52">
        <w:rPr>
          <w:lang w:val="en-GB"/>
        </w:rPr>
        <w:t xml:space="preserve">‘state’, collecting taxes, mediating in neighbourhood disputes and organising social services. </w:t>
      </w:r>
      <w:r w:rsidR="00D67F52">
        <w:rPr>
          <w:rStyle w:val="FootnoteReference"/>
          <w:lang w:val="en-GB"/>
        </w:rPr>
        <w:footnoteReference w:id="17"/>
      </w:r>
      <w:r w:rsidR="00D67F52">
        <w:rPr>
          <w:lang w:val="en-GB"/>
        </w:rPr>
        <w:t>. Much of their efforts centred around moral issues, enforcing the hijab and ban</w:t>
      </w:r>
      <w:r w:rsidR="008A3AAC">
        <w:rPr>
          <w:lang w:val="en-GB"/>
        </w:rPr>
        <w:t xml:space="preserve">ning sales of alcohol etc. Punishments were also implemented for actions which were deemed to be morally wrong, this included flogging </w:t>
      </w:r>
      <w:r w:rsidR="00E57963">
        <w:rPr>
          <w:lang w:val="en-GB"/>
        </w:rPr>
        <w:t xml:space="preserve">and fines. The IM </w:t>
      </w:r>
      <w:r w:rsidR="00624263">
        <w:rPr>
          <w:lang w:val="en-GB"/>
        </w:rPr>
        <w:t xml:space="preserve">justification for imposing moral restrictions is the Islamic principle of “enjoining good and forbidding evil” This is obviously potentially very broad and can be applied to any behaviour deemed to be against Islamic morals. </w:t>
      </w:r>
    </w:p>
    <w:p w14:paraId="2D384FE9" w14:textId="77777777" w:rsidR="00624263" w:rsidRDefault="00624263">
      <w:pPr>
        <w:rPr>
          <w:lang w:val="en-GB"/>
        </w:rPr>
      </w:pPr>
    </w:p>
    <w:p w14:paraId="1709627F" w14:textId="79C8E4BF" w:rsidR="00624263" w:rsidRDefault="00624263">
      <w:pPr>
        <w:rPr>
          <w:lang w:val="en-GB"/>
        </w:rPr>
      </w:pPr>
      <w:r>
        <w:rPr>
          <w:lang w:val="en-GB"/>
        </w:rPr>
        <w:t xml:space="preserve">There are marked differences between the MB and the IM groups in Egypt. Whilst they may share the same ideological belief system, the desire to see the </w:t>
      </w:r>
      <w:proofErr w:type="spellStart"/>
      <w:r>
        <w:rPr>
          <w:lang w:val="en-GB"/>
        </w:rPr>
        <w:t>shari’a</w:t>
      </w:r>
      <w:proofErr w:type="spellEnd"/>
      <w:r>
        <w:rPr>
          <w:lang w:val="en-GB"/>
        </w:rPr>
        <w:t xml:space="preserve"> applied and the development of an Islamic State, in practice the groups are far apart. The MB have utilised the democratic system since Sadat released them from prison. They have penetrated civil society and worked within the mosques to provide support and get their message heard. On the other hand, the IM groups have adopted an anti-regime approach and continued to use violence against the state in an attempt to force an Islamic State. </w:t>
      </w:r>
    </w:p>
    <w:p w14:paraId="26719F87" w14:textId="77777777" w:rsidR="00144D0A" w:rsidRDefault="00144D0A">
      <w:pPr>
        <w:rPr>
          <w:lang w:val="en-GB"/>
        </w:rPr>
      </w:pPr>
    </w:p>
    <w:p w14:paraId="7001CA51" w14:textId="77777777" w:rsidR="00144D0A" w:rsidRDefault="00144D0A">
      <w:pPr>
        <w:rPr>
          <w:lang w:val="en-GB"/>
        </w:rPr>
      </w:pPr>
    </w:p>
    <w:p w14:paraId="24700A06" w14:textId="77777777" w:rsidR="00AA1F36" w:rsidRDefault="00AA1F36">
      <w:pPr>
        <w:rPr>
          <w:lang w:val="en-GB"/>
        </w:rPr>
      </w:pPr>
    </w:p>
    <w:p w14:paraId="793D5414" w14:textId="77777777" w:rsidR="00AA1F36" w:rsidRPr="00380B3D" w:rsidRDefault="00AA1F36">
      <w:pPr>
        <w:rPr>
          <w:lang w:val="en-GB"/>
        </w:rPr>
      </w:pPr>
    </w:p>
    <w:sectPr w:rsidR="00AA1F36" w:rsidRPr="00380B3D" w:rsidSect="001A4C4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7DE7EC" w14:textId="77777777" w:rsidR="000E0653" w:rsidRDefault="000E0653" w:rsidP="00825ED9">
      <w:r>
        <w:separator/>
      </w:r>
    </w:p>
  </w:endnote>
  <w:endnote w:type="continuationSeparator" w:id="0">
    <w:p w14:paraId="5D5A0D9A" w14:textId="77777777" w:rsidR="000E0653" w:rsidRDefault="000E0653" w:rsidP="00825E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170515" w14:textId="77777777" w:rsidR="000E0653" w:rsidRDefault="000E0653" w:rsidP="00825ED9">
      <w:r>
        <w:separator/>
      </w:r>
    </w:p>
  </w:footnote>
  <w:footnote w:type="continuationSeparator" w:id="0">
    <w:p w14:paraId="4ADF627F" w14:textId="77777777" w:rsidR="000E0653" w:rsidRDefault="000E0653" w:rsidP="00825ED9">
      <w:r>
        <w:continuationSeparator/>
      </w:r>
    </w:p>
  </w:footnote>
  <w:footnote w:id="1">
    <w:p w14:paraId="31F59840" w14:textId="6F84DBB9" w:rsidR="00825ED9" w:rsidRPr="00825ED9" w:rsidRDefault="00825ED9">
      <w:pPr>
        <w:pStyle w:val="FootnoteText"/>
        <w:rPr>
          <w:lang w:val="en-GB"/>
        </w:rPr>
      </w:pPr>
      <w:r>
        <w:rPr>
          <w:rStyle w:val="FootnoteReference"/>
        </w:rPr>
        <w:footnoteRef/>
      </w:r>
      <w:r>
        <w:t xml:space="preserve"> </w:t>
      </w:r>
      <w:r>
        <w:rPr>
          <w:lang w:val="en-GB"/>
        </w:rPr>
        <w:t xml:space="preserve">Morsi became president in 2012, until he was forced out by popular dissent and military force and the MB gained 47% of seats in parliament’s lower house. </w:t>
      </w:r>
    </w:p>
  </w:footnote>
  <w:footnote w:id="2">
    <w:p w14:paraId="6B6B0045" w14:textId="5BF2B1D2" w:rsidR="00DF4336" w:rsidRPr="00DF4336" w:rsidRDefault="00DF4336">
      <w:pPr>
        <w:pStyle w:val="FootnoteText"/>
        <w:rPr>
          <w:lang w:val="en-GB"/>
        </w:rPr>
      </w:pPr>
      <w:r>
        <w:rPr>
          <w:rStyle w:val="FootnoteReference"/>
        </w:rPr>
        <w:footnoteRef/>
      </w:r>
      <w:r>
        <w:t xml:space="preserve"> </w:t>
      </w:r>
      <w:r>
        <w:rPr>
          <w:lang w:val="en-GB"/>
        </w:rPr>
        <w:t xml:space="preserve">Edward </w:t>
      </w:r>
      <w:proofErr w:type="spellStart"/>
      <w:r>
        <w:rPr>
          <w:lang w:val="en-GB"/>
        </w:rPr>
        <w:t>Djerejian</w:t>
      </w:r>
      <w:proofErr w:type="spellEnd"/>
      <w:r>
        <w:rPr>
          <w:lang w:val="en-GB"/>
        </w:rPr>
        <w:t xml:space="preserve">, “The US and the Middle East in a Changing World, dispatch, Vol. 3, June </w:t>
      </w:r>
      <w:proofErr w:type="gramStart"/>
      <w:r>
        <w:rPr>
          <w:lang w:val="en-GB"/>
        </w:rPr>
        <w:t>8 ,</w:t>
      </w:r>
      <w:proofErr w:type="gramEnd"/>
      <w:r>
        <w:rPr>
          <w:lang w:val="en-GB"/>
        </w:rPr>
        <w:t xml:space="preserve"> 1992</w:t>
      </w:r>
    </w:p>
  </w:footnote>
  <w:footnote w:id="3">
    <w:p w14:paraId="28AE8909" w14:textId="561340DF" w:rsidR="00677C42" w:rsidRPr="00677C42" w:rsidRDefault="00677C42">
      <w:pPr>
        <w:pStyle w:val="FootnoteText"/>
        <w:rPr>
          <w:lang w:val="en-GB"/>
        </w:rPr>
      </w:pPr>
      <w:r>
        <w:rPr>
          <w:rStyle w:val="FootnoteReference"/>
        </w:rPr>
        <w:footnoteRef/>
      </w:r>
      <w:r>
        <w:t xml:space="preserve"> </w:t>
      </w:r>
      <w:r>
        <w:rPr>
          <w:lang w:val="en-GB"/>
        </w:rPr>
        <w:t xml:space="preserve">Mohamed Zahid, The Muslim Brotherhood and Egypt’s Succession Crisis, (I.B. Taurus, 2011) p 80. </w:t>
      </w:r>
    </w:p>
  </w:footnote>
  <w:footnote w:id="4">
    <w:p w14:paraId="7AAC321A" w14:textId="0BC98B64" w:rsidR="007E74AC" w:rsidRPr="007E74AC" w:rsidRDefault="007E74AC">
      <w:pPr>
        <w:pStyle w:val="FootnoteText"/>
        <w:rPr>
          <w:lang w:val="en-GB"/>
        </w:rPr>
      </w:pPr>
      <w:r>
        <w:rPr>
          <w:rStyle w:val="FootnoteReference"/>
        </w:rPr>
        <w:footnoteRef/>
      </w:r>
      <w:r>
        <w:t xml:space="preserve"> </w:t>
      </w:r>
      <w:proofErr w:type="spellStart"/>
      <w:r>
        <w:rPr>
          <w:lang w:val="en-GB"/>
        </w:rPr>
        <w:t>Qutb</w:t>
      </w:r>
      <w:proofErr w:type="spellEnd"/>
      <w:r>
        <w:rPr>
          <w:lang w:val="en-GB"/>
        </w:rPr>
        <w:t xml:space="preserve"> is a famous Egyptian Islamic writer largely credited for inspiring the IM groups. He was hung in 1966 by Nasser’s regime. </w:t>
      </w:r>
    </w:p>
  </w:footnote>
  <w:footnote w:id="5">
    <w:p w14:paraId="7C9641E2" w14:textId="2178515B" w:rsidR="0045299A" w:rsidRPr="0045299A" w:rsidRDefault="0045299A">
      <w:pPr>
        <w:pStyle w:val="FootnoteText"/>
        <w:rPr>
          <w:lang w:val="en-GB"/>
        </w:rPr>
      </w:pPr>
      <w:r>
        <w:rPr>
          <w:rStyle w:val="FootnoteReference"/>
        </w:rPr>
        <w:footnoteRef/>
      </w:r>
      <w:r>
        <w:t xml:space="preserve"> </w:t>
      </w:r>
      <w:r w:rsidR="005136E9">
        <w:rPr>
          <w:lang w:val="en-GB"/>
        </w:rPr>
        <w:t xml:space="preserve">Al Jihad merged with Al Qaeda and </w:t>
      </w:r>
      <w:proofErr w:type="spellStart"/>
      <w:r w:rsidR="005136E9">
        <w:rPr>
          <w:lang w:val="en-GB"/>
        </w:rPr>
        <w:t>Jamaa</w:t>
      </w:r>
      <w:proofErr w:type="spellEnd"/>
      <w:r w:rsidR="005136E9">
        <w:rPr>
          <w:lang w:val="en-GB"/>
        </w:rPr>
        <w:t xml:space="preserve"> al </w:t>
      </w:r>
      <w:proofErr w:type="spellStart"/>
      <w:r w:rsidR="005136E9">
        <w:rPr>
          <w:lang w:val="en-GB"/>
        </w:rPr>
        <w:t>Islamiya</w:t>
      </w:r>
      <w:proofErr w:type="spellEnd"/>
      <w:r w:rsidR="005136E9">
        <w:rPr>
          <w:lang w:val="en-GB"/>
        </w:rPr>
        <w:t xml:space="preserve"> renounced violence in 2003 </w:t>
      </w:r>
      <w:proofErr w:type="spellStart"/>
      <w:r w:rsidR="005136E9">
        <w:rPr>
          <w:lang w:val="en-GB"/>
        </w:rPr>
        <w:t>offically</w:t>
      </w:r>
      <w:proofErr w:type="spellEnd"/>
      <w:r w:rsidR="005136E9">
        <w:rPr>
          <w:lang w:val="en-GB"/>
        </w:rPr>
        <w:t xml:space="preserve">. </w:t>
      </w:r>
    </w:p>
  </w:footnote>
  <w:footnote w:id="6">
    <w:p w14:paraId="0E248FFA" w14:textId="51FE5E39" w:rsidR="0088429C" w:rsidRPr="0088429C" w:rsidRDefault="0088429C">
      <w:pPr>
        <w:pStyle w:val="FootnoteText"/>
        <w:rPr>
          <w:lang w:val="en-GB"/>
        </w:rPr>
      </w:pPr>
      <w:r>
        <w:rPr>
          <w:rStyle w:val="FootnoteReference"/>
        </w:rPr>
        <w:footnoteRef/>
      </w:r>
      <w:r>
        <w:t xml:space="preserve"> </w:t>
      </w:r>
      <w:r>
        <w:rPr>
          <w:lang w:val="en-GB"/>
        </w:rPr>
        <w:t xml:space="preserve">Al </w:t>
      </w:r>
      <w:proofErr w:type="spellStart"/>
      <w:r>
        <w:rPr>
          <w:lang w:val="en-GB"/>
        </w:rPr>
        <w:t>Ahram</w:t>
      </w:r>
      <w:proofErr w:type="spellEnd"/>
      <w:r>
        <w:rPr>
          <w:lang w:val="en-GB"/>
        </w:rPr>
        <w:t xml:space="preserve"> weekly, </w:t>
      </w:r>
      <w:r w:rsidR="00144D0A">
        <w:rPr>
          <w:lang w:val="en-GB"/>
        </w:rPr>
        <w:t xml:space="preserve">“Terrorist </w:t>
      </w:r>
      <w:proofErr w:type="spellStart"/>
      <w:r w:rsidR="00144D0A">
        <w:rPr>
          <w:lang w:val="en-GB"/>
        </w:rPr>
        <w:t>organistaions</w:t>
      </w:r>
      <w:proofErr w:type="spellEnd"/>
      <w:r w:rsidR="00144D0A">
        <w:rPr>
          <w:lang w:val="en-GB"/>
        </w:rPr>
        <w:t xml:space="preserve"> in Egypt, Ahmed </w:t>
      </w:r>
      <w:proofErr w:type="spellStart"/>
      <w:r w:rsidR="00144D0A">
        <w:rPr>
          <w:lang w:val="en-GB"/>
        </w:rPr>
        <w:t>Beheiri</w:t>
      </w:r>
      <w:proofErr w:type="spellEnd"/>
      <w:r w:rsidR="00144D0A">
        <w:rPr>
          <w:lang w:val="en-GB"/>
        </w:rPr>
        <w:t>, December 21</w:t>
      </w:r>
      <w:r w:rsidR="00144D0A" w:rsidRPr="00144D0A">
        <w:rPr>
          <w:vertAlign w:val="superscript"/>
          <w:lang w:val="en-GB"/>
        </w:rPr>
        <w:t>st</w:t>
      </w:r>
      <w:r w:rsidR="00144D0A">
        <w:rPr>
          <w:lang w:val="en-GB"/>
        </w:rPr>
        <w:t xml:space="preserve"> 2017. </w:t>
      </w:r>
    </w:p>
  </w:footnote>
  <w:footnote w:id="7">
    <w:p w14:paraId="63361416" w14:textId="7FF8F9D9" w:rsidR="00FF317C" w:rsidRPr="00FF317C" w:rsidRDefault="00FF317C">
      <w:pPr>
        <w:pStyle w:val="FootnoteText"/>
        <w:rPr>
          <w:lang w:val="en-GB"/>
        </w:rPr>
      </w:pPr>
      <w:r>
        <w:rPr>
          <w:rStyle w:val="FootnoteReference"/>
        </w:rPr>
        <w:footnoteRef/>
      </w:r>
      <w:r>
        <w:t xml:space="preserve"> </w:t>
      </w:r>
      <w:proofErr w:type="spellStart"/>
      <w:r>
        <w:rPr>
          <w:lang w:val="en-GB"/>
        </w:rPr>
        <w:t>Saad</w:t>
      </w:r>
      <w:proofErr w:type="spellEnd"/>
      <w:r>
        <w:rPr>
          <w:lang w:val="en-GB"/>
        </w:rPr>
        <w:t xml:space="preserve"> </w:t>
      </w:r>
      <w:proofErr w:type="spellStart"/>
      <w:r>
        <w:rPr>
          <w:lang w:val="en-GB"/>
        </w:rPr>
        <w:t>Eddin</w:t>
      </w:r>
      <w:proofErr w:type="spellEnd"/>
      <w:r>
        <w:rPr>
          <w:lang w:val="en-GB"/>
        </w:rPr>
        <w:t xml:space="preserve"> Ibrahim, Egypt Islam and Democracy (AUC, 2002) p 8. </w:t>
      </w:r>
    </w:p>
  </w:footnote>
  <w:footnote w:id="8">
    <w:p w14:paraId="70041734" w14:textId="5A105BC0" w:rsidR="00B46C2E" w:rsidRPr="00B46C2E" w:rsidRDefault="00B46C2E">
      <w:pPr>
        <w:pStyle w:val="FootnoteText"/>
        <w:rPr>
          <w:lang w:val="en-GB"/>
        </w:rPr>
      </w:pPr>
      <w:r>
        <w:rPr>
          <w:rStyle w:val="FootnoteReference"/>
        </w:rPr>
        <w:footnoteRef/>
      </w:r>
      <w:r>
        <w:t xml:space="preserve"> </w:t>
      </w:r>
      <w:r>
        <w:rPr>
          <w:lang w:val="en-GB"/>
        </w:rPr>
        <w:t xml:space="preserve">A term used to mean a non-believer. </w:t>
      </w:r>
    </w:p>
  </w:footnote>
  <w:footnote w:id="9">
    <w:p w14:paraId="66F219DC" w14:textId="4EAC7998" w:rsidR="00EA12E5" w:rsidRPr="00EA12E5" w:rsidRDefault="00EA12E5">
      <w:pPr>
        <w:pStyle w:val="FootnoteText"/>
        <w:rPr>
          <w:lang w:val="en-GB"/>
        </w:rPr>
      </w:pPr>
      <w:r>
        <w:rPr>
          <w:rStyle w:val="FootnoteReference"/>
        </w:rPr>
        <w:footnoteRef/>
      </w:r>
      <w:r>
        <w:t xml:space="preserve"> </w:t>
      </w:r>
      <w:r>
        <w:rPr>
          <w:lang w:val="en-GB"/>
        </w:rPr>
        <w:t xml:space="preserve">R.H. </w:t>
      </w:r>
      <w:proofErr w:type="spellStart"/>
      <w:r>
        <w:rPr>
          <w:lang w:val="en-GB"/>
        </w:rPr>
        <w:t>Dekmejian</w:t>
      </w:r>
      <w:proofErr w:type="spellEnd"/>
      <w:r>
        <w:rPr>
          <w:lang w:val="en-GB"/>
        </w:rPr>
        <w:t xml:space="preserve">, </w:t>
      </w:r>
      <w:r w:rsidR="00143191">
        <w:rPr>
          <w:lang w:val="en-GB"/>
        </w:rPr>
        <w:t>Islam in Revolution, p85</w:t>
      </w:r>
    </w:p>
  </w:footnote>
  <w:footnote w:id="10">
    <w:p w14:paraId="2E07CBEE" w14:textId="503A0C89" w:rsidR="00112643" w:rsidRPr="00112643" w:rsidRDefault="00112643">
      <w:pPr>
        <w:pStyle w:val="FootnoteText"/>
        <w:rPr>
          <w:lang w:val="en-GB"/>
        </w:rPr>
      </w:pPr>
      <w:r>
        <w:rPr>
          <w:rStyle w:val="FootnoteReference"/>
        </w:rPr>
        <w:footnoteRef/>
      </w:r>
      <w:r>
        <w:t xml:space="preserve"> </w:t>
      </w:r>
      <w:r>
        <w:rPr>
          <w:lang w:val="en-GB"/>
        </w:rPr>
        <w:t>ibid</w:t>
      </w:r>
    </w:p>
  </w:footnote>
  <w:footnote w:id="11">
    <w:p w14:paraId="3FC20871" w14:textId="19E68890" w:rsidR="00112643" w:rsidRPr="00112643" w:rsidRDefault="00112643">
      <w:pPr>
        <w:pStyle w:val="FootnoteText"/>
        <w:rPr>
          <w:lang w:val="en-GB"/>
        </w:rPr>
      </w:pPr>
      <w:r>
        <w:rPr>
          <w:rStyle w:val="FootnoteReference"/>
        </w:rPr>
        <w:footnoteRef/>
      </w:r>
      <w:r>
        <w:t xml:space="preserve"> </w:t>
      </w:r>
      <w:r>
        <w:rPr>
          <w:lang w:val="en-GB"/>
        </w:rPr>
        <w:t>A tern used to refer to society before Islam.</w:t>
      </w:r>
    </w:p>
  </w:footnote>
  <w:footnote w:id="12">
    <w:p w14:paraId="16AD35F3" w14:textId="0CAA9DDD" w:rsidR="00112643" w:rsidRPr="00112643" w:rsidRDefault="00112643">
      <w:pPr>
        <w:pStyle w:val="FootnoteText"/>
        <w:rPr>
          <w:lang w:val="en-GB"/>
        </w:rPr>
      </w:pPr>
      <w:r>
        <w:rPr>
          <w:rStyle w:val="FootnoteReference"/>
        </w:rPr>
        <w:footnoteRef/>
      </w:r>
      <w:r>
        <w:t xml:space="preserve"> </w:t>
      </w:r>
      <w:r>
        <w:rPr>
          <w:lang w:val="en-GB"/>
        </w:rPr>
        <w:t>ibid</w:t>
      </w:r>
    </w:p>
  </w:footnote>
  <w:footnote w:id="13">
    <w:p w14:paraId="61A7A5E3" w14:textId="39BB6EF2" w:rsidR="00126AD3" w:rsidRPr="00126AD3" w:rsidRDefault="00126AD3">
      <w:pPr>
        <w:pStyle w:val="FootnoteText"/>
        <w:rPr>
          <w:lang w:val="en-GB"/>
        </w:rPr>
      </w:pPr>
      <w:r>
        <w:rPr>
          <w:rStyle w:val="FootnoteReference"/>
        </w:rPr>
        <w:footnoteRef/>
      </w:r>
      <w:r>
        <w:t xml:space="preserve"> </w:t>
      </w:r>
      <w:proofErr w:type="spellStart"/>
      <w:r>
        <w:rPr>
          <w:lang w:val="en-GB"/>
        </w:rPr>
        <w:t>Saad</w:t>
      </w:r>
      <w:proofErr w:type="spellEnd"/>
      <w:r>
        <w:rPr>
          <w:lang w:val="en-GB"/>
        </w:rPr>
        <w:t xml:space="preserve"> </w:t>
      </w:r>
      <w:proofErr w:type="spellStart"/>
      <w:r>
        <w:rPr>
          <w:lang w:val="en-GB"/>
        </w:rPr>
        <w:t>Eddin</w:t>
      </w:r>
      <w:proofErr w:type="spellEnd"/>
      <w:r>
        <w:rPr>
          <w:lang w:val="en-GB"/>
        </w:rPr>
        <w:t xml:space="preserve"> Ibrahim, Egypt Islam and Democracy, (AUC, 2002,) </w:t>
      </w:r>
      <w:r w:rsidR="00CE0356">
        <w:rPr>
          <w:lang w:val="en-GB"/>
        </w:rPr>
        <w:t>26</w:t>
      </w:r>
    </w:p>
  </w:footnote>
  <w:footnote w:id="14">
    <w:p w14:paraId="2E22661B" w14:textId="77069EFC" w:rsidR="00CE0356" w:rsidRPr="00CE0356" w:rsidRDefault="00CE0356">
      <w:pPr>
        <w:pStyle w:val="FootnoteText"/>
        <w:rPr>
          <w:lang w:val="en-GB"/>
        </w:rPr>
      </w:pPr>
      <w:r>
        <w:rPr>
          <w:rStyle w:val="FootnoteReference"/>
        </w:rPr>
        <w:footnoteRef/>
      </w:r>
      <w:r>
        <w:t xml:space="preserve"> </w:t>
      </w:r>
      <w:r>
        <w:rPr>
          <w:lang w:val="en-GB"/>
        </w:rPr>
        <w:t xml:space="preserve">Tarek </w:t>
      </w:r>
      <w:proofErr w:type="spellStart"/>
      <w:r>
        <w:rPr>
          <w:lang w:val="en-GB"/>
        </w:rPr>
        <w:t>Masoud</w:t>
      </w:r>
      <w:proofErr w:type="spellEnd"/>
      <w:r>
        <w:rPr>
          <w:lang w:val="en-GB"/>
        </w:rPr>
        <w:t>, Counting Islam, (Cambridge, 2014).</w:t>
      </w:r>
    </w:p>
  </w:footnote>
  <w:footnote w:id="15">
    <w:p w14:paraId="10BAB5B9" w14:textId="3C353D2E" w:rsidR="00A976B3" w:rsidRPr="00A976B3" w:rsidRDefault="00A976B3">
      <w:pPr>
        <w:pStyle w:val="FootnoteText"/>
        <w:rPr>
          <w:lang w:val="en-GB"/>
        </w:rPr>
      </w:pPr>
      <w:r>
        <w:rPr>
          <w:rStyle w:val="FootnoteReference"/>
        </w:rPr>
        <w:footnoteRef/>
      </w:r>
      <w:r>
        <w:t xml:space="preserve"> </w:t>
      </w:r>
      <w:proofErr w:type="spellStart"/>
      <w:r>
        <w:rPr>
          <w:lang w:val="en-GB"/>
        </w:rPr>
        <w:t>Salwa</w:t>
      </w:r>
      <w:proofErr w:type="spellEnd"/>
      <w:r>
        <w:rPr>
          <w:lang w:val="en-GB"/>
        </w:rPr>
        <w:t xml:space="preserve"> Ismail, “The Popular Movement Dimensions of Contemporary Militant Islamism” Society for Comparative Study of Society and History, 2000</w:t>
      </w:r>
    </w:p>
  </w:footnote>
  <w:footnote w:id="16">
    <w:p w14:paraId="2C07B95C" w14:textId="04515A6A" w:rsidR="00E34501" w:rsidRPr="00E34501" w:rsidRDefault="00E34501">
      <w:pPr>
        <w:pStyle w:val="FootnoteText"/>
        <w:rPr>
          <w:lang w:val="en-GB"/>
        </w:rPr>
      </w:pPr>
      <w:r>
        <w:rPr>
          <w:rStyle w:val="FootnoteReference"/>
        </w:rPr>
        <w:footnoteRef/>
      </w:r>
      <w:r>
        <w:t xml:space="preserve"> </w:t>
      </w:r>
      <w:r>
        <w:rPr>
          <w:lang w:val="en-GB"/>
        </w:rPr>
        <w:t xml:space="preserve">See </w:t>
      </w:r>
      <w:proofErr w:type="spellStart"/>
      <w:r>
        <w:rPr>
          <w:lang w:val="en-GB"/>
        </w:rPr>
        <w:t>Kepel</w:t>
      </w:r>
      <w:proofErr w:type="spellEnd"/>
      <w:r>
        <w:rPr>
          <w:lang w:val="en-GB"/>
        </w:rPr>
        <w:t xml:space="preserve">, </w:t>
      </w:r>
      <w:r w:rsidR="00762560">
        <w:rPr>
          <w:lang w:val="en-GB"/>
        </w:rPr>
        <w:t xml:space="preserve">Muslim extremism in Egypt: The Prophet and the Pharaoh, 1985 </w:t>
      </w:r>
    </w:p>
  </w:footnote>
  <w:footnote w:id="17">
    <w:p w14:paraId="5D2E5E1F" w14:textId="64447C1D" w:rsidR="00D67F52" w:rsidRPr="00D67F52" w:rsidRDefault="00D67F52">
      <w:pPr>
        <w:pStyle w:val="FootnoteText"/>
        <w:rPr>
          <w:lang w:val="en-GB"/>
        </w:rPr>
      </w:pPr>
      <w:r>
        <w:rPr>
          <w:rStyle w:val="FootnoteReference"/>
        </w:rPr>
        <w:footnoteRef/>
      </w:r>
      <w:r>
        <w:t xml:space="preserve"> </w:t>
      </w:r>
      <w:r>
        <w:rPr>
          <w:lang w:val="en-GB"/>
        </w:rPr>
        <w:t>See Ismail.</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0B3D"/>
    <w:rsid w:val="00033E81"/>
    <w:rsid w:val="000E0653"/>
    <w:rsid w:val="000F2BCD"/>
    <w:rsid w:val="00112643"/>
    <w:rsid w:val="00126AD3"/>
    <w:rsid w:val="00143191"/>
    <w:rsid w:val="00144D0A"/>
    <w:rsid w:val="0015247A"/>
    <w:rsid w:val="001A4C4E"/>
    <w:rsid w:val="001F5FCF"/>
    <w:rsid w:val="00263286"/>
    <w:rsid w:val="00277E4A"/>
    <w:rsid w:val="00282060"/>
    <w:rsid w:val="002E5D83"/>
    <w:rsid w:val="00380B3D"/>
    <w:rsid w:val="0045299A"/>
    <w:rsid w:val="00455AF4"/>
    <w:rsid w:val="005136E9"/>
    <w:rsid w:val="00540C3A"/>
    <w:rsid w:val="00545E1D"/>
    <w:rsid w:val="0059095B"/>
    <w:rsid w:val="005C7800"/>
    <w:rsid w:val="00622197"/>
    <w:rsid w:val="00624263"/>
    <w:rsid w:val="0063689B"/>
    <w:rsid w:val="00660315"/>
    <w:rsid w:val="00677C42"/>
    <w:rsid w:val="00702555"/>
    <w:rsid w:val="00762560"/>
    <w:rsid w:val="007E74AC"/>
    <w:rsid w:val="00824E9C"/>
    <w:rsid w:val="00825ED9"/>
    <w:rsid w:val="0088429C"/>
    <w:rsid w:val="008A3AAC"/>
    <w:rsid w:val="008B2972"/>
    <w:rsid w:val="00926CF3"/>
    <w:rsid w:val="009F33B4"/>
    <w:rsid w:val="009F63F0"/>
    <w:rsid w:val="00A17A0D"/>
    <w:rsid w:val="00A60854"/>
    <w:rsid w:val="00A976B3"/>
    <w:rsid w:val="00AA1F36"/>
    <w:rsid w:val="00B46C2E"/>
    <w:rsid w:val="00B73813"/>
    <w:rsid w:val="00B85292"/>
    <w:rsid w:val="00B8712C"/>
    <w:rsid w:val="00C92A6C"/>
    <w:rsid w:val="00CC1C2F"/>
    <w:rsid w:val="00CE0356"/>
    <w:rsid w:val="00D45BC7"/>
    <w:rsid w:val="00D53135"/>
    <w:rsid w:val="00D67F52"/>
    <w:rsid w:val="00D95E15"/>
    <w:rsid w:val="00DF4336"/>
    <w:rsid w:val="00E34501"/>
    <w:rsid w:val="00E57963"/>
    <w:rsid w:val="00E62ACC"/>
    <w:rsid w:val="00E725DA"/>
    <w:rsid w:val="00E80E31"/>
    <w:rsid w:val="00EA12E5"/>
    <w:rsid w:val="00EB2F77"/>
    <w:rsid w:val="00ED2387"/>
    <w:rsid w:val="00EF42B2"/>
    <w:rsid w:val="00F412A3"/>
    <w:rsid w:val="00F97A65"/>
    <w:rsid w:val="00FD3BF4"/>
    <w:rsid w:val="00FF31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44F80C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825ED9"/>
  </w:style>
  <w:style w:type="character" w:customStyle="1" w:styleId="FootnoteTextChar">
    <w:name w:val="Footnote Text Char"/>
    <w:basedOn w:val="DefaultParagraphFont"/>
    <w:link w:val="FootnoteText"/>
    <w:uiPriority w:val="99"/>
    <w:rsid w:val="00825ED9"/>
  </w:style>
  <w:style w:type="character" w:styleId="FootnoteReference">
    <w:name w:val="footnote reference"/>
    <w:basedOn w:val="DefaultParagraphFont"/>
    <w:uiPriority w:val="99"/>
    <w:unhideWhenUsed/>
    <w:rsid w:val="00825ED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877</Words>
  <Characters>4688</Characters>
  <Application>Microsoft Macintosh Word</Application>
  <DocSecurity>0</DocSecurity>
  <Lines>82</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5549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workman</dc:creator>
  <cp:keywords/>
  <dc:description/>
  <cp:lastModifiedBy>helen workman</cp:lastModifiedBy>
  <cp:revision>2</cp:revision>
  <dcterms:created xsi:type="dcterms:W3CDTF">2018-06-23T22:09:00Z</dcterms:created>
  <dcterms:modified xsi:type="dcterms:W3CDTF">2018-06-23T22:09:00Z</dcterms:modified>
</cp:coreProperties>
</file>