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66FC" w:rsidRDefault="003B66FC" w:rsidP="003B66FC">
      <w:pPr>
        <w:spacing w:line="276" w:lineRule="auto"/>
        <w:jc w:val="center"/>
        <w:rPr>
          <w:rFonts w:ascii="Arial" w:hAnsi="Arial" w:cs="Arial"/>
          <w:i/>
          <w:sz w:val="28"/>
          <w:szCs w:val="24"/>
          <w:u w:val="single"/>
        </w:rPr>
      </w:pPr>
    </w:p>
    <w:p w:rsidR="006B10AC" w:rsidRPr="003B66FC" w:rsidRDefault="003B66FC" w:rsidP="003B66FC">
      <w:pPr>
        <w:spacing w:line="276" w:lineRule="auto"/>
        <w:jc w:val="center"/>
        <w:rPr>
          <w:rFonts w:ascii="Arial" w:hAnsi="Arial" w:cs="Arial"/>
          <w:i/>
          <w:sz w:val="28"/>
          <w:szCs w:val="24"/>
          <w:u w:val="single"/>
        </w:rPr>
      </w:pPr>
      <w:r w:rsidRPr="003B66FC">
        <w:rPr>
          <w:rFonts w:ascii="Arial" w:hAnsi="Arial" w:cs="Arial"/>
          <w:i/>
          <w:sz w:val="28"/>
          <w:szCs w:val="24"/>
          <w:u w:val="single"/>
        </w:rPr>
        <w:t>Critically discuss the importance of gender and status, as well as the concepts of dominance and passivity in relation to Roman sexuality.</w:t>
      </w:r>
    </w:p>
    <w:p w:rsidR="00EE4821" w:rsidRDefault="00A94361" w:rsidP="00952A7D">
      <w:pPr>
        <w:spacing w:line="240" w:lineRule="auto"/>
        <w:jc w:val="both"/>
        <w:rPr>
          <w:rFonts w:ascii="Arial" w:hAnsi="Arial" w:cs="Arial"/>
          <w:sz w:val="24"/>
          <w:szCs w:val="24"/>
        </w:rPr>
      </w:pPr>
      <w:r>
        <w:rPr>
          <w:rFonts w:ascii="Arial" w:hAnsi="Arial" w:cs="Arial"/>
          <w:sz w:val="24"/>
          <w:szCs w:val="24"/>
        </w:rPr>
        <w:t xml:space="preserve">Gender and status transcend time; they have dictated sexual interaction in </w:t>
      </w:r>
      <w:r w:rsidR="00EB3CA7">
        <w:rPr>
          <w:rFonts w:ascii="Arial" w:hAnsi="Arial" w:cs="Arial"/>
          <w:sz w:val="24"/>
          <w:szCs w:val="24"/>
        </w:rPr>
        <w:t xml:space="preserve">the </w:t>
      </w:r>
      <w:r>
        <w:rPr>
          <w:rFonts w:ascii="Arial" w:hAnsi="Arial" w:cs="Arial"/>
          <w:sz w:val="24"/>
          <w:szCs w:val="24"/>
        </w:rPr>
        <w:t xml:space="preserve">highly stratified societies </w:t>
      </w:r>
      <w:r w:rsidR="00EB3CA7">
        <w:rPr>
          <w:rFonts w:ascii="Arial" w:hAnsi="Arial" w:cs="Arial"/>
          <w:sz w:val="24"/>
          <w:szCs w:val="24"/>
        </w:rPr>
        <w:t xml:space="preserve">of </w:t>
      </w:r>
      <w:r>
        <w:rPr>
          <w:rFonts w:ascii="Arial" w:hAnsi="Arial" w:cs="Arial"/>
          <w:sz w:val="24"/>
          <w:szCs w:val="24"/>
        </w:rPr>
        <w:t>historic and modern civilisation</w:t>
      </w:r>
      <w:r w:rsidR="00EB3CA7">
        <w:rPr>
          <w:rFonts w:ascii="Arial" w:hAnsi="Arial" w:cs="Arial"/>
          <w:sz w:val="24"/>
          <w:szCs w:val="24"/>
        </w:rPr>
        <w:t>s</w:t>
      </w:r>
      <w:r>
        <w:rPr>
          <w:rFonts w:ascii="Arial" w:hAnsi="Arial" w:cs="Arial"/>
          <w:sz w:val="24"/>
          <w:szCs w:val="24"/>
        </w:rPr>
        <w:t>.</w:t>
      </w:r>
      <w:r w:rsidR="00EB3CA7">
        <w:rPr>
          <w:rFonts w:ascii="Arial" w:hAnsi="Arial" w:cs="Arial"/>
          <w:sz w:val="24"/>
          <w:szCs w:val="24"/>
        </w:rPr>
        <w:t xml:space="preserve"> </w:t>
      </w:r>
      <w:r w:rsidR="003B66FC">
        <w:rPr>
          <w:rFonts w:ascii="Arial" w:hAnsi="Arial" w:cs="Arial"/>
          <w:sz w:val="24"/>
          <w:szCs w:val="24"/>
        </w:rPr>
        <w:t xml:space="preserve">However, </w:t>
      </w:r>
      <w:r w:rsidR="00EB3CA7">
        <w:rPr>
          <w:rFonts w:ascii="Arial" w:hAnsi="Arial" w:cs="Arial"/>
          <w:sz w:val="24"/>
          <w:szCs w:val="24"/>
        </w:rPr>
        <w:t xml:space="preserve">they pale in comparison to the importance that Romans placed on the concepts of dominance and passivity in a sexual context. </w:t>
      </w:r>
      <w:r w:rsidR="00170691">
        <w:rPr>
          <w:rFonts w:ascii="Arial" w:hAnsi="Arial" w:cs="Arial"/>
          <w:sz w:val="24"/>
          <w:szCs w:val="24"/>
        </w:rPr>
        <w:t>Traditional exertions of power, as typified by the wealthy controlling the poor and men controlling women, formed the foundation of sexual relations in Ancient Rome</w:t>
      </w:r>
      <w:r w:rsidR="00A712B4">
        <w:rPr>
          <w:rFonts w:ascii="Arial" w:hAnsi="Arial" w:cs="Arial"/>
          <w:sz w:val="24"/>
          <w:szCs w:val="24"/>
        </w:rPr>
        <w:t xml:space="preserve">. Yet, </w:t>
      </w:r>
      <w:r w:rsidR="00170691">
        <w:rPr>
          <w:rFonts w:ascii="Arial" w:hAnsi="Arial" w:cs="Arial"/>
          <w:sz w:val="24"/>
          <w:szCs w:val="24"/>
        </w:rPr>
        <w:t xml:space="preserve">taking </w:t>
      </w:r>
      <w:r w:rsidR="00A712B4">
        <w:rPr>
          <w:rFonts w:ascii="Arial" w:hAnsi="Arial" w:cs="Arial"/>
          <w:sz w:val="24"/>
          <w:szCs w:val="24"/>
        </w:rPr>
        <w:t>a</w:t>
      </w:r>
      <w:r w:rsidR="00170691">
        <w:rPr>
          <w:rFonts w:ascii="Arial" w:hAnsi="Arial" w:cs="Arial"/>
          <w:sz w:val="24"/>
          <w:szCs w:val="24"/>
        </w:rPr>
        <w:t xml:space="preserve"> constructionist view, it is clear that Roman sexuality</w:t>
      </w:r>
      <w:r w:rsidR="00A712B4">
        <w:rPr>
          <w:rFonts w:ascii="Arial" w:hAnsi="Arial" w:cs="Arial"/>
          <w:sz w:val="24"/>
          <w:szCs w:val="24"/>
        </w:rPr>
        <w:t>, encompassing sexual acts, desires and preferences,</w:t>
      </w:r>
      <w:r w:rsidR="00170691">
        <w:rPr>
          <w:rFonts w:ascii="Arial" w:hAnsi="Arial" w:cs="Arial"/>
          <w:sz w:val="24"/>
          <w:szCs w:val="24"/>
        </w:rPr>
        <w:t xml:space="preserve"> is culturally relative</w:t>
      </w:r>
      <w:r w:rsidR="00A712B4">
        <w:rPr>
          <w:rFonts w:ascii="Arial" w:hAnsi="Arial" w:cs="Arial"/>
          <w:sz w:val="24"/>
          <w:szCs w:val="24"/>
        </w:rPr>
        <w:t xml:space="preserve">; ergo, the modern focus placed on heterosexuality and homosexuality did not exist – it was in-turn about </w:t>
      </w:r>
      <w:r w:rsidR="00C06BDE">
        <w:rPr>
          <w:rFonts w:ascii="Arial" w:hAnsi="Arial" w:cs="Arial"/>
          <w:sz w:val="24"/>
          <w:szCs w:val="24"/>
        </w:rPr>
        <w:t>the virility of a man in his sexually active position, paralleled with either a man or woman’s weakness, or vulnerability</w:t>
      </w:r>
      <w:r w:rsidR="002003C3">
        <w:rPr>
          <w:rFonts w:ascii="Arial" w:hAnsi="Arial" w:cs="Arial"/>
          <w:sz w:val="24"/>
          <w:szCs w:val="24"/>
        </w:rPr>
        <w:t>,</w:t>
      </w:r>
      <w:r w:rsidR="00C06BDE">
        <w:rPr>
          <w:rFonts w:ascii="Arial" w:hAnsi="Arial" w:cs="Arial"/>
          <w:sz w:val="24"/>
          <w:szCs w:val="24"/>
        </w:rPr>
        <w:t xml:space="preserve"> in taking a passive position. </w:t>
      </w:r>
      <w:r w:rsidR="00315BF0">
        <w:rPr>
          <w:rFonts w:ascii="Arial" w:hAnsi="Arial" w:cs="Arial"/>
          <w:sz w:val="24"/>
          <w:szCs w:val="24"/>
        </w:rPr>
        <w:t xml:space="preserve">These </w:t>
      </w:r>
      <w:r w:rsidR="00C06BDE">
        <w:rPr>
          <w:rFonts w:ascii="Arial" w:hAnsi="Arial" w:cs="Arial"/>
          <w:sz w:val="24"/>
          <w:szCs w:val="24"/>
        </w:rPr>
        <w:t xml:space="preserve">stereotypes held </w:t>
      </w:r>
      <w:r w:rsidR="00315BF0">
        <w:rPr>
          <w:rFonts w:ascii="Arial" w:hAnsi="Arial" w:cs="Arial"/>
          <w:sz w:val="24"/>
          <w:szCs w:val="24"/>
        </w:rPr>
        <w:t xml:space="preserve">such gravitas not only in the private sphere, but public and more importantly legal one: such as, in the </w:t>
      </w:r>
      <w:r w:rsidR="00315BF0" w:rsidRPr="00315BF0">
        <w:rPr>
          <w:rFonts w:ascii="Arial" w:hAnsi="Arial" w:cs="Arial"/>
          <w:i/>
          <w:sz w:val="24"/>
          <w:szCs w:val="24"/>
        </w:rPr>
        <w:t>Digest</w:t>
      </w:r>
      <w:r w:rsidR="00315BF0">
        <w:rPr>
          <w:rFonts w:ascii="Arial" w:hAnsi="Arial" w:cs="Arial"/>
          <w:sz w:val="24"/>
          <w:szCs w:val="24"/>
        </w:rPr>
        <w:t xml:space="preserve"> it is recorded that m</w:t>
      </w:r>
      <w:r w:rsidR="00315BF0" w:rsidRPr="00315BF0">
        <w:rPr>
          <w:rFonts w:ascii="Arial" w:hAnsi="Arial" w:cs="Arial"/>
          <w:sz w:val="24"/>
          <w:szCs w:val="24"/>
        </w:rPr>
        <w:t>en who had “used their bodies in a woman’s fashion” were prohibited</w:t>
      </w:r>
      <w:r w:rsidR="00315BF0">
        <w:rPr>
          <w:rFonts w:ascii="Arial" w:hAnsi="Arial" w:cs="Arial"/>
          <w:sz w:val="24"/>
          <w:szCs w:val="24"/>
        </w:rPr>
        <w:t xml:space="preserve"> from acting</w:t>
      </w:r>
      <w:r w:rsidR="00315BF0" w:rsidRPr="00315BF0">
        <w:rPr>
          <w:rFonts w:ascii="Arial" w:hAnsi="Arial" w:cs="Arial"/>
          <w:sz w:val="24"/>
          <w:szCs w:val="24"/>
        </w:rPr>
        <w:t xml:space="preserve"> as advocates in Roman courts</w:t>
      </w:r>
      <w:r w:rsidR="00315BF0">
        <w:rPr>
          <w:rFonts w:ascii="Arial" w:hAnsi="Arial" w:cs="Arial"/>
          <w:sz w:val="24"/>
          <w:szCs w:val="24"/>
        </w:rPr>
        <w:t>.</w:t>
      </w:r>
      <w:r w:rsidR="00315BF0">
        <w:rPr>
          <w:rStyle w:val="FootnoteReference"/>
          <w:rFonts w:ascii="Arial" w:hAnsi="Arial" w:cs="Arial"/>
          <w:sz w:val="24"/>
          <w:szCs w:val="24"/>
        </w:rPr>
        <w:footnoteReference w:id="1"/>
      </w:r>
      <w:r w:rsidR="00315BF0">
        <w:rPr>
          <w:rFonts w:ascii="Arial" w:hAnsi="Arial" w:cs="Arial"/>
          <w:sz w:val="24"/>
          <w:szCs w:val="24"/>
        </w:rPr>
        <w:t xml:space="preserve">  Throughout this discussion both modern and ancient scholarship, ranging the stoic works of Foucault to the </w:t>
      </w:r>
      <w:r w:rsidR="005957F2">
        <w:rPr>
          <w:rFonts w:ascii="Arial" w:hAnsi="Arial" w:cs="Arial"/>
          <w:sz w:val="24"/>
          <w:szCs w:val="24"/>
        </w:rPr>
        <w:t xml:space="preserve">bawdy </w:t>
      </w:r>
      <w:r w:rsidR="00315BF0">
        <w:rPr>
          <w:rFonts w:ascii="Arial" w:hAnsi="Arial" w:cs="Arial"/>
          <w:sz w:val="24"/>
          <w:szCs w:val="24"/>
        </w:rPr>
        <w:t xml:space="preserve">depictions of Martial, </w:t>
      </w:r>
      <w:r w:rsidR="003E6404">
        <w:rPr>
          <w:rFonts w:ascii="Arial" w:hAnsi="Arial" w:cs="Arial"/>
          <w:sz w:val="24"/>
          <w:szCs w:val="24"/>
        </w:rPr>
        <w:t xml:space="preserve">will be consulted in order to determine the importance of these concepts in relation to Roman sexuality. </w:t>
      </w:r>
    </w:p>
    <w:p w:rsidR="002003D2" w:rsidRDefault="002003D2" w:rsidP="00CD538E">
      <w:pPr>
        <w:spacing w:line="240" w:lineRule="auto"/>
        <w:jc w:val="both"/>
        <w:rPr>
          <w:rFonts w:ascii="Arial" w:hAnsi="Arial" w:cs="Arial"/>
          <w:sz w:val="24"/>
          <w:szCs w:val="24"/>
        </w:rPr>
      </w:pPr>
      <w:r>
        <w:rPr>
          <w:rFonts w:ascii="Arial" w:hAnsi="Arial" w:cs="Arial"/>
          <w:sz w:val="24"/>
          <w:szCs w:val="24"/>
        </w:rPr>
        <w:t>Roman society, and its growth, depended upon contemporary considerations of gender and status. Considering literary, epigraphical and a</w:t>
      </w:r>
      <w:r w:rsidR="001F3047">
        <w:rPr>
          <w:rFonts w:ascii="Arial" w:hAnsi="Arial" w:cs="Arial"/>
          <w:sz w:val="24"/>
          <w:szCs w:val="24"/>
        </w:rPr>
        <w:t>nthropological</w:t>
      </w:r>
      <w:r>
        <w:rPr>
          <w:rFonts w:ascii="Arial" w:hAnsi="Arial" w:cs="Arial"/>
          <w:sz w:val="24"/>
          <w:szCs w:val="24"/>
        </w:rPr>
        <w:t xml:space="preserve"> evidence it is apparent that it was expected for women to be younger than their male counterpart, in order for them to more easily wield power. </w:t>
      </w:r>
      <w:r w:rsidR="001F3047">
        <w:rPr>
          <w:rFonts w:ascii="Arial" w:hAnsi="Arial" w:cs="Arial"/>
          <w:sz w:val="24"/>
          <w:szCs w:val="24"/>
        </w:rPr>
        <w:t>According to contemporary political theorist and poet Hesiod, in his didactic poem ‘Works and Days’, a man should marry at approximately age 30 and a woman should be five years into</w:t>
      </w:r>
      <w:r w:rsidR="002A2575">
        <w:rPr>
          <w:rFonts w:ascii="Arial" w:hAnsi="Arial" w:cs="Arial"/>
          <w:sz w:val="24"/>
          <w:szCs w:val="24"/>
        </w:rPr>
        <w:t xml:space="preserve"> adulthood</w:t>
      </w:r>
      <w:r w:rsidR="00555EF3">
        <w:rPr>
          <w:rFonts w:ascii="Arial" w:hAnsi="Arial" w:cs="Arial"/>
          <w:sz w:val="24"/>
          <w:szCs w:val="24"/>
        </w:rPr>
        <w:t>.</w:t>
      </w:r>
      <w:r w:rsidR="001F3047">
        <w:rPr>
          <w:rStyle w:val="FootnoteReference"/>
          <w:rFonts w:ascii="Arial" w:hAnsi="Arial" w:cs="Arial"/>
          <w:sz w:val="24"/>
          <w:szCs w:val="24"/>
        </w:rPr>
        <w:footnoteReference w:id="2"/>
      </w:r>
      <w:r w:rsidR="00555EF3">
        <w:rPr>
          <w:rFonts w:ascii="Arial" w:hAnsi="Arial" w:cs="Arial"/>
          <w:sz w:val="24"/>
          <w:szCs w:val="24"/>
        </w:rPr>
        <w:t xml:space="preserve"> A</w:t>
      </w:r>
      <w:r w:rsidR="002A2575">
        <w:rPr>
          <w:rFonts w:ascii="Arial" w:hAnsi="Arial" w:cs="Arial"/>
          <w:sz w:val="24"/>
          <w:szCs w:val="24"/>
        </w:rPr>
        <w:t xml:space="preserve">s a text intending to teach its readership, it may be assumed </w:t>
      </w:r>
      <w:r w:rsidR="00555EF3">
        <w:rPr>
          <w:rFonts w:ascii="Arial" w:hAnsi="Arial" w:cs="Arial"/>
          <w:sz w:val="24"/>
          <w:szCs w:val="24"/>
        </w:rPr>
        <w:t>that marriage</w:t>
      </w:r>
      <w:r w:rsidR="002A2575">
        <w:rPr>
          <w:rFonts w:ascii="Arial" w:hAnsi="Arial" w:cs="Arial"/>
          <w:sz w:val="24"/>
          <w:szCs w:val="24"/>
        </w:rPr>
        <w:t xml:space="preserve"> at such a late age was atypical because men could legally marry at 14 (having grown from their toga </w:t>
      </w:r>
      <w:proofErr w:type="spellStart"/>
      <w:r w:rsidR="002A2575" w:rsidRPr="002A2575">
        <w:rPr>
          <w:rFonts w:ascii="Arial" w:hAnsi="Arial" w:cs="Arial"/>
          <w:i/>
          <w:sz w:val="24"/>
          <w:szCs w:val="24"/>
        </w:rPr>
        <w:t>virilis</w:t>
      </w:r>
      <w:proofErr w:type="spellEnd"/>
      <w:r w:rsidR="002A2575">
        <w:rPr>
          <w:rFonts w:ascii="Arial" w:hAnsi="Arial" w:cs="Arial"/>
          <w:sz w:val="24"/>
          <w:szCs w:val="24"/>
        </w:rPr>
        <w:t xml:space="preserve"> to toga </w:t>
      </w:r>
      <w:r w:rsidR="002A2575" w:rsidRPr="002A2575">
        <w:rPr>
          <w:rFonts w:ascii="Arial" w:hAnsi="Arial" w:cs="Arial"/>
          <w:i/>
          <w:sz w:val="24"/>
          <w:szCs w:val="24"/>
        </w:rPr>
        <w:t>praetexta</w:t>
      </w:r>
      <w:r w:rsidR="002A2575">
        <w:rPr>
          <w:rFonts w:ascii="Arial" w:hAnsi="Arial" w:cs="Arial"/>
          <w:sz w:val="24"/>
          <w:szCs w:val="24"/>
        </w:rPr>
        <w:t>) and women at 12</w:t>
      </w:r>
      <w:r w:rsidR="00555EF3">
        <w:rPr>
          <w:rFonts w:ascii="Arial" w:hAnsi="Arial" w:cs="Arial"/>
          <w:sz w:val="24"/>
          <w:szCs w:val="24"/>
        </w:rPr>
        <w:t xml:space="preserve">; clearly ideals were shifting: with </w:t>
      </w:r>
      <w:r w:rsidR="00757F29">
        <w:rPr>
          <w:rFonts w:ascii="Arial" w:hAnsi="Arial" w:cs="Arial"/>
          <w:sz w:val="24"/>
          <w:szCs w:val="24"/>
        </w:rPr>
        <w:t xml:space="preserve">childbirth often </w:t>
      </w:r>
      <w:r w:rsidR="00555EF3">
        <w:rPr>
          <w:rFonts w:ascii="Arial" w:hAnsi="Arial" w:cs="Arial"/>
          <w:sz w:val="24"/>
          <w:szCs w:val="24"/>
        </w:rPr>
        <w:t>resulting</w:t>
      </w:r>
      <w:r w:rsidR="00757F29">
        <w:rPr>
          <w:rFonts w:ascii="Arial" w:hAnsi="Arial" w:cs="Arial"/>
          <w:sz w:val="24"/>
          <w:szCs w:val="24"/>
        </w:rPr>
        <w:t xml:space="preserve"> in maternal mortality and young fathers rarely </w:t>
      </w:r>
      <w:r w:rsidR="00555EF3">
        <w:rPr>
          <w:rFonts w:ascii="Arial" w:hAnsi="Arial" w:cs="Arial"/>
          <w:sz w:val="24"/>
          <w:szCs w:val="24"/>
        </w:rPr>
        <w:t>possessing</w:t>
      </w:r>
      <w:r w:rsidR="00757F29">
        <w:rPr>
          <w:rFonts w:ascii="Arial" w:hAnsi="Arial" w:cs="Arial"/>
          <w:sz w:val="24"/>
          <w:szCs w:val="24"/>
        </w:rPr>
        <w:t xml:space="preserve"> enough authority to lead a family</w:t>
      </w:r>
      <w:r w:rsidR="00555EF3">
        <w:rPr>
          <w:rFonts w:ascii="Arial" w:hAnsi="Arial" w:cs="Arial"/>
          <w:sz w:val="24"/>
          <w:szCs w:val="24"/>
        </w:rPr>
        <w:t xml:space="preserve">, this is unsurprising. </w:t>
      </w:r>
      <w:r w:rsidR="00757F29">
        <w:rPr>
          <w:rFonts w:ascii="Arial" w:hAnsi="Arial" w:cs="Arial"/>
          <w:sz w:val="24"/>
          <w:szCs w:val="24"/>
        </w:rPr>
        <w:t xml:space="preserve">Arguably, it was not just the sexual dominance of men, but public (as a father ruled over the family), which was vital to the Roman notion of sexuality. </w:t>
      </w:r>
      <w:r>
        <w:rPr>
          <w:rFonts w:ascii="Arial" w:hAnsi="Arial" w:cs="Arial"/>
          <w:sz w:val="24"/>
          <w:szCs w:val="24"/>
        </w:rPr>
        <w:t>As Ovid, in ‘The Art of Love’, advises an innocent, impressionable female population to ‘</w:t>
      </w:r>
      <w:r w:rsidRPr="002003D2">
        <w:rPr>
          <w:rFonts w:ascii="Arial" w:hAnsi="Arial" w:cs="Arial"/>
          <w:sz w:val="24"/>
          <w:szCs w:val="24"/>
        </w:rPr>
        <w:t>put on an act</w:t>
      </w:r>
      <w:r>
        <w:rPr>
          <w:rFonts w:ascii="Arial" w:hAnsi="Arial" w:cs="Arial"/>
          <w:sz w:val="24"/>
          <w:szCs w:val="24"/>
        </w:rPr>
        <w:t>…</w:t>
      </w:r>
      <w:r w:rsidRPr="002003D2">
        <w:rPr>
          <w:rFonts w:eastAsiaTheme="minorEastAsia" w:hAnsi="Book Antiqua"/>
          <w:color w:val="FFFFFF" w:themeColor="background1"/>
          <w:kern w:val="24"/>
          <w:sz w:val="52"/>
          <w:szCs w:val="52"/>
        </w:rPr>
        <w:t xml:space="preserve"> </w:t>
      </w:r>
      <w:r w:rsidRPr="002003D2">
        <w:rPr>
          <w:rFonts w:ascii="Arial" w:hAnsi="Arial" w:cs="Arial"/>
          <w:sz w:val="24"/>
          <w:szCs w:val="24"/>
        </w:rPr>
        <w:t xml:space="preserve">moan as though you were </w:t>
      </w:r>
      <w:proofErr w:type="spellStart"/>
      <w:r w:rsidRPr="002003D2">
        <w:rPr>
          <w:rFonts w:ascii="Arial" w:hAnsi="Arial" w:cs="Arial"/>
          <w:sz w:val="24"/>
          <w:szCs w:val="24"/>
        </w:rPr>
        <w:t>cuming</w:t>
      </w:r>
      <w:proofErr w:type="spellEnd"/>
      <w:r>
        <w:rPr>
          <w:rFonts w:ascii="Arial" w:hAnsi="Arial" w:cs="Arial"/>
          <w:sz w:val="24"/>
          <w:szCs w:val="24"/>
        </w:rPr>
        <w:t>’</w:t>
      </w:r>
      <w:r>
        <w:rPr>
          <w:rStyle w:val="FootnoteReference"/>
          <w:rFonts w:ascii="Arial" w:hAnsi="Arial" w:cs="Arial"/>
          <w:sz w:val="24"/>
          <w:szCs w:val="24"/>
        </w:rPr>
        <w:footnoteReference w:id="3"/>
      </w:r>
      <w:r>
        <w:rPr>
          <w:rFonts w:ascii="Arial" w:hAnsi="Arial" w:cs="Arial"/>
          <w:sz w:val="24"/>
          <w:szCs w:val="24"/>
        </w:rPr>
        <w:t xml:space="preserve"> to leave their husbands buoyed up by their</w:t>
      </w:r>
      <w:r w:rsidR="001F3047">
        <w:rPr>
          <w:rFonts w:ascii="Arial" w:hAnsi="Arial" w:cs="Arial"/>
          <w:sz w:val="24"/>
          <w:szCs w:val="24"/>
        </w:rPr>
        <w:t xml:space="preserve"> enlarged</w:t>
      </w:r>
      <w:r>
        <w:rPr>
          <w:rFonts w:ascii="Arial" w:hAnsi="Arial" w:cs="Arial"/>
          <w:sz w:val="24"/>
          <w:szCs w:val="24"/>
        </w:rPr>
        <w:t xml:space="preserve"> </w:t>
      </w:r>
      <w:r w:rsidR="001F3047">
        <w:rPr>
          <w:rFonts w:ascii="Arial" w:hAnsi="Arial" w:cs="Arial"/>
          <w:sz w:val="24"/>
          <w:szCs w:val="24"/>
        </w:rPr>
        <w:t>egos: plainly the man’s sexual gratification ta</w:t>
      </w:r>
      <w:r w:rsidR="005A0F09">
        <w:rPr>
          <w:rFonts w:ascii="Arial" w:hAnsi="Arial" w:cs="Arial"/>
          <w:sz w:val="24"/>
          <w:szCs w:val="24"/>
        </w:rPr>
        <w:t>kes precedent in Roman society.</w:t>
      </w:r>
    </w:p>
    <w:p w:rsidR="005A0F09" w:rsidRDefault="005A0F09" w:rsidP="005A0F09">
      <w:pPr>
        <w:spacing w:line="240" w:lineRule="auto"/>
        <w:jc w:val="both"/>
        <w:rPr>
          <w:rFonts w:ascii="Arial" w:hAnsi="Arial" w:cs="Arial"/>
          <w:sz w:val="24"/>
          <w:szCs w:val="24"/>
        </w:rPr>
      </w:pPr>
      <w:r>
        <w:rPr>
          <w:rFonts w:ascii="Arial" w:hAnsi="Arial" w:cs="Arial"/>
          <w:sz w:val="24"/>
          <w:szCs w:val="24"/>
        </w:rPr>
        <w:t xml:space="preserve">Marriage, a sacred union between two, often fell victim to an achingly human tale, </w:t>
      </w:r>
      <w:r w:rsidRPr="00C06BDE">
        <w:rPr>
          <w:rFonts w:ascii="Arial" w:hAnsi="Arial" w:cs="Arial"/>
          <w:sz w:val="24"/>
          <w:szCs w:val="24"/>
        </w:rPr>
        <w:t xml:space="preserve">mired in </w:t>
      </w:r>
      <w:r>
        <w:rPr>
          <w:rFonts w:ascii="Arial" w:hAnsi="Arial" w:cs="Arial"/>
          <w:sz w:val="24"/>
          <w:szCs w:val="24"/>
        </w:rPr>
        <w:t xml:space="preserve">the </w:t>
      </w:r>
      <w:r w:rsidRPr="00C06BDE">
        <w:rPr>
          <w:rFonts w:ascii="Arial" w:hAnsi="Arial" w:cs="Arial"/>
          <w:sz w:val="24"/>
          <w:szCs w:val="24"/>
        </w:rPr>
        <w:t>quotidian</w:t>
      </w:r>
      <w:r>
        <w:rPr>
          <w:rFonts w:ascii="Arial" w:hAnsi="Arial" w:cs="Arial"/>
          <w:sz w:val="24"/>
          <w:szCs w:val="24"/>
        </w:rPr>
        <w:t xml:space="preserve"> details of adultery.</w:t>
      </w:r>
      <w:r w:rsidR="001443E6">
        <w:rPr>
          <w:rFonts w:ascii="Arial" w:hAnsi="Arial" w:cs="Arial"/>
          <w:sz w:val="24"/>
          <w:szCs w:val="24"/>
        </w:rPr>
        <w:t xml:space="preserve"> In the first instance of tiring with a wife, but not a marriage, was to participate in the socially acceptable outlet for male lust: to visit a </w:t>
      </w:r>
      <w:proofErr w:type="spellStart"/>
      <w:r w:rsidR="001443E6" w:rsidRPr="001443E6">
        <w:rPr>
          <w:rFonts w:ascii="Arial" w:hAnsi="Arial" w:cs="Arial"/>
          <w:i/>
          <w:sz w:val="24"/>
          <w:szCs w:val="24"/>
        </w:rPr>
        <w:t>meretrix</w:t>
      </w:r>
      <w:proofErr w:type="spellEnd"/>
      <w:r w:rsidR="001443E6" w:rsidRPr="001443E6">
        <w:rPr>
          <w:rFonts w:ascii="Arial" w:hAnsi="Arial" w:cs="Arial"/>
          <w:i/>
          <w:sz w:val="24"/>
          <w:szCs w:val="24"/>
        </w:rPr>
        <w:t xml:space="preserve"> </w:t>
      </w:r>
      <w:r w:rsidR="001443E6">
        <w:rPr>
          <w:rFonts w:ascii="Arial" w:hAnsi="Arial" w:cs="Arial"/>
          <w:sz w:val="24"/>
          <w:szCs w:val="24"/>
        </w:rPr>
        <w:t xml:space="preserve">(woman who earns, or prostitute). Contemporary satirist Horace describes Cato’s advice as ‘noble’ when he </w:t>
      </w:r>
      <w:r w:rsidR="002A2575">
        <w:rPr>
          <w:rFonts w:ascii="Arial" w:hAnsi="Arial" w:cs="Arial"/>
          <w:sz w:val="24"/>
          <w:szCs w:val="24"/>
        </w:rPr>
        <w:t>suggests this scenario,</w:t>
      </w:r>
      <w:r w:rsidR="002A2575">
        <w:rPr>
          <w:rStyle w:val="FootnoteReference"/>
          <w:rFonts w:ascii="Arial" w:hAnsi="Arial" w:cs="Arial"/>
          <w:sz w:val="24"/>
          <w:szCs w:val="24"/>
        </w:rPr>
        <w:footnoteReference w:id="4"/>
      </w:r>
      <w:r w:rsidR="002A2575">
        <w:rPr>
          <w:rFonts w:ascii="Arial" w:hAnsi="Arial" w:cs="Arial"/>
          <w:sz w:val="24"/>
          <w:szCs w:val="24"/>
        </w:rPr>
        <w:t xml:space="preserve"> although by specifying that it is man whoring the implication is that gender is vital in determining whether adultery has been committed. In Ancient Rome, women were forbidden to have extramarital </w:t>
      </w:r>
      <w:r w:rsidR="002A2575">
        <w:rPr>
          <w:rFonts w:ascii="Arial" w:hAnsi="Arial" w:cs="Arial"/>
          <w:sz w:val="24"/>
          <w:szCs w:val="24"/>
        </w:rPr>
        <w:lastRenderedPageBreak/>
        <w:t xml:space="preserve">affairs; however, men (as </w:t>
      </w:r>
      <w:r w:rsidR="002A2575" w:rsidRPr="00555EF3">
        <w:rPr>
          <w:rFonts w:ascii="Arial" w:hAnsi="Arial" w:cs="Arial"/>
          <w:i/>
          <w:sz w:val="24"/>
          <w:szCs w:val="24"/>
        </w:rPr>
        <w:t>paterfamilias</w:t>
      </w:r>
      <w:r w:rsidR="002A2575">
        <w:rPr>
          <w:rFonts w:ascii="Arial" w:hAnsi="Arial" w:cs="Arial"/>
          <w:sz w:val="24"/>
          <w:szCs w:val="24"/>
        </w:rPr>
        <w:t xml:space="preserve">) could bed their slaves and </w:t>
      </w:r>
      <w:proofErr w:type="gramStart"/>
      <w:r w:rsidR="002A2575">
        <w:rPr>
          <w:rFonts w:ascii="Arial" w:hAnsi="Arial" w:cs="Arial"/>
          <w:sz w:val="24"/>
          <w:szCs w:val="24"/>
        </w:rPr>
        <w:t>freed(</w:t>
      </w:r>
      <w:proofErr w:type="gramEnd"/>
      <w:r w:rsidR="002A2575">
        <w:rPr>
          <w:rFonts w:ascii="Arial" w:hAnsi="Arial" w:cs="Arial"/>
          <w:sz w:val="24"/>
          <w:szCs w:val="24"/>
        </w:rPr>
        <w:t>wo)men but not another man’</w:t>
      </w:r>
      <w:r w:rsidR="00954F85">
        <w:rPr>
          <w:rFonts w:ascii="Arial" w:hAnsi="Arial" w:cs="Arial"/>
          <w:sz w:val="24"/>
          <w:szCs w:val="24"/>
        </w:rPr>
        <w:t xml:space="preserve">s wife. </w:t>
      </w:r>
      <w:r w:rsidR="00555EF3">
        <w:rPr>
          <w:rFonts w:ascii="Arial" w:hAnsi="Arial" w:cs="Arial"/>
          <w:sz w:val="24"/>
          <w:szCs w:val="24"/>
        </w:rPr>
        <w:t xml:space="preserve">Moreover, men proved their virility not by excessively profligate behaviour, as giving in to base desires too often made a man look meek and effeminate, but taking a dominant position sexually. To penetrate vaginally or annually was manly; however, to </w:t>
      </w:r>
      <w:r w:rsidR="00BE5B7D">
        <w:rPr>
          <w:rFonts w:ascii="Arial" w:hAnsi="Arial" w:cs="Arial"/>
          <w:sz w:val="24"/>
          <w:szCs w:val="24"/>
        </w:rPr>
        <w:t>perform cunnilingus</w:t>
      </w:r>
      <w:r w:rsidR="00555EF3">
        <w:rPr>
          <w:rFonts w:ascii="Arial" w:hAnsi="Arial" w:cs="Arial"/>
          <w:sz w:val="24"/>
          <w:szCs w:val="24"/>
        </w:rPr>
        <w:t xml:space="preserve"> was in effect to put a woman in a position of power, leaving you emasculated with </w:t>
      </w:r>
      <w:proofErr w:type="spellStart"/>
      <w:r w:rsidR="00555EF3" w:rsidRPr="00555EF3">
        <w:rPr>
          <w:rFonts w:ascii="Arial" w:hAnsi="Arial" w:cs="Arial"/>
          <w:i/>
          <w:sz w:val="24"/>
          <w:szCs w:val="24"/>
        </w:rPr>
        <w:t>os</w:t>
      </w:r>
      <w:proofErr w:type="spellEnd"/>
      <w:r w:rsidR="00555EF3" w:rsidRPr="00555EF3">
        <w:rPr>
          <w:rFonts w:ascii="Arial" w:hAnsi="Arial" w:cs="Arial"/>
          <w:i/>
          <w:sz w:val="24"/>
          <w:szCs w:val="24"/>
        </w:rPr>
        <w:t xml:space="preserve"> </w:t>
      </w:r>
      <w:proofErr w:type="spellStart"/>
      <w:r w:rsidR="00555EF3" w:rsidRPr="00555EF3">
        <w:rPr>
          <w:rFonts w:ascii="Arial" w:hAnsi="Arial" w:cs="Arial"/>
          <w:i/>
          <w:sz w:val="24"/>
          <w:szCs w:val="24"/>
        </w:rPr>
        <w:t>impurum</w:t>
      </w:r>
      <w:proofErr w:type="spellEnd"/>
      <w:r w:rsidR="00555EF3">
        <w:rPr>
          <w:rFonts w:ascii="Arial" w:hAnsi="Arial" w:cs="Arial"/>
          <w:i/>
          <w:sz w:val="24"/>
          <w:szCs w:val="24"/>
        </w:rPr>
        <w:t xml:space="preserve"> </w:t>
      </w:r>
      <w:r w:rsidR="00555EF3">
        <w:rPr>
          <w:rFonts w:ascii="Arial" w:hAnsi="Arial" w:cs="Arial"/>
          <w:sz w:val="24"/>
          <w:szCs w:val="24"/>
        </w:rPr>
        <w:t xml:space="preserve">(a filthy mouth). In </w:t>
      </w:r>
      <w:r w:rsidR="00BE5B7D">
        <w:rPr>
          <w:rFonts w:ascii="Arial" w:hAnsi="Arial" w:cs="Arial"/>
          <w:sz w:val="24"/>
          <w:szCs w:val="24"/>
        </w:rPr>
        <w:t xml:space="preserve">source one the sexual act being performed embodies the influence that passivity had on Roman sexuality, as this art piece was used in the baths for its </w:t>
      </w:r>
      <w:r w:rsidR="00BE5B7D" w:rsidRPr="00BE5B7D">
        <w:rPr>
          <w:rFonts w:ascii="Arial" w:hAnsi="Arial" w:cs="Arial"/>
          <w:sz w:val="24"/>
          <w:szCs w:val="24"/>
        </w:rPr>
        <w:t>apotropaic</w:t>
      </w:r>
      <w:r w:rsidR="00BE5B7D">
        <w:rPr>
          <w:rFonts w:ascii="Arial" w:hAnsi="Arial" w:cs="Arial"/>
          <w:sz w:val="24"/>
          <w:szCs w:val="24"/>
        </w:rPr>
        <w:t xml:space="preserve"> qualities, it is intended to evoke humour which stir the evil spirits away. Clearly</w:t>
      </w:r>
      <w:r w:rsidR="00555EF3">
        <w:rPr>
          <w:rFonts w:ascii="Arial" w:hAnsi="Arial" w:cs="Arial"/>
          <w:sz w:val="24"/>
          <w:szCs w:val="24"/>
        </w:rPr>
        <w:t xml:space="preserve">, in the Roman world, the phallus dominated in private roman </w:t>
      </w:r>
      <w:r w:rsidR="00BE5B7D">
        <w:rPr>
          <w:rFonts w:ascii="Arial" w:hAnsi="Arial" w:cs="Arial"/>
          <w:sz w:val="24"/>
          <w:szCs w:val="24"/>
        </w:rPr>
        <w:t xml:space="preserve">scenes, it proposed power and purpose and was to be taken seriously as a dominant force. Tacitus records this notion when describing </w:t>
      </w:r>
      <w:proofErr w:type="spellStart"/>
      <w:r w:rsidR="00BE5B7D" w:rsidRPr="00BE5B7D">
        <w:rPr>
          <w:rFonts w:ascii="Arial" w:hAnsi="Arial" w:cs="Arial"/>
          <w:sz w:val="24"/>
          <w:szCs w:val="24"/>
        </w:rPr>
        <w:t>Valerius</w:t>
      </w:r>
      <w:proofErr w:type="spellEnd"/>
      <w:r w:rsidR="00BE5B7D" w:rsidRPr="00BE5B7D">
        <w:rPr>
          <w:rFonts w:ascii="Arial" w:hAnsi="Arial" w:cs="Arial"/>
          <w:sz w:val="24"/>
          <w:szCs w:val="24"/>
        </w:rPr>
        <w:t xml:space="preserve"> </w:t>
      </w:r>
      <w:proofErr w:type="spellStart"/>
      <w:r w:rsidR="00BE5B7D" w:rsidRPr="00BE5B7D">
        <w:rPr>
          <w:rFonts w:ascii="Arial" w:hAnsi="Arial" w:cs="Arial"/>
          <w:sz w:val="24"/>
          <w:szCs w:val="24"/>
        </w:rPr>
        <w:t>Asiaticus</w:t>
      </w:r>
      <w:proofErr w:type="spellEnd"/>
      <w:r w:rsidR="00BE5B7D">
        <w:rPr>
          <w:rFonts w:ascii="Arial" w:hAnsi="Arial" w:cs="Arial"/>
          <w:sz w:val="24"/>
          <w:szCs w:val="24"/>
        </w:rPr>
        <w:t xml:space="preserve"> declaration in court: ‘</w:t>
      </w:r>
      <w:r w:rsidR="00BE5B7D" w:rsidRPr="00BE5B7D">
        <w:rPr>
          <w:rFonts w:ascii="Arial" w:hAnsi="Arial" w:cs="Arial"/>
          <w:sz w:val="24"/>
          <w:szCs w:val="24"/>
        </w:rPr>
        <w:t xml:space="preserve">Ask your sons, </w:t>
      </w:r>
      <w:proofErr w:type="spellStart"/>
      <w:r w:rsidR="00BE5B7D" w:rsidRPr="00BE5B7D">
        <w:rPr>
          <w:rFonts w:ascii="Arial" w:hAnsi="Arial" w:cs="Arial"/>
          <w:sz w:val="24"/>
          <w:szCs w:val="24"/>
        </w:rPr>
        <w:t>Suillus</w:t>
      </w:r>
      <w:proofErr w:type="spellEnd"/>
      <w:r w:rsidR="00BE5B7D" w:rsidRPr="00BE5B7D">
        <w:rPr>
          <w:rFonts w:ascii="Arial" w:hAnsi="Arial" w:cs="Arial"/>
          <w:sz w:val="24"/>
          <w:szCs w:val="24"/>
        </w:rPr>
        <w:t>, he broke out; “they will tell you I am a man (</w:t>
      </w:r>
      <w:proofErr w:type="spellStart"/>
      <w:r w:rsidR="00BE5B7D" w:rsidRPr="00BE5B7D">
        <w:rPr>
          <w:rFonts w:ascii="Arial" w:hAnsi="Arial" w:cs="Arial"/>
          <w:sz w:val="24"/>
          <w:szCs w:val="24"/>
        </w:rPr>
        <w:t>virum</w:t>
      </w:r>
      <w:proofErr w:type="spellEnd"/>
      <w:r w:rsidR="00BE5B7D" w:rsidRPr="00BE5B7D">
        <w:rPr>
          <w:rFonts w:ascii="Arial" w:hAnsi="Arial" w:cs="Arial"/>
          <w:sz w:val="24"/>
          <w:szCs w:val="24"/>
        </w:rPr>
        <w:t>)!”</w:t>
      </w:r>
      <w:r w:rsidR="00BE5B7D">
        <w:rPr>
          <w:rFonts w:ascii="Arial" w:hAnsi="Arial" w:cs="Arial"/>
          <w:sz w:val="24"/>
          <w:szCs w:val="24"/>
        </w:rPr>
        <w:t>’.</w:t>
      </w:r>
      <w:r w:rsidR="00BE5B7D">
        <w:rPr>
          <w:rStyle w:val="FootnoteReference"/>
          <w:rFonts w:ascii="Arial" w:hAnsi="Arial" w:cs="Arial"/>
          <w:sz w:val="24"/>
          <w:szCs w:val="24"/>
        </w:rPr>
        <w:footnoteReference w:id="5"/>
      </w:r>
      <w:r w:rsidR="00BE5B7D">
        <w:rPr>
          <w:rFonts w:ascii="Arial" w:hAnsi="Arial" w:cs="Arial"/>
          <w:sz w:val="24"/>
          <w:szCs w:val="24"/>
        </w:rPr>
        <w:t xml:space="preserve"> </w:t>
      </w:r>
      <w:proofErr w:type="spellStart"/>
      <w:r w:rsidR="00514921">
        <w:rPr>
          <w:rFonts w:ascii="Arial" w:hAnsi="Arial" w:cs="Arial"/>
          <w:sz w:val="24"/>
          <w:szCs w:val="24"/>
        </w:rPr>
        <w:t>Valerius</w:t>
      </w:r>
      <w:proofErr w:type="spellEnd"/>
      <w:r w:rsidR="00514921">
        <w:rPr>
          <w:rFonts w:ascii="Arial" w:hAnsi="Arial" w:cs="Arial"/>
          <w:sz w:val="24"/>
          <w:szCs w:val="24"/>
        </w:rPr>
        <w:t xml:space="preserve"> is clearly becoming </w:t>
      </w:r>
      <w:r>
        <w:rPr>
          <w:rFonts w:ascii="Arial" w:hAnsi="Arial" w:cs="Arial"/>
          <w:sz w:val="24"/>
          <w:szCs w:val="24"/>
        </w:rPr>
        <w:t>increasingly vexed</w:t>
      </w:r>
      <w:r w:rsidR="00514921">
        <w:rPr>
          <w:rFonts w:ascii="Arial" w:hAnsi="Arial" w:cs="Arial"/>
          <w:sz w:val="24"/>
          <w:szCs w:val="24"/>
        </w:rPr>
        <w:t xml:space="preserve">, as is </w:t>
      </w:r>
      <w:r>
        <w:rPr>
          <w:rFonts w:ascii="Arial" w:hAnsi="Arial" w:cs="Arial"/>
          <w:sz w:val="24"/>
          <w:szCs w:val="24"/>
        </w:rPr>
        <w:t>indicated by the large mass of direct speech prior to the defend</w:t>
      </w:r>
      <w:r w:rsidR="00514921">
        <w:rPr>
          <w:rFonts w:ascii="Arial" w:hAnsi="Arial" w:cs="Arial"/>
          <w:sz w:val="24"/>
          <w:szCs w:val="24"/>
        </w:rPr>
        <w:t>ants outcry, however as it is</w:t>
      </w:r>
      <w:r>
        <w:rPr>
          <w:rFonts w:ascii="Arial" w:hAnsi="Arial" w:cs="Arial"/>
          <w:sz w:val="24"/>
          <w:szCs w:val="24"/>
        </w:rPr>
        <w:t xml:space="preserve"> clearly a social </w:t>
      </w:r>
      <w:r w:rsidRPr="00B81E03">
        <w:rPr>
          <w:rFonts w:ascii="Arial" w:hAnsi="Arial" w:cs="Arial"/>
          <w:sz w:val="24"/>
          <w:szCs w:val="24"/>
        </w:rPr>
        <w:t>impropriety</w:t>
      </w:r>
      <w:r>
        <w:rPr>
          <w:rFonts w:ascii="Arial" w:hAnsi="Arial" w:cs="Arial"/>
          <w:sz w:val="24"/>
          <w:szCs w:val="24"/>
        </w:rPr>
        <w:t xml:space="preserve"> to discuss the intric</w:t>
      </w:r>
      <w:r w:rsidR="00514921">
        <w:rPr>
          <w:rFonts w:ascii="Arial" w:hAnsi="Arial" w:cs="Arial"/>
          <w:sz w:val="24"/>
          <w:szCs w:val="24"/>
        </w:rPr>
        <w:t xml:space="preserve">acies of sex in a public sphere and embarrassing for another party to hear that a man has actively bed their sons, this is a last resort. Yet, </w:t>
      </w:r>
      <w:r>
        <w:rPr>
          <w:rFonts w:ascii="Arial" w:hAnsi="Arial" w:cs="Arial"/>
          <w:sz w:val="24"/>
          <w:szCs w:val="24"/>
        </w:rPr>
        <w:t>in the position of dominance and high status there are exceptions to be made</w:t>
      </w:r>
      <w:r w:rsidR="00514921">
        <w:rPr>
          <w:rFonts w:ascii="Arial" w:hAnsi="Arial" w:cs="Arial"/>
          <w:sz w:val="24"/>
          <w:szCs w:val="24"/>
        </w:rPr>
        <w:t xml:space="preserve"> in what one can say and see. The secret</w:t>
      </w:r>
      <w:r>
        <w:rPr>
          <w:rFonts w:ascii="Arial" w:hAnsi="Arial" w:cs="Arial"/>
          <w:sz w:val="24"/>
          <w:szCs w:val="24"/>
        </w:rPr>
        <w:t xml:space="preserve"> museum</w:t>
      </w:r>
      <w:r w:rsidR="00514921">
        <w:rPr>
          <w:rFonts w:ascii="Arial" w:hAnsi="Arial" w:cs="Arial"/>
          <w:sz w:val="24"/>
          <w:szCs w:val="24"/>
        </w:rPr>
        <w:t xml:space="preserve">, or </w:t>
      </w:r>
      <w:proofErr w:type="spellStart"/>
      <w:r w:rsidR="00514921" w:rsidRPr="00514921">
        <w:rPr>
          <w:rFonts w:ascii="Arial" w:hAnsi="Arial" w:cs="Arial"/>
          <w:i/>
          <w:sz w:val="24"/>
          <w:szCs w:val="24"/>
        </w:rPr>
        <w:t>secretum</w:t>
      </w:r>
      <w:proofErr w:type="spellEnd"/>
      <w:r w:rsidR="00514921">
        <w:rPr>
          <w:rFonts w:ascii="Arial" w:hAnsi="Arial" w:cs="Arial"/>
          <w:sz w:val="24"/>
          <w:szCs w:val="24"/>
        </w:rPr>
        <w:t>,</w:t>
      </w:r>
      <w:r>
        <w:rPr>
          <w:rFonts w:ascii="Arial" w:hAnsi="Arial" w:cs="Arial"/>
          <w:sz w:val="24"/>
          <w:szCs w:val="24"/>
        </w:rPr>
        <w:t xml:space="preserve"> </w:t>
      </w:r>
      <w:r w:rsidR="00514921">
        <w:rPr>
          <w:rFonts w:ascii="Arial" w:hAnsi="Arial" w:cs="Arial"/>
          <w:sz w:val="24"/>
          <w:szCs w:val="24"/>
        </w:rPr>
        <w:t>created in 1</w:t>
      </w:r>
      <w:r>
        <w:rPr>
          <w:rFonts w:ascii="Arial" w:hAnsi="Arial" w:cs="Arial"/>
          <w:sz w:val="24"/>
          <w:szCs w:val="24"/>
        </w:rPr>
        <w:t xml:space="preserve">795 </w:t>
      </w:r>
      <w:proofErr w:type="spellStart"/>
      <w:r>
        <w:rPr>
          <w:rFonts w:ascii="Arial" w:hAnsi="Arial" w:cs="Arial"/>
          <w:sz w:val="24"/>
          <w:szCs w:val="24"/>
        </w:rPr>
        <w:t>secretum</w:t>
      </w:r>
      <w:proofErr w:type="spellEnd"/>
      <w:r>
        <w:rPr>
          <w:rFonts w:ascii="Arial" w:hAnsi="Arial" w:cs="Arial"/>
          <w:sz w:val="24"/>
          <w:szCs w:val="24"/>
        </w:rPr>
        <w:t xml:space="preserve"> echoes this argument,</w:t>
      </w:r>
      <w:r w:rsidR="00514921">
        <w:rPr>
          <w:rFonts w:ascii="Arial" w:hAnsi="Arial" w:cs="Arial"/>
          <w:sz w:val="24"/>
          <w:szCs w:val="24"/>
        </w:rPr>
        <w:t xml:space="preserve"> as pieces of artwork and pottery from </w:t>
      </w:r>
      <w:r w:rsidR="00514921">
        <w:rPr>
          <w:rFonts w:ascii="Arial" w:hAnsi="Arial" w:cs="Arial"/>
          <w:sz w:val="24"/>
          <w:szCs w:val="24"/>
        </w:rPr>
        <w:t>archaeological</w:t>
      </w:r>
      <w:r w:rsidR="00514921">
        <w:rPr>
          <w:rFonts w:ascii="Arial" w:hAnsi="Arial" w:cs="Arial"/>
          <w:sz w:val="24"/>
          <w:szCs w:val="24"/>
        </w:rPr>
        <w:t xml:space="preserve"> excavations depicting sexual scenes were locked away from public view for only a few elite members of society to see. A</w:t>
      </w:r>
      <w:r>
        <w:rPr>
          <w:rFonts w:ascii="Arial" w:hAnsi="Arial" w:cs="Arial"/>
          <w:sz w:val="24"/>
          <w:szCs w:val="24"/>
        </w:rPr>
        <w:t>lthough</w:t>
      </w:r>
      <w:r w:rsidR="00514921">
        <w:rPr>
          <w:rFonts w:ascii="Arial" w:hAnsi="Arial" w:cs="Arial"/>
          <w:sz w:val="24"/>
          <w:szCs w:val="24"/>
        </w:rPr>
        <w:t xml:space="preserve"> this act</w:t>
      </w:r>
      <w:r>
        <w:rPr>
          <w:rFonts w:ascii="Arial" w:hAnsi="Arial" w:cs="Arial"/>
          <w:sz w:val="24"/>
          <w:szCs w:val="24"/>
        </w:rPr>
        <w:t xml:space="preserve"> arguably reflects Georgian political climate, </w:t>
      </w:r>
      <w:r w:rsidR="00514921">
        <w:rPr>
          <w:rFonts w:ascii="Arial" w:hAnsi="Arial" w:cs="Arial"/>
          <w:sz w:val="24"/>
          <w:szCs w:val="24"/>
        </w:rPr>
        <w:t>one which demanded social restraint, it suggests that the interests in the Roman period revolved around sexually lewd acts with clearly active and passive participants.</w:t>
      </w:r>
    </w:p>
    <w:p w:rsidR="005C3CFD" w:rsidRDefault="00CD538E" w:rsidP="00954F85">
      <w:pPr>
        <w:spacing w:line="240" w:lineRule="auto"/>
        <w:jc w:val="both"/>
        <w:rPr>
          <w:rFonts w:ascii="Arial" w:hAnsi="Arial" w:cs="Arial"/>
          <w:sz w:val="24"/>
          <w:szCs w:val="24"/>
        </w:rPr>
      </w:pPr>
      <w:r>
        <w:rPr>
          <w:rFonts w:ascii="Arial" w:hAnsi="Arial" w:cs="Arial"/>
          <w:sz w:val="24"/>
          <w:szCs w:val="24"/>
        </w:rPr>
        <w:t xml:space="preserve">Modern historian J. </w:t>
      </w:r>
      <w:proofErr w:type="spellStart"/>
      <w:r>
        <w:rPr>
          <w:rFonts w:ascii="Arial" w:hAnsi="Arial" w:cs="Arial"/>
          <w:sz w:val="24"/>
          <w:szCs w:val="24"/>
        </w:rPr>
        <w:t>Renger</w:t>
      </w:r>
      <w:proofErr w:type="spellEnd"/>
      <w:r>
        <w:rPr>
          <w:rFonts w:ascii="Arial" w:hAnsi="Arial" w:cs="Arial"/>
          <w:sz w:val="24"/>
          <w:szCs w:val="24"/>
        </w:rPr>
        <w:t xml:space="preserve"> suggests that marriage was largely monogamous, </w:t>
      </w:r>
      <w:r w:rsidR="007B2FB8">
        <w:rPr>
          <w:rFonts w:ascii="Arial" w:hAnsi="Arial" w:cs="Arial"/>
          <w:sz w:val="24"/>
          <w:szCs w:val="24"/>
        </w:rPr>
        <w:t>with polygamous relationships rather more commonplace amongst the elite, ruling classes.</w:t>
      </w:r>
      <w:r w:rsidR="007B2FB8">
        <w:rPr>
          <w:rStyle w:val="FootnoteReference"/>
          <w:rFonts w:ascii="Arial" w:hAnsi="Arial" w:cs="Arial"/>
          <w:sz w:val="24"/>
          <w:szCs w:val="24"/>
        </w:rPr>
        <w:footnoteReference w:id="6"/>
      </w:r>
      <w:r w:rsidR="007B2FB8">
        <w:rPr>
          <w:rFonts w:ascii="Arial" w:hAnsi="Arial" w:cs="Arial"/>
          <w:sz w:val="24"/>
          <w:szCs w:val="24"/>
        </w:rPr>
        <w:t xml:space="preserve"> However, in an effort to preserve the </w:t>
      </w:r>
      <w:proofErr w:type="spellStart"/>
      <w:r w:rsidR="007B2FB8" w:rsidRPr="007B2FB8">
        <w:rPr>
          <w:rFonts w:ascii="Arial" w:hAnsi="Arial" w:cs="Arial"/>
          <w:i/>
          <w:sz w:val="24"/>
          <w:szCs w:val="24"/>
        </w:rPr>
        <w:t>oikos</w:t>
      </w:r>
      <w:proofErr w:type="spellEnd"/>
      <w:r w:rsidR="007B2FB8">
        <w:rPr>
          <w:rFonts w:ascii="Arial" w:hAnsi="Arial" w:cs="Arial"/>
          <w:sz w:val="24"/>
          <w:szCs w:val="24"/>
        </w:rPr>
        <w:t xml:space="preserve"> or </w:t>
      </w:r>
      <w:proofErr w:type="spellStart"/>
      <w:r w:rsidR="007B2FB8" w:rsidRPr="007B2FB8">
        <w:rPr>
          <w:rFonts w:ascii="Arial" w:hAnsi="Arial" w:cs="Arial"/>
          <w:i/>
          <w:sz w:val="24"/>
          <w:szCs w:val="24"/>
        </w:rPr>
        <w:t>familias</w:t>
      </w:r>
      <w:proofErr w:type="spellEnd"/>
      <w:r w:rsidR="007B2FB8">
        <w:rPr>
          <w:rFonts w:ascii="Arial" w:hAnsi="Arial" w:cs="Arial"/>
          <w:sz w:val="24"/>
          <w:szCs w:val="24"/>
        </w:rPr>
        <w:t xml:space="preserve">, and to counter falling birth rates in </w:t>
      </w:r>
      <w:r w:rsidR="00752E82">
        <w:rPr>
          <w:rFonts w:ascii="Arial" w:hAnsi="Arial" w:cs="Arial"/>
          <w:sz w:val="24"/>
          <w:szCs w:val="24"/>
        </w:rPr>
        <w:t xml:space="preserve">9 </w:t>
      </w:r>
      <w:r w:rsidR="007B2FB8">
        <w:rPr>
          <w:rFonts w:ascii="Arial" w:hAnsi="Arial" w:cs="Arial"/>
          <w:sz w:val="24"/>
          <w:szCs w:val="24"/>
        </w:rPr>
        <w:t xml:space="preserve">A.D. the </w:t>
      </w:r>
      <w:r w:rsidR="007B2FB8" w:rsidRPr="00FD7240">
        <w:rPr>
          <w:rFonts w:ascii="Arial" w:hAnsi="Arial" w:cs="Arial"/>
          <w:i/>
          <w:sz w:val="24"/>
          <w:szCs w:val="24"/>
        </w:rPr>
        <w:t xml:space="preserve">Lex </w:t>
      </w:r>
      <w:proofErr w:type="spellStart"/>
      <w:r w:rsidR="007B2FB8" w:rsidRPr="00FD7240">
        <w:rPr>
          <w:rFonts w:ascii="Arial" w:hAnsi="Arial" w:cs="Arial"/>
          <w:i/>
          <w:sz w:val="24"/>
          <w:szCs w:val="24"/>
        </w:rPr>
        <w:t>Papia</w:t>
      </w:r>
      <w:proofErr w:type="spellEnd"/>
      <w:r w:rsidR="007B2FB8" w:rsidRPr="00FD7240">
        <w:rPr>
          <w:rFonts w:ascii="Arial" w:hAnsi="Arial" w:cs="Arial"/>
          <w:i/>
          <w:sz w:val="24"/>
          <w:szCs w:val="24"/>
        </w:rPr>
        <w:t xml:space="preserve"> </w:t>
      </w:r>
      <w:proofErr w:type="spellStart"/>
      <w:r w:rsidR="007B2FB8" w:rsidRPr="00FD7240">
        <w:rPr>
          <w:rFonts w:ascii="Arial" w:hAnsi="Arial" w:cs="Arial"/>
          <w:i/>
          <w:sz w:val="24"/>
          <w:szCs w:val="24"/>
        </w:rPr>
        <w:t>Poppaea</w:t>
      </w:r>
      <w:proofErr w:type="spellEnd"/>
      <w:r w:rsidR="007B2FB8">
        <w:rPr>
          <w:rFonts w:ascii="Arial" w:hAnsi="Arial" w:cs="Arial"/>
          <w:i/>
          <w:sz w:val="24"/>
          <w:szCs w:val="24"/>
        </w:rPr>
        <w:t xml:space="preserve"> </w:t>
      </w:r>
      <w:r w:rsidR="007B2FB8" w:rsidRPr="007B2FB8">
        <w:rPr>
          <w:rFonts w:ascii="Arial" w:hAnsi="Arial" w:cs="Arial"/>
          <w:sz w:val="24"/>
          <w:szCs w:val="24"/>
        </w:rPr>
        <w:t>saw the legalisation of marriage</w:t>
      </w:r>
      <w:r w:rsidR="007B2FB8">
        <w:rPr>
          <w:rFonts w:ascii="Arial" w:hAnsi="Arial" w:cs="Arial"/>
          <w:sz w:val="24"/>
          <w:szCs w:val="24"/>
        </w:rPr>
        <w:t xml:space="preserve"> in Roman society. </w:t>
      </w:r>
      <w:r w:rsidR="003D42FF">
        <w:rPr>
          <w:rFonts w:ascii="Arial" w:hAnsi="Arial" w:cs="Arial"/>
          <w:sz w:val="24"/>
          <w:szCs w:val="24"/>
        </w:rPr>
        <w:t xml:space="preserve">Although Ovid in </w:t>
      </w:r>
      <w:proofErr w:type="spellStart"/>
      <w:r w:rsidR="003D42FF" w:rsidRPr="003D42FF">
        <w:rPr>
          <w:rFonts w:ascii="Arial" w:hAnsi="Arial" w:cs="Arial"/>
          <w:i/>
          <w:sz w:val="24"/>
          <w:szCs w:val="24"/>
        </w:rPr>
        <w:t>Amores</w:t>
      </w:r>
      <w:proofErr w:type="spellEnd"/>
      <w:r w:rsidR="003D42FF">
        <w:rPr>
          <w:rFonts w:ascii="Arial" w:hAnsi="Arial" w:cs="Arial"/>
          <w:sz w:val="24"/>
          <w:szCs w:val="24"/>
        </w:rPr>
        <w:t xml:space="preserve"> attributes this institutional law being instigated to counter rising lascivious vice following the civil wars,</w:t>
      </w:r>
      <w:r w:rsidR="003D42FF">
        <w:rPr>
          <w:rStyle w:val="FootnoteReference"/>
          <w:rFonts w:ascii="Arial" w:hAnsi="Arial" w:cs="Arial"/>
          <w:sz w:val="24"/>
          <w:szCs w:val="24"/>
        </w:rPr>
        <w:footnoteReference w:id="7"/>
      </w:r>
      <w:r w:rsidR="003D42FF">
        <w:rPr>
          <w:rFonts w:ascii="Arial" w:hAnsi="Arial" w:cs="Arial"/>
          <w:sz w:val="24"/>
          <w:szCs w:val="24"/>
        </w:rPr>
        <w:t xml:space="preserve"> A. M. Duff insinuates that the Italian born freedmen being conscripted to the war resulted in an inability to keep</w:t>
      </w:r>
      <w:r w:rsidR="00F14953">
        <w:rPr>
          <w:rFonts w:ascii="Arial" w:hAnsi="Arial" w:cs="Arial"/>
          <w:sz w:val="24"/>
          <w:szCs w:val="24"/>
        </w:rPr>
        <w:t xml:space="preserve"> Rome free from</w:t>
      </w:r>
      <w:r w:rsidR="003D42FF">
        <w:rPr>
          <w:rFonts w:ascii="Arial" w:hAnsi="Arial" w:cs="Arial"/>
          <w:sz w:val="24"/>
          <w:szCs w:val="24"/>
        </w:rPr>
        <w:t xml:space="preserve"> a ‘foreign tinge’</w:t>
      </w:r>
      <w:r w:rsidR="00F14953">
        <w:rPr>
          <w:rStyle w:val="FootnoteReference"/>
          <w:rFonts w:ascii="Arial" w:hAnsi="Arial" w:cs="Arial"/>
          <w:sz w:val="24"/>
          <w:szCs w:val="24"/>
        </w:rPr>
        <w:footnoteReference w:id="8"/>
      </w:r>
      <w:r w:rsidR="00F14953">
        <w:rPr>
          <w:rFonts w:ascii="Arial" w:hAnsi="Arial" w:cs="Arial"/>
          <w:sz w:val="24"/>
          <w:szCs w:val="24"/>
        </w:rPr>
        <w:t>,</w:t>
      </w:r>
      <w:r w:rsidR="003D42FF">
        <w:rPr>
          <w:rFonts w:ascii="Arial" w:hAnsi="Arial" w:cs="Arial"/>
          <w:sz w:val="24"/>
          <w:szCs w:val="24"/>
        </w:rPr>
        <w:t xml:space="preserve"> with large numbers of barbarian slaves entering the Roman Empire.</w:t>
      </w:r>
      <w:r w:rsidR="00F14953">
        <w:rPr>
          <w:rStyle w:val="FootnoteReference"/>
          <w:rFonts w:ascii="Arial" w:hAnsi="Arial" w:cs="Arial"/>
          <w:sz w:val="24"/>
          <w:szCs w:val="24"/>
        </w:rPr>
        <w:footnoteReference w:id="9"/>
      </w:r>
      <w:r w:rsidR="00F14953">
        <w:rPr>
          <w:rFonts w:ascii="Arial" w:hAnsi="Arial" w:cs="Arial"/>
          <w:sz w:val="24"/>
          <w:szCs w:val="24"/>
        </w:rPr>
        <w:t xml:space="preserve"> The </w:t>
      </w:r>
      <w:r w:rsidR="005C3CFD">
        <w:rPr>
          <w:rFonts w:ascii="Arial" w:hAnsi="Arial" w:cs="Arial"/>
          <w:sz w:val="24"/>
          <w:szCs w:val="24"/>
        </w:rPr>
        <w:t>suggestion that</w:t>
      </w:r>
      <w:r w:rsidR="00F14953">
        <w:rPr>
          <w:rFonts w:ascii="Arial" w:hAnsi="Arial" w:cs="Arial"/>
          <w:sz w:val="24"/>
          <w:szCs w:val="24"/>
        </w:rPr>
        <w:t xml:space="preserve"> </w:t>
      </w:r>
      <w:r w:rsidR="005C3CFD">
        <w:rPr>
          <w:rFonts w:ascii="Arial" w:hAnsi="Arial" w:cs="Arial"/>
          <w:sz w:val="24"/>
          <w:szCs w:val="24"/>
        </w:rPr>
        <w:t>marriage is implemented as a eugenic policy, to encourage men to procreate with suitable women: wives, of Roman birth/blood highlights the emphasis on male dominance and the importance of status (in terms of ethnicity) in Roman sexuality. Not only is this argument harmonious with Augusts’ bid to restore the glory of former times by administe</w:t>
      </w:r>
      <w:r w:rsidR="00954F85">
        <w:rPr>
          <w:rFonts w:ascii="Arial" w:hAnsi="Arial" w:cs="Arial"/>
          <w:sz w:val="24"/>
          <w:szCs w:val="24"/>
        </w:rPr>
        <w:t>ring concrete reforms;</w:t>
      </w:r>
      <w:r w:rsidR="005C3CFD">
        <w:rPr>
          <w:rFonts w:ascii="Arial" w:hAnsi="Arial" w:cs="Arial"/>
          <w:sz w:val="24"/>
          <w:szCs w:val="24"/>
        </w:rPr>
        <w:t xml:space="preserve"> but, if historian James Field’s proposal</w:t>
      </w:r>
      <w:r w:rsidR="00B81E03">
        <w:rPr>
          <w:rFonts w:ascii="Arial" w:hAnsi="Arial" w:cs="Arial"/>
          <w:sz w:val="24"/>
          <w:szCs w:val="24"/>
        </w:rPr>
        <w:t>,</w:t>
      </w:r>
      <w:r w:rsidR="005C3CFD">
        <w:rPr>
          <w:rFonts w:ascii="Arial" w:hAnsi="Arial" w:cs="Arial"/>
          <w:sz w:val="24"/>
          <w:szCs w:val="24"/>
        </w:rPr>
        <w:t xml:space="preserve"> that the total </w:t>
      </w:r>
      <w:r w:rsidR="00B81E03">
        <w:rPr>
          <w:rFonts w:ascii="Arial" w:hAnsi="Arial" w:cs="Arial"/>
          <w:sz w:val="24"/>
          <w:szCs w:val="24"/>
        </w:rPr>
        <w:t>population</w:t>
      </w:r>
      <w:r w:rsidR="005C3CFD">
        <w:rPr>
          <w:rFonts w:ascii="Arial" w:hAnsi="Arial" w:cs="Arial"/>
          <w:sz w:val="24"/>
          <w:szCs w:val="24"/>
        </w:rPr>
        <w:t xml:space="preserve"> of Ital</w:t>
      </w:r>
      <w:r w:rsidR="00B81E03">
        <w:rPr>
          <w:rFonts w:ascii="Arial" w:hAnsi="Arial" w:cs="Arial"/>
          <w:sz w:val="24"/>
          <w:szCs w:val="24"/>
        </w:rPr>
        <w:t>y was at least being maintained</w:t>
      </w:r>
      <w:r w:rsidR="005C3CFD">
        <w:rPr>
          <w:rFonts w:ascii="Arial" w:hAnsi="Arial" w:cs="Arial"/>
          <w:sz w:val="24"/>
          <w:szCs w:val="24"/>
        </w:rPr>
        <w:t xml:space="preserve"> if not increased </w:t>
      </w:r>
      <w:r w:rsidR="00B81E03">
        <w:rPr>
          <w:rFonts w:ascii="Arial" w:hAnsi="Arial" w:cs="Arial"/>
          <w:sz w:val="24"/>
          <w:szCs w:val="24"/>
        </w:rPr>
        <w:t>in size,</w:t>
      </w:r>
      <w:r w:rsidR="00B81E03">
        <w:rPr>
          <w:rStyle w:val="FootnoteReference"/>
          <w:rFonts w:ascii="Arial" w:hAnsi="Arial" w:cs="Arial"/>
          <w:sz w:val="24"/>
          <w:szCs w:val="24"/>
        </w:rPr>
        <w:footnoteReference w:id="10"/>
      </w:r>
      <w:r w:rsidR="00B81E03">
        <w:rPr>
          <w:rFonts w:ascii="Arial" w:hAnsi="Arial" w:cs="Arial"/>
          <w:sz w:val="24"/>
          <w:szCs w:val="24"/>
        </w:rPr>
        <w:t xml:space="preserve"> is correct then it follows that the sexual ideals in Ancient Rome heavily relied upon the status of participants.</w:t>
      </w:r>
      <w:r w:rsidR="00954F85">
        <w:rPr>
          <w:rFonts w:ascii="Arial" w:hAnsi="Arial" w:cs="Arial"/>
          <w:sz w:val="24"/>
          <w:szCs w:val="24"/>
        </w:rPr>
        <w:t xml:space="preserve"> However, whether the physical ideals of Roman women went against this notion is up for debate: did the desire to have a small waist and large hips result in higher levels of abortion. Martial mocked </w:t>
      </w:r>
      <w:r w:rsidR="00954F85">
        <w:rPr>
          <w:rFonts w:ascii="Arial" w:hAnsi="Arial" w:cs="Arial"/>
          <w:sz w:val="24"/>
          <w:szCs w:val="24"/>
        </w:rPr>
        <w:lastRenderedPageBreak/>
        <w:t xml:space="preserve">women with large boobs: </w:t>
      </w:r>
      <w:r w:rsidR="00954F85" w:rsidRPr="005A0F09">
        <w:rPr>
          <w:rFonts w:ascii="Arial" w:hAnsi="Arial" w:cs="Arial"/>
          <w:sz w:val="24"/>
          <w:szCs w:val="24"/>
        </w:rPr>
        <w:t xml:space="preserve">“Breast-band! </w:t>
      </w:r>
      <w:proofErr w:type="gramStart"/>
      <w:r w:rsidR="00954F85" w:rsidRPr="005A0F09">
        <w:rPr>
          <w:rFonts w:ascii="Arial" w:hAnsi="Arial" w:cs="Arial"/>
          <w:sz w:val="24"/>
          <w:szCs w:val="24"/>
        </w:rPr>
        <w:t>confine</w:t>
      </w:r>
      <w:proofErr w:type="gramEnd"/>
      <w:r w:rsidR="00954F85" w:rsidRPr="005A0F09">
        <w:rPr>
          <w:rFonts w:ascii="Arial" w:hAnsi="Arial" w:cs="Arial"/>
          <w:sz w:val="24"/>
          <w:szCs w:val="24"/>
        </w:rPr>
        <w:t xml:space="preserve"> th</w:t>
      </w:r>
      <w:r w:rsidR="00954F85">
        <w:rPr>
          <w:rFonts w:ascii="Arial" w:hAnsi="Arial" w:cs="Arial"/>
          <w:sz w:val="24"/>
          <w:szCs w:val="24"/>
        </w:rPr>
        <w:t>e swelling bosom of my mistress”</w:t>
      </w:r>
      <w:r w:rsidR="00954F85">
        <w:rPr>
          <w:rFonts w:ascii="Arial" w:hAnsi="Arial" w:cs="Arial"/>
          <w:sz w:val="24"/>
          <w:szCs w:val="24"/>
        </w:rPr>
        <w:t>,</w:t>
      </w:r>
      <w:r w:rsidR="00954F85">
        <w:rPr>
          <w:rStyle w:val="FootnoteReference"/>
          <w:rFonts w:ascii="Arial" w:hAnsi="Arial" w:cs="Arial"/>
          <w:sz w:val="24"/>
          <w:szCs w:val="24"/>
        </w:rPr>
        <w:footnoteReference w:id="11"/>
      </w:r>
      <w:r w:rsidR="00954F85">
        <w:rPr>
          <w:rFonts w:ascii="Arial" w:hAnsi="Arial" w:cs="Arial"/>
          <w:sz w:val="24"/>
          <w:szCs w:val="24"/>
        </w:rPr>
        <w:t xml:space="preserve"> increased in size by milk for a baby, and consequently abortion was made illegal in the reign of </w:t>
      </w:r>
      <w:proofErr w:type="spellStart"/>
      <w:r w:rsidR="00954F85" w:rsidRPr="005A0F09">
        <w:rPr>
          <w:rFonts w:ascii="Arial" w:hAnsi="Arial" w:cs="Arial"/>
          <w:sz w:val="24"/>
          <w:szCs w:val="24"/>
        </w:rPr>
        <w:t>Septimius</w:t>
      </w:r>
      <w:proofErr w:type="spellEnd"/>
      <w:r w:rsidR="00954F85" w:rsidRPr="005A0F09">
        <w:rPr>
          <w:rFonts w:ascii="Arial" w:hAnsi="Arial" w:cs="Arial"/>
          <w:sz w:val="24"/>
          <w:szCs w:val="24"/>
        </w:rPr>
        <w:t xml:space="preserve"> Severus</w:t>
      </w:r>
      <w:r w:rsidR="00954F85">
        <w:rPr>
          <w:rFonts w:ascii="Arial" w:hAnsi="Arial" w:cs="Arial"/>
          <w:sz w:val="24"/>
          <w:szCs w:val="24"/>
        </w:rPr>
        <w:t>.</w:t>
      </w:r>
    </w:p>
    <w:p w:rsidR="00514921" w:rsidRDefault="00514921" w:rsidP="00B81E03">
      <w:pPr>
        <w:spacing w:line="240" w:lineRule="auto"/>
        <w:jc w:val="both"/>
        <w:rPr>
          <w:rFonts w:ascii="Arial" w:hAnsi="Arial" w:cs="Arial"/>
          <w:sz w:val="24"/>
          <w:szCs w:val="24"/>
        </w:rPr>
      </w:pPr>
      <w:r>
        <w:rPr>
          <w:rFonts w:ascii="Arial" w:hAnsi="Arial" w:cs="Arial"/>
          <w:sz w:val="24"/>
          <w:szCs w:val="24"/>
        </w:rPr>
        <w:t xml:space="preserve">Dominance and passive sexual positions dictate what Roman sexuality is, to the greatest extent. Gender and status clearly have some influence, as they do in every society. However it is clear that power is the root of dominance, active roles the root of virility and virility the root of social standing. These concepts combine to form Roman sexuality, </w:t>
      </w:r>
      <w:r w:rsidR="00954F85">
        <w:rPr>
          <w:rFonts w:ascii="Arial" w:hAnsi="Arial" w:cs="Arial"/>
          <w:sz w:val="24"/>
          <w:szCs w:val="24"/>
        </w:rPr>
        <w:t>as factors they all play their roles; yet, the most important factors are certain.</w:t>
      </w:r>
    </w:p>
    <w:p w:rsidR="003B66FC" w:rsidRDefault="003B66FC" w:rsidP="003B66FC">
      <w:pPr>
        <w:spacing w:line="360" w:lineRule="auto"/>
        <w:jc w:val="both"/>
        <w:rPr>
          <w:rFonts w:ascii="Arial" w:hAnsi="Arial" w:cs="Arial"/>
          <w:sz w:val="24"/>
          <w:szCs w:val="24"/>
        </w:rPr>
      </w:pPr>
      <w:bookmarkStart w:id="0" w:name="_GoBack"/>
      <w:bookmarkEnd w:id="0"/>
    </w:p>
    <w:p w:rsidR="00FD7240" w:rsidRPr="00FD7240" w:rsidRDefault="00FD7240" w:rsidP="003B66FC">
      <w:pPr>
        <w:spacing w:line="360" w:lineRule="auto"/>
        <w:jc w:val="both"/>
        <w:rPr>
          <w:rFonts w:ascii="Arial" w:hAnsi="Arial" w:cs="Arial"/>
          <w:b/>
          <w:i/>
          <w:sz w:val="28"/>
          <w:szCs w:val="24"/>
          <w:u w:val="single"/>
        </w:rPr>
      </w:pPr>
      <w:r w:rsidRPr="00FD7240">
        <w:rPr>
          <w:rFonts w:ascii="Arial" w:hAnsi="Arial" w:cs="Arial"/>
          <w:b/>
          <w:i/>
          <w:sz w:val="28"/>
          <w:szCs w:val="24"/>
          <w:u w:val="single"/>
        </w:rPr>
        <w:t>Bibliography</w:t>
      </w:r>
    </w:p>
    <w:p w:rsidR="00F14953" w:rsidRDefault="00F14953" w:rsidP="00CD538E">
      <w:pPr>
        <w:spacing w:line="360" w:lineRule="auto"/>
        <w:rPr>
          <w:rFonts w:ascii="Arial" w:hAnsi="Arial" w:cs="Arial"/>
          <w:sz w:val="24"/>
          <w:szCs w:val="24"/>
        </w:rPr>
      </w:pPr>
      <w:r w:rsidRPr="00F14953">
        <w:rPr>
          <w:rFonts w:ascii="Arial" w:hAnsi="Arial" w:cs="Arial"/>
          <w:sz w:val="24"/>
          <w:szCs w:val="24"/>
        </w:rPr>
        <w:t>Duff</w:t>
      </w:r>
      <w:r>
        <w:rPr>
          <w:rFonts w:ascii="Arial" w:hAnsi="Arial" w:cs="Arial"/>
          <w:sz w:val="24"/>
          <w:szCs w:val="24"/>
        </w:rPr>
        <w:t>, A.M.</w:t>
      </w:r>
      <w:r w:rsidRPr="00F14953">
        <w:rPr>
          <w:rFonts w:ascii="Arial" w:hAnsi="Arial" w:cs="Arial"/>
          <w:sz w:val="24"/>
          <w:szCs w:val="24"/>
        </w:rPr>
        <w:t xml:space="preserve"> </w:t>
      </w:r>
      <w:r>
        <w:rPr>
          <w:rFonts w:ascii="Arial" w:hAnsi="Arial" w:cs="Arial"/>
          <w:sz w:val="24"/>
          <w:szCs w:val="24"/>
        </w:rPr>
        <w:t>(</w:t>
      </w:r>
      <w:r w:rsidRPr="00F14953">
        <w:rPr>
          <w:rFonts w:ascii="Arial" w:hAnsi="Arial" w:cs="Arial"/>
          <w:sz w:val="24"/>
          <w:szCs w:val="24"/>
        </w:rPr>
        <w:t>1928</w:t>
      </w:r>
      <w:r>
        <w:rPr>
          <w:rFonts w:ascii="Arial" w:hAnsi="Arial" w:cs="Arial"/>
          <w:sz w:val="24"/>
          <w:szCs w:val="24"/>
        </w:rPr>
        <w:t xml:space="preserve">) </w:t>
      </w:r>
      <w:r w:rsidRPr="00F14953">
        <w:rPr>
          <w:rFonts w:ascii="Arial" w:hAnsi="Arial" w:cs="Arial"/>
          <w:i/>
          <w:sz w:val="24"/>
          <w:szCs w:val="24"/>
        </w:rPr>
        <w:t>Freedmen in the Early Roman Empire</w:t>
      </w:r>
      <w:r>
        <w:rPr>
          <w:rFonts w:ascii="Arial" w:hAnsi="Arial" w:cs="Arial"/>
          <w:sz w:val="24"/>
          <w:szCs w:val="24"/>
        </w:rPr>
        <w:t>.</w:t>
      </w:r>
      <w:r w:rsidRPr="00F14953">
        <w:rPr>
          <w:rFonts w:ascii="Arial" w:hAnsi="Arial" w:cs="Arial"/>
          <w:sz w:val="24"/>
          <w:szCs w:val="24"/>
        </w:rPr>
        <w:t>191.</w:t>
      </w:r>
    </w:p>
    <w:p w:rsidR="00F14953" w:rsidRDefault="00F14953" w:rsidP="00CD538E">
      <w:pPr>
        <w:spacing w:line="360" w:lineRule="auto"/>
        <w:rPr>
          <w:rFonts w:ascii="Arial" w:hAnsi="Arial" w:cs="Arial"/>
          <w:sz w:val="24"/>
          <w:szCs w:val="24"/>
        </w:rPr>
      </w:pPr>
      <w:r>
        <w:rPr>
          <w:rFonts w:ascii="Arial" w:hAnsi="Arial" w:cs="Arial"/>
          <w:sz w:val="24"/>
          <w:szCs w:val="24"/>
        </w:rPr>
        <w:t xml:space="preserve">Field, J. </w:t>
      </w:r>
      <w:r w:rsidRPr="00F14953">
        <w:rPr>
          <w:rFonts w:ascii="Arial" w:hAnsi="Arial" w:cs="Arial"/>
          <w:i/>
          <w:sz w:val="24"/>
          <w:szCs w:val="24"/>
        </w:rPr>
        <w:t xml:space="preserve">The Purpose of the Lex Iulia </w:t>
      </w:r>
      <w:proofErr w:type="gramStart"/>
      <w:r w:rsidRPr="00F14953">
        <w:rPr>
          <w:rFonts w:ascii="Arial" w:hAnsi="Arial" w:cs="Arial"/>
          <w:i/>
          <w:sz w:val="24"/>
          <w:szCs w:val="24"/>
        </w:rPr>
        <w:t>et</w:t>
      </w:r>
      <w:proofErr w:type="gramEnd"/>
      <w:r w:rsidRPr="00F14953">
        <w:rPr>
          <w:rFonts w:ascii="Arial" w:hAnsi="Arial" w:cs="Arial"/>
          <w:i/>
          <w:sz w:val="24"/>
          <w:szCs w:val="24"/>
        </w:rPr>
        <w:t xml:space="preserve"> </w:t>
      </w:r>
      <w:proofErr w:type="spellStart"/>
      <w:r w:rsidRPr="00F14953">
        <w:rPr>
          <w:rFonts w:ascii="Arial" w:hAnsi="Arial" w:cs="Arial"/>
          <w:i/>
          <w:sz w:val="24"/>
          <w:szCs w:val="24"/>
        </w:rPr>
        <w:t>Papia</w:t>
      </w:r>
      <w:proofErr w:type="spellEnd"/>
      <w:r w:rsidRPr="00F14953">
        <w:rPr>
          <w:rFonts w:ascii="Arial" w:hAnsi="Arial" w:cs="Arial"/>
          <w:i/>
          <w:sz w:val="24"/>
          <w:szCs w:val="24"/>
        </w:rPr>
        <w:t xml:space="preserve"> </w:t>
      </w:r>
      <w:proofErr w:type="spellStart"/>
      <w:r w:rsidRPr="00F14953">
        <w:rPr>
          <w:rFonts w:ascii="Arial" w:hAnsi="Arial" w:cs="Arial"/>
          <w:i/>
          <w:sz w:val="24"/>
          <w:szCs w:val="24"/>
        </w:rPr>
        <w:t>Poppaea</w:t>
      </w:r>
      <w:proofErr w:type="spellEnd"/>
      <w:r w:rsidRPr="00F14953">
        <w:rPr>
          <w:rFonts w:ascii="Arial" w:hAnsi="Arial" w:cs="Arial"/>
          <w:i/>
          <w:sz w:val="24"/>
          <w:szCs w:val="24"/>
        </w:rPr>
        <w:t>.</w:t>
      </w:r>
      <w:r>
        <w:rPr>
          <w:rFonts w:ascii="Arial" w:hAnsi="Arial" w:cs="Arial"/>
          <w:sz w:val="24"/>
          <w:szCs w:val="24"/>
        </w:rPr>
        <w:t xml:space="preserve"> The Classical Journal, Vol. 40, No. 7. Pp. 398 – 416.</w:t>
      </w:r>
    </w:p>
    <w:p w:rsidR="00F14953" w:rsidRDefault="00F14953" w:rsidP="00F14953">
      <w:pPr>
        <w:spacing w:line="360" w:lineRule="auto"/>
        <w:rPr>
          <w:rFonts w:ascii="Arial" w:hAnsi="Arial" w:cs="Arial"/>
          <w:sz w:val="24"/>
          <w:szCs w:val="24"/>
        </w:rPr>
      </w:pPr>
      <w:proofErr w:type="spellStart"/>
      <w:r w:rsidRPr="00CD538E">
        <w:rPr>
          <w:rFonts w:ascii="Arial" w:hAnsi="Arial" w:cs="Arial"/>
          <w:sz w:val="24"/>
          <w:szCs w:val="24"/>
        </w:rPr>
        <w:t>Renger</w:t>
      </w:r>
      <w:proofErr w:type="spellEnd"/>
      <w:r w:rsidRPr="00CD538E">
        <w:rPr>
          <w:rFonts w:ascii="Arial" w:hAnsi="Arial" w:cs="Arial"/>
          <w:sz w:val="24"/>
          <w:szCs w:val="24"/>
        </w:rPr>
        <w:t>, J</w:t>
      </w:r>
      <w:r>
        <w:rPr>
          <w:rFonts w:ascii="Arial" w:hAnsi="Arial" w:cs="Arial"/>
          <w:sz w:val="24"/>
          <w:szCs w:val="24"/>
        </w:rPr>
        <w:t>.</w:t>
      </w:r>
      <w:r w:rsidRPr="00CD538E">
        <w:rPr>
          <w:rFonts w:ascii="Arial" w:hAnsi="Arial" w:cs="Arial"/>
          <w:sz w:val="24"/>
          <w:szCs w:val="24"/>
        </w:rPr>
        <w:t xml:space="preserve"> (</w:t>
      </w:r>
      <w:r>
        <w:rPr>
          <w:rFonts w:ascii="Arial" w:hAnsi="Arial" w:cs="Arial"/>
          <w:sz w:val="24"/>
          <w:szCs w:val="24"/>
        </w:rPr>
        <w:t xml:space="preserve">2006) </w:t>
      </w:r>
      <w:r w:rsidRPr="00CD538E">
        <w:rPr>
          <w:rFonts w:ascii="Arial" w:hAnsi="Arial" w:cs="Arial"/>
          <w:i/>
          <w:sz w:val="24"/>
          <w:szCs w:val="24"/>
        </w:rPr>
        <w:t>Family</w:t>
      </w:r>
      <w:r>
        <w:rPr>
          <w:rFonts w:ascii="Arial" w:hAnsi="Arial" w:cs="Arial"/>
          <w:sz w:val="24"/>
          <w:szCs w:val="24"/>
        </w:rPr>
        <w:t>. I</w:t>
      </w:r>
      <w:r w:rsidRPr="00CD538E">
        <w:rPr>
          <w:rFonts w:ascii="Arial" w:hAnsi="Arial" w:cs="Arial"/>
          <w:sz w:val="24"/>
          <w:szCs w:val="24"/>
        </w:rPr>
        <w:t xml:space="preserve">n: Brill’s New </w:t>
      </w:r>
      <w:proofErr w:type="spellStart"/>
      <w:r w:rsidRPr="00CD538E">
        <w:rPr>
          <w:rFonts w:ascii="Arial" w:hAnsi="Arial" w:cs="Arial"/>
          <w:sz w:val="24"/>
          <w:szCs w:val="24"/>
        </w:rPr>
        <w:t>Pauly</w:t>
      </w:r>
      <w:proofErr w:type="spellEnd"/>
      <w:r w:rsidRPr="00CD538E">
        <w:rPr>
          <w:rFonts w:ascii="Arial" w:hAnsi="Arial" w:cs="Arial"/>
          <w:sz w:val="24"/>
          <w:szCs w:val="24"/>
        </w:rPr>
        <w:t xml:space="preserve">, Antiquity volumes edited by: Hubert </w:t>
      </w:r>
      <w:proofErr w:type="spellStart"/>
      <w:r w:rsidRPr="00CD538E">
        <w:rPr>
          <w:rFonts w:ascii="Arial" w:hAnsi="Arial" w:cs="Arial"/>
          <w:sz w:val="24"/>
          <w:szCs w:val="24"/>
        </w:rPr>
        <w:t>Cancik</w:t>
      </w:r>
      <w:proofErr w:type="spellEnd"/>
      <w:r w:rsidRPr="00CD538E">
        <w:rPr>
          <w:rFonts w:ascii="Arial" w:hAnsi="Arial" w:cs="Arial"/>
          <w:sz w:val="24"/>
          <w:szCs w:val="24"/>
        </w:rPr>
        <w:t xml:space="preserve"> </w:t>
      </w:r>
      <w:proofErr w:type="gramStart"/>
      <w:r w:rsidRPr="00CD538E">
        <w:rPr>
          <w:rFonts w:ascii="Arial" w:hAnsi="Arial" w:cs="Arial"/>
          <w:sz w:val="24"/>
          <w:szCs w:val="24"/>
        </w:rPr>
        <w:t>and ,</w:t>
      </w:r>
      <w:proofErr w:type="gramEnd"/>
      <w:r w:rsidRPr="00CD538E">
        <w:rPr>
          <w:rFonts w:ascii="Arial" w:hAnsi="Arial" w:cs="Arial"/>
          <w:sz w:val="24"/>
          <w:szCs w:val="24"/>
        </w:rPr>
        <w:t xml:space="preserve"> Helmuth Schneider, English Edition by: Christine F. Salazar, Classical Tradition volumes edited by: Manfred </w:t>
      </w:r>
      <w:proofErr w:type="spellStart"/>
      <w:r w:rsidRPr="00CD538E">
        <w:rPr>
          <w:rFonts w:ascii="Arial" w:hAnsi="Arial" w:cs="Arial"/>
          <w:sz w:val="24"/>
          <w:szCs w:val="24"/>
        </w:rPr>
        <w:t>Landfester</w:t>
      </w:r>
      <w:proofErr w:type="spellEnd"/>
      <w:r w:rsidRPr="00CD538E">
        <w:rPr>
          <w:rFonts w:ascii="Arial" w:hAnsi="Arial" w:cs="Arial"/>
          <w:sz w:val="24"/>
          <w:szCs w:val="24"/>
        </w:rPr>
        <w:t>, English Edition by: Francis G. Gentry. Consulted online on 08 March 2019</w:t>
      </w:r>
      <w:r>
        <w:rPr>
          <w:rFonts w:ascii="Arial" w:hAnsi="Arial" w:cs="Arial"/>
          <w:sz w:val="24"/>
          <w:szCs w:val="24"/>
        </w:rPr>
        <w:t>.</w:t>
      </w:r>
    </w:p>
    <w:p w:rsidR="00F14953" w:rsidRDefault="00F14953" w:rsidP="00F14953">
      <w:pPr>
        <w:spacing w:line="360" w:lineRule="auto"/>
        <w:rPr>
          <w:rFonts w:ascii="Arial" w:hAnsi="Arial" w:cs="Arial"/>
          <w:sz w:val="24"/>
          <w:szCs w:val="24"/>
        </w:rPr>
      </w:pPr>
      <w:proofErr w:type="spellStart"/>
      <w:r w:rsidRPr="00FD7240">
        <w:rPr>
          <w:rFonts w:ascii="Arial" w:hAnsi="Arial" w:cs="Arial"/>
          <w:sz w:val="24"/>
          <w:szCs w:val="24"/>
        </w:rPr>
        <w:t>Wiesehöfer</w:t>
      </w:r>
      <w:proofErr w:type="spellEnd"/>
      <w:r w:rsidRPr="00FD7240">
        <w:rPr>
          <w:rFonts w:ascii="Arial" w:hAnsi="Arial" w:cs="Arial"/>
          <w:sz w:val="24"/>
          <w:szCs w:val="24"/>
        </w:rPr>
        <w:t xml:space="preserve">, </w:t>
      </w:r>
      <w:r>
        <w:rPr>
          <w:rFonts w:ascii="Arial" w:hAnsi="Arial" w:cs="Arial"/>
          <w:sz w:val="24"/>
          <w:szCs w:val="24"/>
        </w:rPr>
        <w:t xml:space="preserve">J. (2006) </w:t>
      </w:r>
      <w:r w:rsidRPr="00CD538E">
        <w:rPr>
          <w:rFonts w:ascii="Arial" w:hAnsi="Arial" w:cs="Arial"/>
          <w:i/>
          <w:sz w:val="24"/>
          <w:szCs w:val="24"/>
        </w:rPr>
        <w:t>Marriage, Age at</w:t>
      </w:r>
      <w:r>
        <w:rPr>
          <w:rFonts w:ascii="Arial" w:hAnsi="Arial" w:cs="Arial"/>
          <w:sz w:val="24"/>
          <w:szCs w:val="24"/>
        </w:rPr>
        <w:t>. I</w:t>
      </w:r>
      <w:r w:rsidRPr="00FD7240">
        <w:rPr>
          <w:rFonts w:ascii="Arial" w:hAnsi="Arial" w:cs="Arial"/>
          <w:sz w:val="24"/>
          <w:szCs w:val="24"/>
        </w:rPr>
        <w:t xml:space="preserve">n: </w:t>
      </w:r>
      <w:r w:rsidRPr="00CD538E">
        <w:rPr>
          <w:rFonts w:ascii="Arial" w:hAnsi="Arial" w:cs="Arial"/>
          <w:sz w:val="24"/>
          <w:szCs w:val="24"/>
        </w:rPr>
        <w:t xml:space="preserve">Brill’s New </w:t>
      </w:r>
      <w:proofErr w:type="spellStart"/>
      <w:r w:rsidRPr="00CD538E">
        <w:rPr>
          <w:rFonts w:ascii="Arial" w:hAnsi="Arial" w:cs="Arial"/>
          <w:sz w:val="24"/>
          <w:szCs w:val="24"/>
        </w:rPr>
        <w:t>Pauly</w:t>
      </w:r>
      <w:proofErr w:type="spellEnd"/>
      <w:r w:rsidRPr="00FD7240">
        <w:rPr>
          <w:rFonts w:ascii="Arial" w:hAnsi="Arial" w:cs="Arial"/>
          <w:sz w:val="24"/>
          <w:szCs w:val="24"/>
        </w:rPr>
        <w:t xml:space="preserve">, Antiquity volumes edited by: Hubert </w:t>
      </w:r>
      <w:proofErr w:type="spellStart"/>
      <w:r w:rsidRPr="00FD7240">
        <w:rPr>
          <w:rFonts w:ascii="Arial" w:hAnsi="Arial" w:cs="Arial"/>
          <w:sz w:val="24"/>
          <w:szCs w:val="24"/>
        </w:rPr>
        <w:t>Cancik</w:t>
      </w:r>
      <w:proofErr w:type="spellEnd"/>
      <w:r w:rsidRPr="00FD7240">
        <w:rPr>
          <w:rFonts w:ascii="Arial" w:hAnsi="Arial" w:cs="Arial"/>
          <w:sz w:val="24"/>
          <w:szCs w:val="24"/>
        </w:rPr>
        <w:t xml:space="preserve"> </w:t>
      </w:r>
      <w:proofErr w:type="gramStart"/>
      <w:r w:rsidRPr="00FD7240">
        <w:rPr>
          <w:rFonts w:ascii="Arial" w:hAnsi="Arial" w:cs="Arial"/>
          <w:sz w:val="24"/>
          <w:szCs w:val="24"/>
        </w:rPr>
        <w:t>and ,</w:t>
      </w:r>
      <w:proofErr w:type="gramEnd"/>
      <w:r w:rsidRPr="00FD7240">
        <w:rPr>
          <w:rFonts w:ascii="Arial" w:hAnsi="Arial" w:cs="Arial"/>
          <w:sz w:val="24"/>
          <w:szCs w:val="24"/>
        </w:rPr>
        <w:t xml:space="preserve"> Helmuth Schneider, English Edition by: Christine F. Salazar, Classical Tradition volumes edited by: Manfred </w:t>
      </w:r>
      <w:proofErr w:type="spellStart"/>
      <w:r w:rsidRPr="00FD7240">
        <w:rPr>
          <w:rFonts w:ascii="Arial" w:hAnsi="Arial" w:cs="Arial"/>
          <w:sz w:val="24"/>
          <w:szCs w:val="24"/>
        </w:rPr>
        <w:t>Landfester</w:t>
      </w:r>
      <w:proofErr w:type="spellEnd"/>
      <w:r w:rsidRPr="00FD7240">
        <w:rPr>
          <w:rFonts w:ascii="Arial" w:hAnsi="Arial" w:cs="Arial"/>
          <w:sz w:val="24"/>
          <w:szCs w:val="24"/>
        </w:rPr>
        <w:t>, English Edition by: Francis G. Gentry. Co</w:t>
      </w:r>
      <w:r>
        <w:rPr>
          <w:rFonts w:ascii="Arial" w:hAnsi="Arial" w:cs="Arial"/>
          <w:sz w:val="24"/>
          <w:szCs w:val="24"/>
        </w:rPr>
        <w:t>nsulted online on 08 March 2019.</w:t>
      </w:r>
    </w:p>
    <w:p w:rsidR="00F14953" w:rsidRDefault="00F14953" w:rsidP="00CD538E">
      <w:pPr>
        <w:spacing w:line="360" w:lineRule="auto"/>
        <w:rPr>
          <w:rFonts w:ascii="Arial" w:hAnsi="Arial" w:cs="Arial"/>
          <w:sz w:val="24"/>
          <w:szCs w:val="24"/>
        </w:rPr>
      </w:pPr>
    </w:p>
    <w:p w:rsidR="00F14953" w:rsidRPr="00F14953" w:rsidRDefault="00F14953" w:rsidP="00CD538E">
      <w:pPr>
        <w:spacing w:line="360" w:lineRule="auto"/>
        <w:rPr>
          <w:rFonts w:ascii="Arial" w:hAnsi="Arial" w:cs="Arial"/>
          <w:b/>
          <w:i/>
          <w:sz w:val="24"/>
          <w:u w:val="single"/>
        </w:rPr>
      </w:pPr>
      <w:r w:rsidRPr="00F14953">
        <w:rPr>
          <w:rFonts w:ascii="Arial" w:hAnsi="Arial" w:cs="Arial"/>
          <w:b/>
          <w:i/>
          <w:sz w:val="24"/>
          <w:u w:val="single"/>
        </w:rPr>
        <w:t>Ancient Sources</w:t>
      </w:r>
    </w:p>
    <w:p w:rsidR="00CD538E" w:rsidRDefault="00CD538E" w:rsidP="00CD538E">
      <w:pPr>
        <w:spacing w:line="360" w:lineRule="auto"/>
        <w:rPr>
          <w:rFonts w:ascii="Arial" w:hAnsi="Arial" w:cs="Arial"/>
          <w:sz w:val="24"/>
        </w:rPr>
      </w:pPr>
      <w:r w:rsidRPr="003D42FF">
        <w:rPr>
          <w:rFonts w:ascii="Arial" w:hAnsi="Arial" w:cs="Arial"/>
          <w:sz w:val="24"/>
        </w:rPr>
        <w:t>Digest 3.1.5.</w:t>
      </w:r>
    </w:p>
    <w:p w:rsidR="001F3047" w:rsidRDefault="001F3047" w:rsidP="00CD538E">
      <w:pPr>
        <w:spacing w:line="360" w:lineRule="auto"/>
        <w:rPr>
          <w:rFonts w:ascii="Arial" w:hAnsi="Arial" w:cs="Arial"/>
          <w:sz w:val="24"/>
        </w:rPr>
      </w:pPr>
      <w:r>
        <w:rPr>
          <w:rFonts w:ascii="Arial" w:hAnsi="Arial" w:cs="Arial"/>
          <w:sz w:val="24"/>
        </w:rPr>
        <w:t xml:space="preserve">Hesiod, </w:t>
      </w:r>
      <w:r w:rsidR="00757F29" w:rsidRPr="00757F29">
        <w:rPr>
          <w:rFonts w:ascii="Arial" w:hAnsi="Arial" w:cs="Arial"/>
          <w:i/>
          <w:sz w:val="24"/>
        </w:rPr>
        <w:t>Works and Days</w:t>
      </w:r>
      <w:r w:rsidR="00757F29">
        <w:rPr>
          <w:rFonts w:ascii="Arial" w:hAnsi="Arial" w:cs="Arial"/>
          <w:sz w:val="24"/>
        </w:rPr>
        <w:t xml:space="preserve">. </w:t>
      </w:r>
      <w:r w:rsidR="00757F29" w:rsidRPr="00757F29">
        <w:rPr>
          <w:rFonts w:ascii="Arial" w:hAnsi="Arial" w:cs="Arial"/>
          <w:sz w:val="24"/>
        </w:rPr>
        <w:t>695-698</w:t>
      </w:r>
    </w:p>
    <w:p w:rsidR="002A2575" w:rsidRPr="002A2575" w:rsidRDefault="002A2575" w:rsidP="00CD538E">
      <w:pPr>
        <w:spacing w:line="360" w:lineRule="auto"/>
        <w:rPr>
          <w:rFonts w:ascii="Arial" w:hAnsi="Arial" w:cs="Arial"/>
          <w:sz w:val="24"/>
          <w:szCs w:val="24"/>
        </w:rPr>
      </w:pPr>
      <w:r w:rsidRPr="002A2575">
        <w:rPr>
          <w:rFonts w:ascii="Arial" w:hAnsi="Arial" w:cs="Arial"/>
          <w:bCs/>
          <w:sz w:val="24"/>
          <w:szCs w:val="24"/>
        </w:rPr>
        <w:t xml:space="preserve">Horace </w:t>
      </w:r>
      <w:r w:rsidRPr="002A2575">
        <w:rPr>
          <w:rFonts w:ascii="Arial" w:hAnsi="Arial" w:cs="Arial"/>
          <w:bCs/>
          <w:i/>
          <w:iCs/>
          <w:sz w:val="24"/>
          <w:szCs w:val="24"/>
        </w:rPr>
        <w:t>Satires</w:t>
      </w:r>
      <w:r w:rsidRPr="002A2575">
        <w:rPr>
          <w:rFonts w:ascii="Arial" w:hAnsi="Arial" w:cs="Arial"/>
          <w:bCs/>
          <w:sz w:val="24"/>
          <w:szCs w:val="24"/>
        </w:rPr>
        <w:t xml:space="preserve"> 1.2.28-35</w:t>
      </w:r>
      <w:r w:rsidRPr="002A2575">
        <w:rPr>
          <w:rFonts w:ascii="Arial" w:hAnsi="Arial" w:cs="Arial"/>
          <w:sz w:val="24"/>
          <w:szCs w:val="24"/>
        </w:rPr>
        <w:t>.</w:t>
      </w:r>
    </w:p>
    <w:p w:rsidR="00FD7240" w:rsidRDefault="003D42FF" w:rsidP="003D42FF">
      <w:pPr>
        <w:spacing w:line="360" w:lineRule="auto"/>
        <w:jc w:val="both"/>
        <w:rPr>
          <w:rFonts w:ascii="Arial" w:hAnsi="Arial" w:cs="Arial"/>
          <w:sz w:val="24"/>
        </w:rPr>
      </w:pPr>
      <w:r w:rsidRPr="003D42FF">
        <w:rPr>
          <w:rFonts w:ascii="Arial" w:hAnsi="Arial" w:cs="Arial"/>
          <w:sz w:val="24"/>
        </w:rPr>
        <w:t xml:space="preserve">Ovid, </w:t>
      </w:r>
      <w:proofErr w:type="spellStart"/>
      <w:r w:rsidRPr="003D42FF">
        <w:rPr>
          <w:rFonts w:ascii="Arial" w:hAnsi="Arial" w:cs="Arial"/>
          <w:i/>
          <w:sz w:val="24"/>
        </w:rPr>
        <w:t>Amores</w:t>
      </w:r>
      <w:proofErr w:type="spellEnd"/>
      <w:r w:rsidRPr="003D42FF">
        <w:rPr>
          <w:rFonts w:ascii="Arial" w:hAnsi="Arial" w:cs="Arial"/>
          <w:sz w:val="24"/>
        </w:rPr>
        <w:t xml:space="preserve"> I, 8: II, 13, 14; A.D. </w:t>
      </w:r>
      <w:proofErr w:type="spellStart"/>
      <w:r w:rsidRPr="003D42FF">
        <w:rPr>
          <w:rFonts w:ascii="Arial" w:hAnsi="Arial" w:cs="Arial"/>
          <w:sz w:val="24"/>
        </w:rPr>
        <w:t>Winspear</w:t>
      </w:r>
      <w:proofErr w:type="spellEnd"/>
      <w:r w:rsidRPr="003D42FF">
        <w:rPr>
          <w:rFonts w:ascii="Arial" w:hAnsi="Arial" w:cs="Arial"/>
          <w:sz w:val="24"/>
        </w:rPr>
        <w:t xml:space="preserve"> </w:t>
      </w:r>
      <w:proofErr w:type="spellStart"/>
      <w:r w:rsidRPr="003D42FF">
        <w:rPr>
          <w:rFonts w:ascii="Arial" w:hAnsi="Arial" w:cs="Arial"/>
          <w:sz w:val="24"/>
        </w:rPr>
        <w:t>adn</w:t>
      </w:r>
      <w:proofErr w:type="spellEnd"/>
      <w:r w:rsidRPr="003D42FF">
        <w:rPr>
          <w:rFonts w:ascii="Arial" w:hAnsi="Arial" w:cs="Arial"/>
          <w:sz w:val="24"/>
        </w:rPr>
        <w:t xml:space="preserve"> L.K. </w:t>
      </w:r>
      <w:proofErr w:type="spellStart"/>
      <w:r w:rsidRPr="003D42FF">
        <w:rPr>
          <w:rFonts w:ascii="Arial" w:hAnsi="Arial" w:cs="Arial"/>
          <w:sz w:val="24"/>
        </w:rPr>
        <w:t>Geweke</w:t>
      </w:r>
      <w:proofErr w:type="spellEnd"/>
      <w:r w:rsidRPr="003D42FF">
        <w:rPr>
          <w:rFonts w:ascii="Arial" w:hAnsi="Arial" w:cs="Arial"/>
          <w:sz w:val="24"/>
        </w:rPr>
        <w:t xml:space="preserve">, </w:t>
      </w:r>
      <w:r w:rsidRPr="003D42FF">
        <w:rPr>
          <w:rFonts w:ascii="Arial" w:hAnsi="Arial" w:cs="Arial"/>
          <w:i/>
          <w:sz w:val="24"/>
        </w:rPr>
        <w:t>Augustus and Roman Reconstruction</w:t>
      </w:r>
      <w:r w:rsidRPr="003D42FF">
        <w:rPr>
          <w:rFonts w:ascii="Arial" w:hAnsi="Arial" w:cs="Arial"/>
          <w:sz w:val="24"/>
        </w:rPr>
        <w:t xml:space="preserve"> (Madison, 1935), 176 – 178.</w:t>
      </w:r>
    </w:p>
    <w:p w:rsidR="005A0F09" w:rsidRDefault="002003D2" w:rsidP="002003D2">
      <w:pPr>
        <w:spacing w:line="360" w:lineRule="auto"/>
        <w:jc w:val="both"/>
        <w:rPr>
          <w:rFonts w:ascii="Arial" w:hAnsi="Arial" w:cs="Arial"/>
          <w:sz w:val="24"/>
        </w:rPr>
      </w:pPr>
      <w:r w:rsidRPr="002003D2">
        <w:rPr>
          <w:rFonts w:ascii="Arial" w:hAnsi="Arial" w:cs="Arial"/>
          <w:sz w:val="24"/>
        </w:rPr>
        <w:t xml:space="preserve">Ovid </w:t>
      </w:r>
      <w:proofErr w:type="gramStart"/>
      <w:r w:rsidRPr="002003D2">
        <w:rPr>
          <w:rFonts w:ascii="Arial" w:hAnsi="Arial" w:cs="Arial"/>
          <w:i/>
          <w:sz w:val="24"/>
        </w:rPr>
        <w:t>The</w:t>
      </w:r>
      <w:proofErr w:type="gramEnd"/>
      <w:r w:rsidRPr="002003D2">
        <w:rPr>
          <w:rFonts w:ascii="Arial" w:hAnsi="Arial" w:cs="Arial"/>
          <w:i/>
          <w:sz w:val="24"/>
        </w:rPr>
        <w:t xml:space="preserve"> Art of Love</w:t>
      </w:r>
      <w:r w:rsidRPr="002003D2">
        <w:rPr>
          <w:rFonts w:ascii="Arial" w:hAnsi="Arial" w:cs="Arial"/>
          <w:sz w:val="24"/>
        </w:rPr>
        <w:t xml:space="preserve"> 3.798-99.</w:t>
      </w:r>
    </w:p>
    <w:p w:rsidR="005A0F09" w:rsidRDefault="005A0F09" w:rsidP="002003D2">
      <w:pPr>
        <w:spacing w:line="360" w:lineRule="auto"/>
        <w:jc w:val="both"/>
        <w:rPr>
          <w:rFonts w:ascii="Arial" w:hAnsi="Arial" w:cs="Arial"/>
          <w:sz w:val="24"/>
        </w:rPr>
      </w:pPr>
      <w:r w:rsidRPr="005A0F09">
        <w:rPr>
          <w:rFonts w:ascii="Arial" w:hAnsi="Arial" w:cs="Arial"/>
          <w:bCs/>
          <w:sz w:val="24"/>
        </w:rPr>
        <w:lastRenderedPageBreak/>
        <w:t xml:space="preserve">Martial </w:t>
      </w:r>
      <w:r w:rsidRPr="005A0F09">
        <w:rPr>
          <w:rFonts w:ascii="Arial" w:hAnsi="Arial" w:cs="Arial"/>
          <w:bCs/>
          <w:i/>
          <w:iCs/>
          <w:sz w:val="24"/>
        </w:rPr>
        <w:t xml:space="preserve">Epigrams </w:t>
      </w:r>
      <w:r w:rsidRPr="005A0F09">
        <w:rPr>
          <w:rFonts w:ascii="Arial" w:hAnsi="Arial" w:cs="Arial"/>
          <w:bCs/>
          <w:sz w:val="24"/>
        </w:rPr>
        <w:t>14.149.</w:t>
      </w:r>
      <w:r w:rsidRPr="005A0F09">
        <w:rPr>
          <w:rFonts w:ascii="Arial" w:hAnsi="Arial" w:cs="Arial"/>
          <w:sz w:val="24"/>
        </w:rPr>
        <w:t xml:space="preserve"> </w:t>
      </w:r>
    </w:p>
    <w:p w:rsidR="00BE5B7D" w:rsidRPr="00BE5B7D" w:rsidRDefault="00BE5B7D" w:rsidP="002003D2">
      <w:pPr>
        <w:spacing w:line="360" w:lineRule="auto"/>
        <w:jc w:val="both"/>
        <w:rPr>
          <w:rFonts w:ascii="Arial" w:hAnsi="Arial" w:cs="Arial"/>
          <w:sz w:val="24"/>
        </w:rPr>
      </w:pPr>
      <w:r w:rsidRPr="00BE5B7D">
        <w:rPr>
          <w:rFonts w:ascii="Arial" w:hAnsi="Arial" w:cs="Arial"/>
          <w:bCs/>
          <w:sz w:val="24"/>
          <w:szCs w:val="24"/>
        </w:rPr>
        <w:t xml:space="preserve">Tacitus </w:t>
      </w:r>
      <w:r w:rsidRPr="00BE5B7D">
        <w:rPr>
          <w:rFonts w:ascii="Arial" w:hAnsi="Arial" w:cs="Arial"/>
          <w:bCs/>
          <w:i/>
          <w:iCs/>
          <w:sz w:val="24"/>
          <w:szCs w:val="24"/>
        </w:rPr>
        <w:t xml:space="preserve">Annals </w:t>
      </w:r>
      <w:r w:rsidRPr="00BE5B7D">
        <w:rPr>
          <w:rFonts w:ascii="Arial" w:hAnsi="Arial" w:cs="Arial"/>
          <w:bCs/>
          <w:sz w:val="24"/>
          <w:szCs w:val="24"/>
        </w:rPr>
        <w:t>11.2.2</w:t>
      </w:r>
    </w:p>
    <w:p w:rsidR="002003D2" w:rsidRPr="00BE5B7D" w:rsidRDefault="00BE5B7D" w:rsidP="003D42FF">
      <w:pPr>
        <w:spacing w:line="360" w:lineRule="auto"/>
        <w:jc w:val="both"/>
        <w:rPr>
          <w:rFonts w:ascii="Arial" w:hAnsi="Arial" w:cs="Arial"/>
          <w:b/>
          <w:i/>
          <w:sz w:val="28"/>
          <w:u w:val="single"/>
        </w:rPr>
      </w:pPr>
      <w:r w:rsidRPr="00BE5B7D">
        <w:rPr>
          <w:rFonts w:ascii="Arial" w:hAnsi="Arial" w:cs="Arial"/>
          <w:sz w:val="28"/>
          <w:szCs w:val="24"/>
        </w:rPr>
        <w:drawing>
          <wp:anchor distT="0" distB="0" distL="114300" distR="114300" simplePos="0" relativeHeight="251658240" behindDoc="0" locked="0" layoutInCell="1" allowOverlap="1">
            <wp:simplePos x="0" y="0"/>
            <wp:positionH relativeFrom="margin">
              <wp:posOffset>-209550</wp:posOffset>
            </wp:positionH>
            <wp:positionV relativeFrom="paragraph">
              <wp:posOffset>405765</wp:posOffset>
            </wp:positionV>
            <wp:extent cx="3136265" cy="2091055"/>
            <wp:effectExtent l="0" t="0" r="6985" b="4445"/>
            <wp:wrapNone/>
            <wp:docPr id="1"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36265" cy="20910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5B7D">
        <w:rPr>
          <w:rFonts w:ascii="Arial" w:hAnsi="Arial" w:cs="Arial"/>
          <w:b/>
          <w:i/>
          <w:sz w:val="28"/>
          <w:u w:val="single"/>
        </w:rPr>
        <w:t>Appendix</w:t>
      </w:r>
    </w:p>
    <w:p w:rsidR="00BE5B7D" w:rsidRDefault="00BE5B7D" w:rsidP="003D42FF">
      <w:pPr>
        <w:spacing w:line="360" w:lineRule="auto"/>
        <w:jc w:val="both"/>
        <w:rPr>
          <w:rFonts w:ascii="Arial" w:hAnsi="Arial" w:cs="Arial"/>
          <w:sz w:val="28"/>
          <w:szCs w:val="24"/>
        </w:rPr>
      </w:pPr>
    </w:p>
    <w:p w:rsidR="00BE5B7D" w:rsidRDefault="00BE5B7D" w:rsidP="003D42FF">
      <w:pPr>
        <w:spacing w:line="360" w:lineRule="auto"/>
        <w:jc w:val="both"/>
        <w:rPr>
          <w:rFonts w:ascii="Arial" w:hAnsi="Arial" w:cs="Arial"/>
          <w:sz w:val="28"/>
          <w:szCs w:val="24"/>
        </w:rPr>
      </w:pPr>
    </w:p>
    <w:p w:rsidR="00BE5B7D" w:rsidRDefault="00BE5B7D" w:rsidP="003D42FF">
      <w:pPr>
        <w:spacing w:line="360" w:lineRule="auto"/>
        <w:jc w:val="both"/>
        <w:rPr>
          <w:rFonts w:ascii="Arial" w:hAnsi="Arial" w:cs="Arial"/>
          <w:sz w:val="28"/>
          <w:szCs w:val="24"/>
        </w:rPr>
      </w:pPr>
    </w:p>
    <w:p w:rsidR="00BE5B7D" w:rsidRDefault="00BE5B7D" w:rsidP="003D42FF">
      <w:pPr>
        <w:spacing w:line="360" w:lineRule="auto"/>
        <w:jc w:val="both"/>
        <w:rPr>
          <w:rFonts w:ascii="Arial" w:hAnsi="Arial" w:cs="Arial"/>
          <w:sz w:val="28"/>
          <w:szCs w:val="24"/>
        </w:rPr>
      </w:pPr>
    </w:p>
    <w:p w:rsidR="00BE5B7D" w:rsidRDefault="00BE5B7D" w:rsidP="003D42FF">
      <w:pPr>
        <w:spacing w:line="360" w:lineRule="auto"/>
        <w:jc w:val="both"/>
        <w:rPr>
          <w:rFonts w:ascii="Arial" w:hAnsi="Arial" w:cs="Arial"/>
          <w:sz w:val="28"/>
          <w:szCs w:val="24"/>
        </w:rPr>
      </w:pPr>
    </w:p>
    <w:p w:rsidR="00BE5B7D" w:rsidRPr="00BE5B7D" w:rsidRDefault="00BE5B7D" w:rsidP="00BE5B7D">
      <w:pPr>
        <w:spacing w:line="360" w:lineRule="auto"/>
        <w:jc w:val="both"/>
        <w:rPr>
          <w:rFonts w:ascii="Arial" w:hAnsi="Arial" w:cs="Arial"/>
          <w:sz w:val="28"/>
          <w:szCs w:val="24"/>
        </w:rPr>
      </w:pPr>
      <w:r>
        <w:rPr>
          <w:rFonts w:ascii="Arial" w:hAnsi="Arial" w:cs="Arial"/>
          <w:sz w:val="28"/>
        </w:rPr>
        <w:t xml:space="preserve">Source 1. </w:t>
      </w:r>
      <w:r w:rsidRPr="00BE5B7D">
        <w:rPr>
          <w:rFonts w:ascii="Arial" w:hAnsi="Arial" w:cs="Arial"/>
          <w:sz w:val="28"/>
        </w:rPr>
        <w:t>Pompeii, Suburban Baths, room 7, (AD 62-79)</w:t>
      </w:r>
    </w:p>
    <w:p w:rsidR="00BE5B7D" w:rsidRDefault="00BE5B7D" w:rsidP="003D42FF">
      <w:pPr>
        <w:spacing w:line="360" w:lineRule="auto"/>
        <w:jc w:val="both"/>
        <w:rPr>
          <w:rFonts w:ascii="Arial" w:hAnsi="Arial" w:cs="Arial"/>
          <w:sz w:val="28"/>
          <w:szCs w:val="24"/>
        </w:rPr>
      </w:pPr>
    </w:p>
    <w:p w:rsidR="00BE5B7D" w:rsidRPr="003D42FF" w:rsidRDefault="00BE5B7D" w:rsidP="003D42FF">
      <w:pPr>
        <w:spacing w:line="360" w:lineRule="auto"/>
        <w:jc w:val="both"/>
        <w:rPr>
          <w:rFonts w:ascii="Arial" w:hAnsi="Arial" w:cs="Arial"/>
          <w:sz w:val="28"/>
          <w:szCs w:val="24"/>
        </w:rPr>
      </w:pPr>
    </w:p>
    <w:sectPr w:rsidR="00BE5B7D" w:rsidRPr="003D42FF">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66FC" w:rsidRDefault="003B66FC" w:rsidP="003B66FC">
      <w:pPr>
        <w:spacing w:after="0" w:line="240" w:lineRule="auto"/>
      </w:pPr>
      <w:r>
        <w:separator/>
      </w:r>
    </w:p>
  </w:endnote>
  <w:endnote w:type="continuationSeparator" w:id="0">
    <w:p w:rsidR="003B66FC" w:rsidRDefault="003B66FC" w:rsidP="003B66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66FC" w:rsidRDefault="003B66FC" w:rsidP="003B66FC">
      <w:pPr>
        <w:spacing w:after="0" w:line="240" w:lineRule="auto"/>
      </w:pPr>
      <w:r>
        <w:separator/>
      </w:r>
    </w:p>
  </w:footnote>
  <w:footnote w:type="continuationSeparator" w:id="0">
    <w:p w:rsidR="003B66FC" w:rsidRDefault="003B66FC" w:rsidP="003B66FC">
      <w:pPr>
        <w:spacing w:after="0" w:line="240" w:lineRule="auto"/>
      </w:pPr>
      <w:r>
        <w:continuationSeparator/>
      </w:r>
    </w:p>
  </w:footnote>
  <w:footnote w:id="1">
    <w:p w:rsidR="00315BF0" w:rsidRDefault="00315BF0">
      <w:pPr>
        <w:pStyle w:val="FootnoteText"/>
      </w:pPr>
      <w:r>
        <w:rPr>
          <w:rStyle w:val="FootnoteReference"/>
        </w:rPr>
        <w:footnoteRef/>
      </w:r>
      <w:r>
        <w:t xml:space="preserve"> </w:t>
      </w:r>
      <w:r w:rsidRPr="00315BF0">
        <w:rPr>
          <w:i/>
        </w:rPr>
        <w:t>Digest</w:t>
      </w:r>
      <w:r w:rsidRPr="00315BF0">
        <w:t xml:space="preserve"> 3.1.5.</w:t>
      </w:r>
    </w:p>
  </w:footnote>
  <w:footnote w:id="2">
    <w:p w:rsidR="001F3047" w:rsidRDefault="001F3047">
      <w:pPr>
        <w:pStyle w:val="FootnoteText"/>
      </w:pPr>
      <w:r>
        <w:rPr>
          <w:rStyle w:val="FootnoteReference"/>
        </w:rPr>
        <w:footnoteRef/>
      </w:r>
      <w:r>
        <w:t xml:space="preserve"> </w:t>
      </w:r>
      <w:proofErr w:type="spellStart"/>
      <w:r w:rsidRPr="001F3047">
        <w:t>Hes</w:t>
      </w:r>
      <w:proofErr w:type="spellEnd"/>
      <w:r w:rsidRPr="001F3047">
        <w:t>. Op. 695-698</w:t>
      </w:r>
    </w:p>
  </w:footnote>
  <w:footnote w:id="3">
    <w:p w:rsidR="002003D2" w:rsidRPr="002003D2" w:rsidRDefault="002003D2" w:rsidP="002003D2">
      <w:pPr>
        <w:pStyle w:val="FootnoteText"/>
      </w:pPr>
      <w:r>
        <w:rPr>
          <w:rStyle w:val="FootnoteReference"/>
        </w:rPr>
        <w:footnoteRef/>
      </w:r>
      <w:r>
        <w:t xml:space="preserve"> Ovid </w:t>
      </w:r>
      <w:r w:rsidRPr="002003D2">
        <w:t>3.798-99.</w:t>
      </w:r>
    </w:p>
  </w:footnote>
  <w:footnote w:id="4">
    <w:p w:rsidR="002A2575" w:rsidRDefault="002A2575">
      <w:pPr>
        <w:pStyle w:val="FootnoteText"/>
      </w:pPr>
      <w:r>
        <w:rPr>
          <w:rStyle w:val="FootnoteReference"/>
        </w:rPr>
        <w:footnoteRef/>
      </w:r>
      <w:r>
        <w:t xml:space="preserve"> </w:t>
      </w:r>
      <w:r w:rsidRPr="002A2575">
        <w:t>Horace 1.2.28-35.</w:t>
      </w:r>
    </w:p>
  </w:footnote>
  <w:footnote w:id="5">
    <w:p w:rsidR="00BE5B7D" w:rsidRDefault="00BE5B7D">
      <w:pPr>
        <w:pStyle w:val="FootnoteText"/>
      </w:pPr>
      <w:r>
        <w:rPr>
          <w:rStyle w:val="FootnoteReference"/>
        </w:rPr>
        <w:footnoteRef/>
      </w:r>
      <w:r>
        <w:t xml:space="preserve"> </w:t>
      </w:r>
      <w:r w:rsidRPr="00BE5B7D">
        <w:t>Tacitus 11.2.2</w:t>
      </w:r>
    </w:p>
  </w:footnote>
  <w:footnote w:id="6">
    <w:p w:rsidR="007B2FB8" w:rsidRDefault="007B2FB8">
      <w:pPr>
        <w:pStyle w:val="FootnoteText"/>
      </w:pPr>
      <w:r>
        <w:rPr>
          <w:rStyle w:val="FootnoteReference"/>
        </w:rPr>
        <w:footnoteRef/>
      </w:r>
      <w:r>
        <w:t xml:space="preserve"> </w:t>
      </w:r>
      <w:proofErr w:type="spellStart"/>
      <w:r>
        <w:t>Renger</w:t>
      </w:r>
      <w:proofErr w:type="spellEnd"/>
      <w:r>
        <w:t>. 2006</w:t>
      </w:r>
    </w:p>
  </w:footnote>
  <w:footnote w:id="7">
    <w:p w:rsidR="003D42FF" w:rsidRDefault="003D42FF">
      <w:pPr>
        <w:pStyle w:val="FootnoteText"/>
      </w:pPr>
      <w:r>
        <w:rPr>
          <w:rStyle w:val="FootnoteReference"/>
        </w:rPr>
        <w:footnoteRef/>
      </w:r>
      <w:r>
        <w:t xml:space="preserve"> Ovid. </w:t>
      </w:r>
      <w:proofErr w:type="spellStart"/>
      <w:r w:rsidRPr="003D42FF">
        <w:rPr>
          <w:i/>
        </w:rPr>
        <w:t>Amores</w:t>
      </w:r>
      <w:proofErr w:type="spellEnd"/>
      <w:r>
        <w:t xml:space="preserve"> I, 8: II, 13, 14 </w:t>
      </w:r>
    </w:p>
  </w:footnote>
  <w:footnote w:id="8">
    <w:p w:rsidR="00F14953" w:rsidRDefault="00F14953">
      <w:pPr>
        <w:pStyle w:val="FootnoteText"/>
      </w:pPr>
      <w:r>
        <w:rPr>
          <w:rStyle w:val="FootnoteReference"/>
        </w:rPr>
        <w:footnoteRef/>
      </w:r>
      <w:r>
        <w:t xml:space="preserve"> Field. (1945), vol.40, no.7, pp.388 - 416</w:t>
      </w:r>
    </w:p>
  </w:footnote>
  <w:footnote w:id="9">
    <w:p w:rsidR="00F14953" w:rsidRDefault="00F14953">
      <w:pPr>
        <w:pStyle w:val="FootnoteText"/>
      </w:pPr>
      <w:r>
        <w:rPr>
          <w:rStyle w:val="FootnoteReference"/>
        </w:rPr>
        <w:footnoteRef/>
      </w:r>
      <w:r>
        <w:t xml:space="preserve"> Duff. (1928), 191.</w:t>
      </w:r>
    </w:p>
  </w:footnote>
  <w:footnote w:id="10">
    <w:p w:rsidR="00B81E03" w:rsidRDefault="00B81E03">
      <w:pPr>
        <w:pStyle w:val="FootnoteText"/>
      </w:pPr>
      <w:r>
        <w:rPr>
          <w:rStyle w:val="FootnoteReference"/>
        </w:rPr>
        <w:footnoteRef/>
      </w:r>
      <w:r>
        <w:t xml:space="preserve"> Field. (1945).</w:t>
      </w:r>
    </w:p>
  </w:footnote>
  <w:footnote w:id="11">
    <w:p w:rsidR="00954F85" w:rsidRDefault="00954F85" w:rsidP="00954F85">
      <w:pPr>
        <w:pStyle w:val="FootnoteText"/>
      </w:pPr>
      <w:r>
        <w:rPr>
          <w:rStyle w:val="FootnoteReference"/>
        </w:rPr>
        <w:footnoteRef/>
      </w:r>
      <w:r>
        <w:t xml:space="preserve"> Martial. </w:t>
      </w:r>
      <w:r w:rsidRPr="005A0F09">
        <w:t>14.149.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66FC" w:rsidRDefault="003B66FC">
    <w:pPr>
      <w:pStyle w:val="Header"/>
    </w:pPr>
    <w:r>
      <w:t>Name: Niamh Eva Gertrude Patterson</w:t>
    </w:r>
    <w:r>
      <w:tab/>
    </w:r>
    <w:r>
      <w:tab/>
      <w:t>Word count: 1,</w:t>
    </w:r>
  </w:p>
  <w:p w:rsidR="003B66FC" w:rsidRDefault="003B66FC">
    <w:pPr>
      <w:pStyle w:val="Header"/>
    </w:pPr>
    <w:r>
      <w:t>Student number: 1801288</w:t>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B4022"/>
    <w:multiLevelType w:val="hybridMultilevel"/>
    <w:tmpl w:val="15E68B24"/>
    <w:lvl w:ilvl="0" w:tplc="766C7D68">
      <w:start w:val="1"/>
      <w:numFmt w:val="bullet"/>
      <w:lvlText w:val=""/>
      <w:lvlJc w:val="left"/>
      <w:pPr>
        <w:tabs>
          <w:tab w:val="num" w:pos="720"/>
        </w:tabs>
        <w:ind w:left="720" w:hanging="360"/>
      </w:pPr>
      <w:rPr>
        <w:rFonts w:ascii="Wingdings 2" w:hAnsi="Wingdings 2" w:hint="default"/>
      </w:rPr>
    </w:lvl>
    <w:lvl w:ilvl="1" w:tplc="A6663592" w:tentative="1">
      <w:start w:val="1"/>
      <w:numFmt w:val="bullet"/>
      <w:lvlText w:val=""/>
      <w:lvlJc w:val="left"/>
      <w:pPr>
        <w:tabs>
          <w:tab w:val="num" w:pos="1440"/>
        </w:tabs>
        <w:ind w:left="1440" w:hanging="360"/>
      </w:pPr>
      <w:rPr>
        <w:rFonts w:ascii="Wingdings 2" w:hAnsi="Wingdings 2" w:hint="default"/>
      </w:rPr>
    </w:lvl>
    <w:lvl w:ilvl="2" w:tplc="6F50AF86" w:tentative="1">
      <w:start w:val="1"/>
      <w:numFmt w:val="bullet"/>
      <w:lvlText w:val=""/>
      <w:lvlJc w:val="left"/>
      <w:pPr>
        <w:tabs>
          <w:tab w:val="num" w:pos="2160"/>
        </w:tabs>
        <w:ind w:left="2160" w:hanging="360"/>
      </w:pPr>
      <w:rPr>
        <w:rFonts w:ascii="Wingdings 2" w:hAnsi="Wingdings 2" w:hint="default"/>
      </w:rPr>
    </w:lvl>
    <w:lvl w:ilvl="3" w:tplc="21506D7E" w:tentative="1">
      <w:start w:val="1"/>
      <w:numFmt w:val="bullet"/>
      <w:lvlText w:val=""/>
      <w:lvlJc w:val="left"/>
      <w:pPr>
        <w:tabs>
          <w:tab w:val="num" w:pos="2880"/>
        </w:tabs>
        <w:ind w:left="2880" w:hanging="360"/>
      </w:pPr>
      <w:rPr>
        <w:rFonts w:ascii="Wingdings 2" w:hAnsi="Wingdings 2" w:hint="default"/>
      </w:rPr>
    </w:lvl>
    <w:lvl w:ilvl="4" w:tplc="FC062D50" w:tentative="1">
      <w:start w:val="1"/>
      <w:numFmt w:val="bullet"/>
      <w:lvlText w:val=""/>
      <w:lvlJc w:val="left"/>
      <w:pPr>
        <w:tabs>
          <w:tab w:val="num" w:pos="3600"/>
        </w:tabs>
        <w:ind w:left="3600" w:hanging="360"/>
      </w:pPr>
      <w:rPr>
        <w:rFonts w:ascii="Wingdings 2" w:hAnsi="Wingdings 2" w:hint="default"/>
      </w:rPr>
    </w:lvl>
    <w:lvl w:ilvl="5" w:tplc="A0F8F4F6" w:tentative="1">
      <w:start w:val="1"/>
      <w:numFmt w:val="bullet"/>
      <w:lvlText w:val=""/>
      <w:lvlJc w:val="left"/>
      <w:pPr>
        <w:tabs>
          <w:tab w:val="num" w:pos="4320"/>
        </w:tabs>
        <w:ind w:left="4320" w:hanging="360"/>
      </w:pPr>
      <w:rPr>
        <w:rFonts w:ascii="Wingdings 2" w:hAnsi="Wingdings 2" w:hint="default"/>
      </w:rPr>
    </w:lvl>
    <w:lvl w:ilvl="6" w:tplc="10808202" w:tentative="1">
      <w:start w:val="1"/>
      <w:numFmt w:val="bullet"/>
      <w:lvlText w:val=""/>
      <w:lvlJc w:val="left"/>
      <w:pPr>
        <w:tabs>
          <w:tab w:val="num" w:pos="5040"/>
        </w:tabs>
        <w:ind w:left="5040" w:hanging="360"/>
      </w:pPr>
      <w:rPr>
        <w:rFonts w:ascii="Wingdings 2" w:hAnsi="Wingdings 2" w:hint="default"/>
      </w:rPr>
    </w:lvl>
    <w:lvl w:ilvl="7" w:tplc="F0EE5F84" w:tentative="1">
      <w:start w:val="1"/>
      <w:numFmt w:val="bullet"/>
      <w:lvlText w:val=""/>
      <w:lvlJc w:val="left"/>
      <w:pPr>
        <w:tabs>
          <w:tab w:val="num" w:pos="5760"/>
        </w:tabs>
        <w:ind w:left="5760" w:hanging="360"/>
      </w:pPr>
      <w:rPr>
        <w:rFonts w:ascii="Wingdings 2" w:hAnsi="Wingdings 2" w:hint="default"/>
      </w:rPr>
    </w:lvl>
    <w:lvl w:ilvl="8" w:tplc="AB2A00CE"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281A21ED"/>
    <w:multiLevelType w:val="hybridMultilevel"/>
    <w:tmpl w:val="98FC96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0C27F2"/>
    <w:multiLevelType w:val="hybridMultilevel"/>
    <w:tmpl w:val="35B4BA38"/>
    <w:lvl w:ilvl="0" w:tplc="775C7A90">
      <w:start w:val="1"/>
      <w:numFmt w:val="bullet"/>
      <w:lvlText w:val=""/>
      <w:lvlJc w:val="left"/>
      <w:pPr>
        <w:tabs>
          <w:tab w:val="num" w:pos="720"/>
        </w:tabs>
        <w:ind w:left="720" w:hanging="360"/>
      </w:pPr>
      <w:rPr>
        <w:rFonts w:ascii="Wingdings 2" w:hAnsi="Wingdings 2" w:hint="default"/>
      </w:rPr>
    </w:lvl>
    <w:lvl w:ilvl="1" w:tplc="5DDC4630">
      <w:start w:val="1"/>
      <w:numFmt w:val="bullet"/>
      <w:lvlText w:val=""/>
      <w:lvlJc w:val="left"/>
      <w:pPr>
        <w:tabs>
          <w:tab w:val="num" w:pos="1440"/>
        </w:tabs>
        <w:ind w:left="1440" w:hanging="360"/>
      </w:pPr>
      <w:rPr>
        <w:rFonts w:ascii="Wingdings 2" w:hAnsi="Wingdings 2" w:hint="default"/>
      </w:rPr>
    </w:lvl>
    <w:lvl w:ilvl="2" w:tplc="2F3C7D54" w:tentative="1">
      <w:start w:val="1"/>
      <w:numFmt w:val="bullet"/>
      <w:lvlText w:val=""/>
      <w:lvlJc w:val="left"/>
      <w:pPr>
        <w:tabs>
          <w:tab w:val="num" w:pos="2160"/>
        </w:tabs>
        <w:ind w:left="2160" w:hanging="360"/>
      </w:pPr>
      <w:rPr>
        <w:rFonts w:ascii="Wingdings 2" w:hAnsi="Wingdings 2" w:hint="default"/>
      </w:rPr>
    </w:lvl>
    <w:lvl w:ilvl="3" w:tplc="8144A5BE" w:tentative="1">
      <w:start w:val="1"/>
      <w:numFmt w:val="bullet"/>
      <w:lvlText w:val=""/>
      <w:lvlJc w:val="left"/>
      <w:pPr>
        <w:tabs>
          <w:tab w:val="num" w:pos="2880"/>
        </w:tabs>
        <w:ind w:left="2880" w:hanging="360"/>
      </w:pPr>
      <w:rPr>
        <w:rFonts w:ascii="Wingdings 2" w:hAnsi="Wingdings 2" w:hint="default"/>
      </w:rPr>
    </w:lvl>
    <w:lvl w:ilvl="4" w:tplc="F446DF20" w:tentative="1">
      <w:start w:val="1"/>
      <w:numFmt w:val="bullet"/>
      <w:lvlText w:val=""/>
      <w:lvlJc w:val="left"/>
      <w:pPr>
        <w:tabs>
          <w:tab w:val="num" w:pos="3600"/>
        </w:tabs>
        <w:ind w:left="3600" w:hanging="360"/>
      </w:pPr>
      <w:rPr>
        <w:rFonts w:ascii="Wingdings 2" w:hAnsi="Wingdings 2" w:hint="default"/>
      </w:rPr>
    </w:lvl>
    <w:lvl w:ilvl="5" w:tplc="5A6A258E" w:tentative="1">
      <w:start w:val="1"/>
      <w:numFmt w:val="bullet"/>
      <w:lvlText w:val=""/>
      <w:lvlJc w:val="left"/>
      <w:pPr>
        <w:tabs>
          <w:tab w:val="num" w:pos="4320"/>
        </w:tabs>
        <w:ind w:left="4320" w:hanging="360"/>
      </w:pPr>
      <w:rPr>
        <w:rFonts w:ascii="Wingdings 2" w:hAnsi="Wingdings 2" w:hint="default"/>
      </w:rPr>
    </w:lvl>
    <w:lvl w:ilvl="6" w:tplc="2FF2A696" w:tentative="1">
      <w:start w:val="1"/>
      <w:numFmt w:val="bullet"/>
      <w:lvlText w:val=""/>
      <w:lvlJc w:val="left"/>
      <w:pPr>
        <w:tabs>
          <w:tab w:val="num" w:pos="5040"/>
        </w:tabs>
        <w:ind w:left="5040" w:hanging="360"/>
      </w:pPr>
      <w:rPr>
        <w:rFonts w:ascii="Wingdings 2" w:hAnsi="Wingdings 2" w:hint="default"/>
      </w:rPr>
    </w:lvl>
    <w:lvl w:ilvl="7" w:tplc="4574FC8E" w:tentative="1">
      <w:start w:val="1"/>
      <w:numFmt w:val="bullet"/>
      <w:lvlText w:val=""/>
      <w:lvlJc w:val="left"/>
      <w:pPr>
        <w:tabs>
          <w:tab w:val="num" w:pos="5760"/>
        </w:tabs>
        <w:ind w:left="5760" w:hanging="360"/>
      </w:pPr>
      <w:rPr>
        <w:rFonts w:ascii="Wingdings 2" w:hAnsi="Wingdings 2" w:hint="default"/>
      </w:rPr>
    </w:lvl>
    <w:lvl w:ilvl="8" w:tplc="968ACFF2"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4F233C4B"/>
    <w:multiLevelType w:val="hybridMultilevel"/>
    <w:tmpl w:val="977028BE"/>
    <w:lvl w:ilvl="0" w:tplc="648A762E">
      <w:start w:val="1"/>
      <w:numFmt w:val="bullet"/>
      <w:lvlText w:val=""/>
      <w:lvlJc w:val="left"/>
      <w:pPr>
        <w:tabs>
          <w:tab w:val="num" w:pos="720"/>
        </w:tabs>
        <w:ind w:left="720" w:hanging="360"/>
      </w:pPr>
      <w:rPr>
        <w:rFonts w:ascii="Wingdings 2" w:hAnsi="Wingdings 2" w:hint="default"/>
      </w:rPr>
    </w:lvl>
    <w:lvl w:ilvl="1" w:tplc="595C997E" w:tentative="1">
      <w:start w:val="1"/>
      <w:numFmt w:val="bullet"/>
      <w:lvlText w:val=""/>
      <w:lvlJc w:val="left"/>
      <w:pPr>
        <w:tabs>
          <w:tab w:val="num" w:pos="1440"/>
        </w:tabs>
        <w:ind w:left="1440" w:hanging="360"/>
      </w:pPr>
      <w:rPr>
        <w:rFonts w:ascii="Wingdings 2" w:hAnsi="Wingdings 2" w:hint="default"/>
      </w:rPr>
    </w:lvl>
    <w:lvl w:ilvl="2" w:tplc="09CC11E2" w:tentative="1">
      <w:start w:val="1"/>
      <w:numFmt w:val="bullet"/>
      <w:lvlText w:val=""/>
      <w:lvlJc w:val="left"/>
      <w:pPr>
        <w:tabs>
          <w:tab w:val="num" w:pos="2160"/>
        </w:tabs>
        <w:ind w:left="2160" w:hanging="360"/>
      </w:pPr>
      <w:rPr>
        <w:rFonts w:ascii="Wingdings 2" w:hAnsi="Wingdings 2" w:hint="default"/>
      </w:rPr>
    </w:lvl>
    <w:lvl w:ilvl="3" w:tplc="55E0C570" w:tentative="1">
      <w:start w:val="1"/>
      <w:numFmt w:val="bullet"/>
      <w:lvlText w:val=""/>
      <w:lvlJc w:val="left"/>
      <w:pPr>
        <w:tabs>
          <w:tab w:val="num" w:pos="2880"/>
        </w:tabs>
        <w:ind w:left="2880" w:hanging="360"/>
      </w:pPr>
      <w:rPr>
        <w:rFonts w:ascii="Wingdings 2" w:hAnsi="Wingdings 2" w:hint="default"/>
      </w:rPr>
    </w:lvl>
    <w:lvl w:ilvl="4" w:tplc="01268BB8" w:tentative="1">
      <w:start w:val="1"/>
      <w:numFmt w:val="bullet"/>
      <w:lvlText w:val=""/>
      <w:lvlJc w:val="left"/>
      <w:pPr>
        <w:tabs>
          <w:tab w:val="num" w:pos="3600"/>
        </w:tabs>
        <w:ind w:left="3600" w:hanging="360"/>
      </w:pPr>
      <w:rPr>
        <w:rFonts w:ascii="Wingdings 2" w:hAnsi="Wingdings 2" w:hint="default"/>
      </w:rPr>
    </w:lvl>
    <w:lvl w:ilvl="5" w:tplc="9AA07EC4" w:tentative="1">
      <w:start w:val="1"/>
      <w:numFmt w:val="bullet"/>
      <w:lvlText w:val=""/>
      <w:lvlJc w:val="left"/>
      <w:pPr>
        <w:tabs>
          <w:tab w:val="num" w:pos="4320"/>
        </w:tabs>
        <w:ind w:left="4320" w:hanging="360"/>
      </w:pPr>
      <w:rPr>
        <w:rFonts w:ascii="Wingdings 2" w:hAnsi="Wingdings 2" w:hint="default"/>
      </w:rPr>
    </w:lvl>
    <w:lvl w:ilvl="6" w:tplc="C4349BAC" w:tentative="1">
      <w:start w:val="1"/>
      <w:numFmt w:val="bullet"/>
      <w:lvlText w:val=""/>
      <w:lvlJc w:val="left"/>
      <w:pPr>
        <w:tabs>
          <w:tab w:val="num" w:pos="5040"/>
        </w:tabs>
        <w:ind w:left="5040" w:hanging="360"/>
      </w:pPr>
      <w:rPr>
        <w:rFonts w:ascii="Wingdings 2" w:hAnsi="Wingdings 2" w:hint="default"/>
      </w:rPr>
    </w:lvl>
    <w:lvl w:ilvl="7" w:tplc="BDCCE720" w:tentative="1">
      <w:start w:val="1"/>
      <w:numFmt w:val="bullet"/>
      <w:lvlText w:val=""/>
      <w:lvlJc w:val="left"/>
      <w:pPr>
        <w:tabs>
          <w:tab w:val="num" w:pos="5760"/>
        </w:tabs>
        <w:ind w:left="5760" w:hanging="360"/>
      </w:pPr>
      <w:rPr>
        <w:rFonts w:ascii="Wingdings 2" w:hAnsi="Wingdings 2" w:hint="default"/>
      </w:rPr>
    </w:lvl>
    <w:lvl w:ilvl="8" w:tplc="608C3BEE"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66FC"/>
    <w:rsid w:val="00065387"/>
    <w:rsid w:val="000B40B7"/>
    <w:rsid w:val="001443E6"/>
    <w:rsid w:val="00170691"/>
    <w:rsid w:val="00194559"/>
    <w:rsid w:val="001F3047"/>
    <w:rsid w:val="002003C3"/>
    <w:rsid w:val="002003D2"/>
    <w:rsid w:val="002A2575"/>
    <w:rsid w:val="00315BF0"/>
    <w:rsid w:val="003A58A7"/>
    <w:rsid w:val="003B2ACE"/>
    <w:rsid w:val="003B66FC"/>
    <w:rsid w:val="003D42FF"/>
    <w:rsid w:val="003E6404"/>
    <w:rsid w:val="004E2CC8"/>
    <w:rsid w:val="00514921"/>
    <w:rsid w:val="00555EF3"/>
    <w:rsid w:val="005957F2"/>
    <w:rsid w:val="005A0F09"/>
    <w:rsid w:val="005C3CFD"/>
    <w:rsid w:val="006B10AC"/>
    <w:rsid w:val="007366AB"/>
    <w:rsid w:val="00752E82"/>
    <w:rsid w:val="00757F29"/>
    <w:rsid w:val="007B2CE9"/>
    <w:rsid w:val="007B2FB8"/>
    <w:rsid w:val="008E4CAC"/>
    <w:rsid w:val="00952A7D"/>
    <w:rsid w:val="00954F85"/>
    <w:rsid w:val="009621C8"/>
    <w:rsid w:val="009A0373"/>
    <w:rsid w:val="00A712B4"/>
    <w:rsid w:val="00A94361"/>
    <w:rsid w:val="00B81E03"/>
    <w:rsid w:val="00BA34A9"/>
    <w:rsid w:val="00BC6EB7"/>
    <w:rsid w:val="00BE5B7D"/>
    <w:rsid w:val="00C06BDE"/>
    <w:rsid w:val="00CC3D4A"/>
    <w:rsid w:val="00CD538E"/>
    <w:rsid w:val="00EB3CA7"/>
    <w:rsid w:val="00EE4821"/>
    <w:rsid w:val="00F14953"/>
    <w:rsid w:val="00FD72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DF054"/>
  <w15:chartTrackingRefBased/>
  <w15:docId w15:val="{771FDE43-09C8-480F-9285-D123CBDC5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66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66FC"/>
  </w:style>
  <w:style w:type="paragraph" w:styleId="Footer">
    <w:name w:val="footer"/>
    <w:basedOn w:val="Normal"/>
    <w:link w:val="FooterChar"/>
    <w:uiPriority w:val="99"/>
    <w:unhideWhenUsed/>
    <w:rsid w:val="003B66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66FC"/>
  </w:style>
  <w:style w:type="paragraph" w:styleId="FootnoteText">
    <w:name w:val="footnote text"/>
    <w:basedOn w:val="Normal"/>
    <w:link w:val="FootnoteTextChar"/>
    <w:uiPriority w:val="99"/>
    <w:unhideWhenUsed/>
    <w:rsid w:val="00315BF0"/>
    <w:pPr>
      <w:spacing w:after="0" w:line="240" w:lineRule="auto"/>
    </w:pPr>
    <w:rPr>
      <w:sz w:val="20"/>
      <w:szCs w:val="20"/>
    </w:rPr>
  </w:style>
  <w:style w:type="character" w:customStyle="1" w:styleId="FootnoteTextChar">
    <w:name w:val="Footnote Text Char"/>
    <w:basedOn w:val="DefaultParagraphFont"/>
    <w:link w:val="FootnoteText"/>
    <w:uiPriority w:val="99"/>
    <w:rsid w:val="00315BF0"/>
    <w:rPr>
      <w:sz w:val="20"/>
      <w:szCs w:val="20"/>
    </w:rPr>
  </w:style>
  <w:style w:type="character" w:styleId="FootnoteReference">
    <w:name w:val="footnote reference"/>
    <w:basedOn w:val="DefaultParagraphFont"/>
    <w:uiPriority w:val="99"/>
    <w:semiHidden/>
    <w:unhideWhenUsed/>
    <w:rsid w:val="00315BF0"/>
    <w:rPr>
      <w:vertAlign w:val="superscript"/>
    </w:rPr>
  </w:style>
  <w:style w:type="character" w:styleId="Emphasis">
    <w:name w:val="Emphasis"/>
    <w:basedOn w:val="DefaultParagraphFont"/>
    <w:uiPriority w:val="20"/>
    <w:qFormat/>
    <w:rsid w:val="00FD7240"/>
    <w:rPr>
      <w:i/>
      <w:iCs/>
    </w:rPr>
  </w:style>
  <w:style w:type="paragraph" w:styleId="ListParagraph">
    <w:name w:val="List Paragraph"/>
    <w:basedOn w:val="Normal"/>
    <w:uiPriority w:val="34"/>
    <w:qFormat/>
    <w:rsid w:val="005A0F09"/>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1443E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291403">
      <w:bodyDiv w:val="1"/>
      <w:marLeft w:val="0"/>
      <w:marRight w:val="0"/>
      <w:marTop w:val="0"/>
      <w:marBottom w:val="0"/>
      <w:divBdr>
        <w:top w:val="none" w:sz="0" w:space="0" w:color="auto"/>
        <w:left w:val="none" w:sz="0" w:space="0" w:color="auto"/>
        <w:bottom w:val="none" w:sz="0" w:space="0" w:color="auto"/>
        <w:right w:val="none" w:sz="0" w:space="0" w:color="auto"/>
      </w:divBdr>
      <w:divsChild>
        <w:div w:id="1572621528">
          <w:marLeft w:val="0"/>
          <w:marRight w:val="0"/>
          <w:marTop w:val="0"/>
          <w:marBottom w:val="0"/>
          <w:divBdr>
            <w:top w:val="none" w:sz="0" w:space="0" w:color="auto"/>
            <w:left w:val="none" w:sz="0" w:space="0" w:color="auto"/>
            <w:bottom w:val="none" w:sz="0" w:space="0" w:color="auto"/>
            <w:right w:val="none" w:sz="0" w:space="0" w:color="auto"/>
          </w:divBdr>
        </w:div>
      </w:divsChild>
    </w:div>
    <w:div w:id="445542035">
      <w:bodyDiv w:val="1"/>
      <w:marLeft w:val="0"/>
      <w:marRight w:val="0"/>
      <w:marTop w:val="0"/>
      <w:marBottom w:val="0"/>
      <w:divBdr>
        <w:top w:val="none" w:sz="0" w:space="0" w:color="auto"/>
        <w:left w:val="none" w:sz="0" w:space="0" w:color="auto"/>
        <w:bottom w:val="none" w:sz="0" w:space="0" w:color="auto"/>
        <w:right w:val="none" w:sz="0" w:space="0" w:color="auto"/>
      </w:divBdr>
      <w:divsChild>
        <w:div w:id="924605552">
          <w:marLeft w:val="1368"/>
          <w:marRight w:val="0"/>
          <w:marTop w:val="115"/>
          <w:marBottom w:val="0"/>
          <w:divBdr>
            <w:top w:val="none" w:sz="0" w:space="0" w:color="auto"/>
            <w:left w:val="none" w:sz="0" w:space="0" w:color="auto"/>
            <w:bottom w:val="none" w:sz="0" w:space="0" w:color="auto"/>
            <w:right w:val="none" w:sz="0" w:space="0" w:color="auto"/>
          </w:divBdr>
        </w:div>
        <w:div w:id="629243710">
          <w:marLeft w:val="864"/>
          <w:marRight w:val="0"/>
          <w:marTop w:val="134"/>
          <w:marBottom w:val="0"/>
          <w:divBdr>
            <w:top w:val="none" w:sz="0" w:space="0" w:color="auto"/>
            <w:left w:val="none" w:sz="0" w:space="0" w:color="auto"/>
            <w:bottom w:val="none" w:sz="0" w:space="0" w:color="auto"/>
            <w:right w:val="none" w:sz="0" w:space="0" w:color="auto"/>
          </w:divBdr>
        </w:div>
      </w:divsChild>
    </w:div>
    <w:div w:id="557402370">
      <w:bodyDiv w:val="1"/>
      <w:marLeft w:val="0"/>
      <w:marRight w:val="0"/>
      <w:marTop w:val="0"/>
      <w:marBottom w:val="0"/>
      <w:divBdr>
        <w:top w:val="none" w:sz="0" w:space="0" w:color="auto"/>
        <w:left w:val="none" w:sz="0" w:space="0" w:color="auto"/>
        <w:bottom w:val="none" w:sz="0" w:space="0" w:color="auto"/>
        <w:right w:val="none" w:sz="0" w:space="0" w:color="auto"/>
      </w:divBdr>
      <w:divsChild>
        <w:div w:id="1128165730">
          <w:marLeft w:val="864"/>
          <w:marRight w:val="0"/>
          <w:marTop w:val="125"/>
          <w:marBottom w:val="0"/>
          <w:divBdr>
            <w:top w:val="none" w:sz="0" w:space="0" w:color="auto"/>
            <w:left w:val="none" w:sz="0" w:space="0" w:color="auto"/>
            <w:bottom w:val="none" w:sz="0" w:space="0" w:color="auto"/>
            <w:right w:val="none" w:sz="0" w:space="0" w:color="auto"/>
          </w:divBdr>
        </w:div>
        <w:div w:id="818113257">
          <w:marLeft w:val="864"/>
          <w:marRight w:val="0"/>
          <w:marTop w:val="125"/>
          <w:marBottom w:val="0"/>
          <w:divBdr>
            <w:top w:val="none" w:sz="0" w:space="0" w:color="auto"/>
            <w:left w:val="none" w:sz="0" w:space="0" w:color="auto"/>
            <w:bottom w:val="none" w:sz="0" w:space="0" w:color="auto"/>
            <w:right w:val="none" w:sz="0" w:space="0" w:color="auto"/>
          </w:divBdr>
        </w:div>
      </w:divsChild>
    </w:div>
    <w:div w:id="809786602">
      <w:bodyDiv w:val="1"/>
      <w:marLeft w:val="0"/>
      <w:marRight w:val="0"/>
      <w:marTop w:val="0"/>
      <w:marBottom w:val="0"/>
      <w:divBdr>
        <w:top w:val="none" w:sz="0" w:space="0" w:color="auto"/>
        <w:left w:val="none" w:sz="0" w:space="0" w:color="auto"/>
        <w:bottom w:val="none" w:sz="0" w:space="0" w:color="auto"/>
        <w:right w:val="none" w:sz="0" w:space="0" w:color="auto"/>
      </w:divBdr>
    </w:div>
    <w:div w:id="1235436067">
      <w:bodyDiv w:val="1"/>
      <w:marLeft w:val="0"/>
      <w:marRight w:val="0"/>
      <w:marTop w:val="0"/>
      <w:marBottom w:val="0"/>
      <w:divBdr>
        <w:top w:val="none" w:sz="0" w:space="0" w:color="auto"/>
        <w:left w:val="none" w:sz="0" w:space="0" w:color="auto"/>
        <w:bottom w:val="none" w:sz="0" w:space="0" w:color="auto"/>
        <w:right w:val="none" w:sz="0" w:space="0" w:color="auto"/>
      </w:divBdr>
    </w:div>
    <w:div w:id="2122069100">
      <w:bodyDiv w:val="1"/>
      <w:marLeft w:val="0"/>
      <w:marRight w:val="0"/>
      <w:marTop w:val="0"/>
      <w:marBottom w:val="0"/>
      <w:divBdr>
        <w:top w:val="none" w:sz="0" w:space="0" w:color="auto"/>
        <w:left w:val="none" w:sz="0" w:space="0" w:color="auto"/>
        <w:bottom w:val="none" w:sz="0" w:space="0" w:color="auto"/>
        <w:right w:val="none" w:sz="0" w:space="0" w:color="auto"/>
      </w:divBdr>
      <w:divsChild>
        <w:div w:id="1724521534">
          <w:marLeft w:val="864"/>
          <w:marRight w:val="0"/>
          <w:marTop w:val="125"/>
          <w:marBottom w:val="0"/>
          <w:divBdr>
            <w:top w:val="none" w:sz="0" w:space="0" w:color="auto"/>
            <w:left w:val="none" w:sz="0" w:space="0" w:color="auto"/>
            <w:bottom w:val="none" w:sz="0" w:space="0" w:color="auto"/>
            <w:right w:val="none" w:sz="0" w:space="0" w:color="auto"/>
          </w:divBdr>
        </w:div>
        <w:div w:id="1366634322">
          <w:marLeft w:val="864"/>
          <w:marRight w:val="0"/>
          <w:marTop w:val="12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1633E9-092D-4AD7-966C-44A6F0CA9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4</Pages>
  <Words>1299</Words>
  <Characters>7407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Niamh Patterson (1801288)</dc:creator>
  <cp:keywords/>
  <dc:description/>
  <cp:lastModifiedBy>Niamh Patterson (1801288)</cp:lastModifiedBy>
  <cp:revision>8</cp:revision>
  <dcterms:created xsi:type="dcterms:W3CDTF">2019-03-08T10:37:00Z</dcterms:created>
  <dcterms:modified xsi:type="dcterms:W3CDTF">2019-03-08T16:58:00Z</dcterms:modified>
</cp:coreProperties>
</file>