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DDE" w:rsidRPr="001D3086" w:rsidRDefault="00BA020C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Pr="001D3086" w:rsidRDefault="00C66D06" w:rsidP="00EA653F">
      <w:pPr>
        <w:ind w:firstLine="0"/>
        <w:rPr>
          <w:rFonts w:cs="Times New Roman"/>
          <w:szCs w:val="24"/>
        </w:rPr>
      </w:pPr>
    </w:p>
    <w:p w:rsidR="00C66D06" w:rsidRDefault="000F1121" w:rsidP="006B5319">
      <w:pPr>
        <w:ind w:firstLine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Assessment Two </w:t>
      </w:r>
    </w:p>
    <w:p w:rsidR="000F1121" w:rsidRDefault="000F1121" w:rsidP="006B5319">
      <w:pPr>
        <w:ind w:firstLine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Lenuta  Raducanu </w:t>
      </w:r>
    </w:p>
    <w:p w:rsidR="000F1121" w:rsidRPr="001D3086" w:rsidRDefault="000F1121" w:rsidP="006B5319">
      <w:pPr>
        <w:ind w:firstLine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Academic Skills </w:t>
      </w:r>
    </w:p>
    <w:p w:rsidR="00C66D06" w:rsidRPr="001D3086" w:rsidRDefault="00C66D06" w:rsidP="006B5319">
      <w:pPr>
        <w:ind w:firstLine="0"/>
        <w:jc w:val="center"/>
        <w:rPr>
          <w:rFonts w:cs="Times New Roman"/>
          <w:szCs w:val="24"/>
        </w:rPr>
      </w:pPr>
    </w:p>
    <w:p w:rsidR="00C66D06" w:rsidRPr="001D3086" w:rsidRDefault="00C66D06" w:rsidP="00EA653F">
      <w:pPr>
        <w:spacing w:after="160"/>
        <w:ind w:firstLine="0"/>
        <w:jc w:val="left"/>
        <w:rPr>
          <w:rFonts w:cs="Times New Roman"/>
          <w:szCs w:val="24"/>
        </w:rPr>
      </w:pPr>
      <w:r w:rsidRPr="001D3086">
        <w:rPr>
          <w:rFonts w:cs="Times New Roman"/>
          <w:szCs w:val="24"/>
        </w:rPr>
        <w:br w:type="page"/>
      </w:r>
    </w:p>
    <w:p w:rsidR="00D17D2E" w:rsidRPr="001D3086" w:rsidRDefault="00D17D2E" w:rsidP="00EA653F">
      <w:pPr>
        <w:pStyle w:val="Heading1"/>
        <w:spacing w:line="360" w:lineRule="auto"/>
        <w:rPr>
          <w:rFonts w:cs="Times New Roman"/>
          <w:szCs w:val="24"/>
        </w:rPr>
      </w:pPr>
      <w:r w:rsidRPr="001D3086">
        <w:rPr>
          <w:rFonts w:cs="Times New Roman"/>
          <w:szCs w:val="24"/>
        </w:rPr>
        <w:lastRenderedPageBreak/>
        <w:t>Introduction</w:t>
      </w:r>
    </w:p>
    <w:p w:rsidR="00D64702" w:rsidRPr="001D3086" w:rsidRDefault="00E23B30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The Slavery Abolition Act of 1833 stands as a </w:t>
      </w:r>
      <w:r w:rsidR="008B4416" w:rsidRPr="001D3086">
        <w:rPr>
          <w:rFonts w:cs="Times New Roman"/>
          <w:szCs w:val="24"/>
        </w:rPr>
        <w:t>significant and importanttime</w:t>
      </w:r>
      <w:r w:rsidRPr="001D3086">
        <w:rPr>
          <w:rFonts w:cs="Times New Roman"/>
          <w:szCs w:val="24"/>
        </w:rPr>
        <w:t xml:space="preserve"> in history, marking the </w:t>
      </w:r>
      <w:r w:rsidR="00B9695B" w:rsidRPr="001D3086">
        <w:rPr>
          <w:rFonts w:cs="Times New Roman"/>
          <w:szCs w:val="24"/>
        </w:rPr>
        <w:t>conclusion</w:t>
      </w:r>
      <w:r w:rsidRPr="001D3086">
        <w:rPr>
          <w:rFonts w:cs="Times New Roman"/>
          <w:szCs w:val="24"/>
        </w:rPr>
        <w:t xml:space="preserve"> of </w:t>
      </w:r>
      <w:r w:rsidR="00B9695B" w:rsidRPr="001D3086">
        <w:rPr>
          <w:rFonts w:cs="Times New Roman"/>
          <w:szCs w:val="24"/>
        </w:rPr>
        <w:t>persistent</w:t>
      </w:r>
      <w:r w:rsidRPr="001D3086">
        <w:rPr>
          <w:rFonts w:cs="Times New Roman"/>
          <w:szCs w:val="24"/>
        </w:rPr>
        <w:t xml:space="preserve"> efforts to dismantle the </w:t>
      </w:r>
      <w:r w:rsidR="00B9695B" w:rsidRPr="001D3086">
        <w:rPr>
          <w:rFonts w:cs="Times New Roman"/>
          <w:szCs w:val="24"/>
        </w:rPr>
        <w:t>strong hold</w:t>
      </w:r>
      <w:r w:rsidRPr="001D3086">
        <w:rPr>
          <w:rFonts w:cs="Times New Roman"/>
          <w:szCs w:val="24"/>
        </w:rPr>
        <w:t xml:space="preserve"> of slavery </w:t>
      </w:r>
      <w:r w:rsidR="00B9695B" w:rsidRPr="001D3086">
        <w:rPr>
          <w:rFonts w:cs="Times New Roman"/>
          <w:szCs w:val="24"/>
        </w:rPr>
        <w:t xml:space="preserve">system </w:t>
      </w:r>
      <w:r w:rsidRPr="001D3086">
        <w:rPr>
          <w:rFonts w:cs="Times New Roman"/>
          <w:szCs w:val="24"/>
        </w:rPr>
        <w:t>within the British Empire</w:t>
      </w:r>
      <w:r w:rsidR="00A11921" w:rsidRPr="001D3086">
        <w:rPr>
          <w:rStyle w:val="FootnoteReference"/>
          <w:rFonts w:cs="Times New Roman"/>
          <w:szCs w:val="24"/>
        </w:rPr>
        <w:footnoteReference w:id="2"/>
      </w:r>
      <w:r w:rsidRPr="001D3086">
        <w:rPr>
          <w:rFonts w:cs="Times New Roman"/>
          <w:szCs w:val="24"/>
        </w:rPr>
        <w:t xml:space="preserve">. </w:t>
      </w:r>
      <w:r w:rsidR="007E4DA7" w:rsidRPr="001D3086">
        <w:rPr>
          <w:rFonts w:cs="Times New Roman"/>
          <w:szCs w:val="24"/>
        </w:rPr>
        <w:t xml:space="preserve">The Slavery Abolition Act of 1833 was passed in </w:t>
      </w:r>
      <w:r w:rsidRPr="001D3086">
        <w:rPr>
          <w:rFonts w:cs="Times New Roman"/>
          <w:szCs w:val="24"/>
        </w:rPr>
        <w:t>August 28, 1833</w:t>
      </w:r>
      <w:r w:rsidR="0077105F" w:rsidRPr="001D3086">
        <w:rPr>
          <w:rFonts w:cs="Times New Roman"/>
          <w:szCs w:val="24"/>
        </w:rPr>
        <w:t>.It</w:t>
      </w:r>
      <w:r w:rsidRPr="001D3086">
        <w:rPr>
          <w:rFonts w:cs="Times New Roman"/>
          <w:szCs w:val="24"/>
        </w:rPr>
        <w:t xml:space="preserve"> marked the beginning of the end for the </w:t>
      </w:r>
      <w:r w:rsidR="00D64702" w:rsidRPr="001D3086">
        <w:rPr>
          <w:rFonts w:cs="Times New Roman"/>
          <w:szCs w:val="24"/>
        </w:rPr>
        <w:t>long-haul</w:t>
      </w:r>
      <w:r w:rsidRPr="001D3086">
        <w:rPr>
          <w:rFonts w:cs="Times New Roman"/>
          <w:szCs w:val="24"/>
        </w:rPr>
        <w:t xml:space="preserve"> slave trade and the </w:t>
      </w:r>
      <w:r w:rsidR="00D64702" w:rsidRPr="001D3086">
        <w:rPr>
          <w:rFonts w:cs="Times New Roman"/>
          <w:szCs w:val="24"/>
        </w:rPr>
        <w:t>freedom</w:t>
      </w:r>
      <w:r w:rsidRPr="001D3086">
        <w:rPr>
          <w:rFonts w:cs="Times New Roman"/>
          <w:szCs w:val="24"/>
        </w:rPr>
        <w:t xml:space="preserve"> of enslaved individuals. Its historical significance </w:t>
      </w:r>
      <w:r w:rsidR="00BF32D0" w:rsidRPr="001D3086">
        <w:rPr>
          <w:rFonts w:cs="Times New Roman"/>
          <w:szCs w:val="24"/>
        </w:rPr>
        <w:t>depends</w:t>
      </w:r>
      <w:r w:rsidRPr="001D3086">
        <w:rPr>
          <w:rFonts w:cs="Times New Roman"/>
          <w:szCs w:val="24"/>
        </w:rPr>
        <w:t xml:space="preserve"> not only in the </w:t>
      </w:r>
      <w:r w:rsidR="00EA3389" w:rsidRPr="001D3086">
        <w:rPr>
          <w:rFonts w:cs="Times New Roman"/>
          <w:szCs w:val="24"/>
        </w:rPr>
        <w:t>philosophical</w:t>
      </w:r>
      <w:r w:rsidRPr="001D3086">
        <w:rPr>
          <w:rFonts w:cs="Times New Roman"/>
          <w:szCs w:val="24"/>
        </w:rPr>
        <w:t xml:space="preserve"> social and moral shift it </w:t>
      </w:r>
      <w:r w:rsidR="00D64702" w:rsidRPr="001D3086">
        <w:rPr>
          <w:rFonts w:cs="Times New Roman"/>
          <w:szCs w:val="24"/>
        </w:rPr>
        <w:t>signalled</w:t>
      </w:r>
      <w:r w:rsidRPr="001D3086">
        <w:rPr>
          <w:rFonts w:cs="Times New Roman"/>
          <w:szCs w:val="24"/>
        </w:rPr>
        <w:t xml:space="preserve"> but also in its lasting impact on the global struggle against slavery.</w:t>
      </w:r>
    </w:p>
    <w:p w:rsidR="00E23B30" w:rsidRPr="001D3086" w:rsidRDefault="003D1A3D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In response, the following </w:t>
      </w:r>
      <w:r w:rsidR="00E23B30" w:rsidRPr="001D3086">
        <w:rPr>
          <w:rFonts w:cs="Times New Roman"/>
          <w:szCs w:val="24"/>
        </w:rPr>
        <w:t xml:space="preserve">essay aims to </w:t>
      </w:r>
      <w:r w:rsidRPr="001D3086">
        <w:rPr>
          <w:rFonts w:cs="Times New Roman"/>
          <w:szCs w:val="24"/>
        </w:rPr>
        <w:t>investigate</w:t>
      </w:r>
      <w:r w:rsidR="00E23B30" w:rsidRPr="001D3086">
        <w:rPr>
          <w:rFonts w:cs="Times New Roman"/>
          <w:szCs w:val="24"/>
        </w:rPr>
        <w:t xml:space="preserve"> into the </w:t>
      </w:r>
      <w:r w:rsidRPr="001D3086">
        <w:rPr>
          <w:rFonts w:cs="Times New Roman"/>
          <w:szCs w:val="24"/>
        </w:rPr>
        <w:t>significance</w:t>
      </w:r>
      <w:r w:rsidR="00E23B30" w:rsidRPr="001D3086">
        <w:rPr>
          <w:rFonts w:cs="Times New Roman"/>
          <w:szCs w:val="24"/>
        </w:rPr>
        <w:t xml:space="preserve"> of the Slavery Abolition Act 1833, shedding light on its </w:t>
      </w:r>
      <w:r w:rsidR="00C50C08" w:rsidRPr="001D3086">
        <w:rPr>
          <w:rFonts w:cs="Times New Roman"/>
          <w:szCs w:val="24"/>
        </w:rPr>
        <w:t>detailed</w:t>
      </w:r>
      <w:r w:rsidR="00E23B30" w:rsidRPr="001D3086">
        <w:rPr>
          <w:rFonts w:cs="Times New Roman"/>
          <w:szCs w:val="24"/>
        </w:rPr>
        <w:t xml:space="preserve"> implications for British society and its colonies. As a primary source, Alibrandi, </w:t>
      </w:r>
      <w:r w:rsidR="00B7035A" w:rsidRPr="001D3086">
        <w:rPr>
          <w:rFonts w:cs="Times New Roman"/>
          <w:szCs w:val="24"/>
        </w:rPr>
        <w:t>(</w:t>
      </w:r>
      <w:r w:rsidR="00E23B30" w:rsidRPr="001D3086">
        <w:rPr>
          <w:rFonts w:cs="Times New Roman"/>
          <w:szCs w:val="24"/>
        </w:rPr>
        <w:t>2020</w:t>
      </w:r>
      <w:r w:rsidR="00B7035A" w:rsidRPr="001D3086">
        <w:rPr>
          <w:rFonts w:cs="Times New Roman"/>
          <w:szCs w:val="24"/>
        </w:rPr>
        <w:t>)</w:t>
      </w:r>
      <w:r w:rsidR="00E23B30" w:rsidRPr="001D3086">
        <w:rPr>
          <w:rFonts w:cs="Times New Roman"/>
          <w:szCs w:val="24"/>
        </w:rPr>
        <w:t xml:space="preserve"> has been chosen for its contextual richness, offering insights into the historical background surrounding the abolitionist movement and the lead-up to the Act. </w:t>
      </w:r>
      <w:r w:rsidR="00A715E3" w:rsidRPr="001D3086">
        <w:rPr>
          <w:rFonts w:cs="Times New Roman"/>
          <w:szCs w:val="24"/>
        </w:rPr>
        <w:t xml:space="preserve">Alibrandi, (2020) </w:t>
      </w:r>
      <w:r w:rsidR="00E23B30" w:rsidRPr="001D3086">
        <w:rPr>
          <w:rFonts w:cs="Times New Roman"/>
          <w:szCs w:val="24"/>
        </w:rPr>
        <w:t xml:space="preserve">contributes a </w:t>
      </w:r>
      <w:r w:rsidR="005847E0" w:rsidRPr="001D3086">
        <w:rPr>
          <w:rFonts w:cs="Times New Roman"/>
          <w:szCs w:val="24"/>
        </w:rPr>
        <w:t>detailed</w:t>
      </w:r>
      <w:r w:rsidR="00E23B30" w:rsidRPr="001D3086">
        <w:rPr>
          <w:rFonts w:cs="Times New Roman"/>
          <w:szCs w:val="24"/>
        </w:rPr>
        <w:t xml:space="preserve"> perspective, </w:t>
      </w:r>
      <w:r w:rsidR="005847E0" w:rsidRPr="001D3086">
        <w:rPr>
          <w:rFonts w:cs="Times New Roman"/>
          <w:szCs w:val="24"/>
        </w:rPr>
        <w:t>offering</w:t>
      </w:r>
      <w:r w:rsidR="00E23B30" w:rsidRPr="001D3086">
        <w:rPr>
          <w:rFonts w:cs="Times New Roman"/>
          <w:szCs w:val="24"/>
        </w:rPr>
        <w:t xml:space="preserve"> a </w:t>
      </w:r>
      <w:r w:rsidR="005847E0" w:rsidRPr="001D3086">
        <w:rPr>
          <w:rFonts w:cs="Times New Roman"/>
          <w:szCs w:val="24"/>
        </w:rPr>
        <w:t>significant</w:t>
      </w:r>
      <w:r w:rsidR="00E23B30" w:rsidRPr="001D3086">
        <w:rPr>
          <w:rFonts w:cs="Times New Roman"/>
          <w:szCs w:val="24"/>
        </w:rPr>
        <w:t xml:space="preserve"> view of the socio-political climate, key individuals, and events that set the stage for the legislative breakthrough</w:t>
      </w:r>
      <w:r w:rsidR="00DD040F" w:rsidRPr="001D3086">
        <w:rPr>
          <w:rStyle w:val="FootnoteReference"/>
          <w:rFonts w:cs="Times New Roman"/>
          <w:szCs w:val="24"/>
        </w:rPr>
        <w:footnoteReference w:id="3"/>
      </w:r>
      <w:r w:rsidR="00E23B30" w:rsidRPr="001D3086">
        <w:rPr>
          <w:rFonts w:cs="Times New Roman"/>
          <w:szCs w:val="24"/>
        </w:rPr>
        <w:t xml:space="preserve">. </w:t>
      </w:r>
      <w:r w:rsidR="006D6160" w:rsidRPr="001D3086">
        <w:rPr>
          <w:rFonts w:cs="Times New Roman"/>
          <w:szCs w:val="24"/>
        </w:rPr>
        <w:t>In addition, through</w:t>
      </w:r>
      <w:r w:rsidR="00E23B30" w:rsidRPr="001D3086">
        <w:rPr>
          <w:rFonts w:cs="Times New Roman"/>
          <w:szCs w:val="24"/>
        </w:rPr>
        <w:t xml:space="preserve"> examining this source, the </w:t>
      </w:r>
      <w:r w:rsidR="004C5B80" w:rsidRPr="001D3086">
        <w:rPr>
          <w:rFonts w:cs="Times New Roman"/>
          <w:szCs w:val="24"/>
        </w:rPr>
        <w:t>following essay aims</w:t>
      </w:r>
      <w:r w:rsidR="00E23B30" w:rsidRPr="001D3086">
        <w:rPr>
          <w:rFonts w:cs="Times New Roman"/>
          <w:szCs w:val="24"/>
        </w:rPr>
        <w:t xml:space="preserve"> to deepen </w:t>
      </w:r>
      <w:r w:rsidR="00F246DB" w:rsidRPr="001D3086">
        <w:rPr>
          <w:rFonts w:cs="Times New Roman"/>
          <w:szCs w:val="24"/>
        </w:rPr>
        <w:t>an</w:t>
      </w:r>
      <w:r w:rsidR="00E23B30" w:rsidRPr="001D3086">
        <w:rPr>
          <w:rFonts w:cs="Times New Roman"/>
          <w:szCs w:val="24"/>
        </w:rPr>
        <w:t xml:space="preserve"> understanding of the historical context that precipitated the enactment of the Slavery Abolition Act</w:t>
      </w:r>
      <w:r w:rsidR="00776453" w:rsidRPr="001D3086">
        <w:rPr>
          <w:rFonts w:cs="Times New Roman"/>
          <w:szCs w:val="24"/>
        </w:rPr>
        <w:t xml:space="preserve"> 1833</w:t>
      </w:r>
      <w:r w:rsidR="00E23B30" w:rsidRPr="001D3086">
        <w:rPr>
          <w:rFonts w:cs="Times New Roman"/>
          <w:szCs w:val="24"/>
        </w:rPr>
        <w:t xml:space="preserve">, </w:t>
      </w:r>
      <w:r w:rsidR="00776453" w:rsidRPr="001D3086">
        <w:rPr>
          <w:rFonts w:cs="Times New Roman"/>
          <w:szCs w:val="24"/>
        </w:rPr>
        <w:t>articulating</w:t>
      </w:r>
      <w:r w:rsidR="00E23B30" w:rsidRPr="001D3086">
        <w:rPr>
          <w:rFonts w:cs="Times New Roman"/>
          <w:szCs w:val="24"/>
        </w:rPr>
        <w:t xml:space="preserve"> a </w:t>
      </w:r>
      <w:r w:rsidR="00776453" w:rsidRPr="001D3086">
        <w:rPr>
          <w:rFonts w:cs="Times New Roman"/>
          <w:szCs w:val="24"/>
        </w:rPr>
        <w:t>significant</w:t>
      </w:r>
      <w:r w:rsidR="00E23B30" w:rsidRPr="001D3086">
        <w:rPr>
          <w:rFonts w:cs="Times New Roman"/>
          <w:szCs w:val="24"/>
        </w:rPr>
        <w:t xml:space="preserve"> foundation for the subsequent analysis of its </w:t>
      </w:r>
      <w:r w:rsidR="00F21A66" w:rsidRPr="001D3086">
        <w:rPr>
          <w:rFonts w:cs="Times New Roman"/>
          <w:szCs w:val="24"/>
        </w:rPr>
        <w:t>continuing</w:t>
      </w:r>
      <w:r w:rsidR="00E23B30" w:rsidRPr="001D3086">
        <w:rPr>
          <w:rFonts w:cs="Times New Roman"/>
          <w:szCs w:val="24"/>
        </w:rPr>
        <w:t xml:space="preserve"> significance.</w:t>
      </w:r>
    </w:p>
    <w:p w:rsidR="00D17D2E" w:rsidRPr="001D3086" w:rsidRDefault="00D463D3" w:rsidP="00EA653F">
      <w:pPr>
        <w:pStyle w:val="Heading1"/>
        <w:spacing w:line="360" w:lineRule="auto"/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>Political Context o</w:t>
      </w:r>
      <w:r w:rsidR="00D17D2E" w:rsidRPr="001D3086">
        <w:rPr>
          <w:rFonts w:cs="Times New Roman"/>
          <w:szCs w:val="24"/>
        </w:rPr>
        <w:t>f Slavery in Britain and its Colonies</w:t>
      </w:r>
    </w:p>
    <w:p w:rsidR="000D4CA9" w:rsidRPr="001D3086" w:rsidRDefault="000D4CA9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The roots of slavery in Britain and its colonies extend deep into history, forming a complex </w:t>
      </w:r>
      <w:r w:rsidR="00D64702" w:rsidRPr="001D3086">
        <w:rPr>
          <w:rFonts w:cs="Times New Roman"/>
          <w:szCs w:val="24"/>
        </w:rPr>
        <w:t>wall-hanging</w:t>
      </w:r>
      <w:r w:rsidRPr="001D3086">
        <w:rPr>
          <w:rFonts w:cs="Times New Roman"/>
          <w:szCs w:val="24"/>
        </w:rPr>
        <w:t xml:space="preserve"> woven with economic, social, and moral threads. The institution of slavery was intimately tied to the economic pursuits of the British Empire, </w:t>
      </w:r>
      <w:r w:rsidR="00AB79CE" w:rsidRPr="001D3086">
        <w:rPr>
          <w:rFonts w:cs="Times New Roman"/>
          <w:szCs w:val="24"/>
        </w:rPr>
        <w:t>significantly</w:t>
      </w:r>
      <w:r w:rsidRPr="001D3086">
        <w:rPr>
          <w:rFonts w:cs="Times New Roman"/>
          <w:szCs w:val="24"/>
        </w:rPr>
        <w:t xml:space="preserve"> in the Caribbean and the Americas, where </w:t>
      </w:r>
      <w:r w:rsidR="00D64702" w:rsidRPr="001D3086">
        <w:rPr>
          <w:rFonts w:cs="Times New Roman"/>
          <w:szCs w:val="24"/>
        </w:rPr>
        <w:t>majority of theestatesused to depend significantly</w:t>
      </w:r>
      <w:r w:rsidRPr="001D3086">
        <w:rPr>
          <w:rFonts w:cs="Times New Roman"/>
          <w:szCs w:val="24"/>
        </w:rPr>
        <w:t xml:space="preserve"> on the forced </w:t>
      </w:r>
      <w:r w:rsidR="00F955B1" w:rsidRPr="001D3086">
        <w:rPr>
          <w:rFonts w:cs="Times New Roman"/>
          <w:szCs w:val="24"/>
        </w:rPr>
        <w:t>labour</w:t>
      </w:r>
      <w:r w:rsidRPr="001D3086">
        <w:rPr>
          <w:rFonts w:cs="Times New Roman"/>
          <w:szCs w:val="24"/>
        </w:rPr>
        <w:t xml:space="preserve"> of enslaved individuals for the </w:t>
      </w:r>
      <w:r w:rsidR="00D463D3" w:rsidRPr="001D3086">
        <w:rPr>
          <w:rFonts w:cs="Times New Roman"/>
          <w:szCs w:val="24"/>
        </w:rPr>
        <w:t>farming</w:t>
      </w:r>
      <w:r w:rsidRPr="001D3086">
        <w:rPr>
          <w:rFonts w:cs="Times New Roman"/>
          <w:szCs w:val="24"/>
        </w:rPr>
        <w:t xml:space="preserve"> of </w:t>
      </w:r>
      <w:r w:rsidR="00D463D3" w:rsidRPr="001D3086">
        <w:rPr>
          <w:rFonts w:cs="Times New Roman"/>
          <w:szCs w:val="24"/>
        </w:rPr>
        <w:t>profitable</w:t>
      </w:r>
      <w:r w:rsidRPr="001D3086">
        <w:rPr>
          <w:rFonts w:cs="Times New Roman"/>
          <w:szCs w:val="24"/>
        </w:rPr>
        <w:t xml:space="preserve"> crops like sugar, tobacco, and cotton.</w:t>
      </w:r>
      <w:r w:rsidR="00F955B1" w:rsidRPr="001D3086">
        <w:rPr>
          <w:rFonts w:cs="Times New Roman"/>
          <w:szCs w:val="24"/>
        </w:rPr>
        <w:t>Moreover, e</w:t>
      </w:r>
      <w:r w:rsidRPr="001D3086">
        <w:rPr>
          <w:rFonts w:cs="Times New Roman"/>
          <w:szCs w:val="24"/>
        </w:rPr>
        <w:t>conomically, the slave trade became a cornerstone of British commerce during the 17th and 18th centuries, contributing significantly to the nation's prosperity</w:t>
      </w:r>
      <w:r w:rsidR="002E30B3" w:rsidRPr="001D3086">
        <w:rPr>
          <w:rStyle w:val="FootnoteReference"/>
          <w:rFonts w:cs="Times New Roman"/>
          <w:szCs w:val="24"/>
        </w:rPr>
        <w:footnoteReference w:id="4"/>
      </w:r>
      <w:r w:rsidRPr="001D3086">
        <w:rPr>
          <w:rFonts w:cs="Times New Roman"/>
          <w:szCs w:val="24"/>
        </w:rPr>
        <w:t xml:space="preserve">. The triangular trade route, connecting Britain, Africa, and the Americas, </w:t>
      </w:r>
      <w:r w:rsidR="00567237" w:rsidRPr="001D3086">
        <w:rPr>
          <w:rFonts w:cs="Times New Roman"/>
          <w:szCs w:val="24"/>
        </w:rPr>
        <w:t>eased</w:t>
      </w:r>
      <w:r w:rsidRPr="001D3086">
        <w:rPr>
          <w:rFonts w:cs="Times New Roman"/>
          <w:szCs w:val="24"/>
        </w:rPr>
        <w:t xml:space="preserve"> the exchange of goods, </w:t>
      </w:r>
      <w:r w:rsidR="00567237" w:rsidRPr="001D3086">
        <w:rPr>
          <w:rFonts w:cs="Times New Roman"/>
          <w:szCs w:val="24"/>
        </w:rPr>
        <w:t>comprising of</w:t>
      </w:r>
      <w:r w:rsidRPr="001D3086">
        <w:rPr>
          <w:rFonts w:cs="Times New Roman"/>
          <w:szCs w:val="24"/>
        </w:rPr>
        <w:t xml:space="preserve"> enslaved Africans. </w:t>
      </w:r>
      <w:r w:rsidR="00BC4C34" w:rsidRPr="001D3086">
        <w:rPr>
          <w:rFonts w:cs="Times New Roman"/>
          <w:szCs w:val="24"/>
        </w:rPr>
        <w:t>The proposed</w:t>
      </w:r>
      <w:r w:rsidR="00C703B4" w:rsidRPr="001D3086">
        <w:rPr>
          <w:rFonts w:cs="Times New Roman"/>
          <w:szCs w:val="24"/>
        </w:rPr>
        <w:t>long-haul</w:t>
      </w:r>
      <w:r w:rsidRPr="001D3086">
        <w:rPr>
          <w:rFonts w:cs="Times New Roman"/>
          <w:szCs w:val="24"/>
        </w:rPr>
        <w:t xml:space="preserve"> commerce, however, was not </w:t>
      </w:r>
      <w:r w:rsidR="00C703B4" w:rsidRPr="001D3086">
        <w:rPr>
          <w:rFonts w:cs="Times New Roman"/>
          <w:szCs w:val="24"/>
        </w:rPr>
        <w:t>lackingin terms of</w:t>
      </w:r>
      <w:r w:rsidRPr="001D3086">
        <w:rPr>
          <w:rFonts w:cs="Times New Roman"/>
          <w:szCs w:val="24"/>
        </w:rPr>
        <w:t xml:space="preserve"> profound moral and social implications of human exploitation, suffering, and dehumani</w:t>
      </w:r>
      <w:r w:rsidR="00E86342" w:rsidRPr="001D3086">
        <w:rPr>
          <w:rFonts w:cs="Times New Roman"/>
          <w:szCs w:val="24"/>
        </w:rPr>
        <w:t>s</w:t>
      </w:r>
      <w:r w:rsidRPr="001D3086">
        <w:rPr>
          <w:rFonts w:cs="Times New Roman"/>
          <w:szCs w:val="24"/>
        </w:rPr>
        <w:t>ation.</w:t>
      </w:r>
    </w:p>
    <w:p w:rsidR="000D4CA9" w:rsidRPr="001D3086" w:rsidRDefault="000D4CA9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In the late 18th century, a </w:t>
      </w:r>
      <w:r w:rsidR="001D19ED" w:rsidRPr="001D3086">
        <w:rPr>
          <w:rFonts w:cs="Times New Roman"/>
          <w:szCs w:val="24"/>
        </w:rPr>
        <w:t>growing</w:t>
      </w:r>
      <w:r w:rsidR="00EC00A8" w:rsidRPr="001D3086">
        <w:rPr>
          <w:rFonts w:cs="Times New Roman"/>
          <w:szCs w:val="24"/>
        </w:rPr>
        <w:t>protest</w:t>
      </w:r>
      <w:r w:rsidRPr="001D3086">
        <w:rPr>
          <w:rFonts w:cs="Times New Roman"/>
          <w:szCs w:val="24"/>
        </w:rPr>
        <w:t xml:space="preserve"> movement emerged, driven by moral convictions and a growing awareness of the inhumane conditions faced by the enslaved. </w:t>
      </w:r>
      <w:r w:rsidR="001D19ED" w:rsidRPr="001D3086">
        <w:rPr>
          <w:rFonts w:cs="Times New Roman"/>
          <w:szCs w:val="24"/>
        </w:rPr>
        <w:t>Similarly, i</w:t>
      </w:r>
      <w:r w:rsidRPr="001D3086">
        <w:rPr>
          <w:rFonts w:cs="Times New Roman"/>
          <w:szCs w:val="24"/>
        </w:rPr>
        <w:t>nfluential figures such as Thomas Fowell Buxton and William Wilberforce played instrumental roles in advocating for abolition</w:t>
      </w:r>
      <w:r w:rsidR="001D19ED" w:rsidRPr="001D3086">
        <w:rPr>
          <w:rFonts w:cs="Times New Roman"/>
          <w:szCs w:val="24"/>
        </w:rPr>
        <w:t xml:space="preserve"> (Alibrandi, 2020)</w:t>
      </w:r>
      <w:r w:rsidRPr="001D3086">
        <w:rPr>
          <w:rFonts w:cs="Times New Roman"/>
          <w:szCs w:val="24"/>
        </w:rPr>
        <w:t xml:space="preserve">. Their efforts, as discussed in </w:t>
      </w:r>
      <w:r w:rsidR="001D19ED" w:rsidRPr="001D3086">
        <w:rPr>
          <w:rFonts w:cs="Times New Roman"/>
          <w:szCs w:val="24"/>
        </w:rPr>
        <w:t>Alibrandi, (2020)</w:t>
      </w:r>
      <w:r w:rsidRPr="001D3086">
        <w:rPr>
          <w:rFonts w:cs="Times New Roman"/>
          <w:szCs w:val="24"/>
        </w:rPr>
        <w:t xml:space="preserve">, were grounded in a moral </w:t>
      </w:r>
      <w:r w:rsidR="00EC00A8" w:rsidRPr="001D3086">
        <w:rPr>
          <w:rFonts w:cs="Times New Roman"/>
          <w:szCs w:val="24"/>
        </w:rPr>
        <w:t>imperious</w:t>
      </w:r>
      <w:r w:rsidRPr="001D3086">
        <w:rPr>
          <w:rFonts w:cs="Times New Roman"/>
          <w:szCs w:val="24"/>
        </w:rPr>
        <w:t xml:space="preserve"> that sought to challenge the deeply </w:t>
      </w:r>
      <w:r w:rsidR="00EC00A8" w:rsidRPr="001D3086">
        <w:rPr>
          <w:rFonts w:cs="Times New Roman"/>
          <w:szCs w:val="24"/>
        </w:rPr>
        <w:t>fixed</w:t>
      </w:r>
      <w:r w:rsidR="0011317D" w:rsidRPr="001D3086">
        <w:rPr>
          <w:rFonts w:cs="Times New Roman"/>
          <w:szCs w:val="24"/>
        </w:rPr>
        <w:t>social</w:t>
      </w:r>
      <w:r w:rsidRPr="001D3086">
        <w:rPr>
          <w:rFonts w:cs="Times New Roman"/>
          <w:szCs w:val="24"/>
        </w:rPr>
        <w:t xml:space="preserve"> acceptance of slavery</w:t>
      </w:r>
      <w:r w:rsidR="002E30B3" w:rsidRPr="001D3086">
        <w:rPr>
          <w:rStyle w:val="FootnoteReference"/>
          <w:rFonts w:cs="Times New Roman"/>
          <w:szCs w:val="24"/>
        </w:rPr>
        <w:footnoteReference w:id="5"/>
      </w:r>
      <w:r w:rsidRPr="001D3086">
        <w:rPr>
          <w:rFonts w:cs="Times New Roman"/>
          <w:szCs w:val="24"/>
        </w:rPr>
        <w:t xml:space="preserve">.The societal and political landscape underwent transformative changes that set the stage for the abolitionist movement. The Enlightenment era </w:t>
      </w:r>
      <w:r w:rsidR="0011317D" w:rsidRPr="001D3086">
        <w:rPr>
          <w:rFonts w:cs="Times New Roman"/>
          <w:szCs w:val="24"/>
        </w:rPr>
        <w:t>accompanied</w:t>
      </w:r>
      <w:r w:rsidRPr="001D3086">
        <w:rPr>
          <w:rFonts w:cs="Times New Roman"/>
          <w:szCs w:val="24"/>
        </w:rPr>
        <w:t xml:space="preserve"> in ideals of individual rights and human dignity, sparking intellectual debates that questioned the ethical foundations of slavery. Concurrently, religious movements, </w:t>
      </w:r>
      <w:r w:rsidR="000D0B73" w:rsidRPr="001D3086">
        <w:rPr>
          <w:rFonts w:cs="Times New Roman"/>
          <w:szCs w:val="24"/>
        </w:rPr>
        <w:t>like</w:t>
      </w:r>
      <w:r w:rsidRPr="001D3086">
        <w:rPr>
          <w:rFonts w:cs="Times New Roman"/>
          <w:szCs w:val="24"/>
        </w:rPr>
        <w:t xml:space="preserve"> evangelicalism, added a moral </w:t>
      </w:r>
      <w:r w:rsidR="0011317D" w:rsidRPr="001D3086">
        <w:rPr>
          <w:rFonts w:cs="Times New Roman"/>
          <w:szCs w:val="24"/>
        </w:rPr>
        <w:t>motivation</w:t>
      </w:r>
      <w:r w:rsidRPr="001D3086">
        <w:rPr>
          <w:rFonts w:cs="Times New Roman"/>
          <w:szCs w:val="24"/>
        </w:rPr>
        <w:t xml:space="preserve"> to the push for </w:t>
      </w:r>
      <w:r w:rsidR="006D6F99" w:rsidRPr="001D3086">
        <w:rPr>
          <w:rFonts w:cs="Times New Roman"/>
          <w:szCs w:val="24"/>
        </w:rPr>
        <w:t>Slavery Abolition Act 1833</w:t>
      </w:r>
      <w:r w:rsidRPr="001D3086">
        <w:rPr>
          <w:rFonts w:cs="Times New Roman"/>
          <w:szCs w:val="24"/>
        </w:rPr>
        <w:t>.</w:t>
      </w:r>
    </w:p>
    <w:p w:rsidR="00C560CA" w:rsidRPr="001D3086" w:rsidRDefault="000D4CA9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Thomas Fowell Buxton, a prominent abolitionist discussed in Alibrandi, </w:t>
      </w:r>
      <w:r w:rsidR="00D942A1" w:rsidRPr="001D3086">
        <w:rPr>
          <w:rFonts w:cs="Times New Roman"/>
          <w:szCs w:val="24"/>
        </w:rPr>
        <w:t>(</w:t>
      </w:r>
      <w:r w:rsidRPr="001D3086">
        <w:rPr>
          <w:rFonts w:cs="Times New Roman"/>
          <w:szCs w:val="24"/>
        </w:rPr>
        <w:t>2020</w:t>
      </w:r>
      <w:r w:rsidR="00D942A1" w:rsidRPr="001D3086">
        <w:rPr>
          <w:rFonts w:cs="Times New Roman"/>
          <w:szCs w:val="24"/>
        </w:rPr>
        <w:t>)</w:t>
      </w:r>
      <w:r w:rsidRPr="001D3086">
        <w:rPr>
          <w:rFonts w:cs="Times New Roman"/>
          <w:szCs w:val="24"/>
        </w:rPr>
        <w:t xml:space="preserve">, became a driving force in the early 19th century, </w:t>
      </w:r>
      <w:r w:rsidR="0011317D" w:rsidRPr="001D3086">
        <w:rPr>
          <w:rFonts w:cs="Times New Roman"/>
          <w:szCs w:val="24"/>
        </w:rPr>
        <w:t>using</w:t>
      </w:r>
      <w:r w:rsidRPr="001D3086">
        <w:rPr>
          <w:rFonts w:cs="Times New Roman"/>
          <w:szCs w:val="24"/>
        </w:rPr>
        <w:t xml:space="preserve"> his position in Parliament to champion the cause of abolition. Working alongside William Wilberforce, Buxton advocated for legislative measures to curtail the slave trade and ultimately bring about </w:t>
      </w:r>
      <w:r w:rsidR="00AD5E90" w:rsidRPr="001D3086">
        <w:rPr>
          <w:rFonts w:cs="Times New Roman"/>
          <w:szCs w:val="24"/>
        </w:rPr>
        <w:t>liberation</w:t>
      </w:r>
      <w:r w:rsidRPr="001D3086">
        <w:rPr>
          <w:rFonts w:cs="Times New Roman"/>
          <w:szCs w:val="24"/>
        </w:rPr>
        <w:t>.Earlier legislative efforts against the slave trade, such as the 1807 Slave Trade Act</w:t>
      </w:r>
      <w:r w:rsidR="00324A92" w:rsidRPr="001D3086">
        <w:rPr>
          <w:rFonts w:cs="Times New Roman"/>
          <w:szCs w:val="24"/>
        </w:rPr>
        <w:t>,</w:t>
      </w:r>
      <w:r w:rsidR="00324A92" w:rsidRPr="001D3086">
        <w:rPr>
          <w:rStyle w:val="FootnoteReference"/>
          <w:rFonts w:cs="Times New Roman"/>
          <w:szCs w:val="24"/>
        </w:rPr>
        <w:footnoteReference w:id="6"/>
      </w:r>
      <w:r w:rsidRPr="001D3086">
        <w:rPr>
          <w:rFonts w:cs="Times New Roman"/>
          <w:szCs w:val="24"/>
        </w:rPr>
        <w:t xml:space="preserve"> that prohibited the transportation of slaves, laid the groundwork for subsequent anti-slavery </w:t>
      </w:r>
      <w:r w:rsidR="00D942A1" w:rsidRPr="001D3086">
        <w:rPr>
          <w:rFonts w:cs="Times New Roman"/>
          <w:szCs w:val="24"/>
        </w:rPr>
        <w:t>endeavours by ensuring the successful application of Alibrandi, (2020</w:t>
      </w:r>
      <w:r w:rsidR="00AD5E90" w:rsidRPr="001D3086">
        <w:rPr>
          <w:rFonts w:cs="Times New Roman"/>
          <w:szCs w:val="24"/>
        </w:rPr>
        <w:t>)</w:t>
      </w:r>
      <w:r w:rsidRPr="001D3086">
        <w:rPr>
          <w:rFonts w:cs="Times New Roman"/>
          <w:szCs w:val="24"/>
        </w:rPr>
        <w:t xml:space="preserve">. However, it was the </w:t>
      </w:r>
      <w:r w:rsidR="00324A92" w:rsidRPr="001D3086">
        <w:rPr>
          <w:rFonts w:cs="Times New Roman"/>
          <w:szCs w:val="24"/>
        </w:rPr>
        <w:t>persistentsupport</w:t>
      </w:r>
      <w:r w:rsidRPr="001D3086">
        <w:rPr>
          <w:rFonts w:cs="Times New Roman"/>
          <w:szCs w:val="24"/>
        </w:rPr>
        <w:t xml:space="preserve"> of abolitionist figures and the changing </w:t>
      </w:r>
      <w:r w:rsidR="00324A92" w:rsidRPr="001D3086">
        <w:rPr>
          <w:rFonts w:cs="Times New Roman"/>
          <w:szCs w:val="24"/>
        </w:rPr>
        <w:t>social</w:t>
      </w:r>
      <w:r w:rsidRPr="001D3086">
        <w:rPr>
          <w:rFonts w:cs="Times New Roman"/>
          <w:szCs w:val="24"/>
        </w:rPr>
        <w:t xml:space="preserve"> norms that </w:t>
      </w:r>
      <w:r w:rsidR="00324A92" w:rsidRPr="001D3086">
        <w:rPr>
          <w:rFonts w:cs="Times New Roman"/>
          <w:szCs w:val="24"/>
        </w:rPr>
        <w:t>ultimatelyresult</w:t>
      </w:r>
      <w:r w:rsidR="00F67255" w:rsidRPr="001D3086">
        <w:rPr>
          <w:rFonts w:cs="Times New Roman"/>
          <w:szCs w:val="24"/>
        </w:rPr>
        <w:t>in</w:t>
      </w:r>
      <w:r w:rsidRPr="001D3086">
        <w:rPr>
          <w:rFonts w:cs="Times New Roman"/>
          <w:szCs w:val="24"/>
        </w:rPr>
        <w:t xml:space="preserve"> the Slavery Abolition Act of 1833, a </w:t>
      </w:r>
      <w:r w:rsidR="00E31A65" w:rsidRPr="001D3086">
        <w:rPr>
          <w:rFonts w:cs="Times New Roman"/>
          <w:szCs w:val="24"/>
        </w:rPr>
        <w:t>turning point</w:t>
      </w:r>
      <w:r w:rsidRPr="001D3086">
        <w:rPr>
          <w:rFonts w:cs="Times New Roman"/>
          <w:szCs w:val="24"/>
        </w:rPr>
        <w:t xml:space="preserve"> in the history of human rights and social justice.</w:t>
      </w:r>
    </w:p>
    <w:p w:rsidR="008B1428" w:rsidRPr="001D3086" w:rsidRDefault="008B1428" w:rsidP="00EA653F">
      <w:pPr>
        <w:spacing w:after="160"/>
        <w:ind w:firstLine="0"/>
        <w:jc w:val="left"/>
        <w:rPr>
          <w:rFonts w:eastAsiaTheme="majorEastAsia" w:cs="Times New Roman"/>
          <w:b/>
          <w:i/>
          <w:szCs w:val="24"/>
        </w:rPr>
      </w:pPr>
      <w:r w:rsidRPr="001D3086">
        <w:rPr>
          <w:rFonts w:cs="Times New Roman"/>
          <w:szCs w:val="24"/>
        </w:rPr>
        <w:br w:type="page"/>
      </w:r>
    </w:p>
    <w:p w:rsidR="00D17D2E" w:rsidRPr="001D3086" w:rsidRDefault="00D17D2E" w:rsidP="00EA653F">
      <w:pPr>
        <w:pStyle w:val="Heading1"/>
        <w:spacing w:line="360" w:lineRule="auto"/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>Primary Source Analysis (Alibrandi, 2020)</w:t>
      </w:r>
    </w:p>
    <w:p w:rsidR="00AB32B0" w:rsidRPr="001D3086" w:rsidRDefault="00D942A1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, </w:t>
      </w:r>
      <w:r w:rsidR="00E31A65" w:rsidRPr="001D3086">
        <w:rPr>
          <w:rFonts w:cs="Times New Roman"/>
          <w:szCs w:val="24"/>
        </w:rPr>
        <w:t>openamusingwall-hanging</w:t>
      </w:r>
      <w:r w:rsidR="00AB32B0" w:rsidRPr="001D3086">
        <w:rPr>
          <w:rFonts w:cs="Times New Roman"/>
          <w:szCs w:val="24"/>
        </w:rPr>
        <w:t xml:space="preserve"> insights, </w:t>
      </w:r>
      <w:r w:rsidR="0051439C" w:rsidRPr="001D3086">
        <w:rPr>
          <w:rFonts w:cs="Times New Roman"/>
          <w:szCs w:val="24"/>
        </w:rPr>
        <w:t>and outlined the detailedbrightness</w:t>
      </w:r>
      <w:r w:rsidR="00AB32B0" w:rsidRPr="001D3086">
        <w:rPr>
          <w:rFonts w:cs="Times New Roman"/>
          <w:szCs w:val="24"/>
        </w:rPr>
        <w:t xml:space="preserve"> of the historical significance of the Slavery Abolition Act of 1833. </w:t>
      </w:r>
      <w:r w:rsidR="003F1B93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not only </w:t>
      </w:r>
      <w:r w:rsidR="0051439C" w:rsidRPr="001D3086">
        <w:rPr>
          <w:rFonts w:cs="Times New Roman"/>
          <w:szCs w:val="24"/>
        </w:rPr>
        <w:t>reveals</w:t>
      </w:r>
      <w:r w:rsidR="00AB32B0" w:rsidRPr="001D3086">
        <w:rPr>
          <w:rFonts w:cs="Times New Roman"/>
          <w:szCs w:val="24"/>
        </w:rPr>
        <w:t xml:space="preserve"> the </w:t>
      </w:r>
      <w:r w:rsidR="0051439C" w:rsidRPr="001D3086">
        <w:rPr>
          <w:rFonts w:cs="Times New Roman"/>
          <w:szCs w:val="24"/>
        </w:rPr>
        <w:t>detailed</w:t>
      </w:r>
      <w:r w:rsidR="00AB32B0" w:rsidRPr="001D3086">
        <w:rPr>
          <w:rFonts w:cs="Times New Roman"/>
          <w:szCs w:val="24"/>
        </w:rPr>
        <w:t xml:space="preserve"> context surrounding the </w:t>
      </w:r>
      <w:r w:rsidR="0051439C" w:rsidRPr="001D3086">
        <w:rPr>
          <w:rFonts w:cs="Times New Roman"/>
          <w:szCs w:val="24"/>
        </w:rPr>
        <w:t>Slavery Abolition Act of 1833</w:t>
      </w:r>
      <w:r w:rsidR="00AB32B0" w:rsidRPr="001D3086">
        <w:rPr>
          <w:rFonts w:cs="Times New Roman"/>
          <w:szCs w:val="24"/>
        </w:rPr>
        <w:t xml:space="preserve">but also sheds light on its transformative impact on the global abolitionist movement, its </w:t>
      </w:r>
      <w:r w:rsidR="004B79FA" w:rsidRPr="001D3086">
        <w:rPr>
          <w:rFonts w:cs="Times New Roman"/>
          <w:szCs w:val="24"/>
        </w:rPr>
        <w:t>continuing</w:t>
      </w:r>
      <w:r w:rsidR="00AB32B0" w:rsidRPr="001D3086">
        <w:rPr>
          <w:rFonts w:cs="Times New Roman"/>
          <w:szCs w:val="24"/>
        </w:rPr>
        <w:t xml:space="preserve"> legacy in the fight against slavery, and the </w:t>
      </w:r>
      <w:r w:rsidR="008D583D" w:rsidRPr="001D3086">
        <w:rPr>
          <w:rFonts w:cs="Times New Roman"/>
          <w:szCs w:val="24"/>
        </w:rPr>
        <w:t>complicateddifficulties</w:t>
      </w:r>
      <w:r w:rsidR="00AB32B0" w:rsidRPr="001D3086">
        <w:rPr>
          <w:rFonts w:cs="Times New Roman"/>
          <w:szCs w:val="24"/>
        </w:rPr>
        <w:t xml:space="preserve"> it faced during </w:t>
      </w:r>
      <w:r w:rsidR="005D5C4D" w:rsidRPr="001D3086">
        <w:rPr>
          <w:rFonts w:cs="Times New Roman"/>
          <w:szCs w:val="24"/>
        </w:rPr>
        <w:t>its application</w:t>
      </w:r>
      <w:r w:rsidR="00AB32B0" w:rsidRPr="001D3086">
        <w:rPr>
          <w:rFonts w:cs="Times New Roman"/>
          <w:szCs w:val="24"/>
        </w:rPr>
        <w:t>.</w:t>
      </w:r>
      <w:r w:rsidR="00342DEE" w:rsidRPr="001D3086">
        <w:rPr>
          <w:rFonts w:cs="Times New Roman"/>
          <w:szCs w:val="24"/>
        </w:rPr>
        <w:t>Alibrandi, (2020)</w:t>
      </w:r>
      <w:r w:rsidR="00650F83" w:rsidRPr="001D3086">
        <w:rPr>
          <w:rFonts w:cs="Times New Roman"/>
          <w:szCs w:val="24"/>
        </w:rPr>
        <w:t>thorough</w:t>
      </w:r>
      <w:r w:rsidR="00AB32B0" w:rsidRPr="001D3086">
        <w:rPr>
          <w:rFonts w:cs="Times New Roman"/>
          <w:szCs w:val="24"/>
        </w:rPr>
        <w:t xml:space="preserve"> analysis provides </w:t>
      </w:r>
      <w:r w:rsidR="00650F83" w:rsidRPr="001D3086">
        <w:rPr>
          <w:rFonts w:cs="Times New Roman"/>
          <w:szCs w:val="24"/>
        </w:rPr>
        <w:t>anall-around</w:t>
      </w:r>
      <w:r w:rsidR="00AB32B0" w:rsidRPr="001D3086">
        <w:rPr>
          <w:rFonts w:cs="Times New Roman"/>
          <w:szCs w:val="24"/>
        </w:rPr>
        <w:t xml:space="preserve"> view of the historical context of the Slavery Abolition Act of 1833, </w:t>
      </w:r>
      <w:r w:rsidR="00342DEE" w:rsidRPr="001D3086">
        <w:rPr>
          <w:rFonts w:cs="Times New Roman"/>
          <w:szCs w:val="24"/>
        </w:rPr>
        <w:t>clarifying</w:t>
      </w:r>
      <w:r w:rsidR="00AB32B0" w:rsidRPr="001D3086">
        <w:rPr>
          <w:rFonts w:cs="Times New Roman"/>
          <w:szCs w:val="24"/>
        </w:rPr>
        <w:t xml:space="preserve"> the socio-political dynamics that </w:t>
      </w:r>
      <w:r w:rsidR="00650F83" w:rsidRPr="001D3086">
        <w:rPr>
          <w:rFonts w:cs="Times New Roman"/>
          <w:szCs w:val="24"/>
        </w:rPr>
        <w:t>pushed</w:t>
      </w:r>
      <w:r w:rsidR="00AB32B0" w:rsidRPr="001D3086">
        <w:rPr>
          <w:rFonts w:cs="Times New Roman"/>
          <w:szCs w:val="24"/>
        </w:rPr>
        <w:t xml:space="preserve"> its creation. </w:t>
      </w:r>
      <w:r w:rsidR="00342DEE" w:rsidRPr="001D3086">
        <w:rPr>
          <w:rFonts w:cs="Times New Roman"/>
          <w:szCs w:val="24"/>
        </w:rPr>
        <w:t>Alibrandi, (2020)</w:t>
      </w:r>
      <w:r w:rsidR="00650F83" w:rsidRPr="001D3086">
        <w:rPr>
          <w:rFonts w:cs="Times New Roman"/>
          <w:szCs w:val="24"/>
        </w:rPr>
        <w:t>accurately</w:t>
      </w:r>
      <w:r w:rsidR="00AB32B0" w:rsidRPr="001D3086">
        <w:rPr>
          <w:rFonts w:cs="Times New Roman"/>
          <w:szCs w:val="24"/>
        </w:rPr>
        <w:t xml:space="preserve"> outlines the economic interests intricately </w:t>
      </w:r>
      <w:r w:rsidR="00650F83" w:rsidRPr="001D3086">
        <w:rPr>
          <w:rFonts w:cs="Times New Roman"/>
          <w:szCs w:val="24"/>
        </w:rPr>
        <w:t>linked</w:t>
      </w:r>
      <w:r w:rsidR="00AB32B0" w:rsidRPr="001D3086">
        <w:rPr>
          <w:rFonts w:cs="Times New Roman"/>
          <w:szCs w:val="24"/>
        </w:rPr>
        <w:t xml:space="preserve"> to slavery, underscoring the pivotal role enslaved individuals played in sustaining the prosperity of Britain and its colonies</w:t>
      </w:r>
      <w:r w:rsidR="008B1428" w:rsidRPr="001D3086">
        <w:rPr>
          <w:rStyle w:val="FootnoteReference"/>
          <w:rFonts w:cs="Times New Roman"/>
          <w:szCs w:val="24"/>
        </w:rPr>
        <w:footnoteReference w:id="7"/>
      </w:r>
      <w:r w:rsidR="00AB32B0" w:rsidRPr="001D3086">
        <w:rPr>
          <w:rFonts w:cs="Times New Roman"/>
          <w:szCs w:val="24"/>
        </w:rPr>
        <w:t xml:space="preserve">. This economic focus serves as a backdrop, allowing </w:t>
      </w:r>
      <w:r w:rsidR="009A43B9" w:rsidRPr="001D3086">
        <w:rPr>
          <w:rFonts w:cs="Times New Roman"/>
          <w:szCs w:val="24"/>
        </w:rPr>
        <w:t>the following essay</w:t>
      </w:r>
      <w:r w:rsidR="00AB32B0" w:rsidRPr="001D3086">
        <w:rPr>
          <w:rFonts w:cs="Times New Roman"/>
          <w:szCs w:val="24"/>
        </w:rPr>
        <w:t xml:space="preserve"> to </w:t>
      </w:r>
      <w:r w:rsidR="00886E74" w:rsidRPr="001D3086">
        <w:rPr>
          <w:rFonts w:cs="Times New Roman"/>
          <w:szCs w:val="24"/>
        </w:rPr>
        <w:t>understand</w:t>
      </w:r>
      <w:r w:rsidR="00AB32B0" w:rsidRPr="001D3086">
        <w:rPr>
          <w:rFonts w:cs="Times New Roman"/>
          <w:szCs w:val="24"/>
        </w:rPr>
        <w:t xml:space="preserve"> the magnitude of the legislative shift initiated by the Slavery Abolition Act of 1833.</w:t>
      </w:r>
    </w:p>
    <w:p w:rsidR="00AB32B0" w:rsidRPr="001D3086" w:rsidRDefault="00FF7AE1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Similarly, </w:t>
      </w:r>
      <w:r w:rsidR="00084C64" w:rsidRPr="001D3086">
        <w:rPr>
          <w:rFonts w:cs="Times New Roman"/>
          <w:szCs w:val="24"/>
        </w:rPr>
        <w:t>from the perspective of</w:t>
      </w:r>
      <w:r w:rsidR="002D3DC4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, the analysis spotlights key abolitionist figures, notably Thomas Fowell Buxton and William Wilberforce. Within the British Parliament, these figures, as illuminated by </w:t>
      </w:r>
      <w:r w:rsidR="00A23519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, </w:t>
      </w:r>
      <w:r w:rsidR="007012EF" w:rsidRPr="001D3086">
        <w:rPr>
          <w:rFonts w:cs="Times New Roman"/>
          <w:szCs w:val="24"/>
        </w:rPr>
        <w:t>exemplify</w:t>
      </w:r>
      <w:r w:rsidR="00AB32B0" w:rsidRPr="001D3086">
        <w:rPr>
          <w:rFonts w:cs="Times New Roman"/>
          <w:szCs w:val="24"/>
        </w:rPr>
        <w:t xml:space="preserve"> the </w:t>
      </w:r>
      <w:r w:rsidR="007012EF" w:rsidRPr="001D3086">
        <w:rPr>
          <w:rFonts w:cs="Times New Roman"/>
          <w:szCs w:val="24"/>
        </w:rPr>
        <w:t>combination</w:t>
      </w:r>
      <w:r w:rsidR="00AB32B0" w:rsidRPr="001D3086">
        <w:rPr>
          <w:rFonts w:cs="Times New Roman"/>
          <w:szCs w:val="24"/>
        </w:rPr>
        <w:t xml:space="preserve"> of moral conviction and political </w:t>
      </w:r>
      <w:r w:rsidR="007012EF" w:rsidRPr="001D3086">
        <w:rPr>
          <w:rFonts w:cs="Times New Roman"/>
          <w:szCs w:val="24"/>
        </w:rPr>
        <w:t>insight</w:t>
      </w:r>
      <w:r w:rsidR="00AB32B0" w:rsidRPr="001D3086">
        <w:rPr>
          <w:rFonts w:cs="Times New Roman"/>
          <w:szCs w:val="24"/>
        </w:rPr>
        <w:t xml:space="preserve">. Buxton's portrayal in </w:t>
      </w:r>
      <w:r w:rsidR="007012EF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becomes </w:t>
      </w:r>
      <w:r w:rsidR="001E579E" w:rsidRPr="001D3086">
        <w:rPr>
          <w:rFonts w:cs="Times New Roman"/>
          <w:szCs w:val="24"/>
        </w:rPr>
        <w:t>representative</w:t>
      </w:r>
      <w:r w:rsidR="00AB32B0" w:rsidRPr="001D3086">
        <w:rPr>
          <w:rFonts w:cs="Times New Roman"/>
          <w:szCs w:val="24"/>
        </w:rPr>
        <w:t xml:space="preserve"> of the </w:t>
      </w:r>
      <w:r w:rsidR="001E579E" w:rsidRPr="001D3086">
        <w:rPr>
          <w:rFonts w:cs="Times New Roman"/>
          <w:szCs w:val="24"/>
        </w:rPr>
        <w:t>difficultrelationship</w:t>
      </w:r>
      <w:r w:rsidR="00AB32B0" w:rsidRPr="001D3086">
        <w:rPr>
          <w:rFonts w:cs="Times New Roman"/>
          <w:szCs w:val="24"/>
        </w:rPr>
        <w:t xml:space="preserve"> between political </w:t>
      </w:r>
      <w:r w:rsidR="00660E5B" w:rsidRPr="001D3086">
        <w:rPr>
          <w:rFonts w:cs="Times New Roman"/>
          <w:szCs w:val="24"/>
        </w:rPr>
        <w:t>involvement</w:t>
      </w:r>
      <w:r w:rsidR="00AB32B0" w:rsidRPr="001D3086">
        <w:rPr>
          <w:rFonts w:cs="Times New Roman"/>
          <w:szCs w:val="24"/>
        </w:rPr>
        <w:t xml:space="preserve"> and moral </w:t>
      </w:r>
      <w:r w:rsidR="00660E5B" w:rsidRPr="001D3086">
        <w:rPr>
          <w:rFonts w:cs="Times New Roman"/>
          <w:szCs w:val="24"/>
        </w:rPr>
        <w:t>rules</w:t>
      </w:r>
      <w:r w:rsidR="00AB32B0" w:rsidRPr="001D3086">
        <w:rPr>
          <w:rFonts w:cs="Times New Roman"/>
          <w:szCs w:val="24"/>
        </w:rPr>
        <w:t xml:space="preserve">, </w:t>
      </w:r>
      <w:r w:rsidR="00660E5B" w:rsidRPr="001D3086">
        <w:rPr>
          <w:rFonts w:cs="Times New Roman"/>
          <w:szCs w:val="24"/>
        </w:rPr>
        <w:t>outlining</w:t>
      </w:r>
      <w:r w:rsidR="00AB32B0" w:rsidRPr="001D3086">
        <w:rPr>
          <w:rFonts w:cs="Times New Roman"/>
          <w:szCs w:val="24"/>
        </w:rPr>
        <w:t xml:space="preserve"> how individuals within the system </w:t>
      </w:r>
      <w:r w:rsidR="009A2B92" w:rsidRPr="001D3086">
        <w:rPr>
          <w:rFonts w:cs="Times New Roman"/>
          <w:szCs w:val="24"/>
        </w:rPr>
        <w:t>make an effort</w:t>
      </w:r>
      <w:r w:rsidR="00AB32B0" w:rsidRPr="001D3086">
        <w:rPr>
          <w:rFonts w:cs="Times New Roman"/>
          <w:szCs w:val="24"/>
        </w:rPr>
        <w:t xml:space="preserve"> to challenge the deeply </w:t>
      </w:r>
      <w:r w:rsidR="009A2B92" w:rsidRPr="001D3086">
        <w:rPr>
          <w:rFonts w:cs="Times New Roman"/>
          <w:szCs w:val="24"/>
        </w:rPr>
        <w:t>rooted</w:t>
      </w:r>
      <w:r w:rsidR="00AB32B0" w:rsidRPr="001D3086">
        <w:rPr>
          <w:rFonts w:cs="Times New Roman"/>
          <w:szCs w:val="24"/>
        </w:rPr>
        <w:t xml:space="preserve"> institution of slavery.</w:t>
      </w:r>
      <w:r w:rsidR="00BB49CF" w:rsidRPr="001D3086">
        <w:rPr>
          <w:rFonts w:cs="Times New Roman"/>
          <w:szCs w:val="24"/>
        </w:rPr>
        <w:t xml:space="preserve"> Moreover, Alibrandi, (2020)</w:t>
      </w:r>
      <w:r w:rsidR="00AB32B0" w:rsidRPr="001D3086">
        <w:rPr>
          <w:rFonts w:cs="Times New Roman"/>
          <w:szCs w:val="24"/>
        </w:rPr>
        <w:t xml:space="preserve">narrative extends beyond the borders of Britain, </w:t>
      </w:r>
      <w:r w:rsidR="0069126B" w:rsidRPr="001D3086">
        <w:rPr>
          <w:rFonts w:cs="Times New Roman"/>
          <w:szCs w:val="24"/>
        </w:rPr>
        <w:t>separating</w:t>
      </w:r>
      <w:r w:rsidR="00AB32B0" w:rsidRPr="001D3086">
        <w:rPr>
          <w:rFonts w:cs="Times New Roman"/>
          <w:szCs w:val="24"/>
        </w:rPr>
        <w:t xml:space="preserve"> the global impact of the Slavery Abolition Act of 1833</w:t>
      </w:r>
      <w:r w:rsidR="006F508F" w:rsidRPr="001D3086">
        <w:rPr>
          <w:rStyle w:val="FootnoteReference"/>
          <w:rFonts w:cs="Times New Roman"/>
          <w:szCs w:val="24"/>
        </w:rPr>
        <w:footnoteReference w:id="8"/>
      </w:r>
      <w:r w:rsidR="00AB32B0" w:rsidRPr="001D3086">
        <w:rPr>
          <w:rFonts w:cs="Times New Roman"/>
          <w:szCs w:val="24"/>
        </w:rPr>
        <w:t xml:space="preserve">. Through the </w:t>
      </w:r>
      <w:r w:rsidR="00615754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, </w:t>
      </w:r>
      <w:r w:rsidR="00615754" w:rsidRPr="001D3086">
        <w:rPr>
          <w:rFonts w:cs="Times New Roman"/>
          <w:szCs w:val="24"/>
        </w:rPr>
        <w:t>the following essay</w:t>
      </w:r>
      <w:r w:rsidR="0069126B" w:rsidRPr="001D3086">
        <w:rPr>
          <w:rFonts w:cs="Times New Roman"/>
          <w:szCs w:val="24"/>
        </w:rPr>
        <w:t>articulates</w:t>
      </w:r>
      <w:r w:rsidR="00AB32B0" w:rsidRPr="001D3086">
        <w:rPr>
          <w:rFonts w:cs="Times New Roman"/>
          <w:szCs w:val="24"/>
        </w:rPr>
        <w:t xml:space="preserve"> how the </w:t>
      </w:r>
      <w:r w:rsidR="00EC0DDF" w:rsidRPr="001D3086">
        <w:rPr>
          <w:rFonts w:cs="Times New Roman"/>
          <w:szCs w:val="24"/>
        </w:rPr>
        <w:t>Slavery Abolition Act of 1833</w:t>
      </w:r>
      <w:r w:rsidR="002B6FB3" w:rsidRPr="001D3086">
        <w:rPr>
          <w:rFonts w:cs="Times New Roman"/>
          <w:szCs w:val="24"/>
        </w:rPr>
        <w:t>exceeded</w:t>
      </w:r>
      <w:r w:rsidR="00AB32B0" w:rsidRPr="001D3086">
        <w:rPr>
          <w:rFonts w:cs="Times New Roman"/>
          <w:szCs w:val="24"/>
        </w:rPr>
        <w:t xml:space="preserve"> national boundaries, becoming a symbol of hope for enslaved individuals worldwide. </w:t>
      </w:r>
      <w:r w:rsidR="002B6FB3" w:rsidRPr="001D3086">
        <w:rPr>
          <w:rFonts w:cs="Times New Roman"/>
          <w:szCs w:val="24"/>
        </w:rPr>
        <w:t xml:space="preserve">Moreover, </w:t>
      </w:r>
      <w:r w:rsidR="00EC0DDF" w:rsidRPr="001D3086">
        <w:rPr>
          <w:rFonts w:cs="Times New Roman"/>
          <w:szCs w:val="24"/>
        </w:rPr>
        <w:t>Alibrandi, (2020)</w:t>
      </w:r>
      <w:r w:rsidR="002B6FB3" w:rsidRPr="001D3086">
        <w:rPr>
          <w:rFonts w:cs="Times New Roman"/>
          <w:szCs w:val="24"/>
        </w:rPr>
        <w:t>further adds that</w:t>
      </w:r>
      <w:r w:rsidR="00AB32B0" w:rsidRPr="001D3086">
        <w:rPr>
          <w:rFonts w:cs="Times New Roman"/>
          <w:szCs w:val="24"/>
        </w:rPr>
        <w:t xml:space="preserve"> how </w:t>
      </w:r>
      <w:r w:rsidR="00603022" w:rsidRPr="001D3086">
        <w:rPr>
          <w:rFonts w:cs="Times New Roman"/>
          <w:szCs w:val="24"/>
        </w:rPr>
        <w:t>Slavery Abolition Act of 1833</w:t>
      </w:r>
      <w:r w:rsidR="00AB32B0" w:rsidRPr="001D3086">
        <w:rPr>
          <w:rFonts w:cs="Times New Roman"/>
          <w:szCs w:val="24"/>
        </w:rPr>
        <w:t xml:space="preserve">acted as </w:t>
      </w:r>
      <w:r w:rsidR="007B3602" w:rsidRPr="001D3086">
        <w:rPr>
          <w:rFonts w:cs="Times New Roman"/>
          <w:szCs w:val="24"/>
        </w:rPr>
        <w:t>a stimulation</w:t>
      </w:r>
      <w:r w:rsidR="00AB32B0" w:rsidRPr="001D3086">
        <w:rPr>
          <w:rFonts w:cs="Times New Roman"/>
          <w:szCs w:val="24"/>
        </w:rPr>
        <w:t xml:space="preserve">, inspiring similar movements on different continents. </w:t>
      </w:r>
    </w:p>
    <w:p w:rsidR="00AB32B0" w:rsidRPr="001D3086" w:rsidRDefault="00AB32B0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 xml:space="preserve">The legacy of the Slavery Abolition Act of 1833, as interpreted by </w:t>
      </w:r>
      <w:r w:rsidR="00F14CF5" w:rsidRPr="001D3086">
        <w:rPr>
          <w:rFonts w:cs="Times New Roman"/>
          <w:szCs w:val="24"/>
        </w:rPr>
        <w:t>Alibrandi, (2020)</w:t>
      </w:r>
      <w:r w:rsidRPr="001D3086">
        <w:rPr>
          <w:rFonts w:cs="Times New Roman"/>
          <w:szCs w:val="24"/>
        </w:rPr>
        <w:t>, extends well beyond its immediate effects. It stands as a foundational stone in the ongoing struggles for civil rights, laying the groundwork for subsequent movements advocating for equality and justice</w:t>
      </w:r>
      <w:r w:rsidR="006F508F" w:rsidRPr="001D3086">
        <w:rPr>
          <w:rStyle w:val="FootnoteReference"/>
          <w:rFonts w:cs="Times New Roman"/>
          <w:szCs w:val="24"/>
        </w:rPr>
        <w:footnoteReference w:id="9"/>
      </w:r>
      <w:r w:rsidRPr="001D3086">
        <w:rPr>
          <w:rFonts w:cs="Times New Roman"/>
          <w:szCs w:val="24"/>
        </w:rPr>
        <w:t xml:space="preserve">. </w:t>
      </w:r>
      <w:r w:rsidR="00F14CF5" w:rsidRPr="001D3086">
        <w:rPr>
          <w:rFonts w:cs="Times New Roman"/>
          <w:szCs w:val="24"/>
        </w:rPr>
        <w:t>Alibrandi, (2020)</w:t>
      </w:r>
      <w:r w:rsidRPr="001D3086">
        <w:rPr>
          <w:rFonts w:cs="Times New Roman"/>
          <w:szCs w:val="24"/>
        </w:rPr>
        <w:t xml:space="preserve">insightful analysis allows to grasp how the principles </w:t>
      </w:r>
      <w:r w:rsidR="007B3602" w:rsidRPr="001D3086">
        <w:rPr>
          <w:rFonts w:cs="Times New Roman"/>
          <w:szCs w:val="24"/>
        </w:rPr>
        <w:t>preserved</w:t>
      </w:r>
      <w:r w:rsidRPr="001D3086">
        <w:rPr>
          <w:rFonts w:cs="Times New Roman"/>
          <w:szCs w:val="24"/>
        </w:rPr>
        <w:t xml:space="preserve"> in the Slavery Abolition Act of 1833 continue to resonate through time, </w:t>
      </w:r>
      <w:r w:rsidR="00EC1D1F" w:rsidRPr="001D3086">
        <w:rPr>
          <w:rFonts w:cs="Times New Roman"/>
          <w:szCs w:val="24"/>
        </w:rPr>
        <w:t>moulding</w:t>
      </w:r>
      <w:r w:rsidRPr="001D3086">
        <w:rPr>
          <w:rFonts w:cs="Times New Roman"/>
          <w:szCs w:val="24"/>
        </w:rPr>
        <w:t xml:space="preserve"> the evolution of human rights and shaping narratives of freedom and </w:t>
      </w:r>
      <w:r w:rsidR="00D94693" w:rsidRPr="001D3086">
        <w:rPr>
          <w:rFonts w:cs="Times New Roman"/>
          <w:szCs w:val="24"/>
        </w:rPr>
        <w:t>liberation</w:t>
      </w:r>
      <w:r w:rsidRPr="001D3086">
        <w:rPr>
          <w:rFonts w:cs="Times New Roman"/>
          <w:szCs w:val="24"/>
        </w:rPr>
        <w:t xml:space="preserve">.However, </w:t>
      </w:r>
      <w:r w:rsidR="003E5C72" w:rsidRPr="001D3086">
        <w:rPr>
          <w:rFonts w:cs="Times New Roman"/>
          <w:szCs w:val="24"/>
        </w:rPr>
        <w:t>Alibrandi, (2020)</w:t>
      </w:r>
      <w:r w:rsidR="00D94693" w:rsidRPr="001D3086">
        <w:rPr>
          <w:rFonts w:cs="Times New Roman"/>
          <w:szCs w:val="24"/>
        </w:rPr>
        <w:t>detailed</w:t>
      </w:r>
      <w:r w:rsidRPr="001D3086">
        <w:rPr>
          <w:rFonts w:cs="Times New Roman"/>
          <w:szCs w:val="24"/>
        </w:rPr>
        <w:t xml:space="preserve"> examination also </w:t>
      </w:r>
      <w:r w:rsidR="007A7608" w:rsidRPr="001D3086">
        <w:rPr>
          <w:rFonts w:cs="Times New Roman"/>
          <w:szCs w:val="24"/>
        </w:rPr>
        <w:t>reveals</w:t>
      </w:r>
      <w:r w:rsidRPr="001D3086">
        <w:rPr>
          <w:rFonts w:cs="Times New Roman"/>
          <w:szCs w:val="24"/>
        </w:rPr>
        <w:t xml:space="preserve"> the </w:t>
      </w:r>
      <w:r w:rsidR="00EB12B8" w:rsidRPr="001D3086">
        <w:rPr>
          <w:rFonts w:cs="Times New Roman"/>
          <w:szCs w:val="24"/>
        </w:rPr>
        <w:t>tough</w:t>
      </w:r>
      <w:r w:rsidRPr="001D3086">
        <w:rPr>
          <w:rFonts w:cs="Times New Roman"/>
          <w:szCs w:val="24"/>
        </w:rPr>
        <w:t xml:space="preserve"> opposition and criticisms faced by the Slavery Abolition Act of 1833 during its enactment. </w:t>
      </w:r>
      <w:r w:rsidR="00950E66" w:rsidRPr="001D3086">
        <w:rPr>
          <w:rFonts w:cs="Times New Roman"/>
          <w:szCs w:val="24"/>
        </w:rPr>
        <w:t>Alibrandi, (2020)</w:t>
      </w:r>
      <w:r w:rsidR="005E23D6" w:rsidRPr="001D3086">
        <w:rPr>
          <w:rFonts w:cs="Times New Roman"/>
          <w:szCs w:val="24"/>
        </w:rPr>
        <w:t>signifies</w:t>
      </w:r>
      <w:r w:rsidRPr="001D3086">
        <w:rPr>
          <w:rFonts w:cs="Times New Roman"/>
          <w:szCs w:val="24"/>
        </w:rPr>
        <w:t xml:space="preserve"> the concerns raised by different groups and individuals within Britain and its colonies, </w:t>
      </w:r>
      <w:r w:rsidR="00230AB5" w:rsidRPr="001D3086">
        <w:rPr>
          <w:rFonts w:cs="Times New Roman"/>
          <w:szCs w:val="24"/>
        </w:rPr>
        <w:t>offering</w:t>
      </w:r>
      <w:r w:rsidRPr="001D3086">
        <w:rPr>
          <w:rFonts w:cs="Times New Roman"/>
          <w:szCs w:val="24"/>
        </w:rPr>
        <w:t xml:space="preserve"> a </w:t>
      </w:r>
      <w:r w:rsidR="00230AB5" w:rsidRPr="001D3086">
        <w:rPr>
          <w:rFonts w:cs="Times New Roman"/>
          <w:szCs w:val="24"/>
        </w:rPr>
        <w:t>detailed</w:t>
      </w:r>
      <w:r w:rsidRPr="001D3086">
        <w:rPr>
          <w:rFonts w:cs="Times New Roman"/>
          <w:szCs w:val="24"/>
        </w:rPr>
        <w:t xml:space="preserve"> perspective on the challenges </w:t>
      </w:r>
      <w:r w:rsidR="00F52E64" w:rsidRPr="001D3086">
        <w:rPr>
          <w:rFonts w:cs="Times New Roman"/>
          <w:szCs w:val="24"/>
        </w:rPr>
        <w:t>faced</w:t>
      </w:r>
      <w:r w:rsidRPr="001D3086">
        <w:rPr>
          <w:rFonts w:cs="Times New Roman"/>
          <w:szCs w:val="24"/>
        </w:rPr>
        <w:t xml:space="preserve"> by the abolitionist movement. </w:t>
      </w:r>
      <w:r w:rsidR="00B30180" w:rsidRPr="001D3086">
        <w:rPr>
          <w:rFonts w:cs="Times New Roman"/>
          <w:szCs w:val="24"/>
        </w:rPr>
        <w:t>Similarly, political</w:t>
      </w:r>
      <w:r w:rsidRPr="001D3086">
        <w:rPr>
          <w:rFonts w:cs="Times New Roman"/>
          <w:szCs w:val="24"/>
        </w:rPr>
        <w:t xml:space="preserve"> interests resistant to change, fears of economic decline, and deep-seated racial </w:t>
      </w:r>
      <w:r w:rsidR="00A07775" w:rsidRPr="001D3086">
        <w:rPr>
          <w:rFonts w:cs="Times New Roman"/>
          <w:szCs w:val="24"/>
        </w:rPr>
        <w:t>biases</w:t>
      </w:r>
      <w:r w:rsidRPr="001D3086">
        <w:rPr>
          <w:rFonts w:cs="Times New Roman"/>
          <w:szCs w:val="24"/>
        </w:rPr>
        <w:t xml:space="preserve"> are </w:t>
      </w:r>
      <w:r w:rsidR="00A07775" w:rsidRPr="001D3086">
        <w:rPr>
          <w:rFonts w:cs="Times New Roman"/>
          <w:szCs w:val="24"/>
        </w:rPr>
        <w:t>significantly</w:t>
      </w:r>
      <w:r w:rsidRPr="001D3086">
        <w:rPr>
          <w:rFonts w:cs="Times New Roman"/>
          <w:szCs w:val="24"/>
        </w:rPr>
        <w:t xml:space="preserve"> examined, offering a holistic view of the hurdles faced by those advocating for abolition</w:t>
      </w:r>
      <w:r w:rsidR="00FF4B3F" w:rsidRPr="001D3086">
        <w:rPr>
          <w:rStyle w:val="FootnoteReference"/>
          <w:rFonts w:cs="Times New Roman"/>
          <w:szCs w:val="24"/>
        </w:rPr>
        <w:footnoteReference w:id="10"/>
      </w:r>
      <w:r w:rsidRPr="001D3086">
        <w:rPr>
          <w:rFonts w:cs="Times New Roman"/>
          <w:szCs w:val="24"/>
        </w:rPr>
        <w:t>.</w:t>
      </w:r>
    </w:p>
    <w:p w:rsidR="00FA0E01" w:rsidRPr="001D3086" w:rsidRDefault="00F26399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>Alibrandi, (2020)</w:t>
      </w:r>
      <w:r w:rsidR="002A6568" w:rsidRPr="001D3086">
        <w:rPr>
          <w:rFonts w:cs="Times New Roman"/>
          <w:szCs w:val="24"/>
        </w:rPr>
        <w:t xml:space="preserve">has </w:t>
      </w:r>
      <w:r w:rsidR="00DA616C" w:rsidRPr="001D3086">
        <w:rPr>
          <w:rFonts w:cs="Times New Roman"/>
          <w:szCs w:val="24"/>
        </w:rPr>
        <w:t>revealed</w:t>
      </w:r>
      <w:r w:rsidR="00AB32B0" w:rsidRPr="001D3086">
        <w:rPr>
          <w:rFonts w:cs="Times New Roman"/>
          <w:szCs w:val="24"/>
        </w:rPr>
        <w:t xml:space="preserve"> how the Slavery Abolition Act of 1833 faced resistance from those who economically benefited from the exploitation of enslaved </w:t>
      </w:r>
      <w:r w:rsidR="001169A1" w:rsidRPr="001D3086">
        <w:rPr>
          <w:rFonts w:cs="Times New Roman"/>
          <w:szCs w:val="24"/>
        </w:rPr>
        <w:t>labour</w:t>
      </w:r>
      <w:r w:rsidR="00AB32B0" w:rsidRPr="001D3086">
        <w:rPr>
          <w:rFonts w:cs="Times New Roman"/>
          <w:szCs w:val="24"/>
        </w:rPr>
        <w:t xml:space="preserve">. </w:t>
      </w:r>
      <w:r w:rsidR="001169A1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underscores the socio-political </w:t>
      </w:r>
      <w:r w:rsidR="00031439" w:rsidRPr="001D3086">
        <w:rPr>
          <w:rFonts w:cs="Times New Roman"/>
          <w:szCs w:val="24"/>
        </w:rPr>
        <w:t>details</w:t>
      </w:r>
      <w:r w:rsidR="00AB32B0" w:rsidRPr="001D3086">
        <w:rPr>
          <w:rFonts w:cs="Times New Roman"/>
          <w:szCs w:val="24"/>
        </w:rPr>
        <w:t xml:space="preserve"> that accompanied the </w:t>
      </w:r>
      <w:r w:rsidR="00031439" w:rsidRPr="001D3086">
        <w:rPr>
          <w:rFonts w:cs="Times New Roman"/>
          <w:szCs w:val="24"/>
        </w:rPr>
        <w:t>Slavery Abolition Act of 1833</w:t>
      </w:r>
      <w:r w:rsidR="00AB32B0" w:rsidRPr="001D3086">
        <w:rPr>
          <w:rFonts w:cs="Times New Roman"/>
          <w:szCs w:val="24"/>
        </w:rPr>
        <w:t xml:space="preserve">, exploring the fears and prejudices that </w:t>
      </w:r>
      <w:r w:rsidR="0050478B" w:rsidRPr="001D3086">
        <w:rPr>
          <w:rFonts w:cs="Times New Roman"/>
          <w:szCs w:val="24"/>
        </w:rPr>
        <w:t>fuelled</w:t>
      </w:r>
      <w:r w:rsidR="00AB32B0" w:rsidRPr="001D3086">
        <w:rPr>
          <w:rFonts w:cs="Times New Roman"/>
          <w:szCs w:val="24"/>
        </w:rPr>
        <w:t xml:space="preserve"> opposition, challenging the </w:t>
      </w:r>
      <w:r w:rsidR="009A2AC3" w:rsidRPr="001D3086">
        <w:rPr>
          <w:rFonts w:cs="Times New Roman"/>
          <w:szCs w:val="24"/>
        </w:rPr>
        <w:t>idealised</w:t>
      </w:r>
      <w:r w:rsidR="00AB32B0" w:rsidRPr="001D3086">
        <w:rPr>
          <w:rFonts w:cs="Times New Roman"/>
          <w:szCs w:val="24"/>
        </w:rPr>
        <w:t xml:space="preserve"> narrative often </w:t>
      </w:r>
      <w:r w:rsidR="009A2AC3" w:rsidRPr="001D3086">
        <w:rPr>
          <w:rFonts w:cs="Times New Roman"/>
          <w:szCs w:val="24"/>
        </w:rPr>
        <w:t>inter-linked</w:t>
      </w:r>
      <w:r w:rsidR="00AB32B0" w:rsidRPr="001D3086">
        <w:rPr>
          <w:rFonts w:cs="Times New Roman"/>
          <w:szCs w:val="24"/>
        </w:rPr>
        <w:t xml:space="preserve"> with abolition</w:t>
      </w:r>
      <w:r w:rsidR="006F508F" w:rsidRPr="001D3086">
        <w:rPr>
          <w:rStyle w:val="FootnoteReference"/>
          <w:rFonts w:cs="Times New Roman"/>
          <w:szCs w:val="24"/>
        </w:rPr>
        <w:footnoteReference w:id="11"/>
      </w:r>
      <w:r w:rsidR="00AB32B0" w:rsidRPr="001D3086">
        <w:rPr>
          <w:rFonts w:cs="Times New Roman"/>
          <w:szCs w:val="24"/>
        </w:rPr>
        <w:t xml:space="preserve">.In exploring the unique perspectives and insights offered by </w:t>
      </w:r>
      <w:r w:rsidR="000A0AC3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, </w:t>
      </w:r>
      <w:r w:rsidR="00A16D3B" w:rsidRPr="001D3086">
        <w:rPr>
          <w:rFonts w:cs="Times New Roman"/>
          <w:szCs w:val="24"/>
        </w:rPr>
        <w:t>it</w:t>
      </w:r>
      <w:r w:rsidR="001B1127" w:rsidRPr="001D3086">
        <w:rPr>
          <w:rFonts w:cs="Times New Roman"/>
          <w:szCs w:val="24"/>
        </w:rPr>
        <w:t>exceeds</w:t>
      </w:r>
      <w:r w:rsidR="00AB32B0" w:rsidRPr="001D3086">
        <w:rPr>
          <w:rFonts w:cs="Times New Roman"/>
          <w:szCs w:val="24"/>
        </w:rPr>
        <w:t xml:space="preserve"> a </w:t>
      </w:r>
      <w:r w:rsidR="001B1127" w:rsidRPr="001D3086">
        <w:rPr>
          <w:rFonts w:cs="Times New Roman"/>
          <w:szCs w:val="24"/>
        </w:rPr>
        <w:t>simple</w:t>
      </w:r>
      <w:r w:rsidR="00AB32B0" w:rsidRPr="001D3086">
        <w:rPr>
          <w:rFonts w:cs="Times New Roman"/>
          <w:szCs w:val="24"/>
        </w:rPr>
        <w:t xml:space="preserve"> historical account; it </w:t>
      </w:r>
      <w:r w:rsidR="001B1127" w:rsidRPr="001D3086">
        <w:rPr>
          <w:rFonts w:cs="Times New Roman"/>
          <w:szCs w:val="24"/>
        </w:rPr>
        <w:t>renovates</w:t>
      </w:r>
      <w:r w:rsidR="00AB32B0" w:rsidRPr="001D3086">
        <w:rPr>
          <w:rFonts w:cs="Times New Roman"/>
          <w:szCs w:val="24"/>
        </w:rPr>
        <w:t xml:space="preserve"> into a lens through which </w:t>
      </w:r>
      <w:r w:rsidR="00A16D3B" w:rsidRPr="001D3086">
        <w:rPr>
          <w:rFonts w:cs="Times New Roman"/>
          <w:szCs w:val="24"/>
        </w:rPr>
        <w:t>the essay has</w:t>
      </w:r>
      <w:r w:rsidR="0041425F" w:rsidRPr="001D3086">
        <w:rPr>
          <w:rFonts w:cs="Times New Roman"/>
          <w:szCs w:val="24"/>
        </w:rPr>
        <w:t>examined</w:t>
      </w:r>
      <w:r w:rsidR="00AB32B0" w:rsidRPr="001D3086">
        <w:rPr>
          <w:rFonts w:cs="Times New Roman"/>
          <w:szCs w:val="24"/>
        </w:rPr>
        <w:t xml:space="preserve"> the </w:t>
      </w:r>
      <w:r w:rsidR="0041425F" w:rsidRPr="001D3086">
        <w:rPr>
          <w:rFonts w:cs="Times New Roman"/>
          <w:szCs w:val="24"/>
        </w:rPr>
        <w:t>details</w:t>
      </w:r>
      <w:r w:rsidR="00AB32B0" w:rsidRPr="001D3086">
        <w:rPr>
          <w:rFonts w:cs="Times New Roman"/>
          <w:szCs w:val="24"/>
        </w:rPr>
        <w:t xml:space="preserve"> of the abolitionist movement. </w:t>
      </w:r>
      <w:r w:rsidR="009C6A24" w:rsidRPr="001D3086">
        <w:rPr>
          <w:rFonts w:cs="Times New Roman"/>
          <w:szCs w:val="24"/>
        </w:rPr>
        <w:t>Alibrandi, (2020)</w:t>
      </w:r>
      <w:r w:rsidR="0041425F" w:rsidRPr="001D3086">
        <w:rPr>
          <w:rFonts w:cs="Times New Roman"/>
          <w:szCs w:val="24"/>
        </w:rPr>
        <w:t>thorough</w:t>
      </w:r>
      <w:r w:rsidR="00AB32B0" w:rsidRPr="001D3086">
        <w:rPr>
          <w:rFonts w:cs="Times New Roman"/>
          <w:szCs w:val="24"/>
        </w:rPr>
        <w:t xml:space="preserve"> analysis </w:t>
      </w:r>
      <w:r w:rsidR="0079183F" w:rsidRPr="001D3086">
        <w:rPr>
          <w:rFonts w:cs="Times New Roman"/>
          <w:szCs w:val="24"/>
        </w:rPr>
        <w:t>offers</w:t>
      </w:r>
      <w:r w:rsidR="00AB32B0" w:rsidRPr="001D3086">
        <w:rPr>
          <w:rFonts w:cs="Times New Roman"/>
          <w:szCs w:val="24"/>
        </w:rPr>
        <w:t xml:space="preserve"> a </w:t>
      </w:r>
      <w:r w:rsidR="0041425F" w:rsidRPr="001D3086">
        <w:rPr>
          <w:rFonts w:cs="Times New Roman"/>
          <w:szCs w:val="24"/>
        </w:rPr>
        <w:t>detailed</w:t>
      </w:r>
      <w:r w:rsidR="00AB32B0" w:rsidRPr="001D3086">
        <w:rPr>
          <w:rFonts w:cs="Times New Roman"/>
          <w:szCs w:val="24"/>
        </w:rPr>
        <w:t xml:space="preserve"> understanding of the complexities surrounding the Slavery Abolition Act of 1833, </w:t>
      </w:r>
      <w:r w:rsidR="00A243A7" w:rsidRPr="001D3086">
        <w:rPr>
          <w:rFonts w:cs="Times New Roman"/>
          <w:szCs w:val="24"/>
        </w:rPr>
        <w:t>inspiring</w:t>
      </w:r>
      <w:r w:rsidR="00AB32B0" w:rsidRPr="001D3086">
        <w:rPr>
          <w:rFonts w:cs="Times New Roman"/>
          <w:szCs w:val="24"/>
        </w:rPr>
        <w:t xml:space="preserve"> a profound appreciation of the interplay between morality, politics, and the quest for human rights</w:t>
      </w:r>
      <w:r w:rsidR="00FF4B3F" w:rsidRPr="001D3086">
        <w:rPr>
          <w:rStyle w:val="FootnoteReference"/>
          <w:rFonts w:cs="Times New Roman"/>
          <w:szCs w:val="24"/>
        </w:rPr>
        <w:footnoteReference w:id="12"/>
      </w:r>
      <w:r w:rsidR="00AB32B0" w:rsidRPr="001D3086">
        <w:rPr>
          <w:rFonts w:cs="Times New Roman"/>
          <w:szCs w:val="24"/>
        </w:rPr>
        <w:t>.</w:t>
      </w:r>
    </w:p>
    <w:p w:rsidR="00FF4B3F" w:rsidRPr="001D3086" w:rsidRDefault="00FF4B3F" w:rsidP="00EA653F">
      <w:pPr>
        <w:spacing w:after="160"/>
        <w:ind w:firstLine="0"/>
        <w:jc w:val="left"/>
        <w:rPr>
          <w:rFonts w:eastAsiaTheme="majorEastAsia" w:cs="Times New Roman"/>
          <w:b/>
          <w:i/>
          <w:szCs w:val="24"/>
        </w:rPr>
      </w:pPr>
      <w:r w:rsidRPr="001D3086">
        <w:rPr>
          <w:rFonts w:cs="Times New Roman"/>
          <w:szCs w:val="24"/>
        </w:rPr>
        <w:br w:type="page"/>
      </w:r>
    </w:p>
    <w:p w:rsidR="00476C2C" w:rsidRPr="001D3086" w:rsidRDefault="002019B4" w:rsidP="00EA653F">
      <w:pPr>
        <w:pStyle w:val="Heading1"/>
        <w:spacing w:line="360" w:lineRule="auto"/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>Conclusion</w:t>
      </w:r>
    </w:p>
    <w:p w:rsidR="00AB32B0" w:rsidRPr="001D3086" w:rsidRDefault="0079183F" w:rsidP="00EA653F">
      <w:pPr>
        <w:rPr>
          <w:rFonts w:cs="Times New Roman"/>
          <w:szCs w:val="24"/>
        </w:rPr>
      </w:pPr>
      <w:r w:rsidRPr="001D3086">
        <w:rPr>
          <w:rFonts w:cs="Times New Roman"/>
          <w:szCs w:val="24"/>
        </w:rPr>
        <w:t>To summarise</w:t>
      </w:r>
      <w:r w:rsidR="00AB32B0" w:rsidRPr="001D3086">
        <w:rPr>
          <w:rFonts w:cs="Times New Roman"/>
          <w:szCs w:val="24"/>
        </w:rPr>
        <w:t xml:space="preserve">, this essay has </w:t>
      </w:r>
      <w:r w:rsidR="005F5D50" w:rsidRPr="001D3086">
        <w:rPr>
          <w:rFonts w:cs="Times New Roman"/>
          <w:szCs w:val="24"/>
        </w:rPr>
        <w:t>crossed</w:t>
      </w:r>
      <w:r w:rsidR="00AB32B0" w:rsidRPr="001D3086">
        <w:rPr>
          <w:rFonts w:cs="Times New Roman"/>
          <w:szCs w:val="24"/>
        </w:rPr>
        <w:t xml:space="preserve"> the historical landscape surrounding the Slavery Abolition Act of 1833, drawing upon the insights provided by the primary source </w:t>
      </w:r>
      <w:r w:rsidR="00260088" w:rsidRPr="001D3086">
        <w:rPr>
          <w:rFonts w:cs="Times New Roman"/>
          <w:szCs w:val="24"/>
        </w:rPr>
        <w:t>(</w:t>
      </w:r>
      <w:r w:rsidR="00AB32B0" w:rsidRPr="001D3086">
        <w:rPr>
          <w:rFonts w:cs="Times New Roman"/>
          <w:szCs w:val="24"/>
        </w:rPr>
        <w:t>Alibrandi, 2020</w:t>
      </w:r>
      <w:r w:rsidR="00260088" w:rsidRPr="001D3086">
        <w:rPr>
          <w:rFonts w:cs="Times New Roman"/>
          <w:szCs w:val="24"/>
        </w:rPr>
        <w:t>)</w:t>
      </w:r>
      <w:r w:rsidR="00AB32B0" w:rsidRPr="001D3086">
        <w:rPr>
          <w:rFonts w:cs="Times New Roman"/>
          <w:szCs w:val="24"/>
        </w:rPr>
        <w:t xml:space="preserve">. The legislative </w:t>
      </w:r>
      <w:r w:rsidR="005F5D50" w:rsidRPr="001D3086">
        <w:rPr>
          <w:rFonts w:cs="Times New Roman"/>
          <w:szCs w:val="24"/>
        </w:rPr>
        <w:t>achievement</w:t>
      </w:r>
      <w:r w:rsidR="00AB32B0" w:rsidRPr="001D3086">
        <w:rPr>
          <w:rFonts w:cs="Times New Roman"/>
          <w:szCs w:val="24"/>
        </w:rPr>
        <w:t xml:space="preserve"> represented a pivotal moment in the abolitionist movement, as illuminated by the dedicated efforts of figures like Thomas Fowell Buxton and William Wilberforce. </w:t>
      </w:r>
      <w:r w:rsidR="00260088" w:rsidRPr="001D3086">
        <w:rPr>
          <w:rFonts w:cs="Times New Roman"/>
          <w:szCs w:val="24"/>
        </w:rPr>
        <w:t>Slavery Abolition Act of 1833</w:t>
      </w:r>
      <w:r w:rsidR="005F5D50" w:rsidRPr="001D3086">
        <w:rPr>
          <w:rFonts w:cs="Times New Roman"/>
          <w:szCs w:val="24"/>
        </w:rPr>
        <w:t>continuing</w:t>
      </w:r>
      <w:r w:rsidR="00AB32B0" w:rsidRPr="001D3086">
        <w:rPr>
          <w:rFonts w:cs="Times New Roman"/>
          <w:szCs w:val="24"/>
        </w:rPr>
        <w:t xml:space="preserve"> significance extends beyond its immediate emancipatory impact, shaping the trajectory of global abolitionist movements and influencing the ongoing struggle for human rights. </w:t>
      </w:r>
      <w:r w:rsidR="001A0D8F" w:rsidRPr="001D3086">
        <w:rPr>
          <w:rFonts w:cs="Times New Roman"/>
          <w:szCs w:val="24"/>
        </w:rPr>
        <w:t>Alibrandi, (2020)</w:t>
      </w:r>
      <w:r w:rsidR="00AB32B0" w:rsidRPr="001D3086">
        <w:rPr>
          <w:rFonts w:cs="Times New Roman"/>
          <w:szCs w:val="24"/>
        </w:rPr>
        <w:t xml:space="preserve">analysis not only </w:t>
      </w:r>
      <w:r w:rsidR="001A0D8F" w:rsidRPr="001D3086">
        <w:rPr>
          <w:rFonts w:cs="Times New Roman"/>
          <w:szCs w:val="24"/>
        </w:rPr>
        <w:t>unravelled</w:t>
      </w:r>
      <w:r w:rsidR="00AB32B0" w:rsidRPr="001D3086">
        <w:rPr>
          <w:rFonts w:cs="Times New Roman"/>
          <w:szCs w:val="24"/>
        </w:rPr>
        <w:t xml:space="preserve"> the complexities and opposition faced during the </w:t>
      </w:r>
      <w:r w:rsidR="001A0D8F" w:rsidRPr="001D3086">
        <w:rPr>
          <w:rFonts w:cs="Times New Roman"/>
          <w:szCs w:val="24"/>
        </w:rPr>
        <w:t>Slavery Abolition Act of 1833</w:t>
      </w:r>
      <w:r w:rsidR="00AB32B0" w:rsidRPr="001D3086">
        <w:rPr>
          <w:rFonts w:cs="Times New Roman"/>
          <w:szCs w:val="24"/>
        </w:rPr>
        <w:t>enactment but also emphasi</w:t>
      </w:r>
      <w:r w:rsidR="00BA28E4" w:rsidRPr="001D3086">
        <w:rPr>
          <w:rFonts w:cs="Times New Roman"/>
          <w:szCs w:val="24"/>
        </w:rPr>
        <w:t>s</w:t>
      </w:r>
      <w:r w:rsidR="00AB32B0" w:rsidRPr="001D3086">
        <w:rPr>
          <w:rFonts w:cs="Times New Roman"/>
          <w:szCs w:val="24"/>
        </w:rPr>
        <w:t xml:space="preserve">ed its role as a </w:t>
      </w:r>
      <w:r w:rsidR="005F5D50" w:rsidRPr="001D3086">
        <w:rPr>
          <w:rFonts w:cs="Times New Roman"/>
          <w:szCs w:val="24"/>
        </w:rPr>
        <w:t>significant</w:t>
      </w:r>
      <w:r w:rsidR="00AB32B0" w:rsidRPr="001D3086">
        <w:rPr>
          <w:rFonts w:cs="Times New Roman"/>
          <w:szCs w:val="24"/>
        </w:rPr>
        <w:t xml:space="preserve"> for broader </w:t>
      </w:r>
      <w:r w:rsidR="004E7CD1" w:rsidRPr="001D3086">
        <w:rPr>
          <w:rFonts w:cs="Times New Roman"/>
          <w:szCs w:val="24"/>
        </w:rPr>
        <w:t>social</w:t>
      </w:r>
      <w:r w:rsidR="00AB32B0" w:rsidRPr="001D3086">
        <w:rPr>
          <w:rFonts w:cs="Times New Roman"/>
          <w:szCs w:val="24"/>
        </w:rPr>
        <w:t xml:space="preserve"> changes. In the history, the Slavery Abolition Act of 1833 emerges as a beacon of progress, leaving an indelible mark on the collective pursuit of freedom and equality.</w:t>
      </w:r>
    </w:p>
    <w:p w:rsidR="00FF4B3F" w:rsidRPr="001D3086" w:rsidRDefault="00FF4B3F" w:rsidP="00EA653F">
      <w:pPr>
        <w:spacing w:after="160"/>
        <w:ind w:firstLine="0"/>
        <w:jc w:val="left"/>
        <w:rPr>
          <w:rFonts w:cs="Times New Roman"/>
          <w:szCs w:val="24"/>
        </w:rPr>
      </w:pPr>
      <w:r w:rsidRPr="001D3086">
        <w:rPr>
          <w:rFonts w:cs="Times New Roman"/>
          <w:szCs w:val="24"/>
        </w:rPr>
        <w:br w:type="page"/>
      </w:r>
    </w:p>
    <w:p w:rsidR="00AB32B0" w:rsidRPr="001D3086" w:rsidRDefault="00FF4B3F" w:rsidP="00EA653F">
      <w:pPr>
        <w:ind w:firstLine="0"/>
        <w:jc w:val="center"/>
        <w:rPr>
          <w:rFonts w:cs="Times New Roman"/>
          <w:b/>
          <w:bCs/>
          <w:szCs w:val="24"/>
        </w:rPr>
      </w:pPr>
      <w:r w:rsidRPr="001D3086">
        <w:rPr>
          <w:rFonts w:cs="Times New Roman"/>
          <w:b/>
          <w:bCs/>
          <w:szCs w:val="24"/>
        </w:rPr>
        <w:t>Bibliography</w:t>
      </w:r>
    </w:p>
    <w:p w:rsidR="00FF4B3F" w:rsidRPr="001D3086" w:rsidRDefault="00FF4B3F" w:rsidP="00EA653F">
      <w:pPr>
        <w:ind w:firstLine="0"/>
        <w:rPr>
          <w:rFonts w:cs="Times New Roman"/>
          <w:b/>
          <w:bCs/>
          <w:szCs w:val="24"/>
        </w:rPr>
      </w:pPr>
      <w:r w:rsidRPr="001D3086">
        <w:rPr>
          <w:rFonts w:cs="Times New Roman"/>
          <w:b/>
          <w:bCs/>
          <w:szCs w:val="24"/>
        </w:rPr>
        <w:t>Primary Source</w:t>
      </w:r>
      <w:r w:rsidR="00EA653F" w:rsidRPr="001D3086">
        <w:rPr>
          <w:rFonts w:cs="Times New Roman"/>
          <w:b/>
          <w:bCs/>
          <w:szCs w:val="24"/>
        </w:rPr>
        <w:t>s</w:t>
      </w:r>
    </w:p>
    <w:p w:rsidR="00B0773E" w:rsidRPr="001D3086" w:rsidRDefault="00B0773E" w:rsidP="00EA653F">
      <w:pPr>
        <w:pStyle w:val="FootnoteText"/>
        <w:spacing w:line="360" w:lineRule="auto"/>
        <w:ind w:firstLine="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</w:rPr>
        <w:t>1807 Slave Trade Act</w:t>
      </w:r>
    </w:p>
    <w:p w:rsidR="00B0773E" w:rsidRPr="001D3086" w:rsidRDefault="00B0773E" w:rsidP="00EA653F">
      <w:pPr>
        <w:pStyle w:val="FootnoteText"/>
        <w:spacing w:line="360" w:lineRule="auto"/>
        <w:ind w:firstLine="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</w:rPr>
        <w:t>Slavery Abolition Act of 1833</w:t>
      </w:r>
    </w:p>
    <w:p w:rsidR="00B0773E" w:rsidRPr="001D3086" w:rsidRDefault="00FF4B3F" w:rsidP="00EA653F">
      <w:pPr>
        <w:pStyle w:val="FootnoteText"/>
        <w:spacing w:line="360" w:lineRule="auto"/>
        <w:ind w:left="720" w:hanging="720"/>
        <w:rPr>
          <w:rFonts w:cs="Times New Roman"/>
          <w:sz w:val="24"/>
          <w:szCs w:val="24"/>
        </w:rPr>
      </w:pPr>
      <w:r w:rsidRPr="001D3086">
        <w:rPr>
          <w:rFonts w:cs="Times New Roman"/>
          <w:sz w:val="24"/>
          <w:szCs w:val="24"/>
        </w:rPr>
        <w:t>Alibrandi, Rosamaria. "British parliamentary abolitionists: Sir Thomas Fowell Buxton (1786–1845) and the political and cultural debate on abolitionism in the nineteenth century." Parliaments, Estates and Representation 40, no. 1 (2020): 21-34.</w:t>
      </w:r>
    </w:p>
    <w:p w:rsidR="00B0773E" w:rsidRPr="001D3086" w:rsidRDefault="00B0773E" w:rsidP="00EA653F">
      <w:pPr>
        <w:pStyle w:val="FootnoteText"/>
        <w:spacing w:line="360" w:lineRule="auto"/>
        <w:ind w:firstLine="0"/>
        <w:rPr>
          <w:rFonts w:cs="Times New Roman"/>
          <w:b/>
          <w:bCs/>
          <w:sz w:val="24"/>
          <w:szCs w:val="24"/>
          <w:lang w:val="en-US"/>
        </w:rPr>
      </w:pPr>
      <w:r w:rsidRPr="001D3086">
        <w:rPr>
          <w:rFonts w:cs="Times New Roman"/>
          <w:b/>
          <w:bCs/>
          <w:sz w:val="24"/>
          <w:szCs w:val="24"/>
        </w:rPr>
        <w:t>Secondary Sources</w:t>
      </w:r>
    </w:p>
    <w:p w:rsidR="00B0773E" w:rsidRPr="001D3086" w:rsidRDefault="00B0773E" w:rsidP="00EA653F">
      <w:pPr>
        <w:pStyle w:val="FootnoteText"/>
        <w:spacing w:line="360" w:lineRule="auto"/>
        <w:ind w:left="720" w:hanging="72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  <w:shd w:val="clear" w:color="auto" w:fill="FFFFFF"/>
        </w:rPr>
        <w:t>Atkin, Lara, and Lara Atkin. "“The South African ‘Children of the Mist’”: The Bushman, the Highlander, and the Making of Colonial Identity in Thomas Pringle’s South African Poetry." </w:t>
      </w:r>
      <w:r w:rsidRPr="001D3086">
        <w:rPr>
          <w:rFonts w:cs="Times New Roman"/>
          <w:i/>
          <w:iCs/>
          <w:sz w:val="24"/>
          <w:szCs w:val="24"/>
          <w:shd w:val="clear" w:color="auto" w:fill="FFFFFF"/>
        </w:rPr>
        <w:t>Writing the South African San: Colonial Ethnographic Discourses</w:t>
      </w:r>
      <w:r w:rsidRPr="001D3086">
        <w:rPr>
          <w:rFonts w:cs="Times New Roman"/>
          <w:sz w:val="24"/>
          <w:szCs w:val="24"/>
          <w:shd w:val="clear" w:color="auto" w:fill="FFFFFF"/>
        </w:rPr>
        <w:t> (2021): 89-114.</w:t>
      </w:r>
    </w:p>
    <w:p w:rsidR="00B0773E" w:rsidRPr="001D3086" w:rsidRDefault="00B0773E" w:rsidP="00EA653F">
      <w:pPr>
        <w:pStyle w:val="FootnoteText"/>
        <w:spacing w:line="360" w:lineRule="auto"/>
        <w:ind w:left="720" w:hanging="72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  <w:shd w:val="clear" w:color="auto" w:fill="FFFFFF"/>
        </w:rPr>
        <w:t>Drescher, Seymour. "The historical context of British abolition." In </w:t>
      </w:r>
      <w:r w:rsidRPr="001D3086">
        <w:rPr>
          <w:rFonts w:cs="Times New Roman"/>
          <w:i/>
          <w:iCs/>
          <w:sz w:val="24"/>
          <w:szCs w:val="24"/>
          <w:shd w:val="clear" w:color="auto" w:fill="FFFFFF"/>
        </w:rPr>
        <w:t>Abolition and its Aftermath</w:t>
      </w:r>
      <w:r w:rsidRPr="001D3086">
        <w:rPr>
          <w:rFonts w:cs="Times New Roman"/>
          <w:sz w:val="24"/>
          <w:szCs w:val="24"/>
          <w:shd w:val="clear" w:color="auto" w:fill="FFFFFF"/>
        </w:rPr>
        <w:t>, pp. 3-24. Routledge, 2013.</w:t>
      </w:r>
    </w:p>
    <w:p w:rsidR="00B0773E" w:rsidRPr="001D3086" w:rsidRDefault="00B0773E" w:rsidP="00EA653F">
      <w:pPr>
        <w:pStyle w:val="FootnoteText"/>
        <w:spacing w:line="360" w:lineRule="auto"/>
        <w:ind w:left="720" w:hanging="72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  <w:shd w:val="clear" w:color="auto" w:fill="FFFFFF"/>
        </w:rPr>
        <w:t>Manjapra, Kris. "The Scandal of the British Slavery Abolition Act Loan." </w:t>
      </w:r>
      <w:r w:rsidRPr="001D3086">
        <w:rPr>
          <w:rFonts w:cs="Times New Roman"/>
          <w:i/>
          <w:iCs/>
          <w:sz w:val="24"/>
          <w:szCs w:val="24"/>
          <w:shd w:val="clear" w:color="auto" w:fill="FFFFFF"/>
        </w:rPr>
        <w:t>Social and economic studies</w:t>
      </w:r>
      <w:r w:rsidRPr="001D3086">
        <w:rPr>
          <w:rFonts w:cs="Times New Roman"/>
          <w:sz w:val="24"/>
          <w:szCs w:val="24"/>
          <w:shd w:val="clear" w:color="auto" w:fill="FFFFFF"/>
        </w:rPr>
        <w:t> (2019): 165-184.</w:t>
      </w:r>
    </w:p>
    <w:p w:rsidR="00B0773E" w:rsidRPr="001D3086" w:rsidRDefault="00B0773E" w:rsidP="00EA653F">
      <w:pPr>
        <w:pStyle w:val="FootnoteText"/>
        <w:spacing w:line="360" w:lineRule="auto"/>
        <w:ind w:left="720" w:hanging="72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  <w:shd w:val="clear" w:color="auto" w:fill="FFFFFF"/>
        </w:rPr>
        <w:t>Sovacool, Benjamin K. "Beyond science and policy: Typologizing and harnessing social movements for transformational social change." </w:t>
      </w:r>
      <w:r w:rsidRPr="001D3086">
        <w:rPr>
          <w:rFonts w:cs="Times New Roman"/>
          <w:i/>
          <w:iCs/>
          <w:sz w:val="24"/>
          <w:szCs w:val="24"/>
          <w:shd w:val="clear" w:color="auto" w:fill="FFFFFF"/>
        </w:rPr>
        <w:t>Energy Research &amp; Social Science</w:t>
      </w:r>
      <w:r w:rsidRPr="001D3086">
        <w:rPr>
          <w:rFonts w:cs="Times New Roman"/>
          <w:sz w:val="24"/>
          <w:szCs w:val="24"/>
          <w:shd w:val="clear" w:color="auto" w:fill="FFFFFF"/>
        </w:rPr>
        <w:t> 94 (2022): 102857.</w:t>
      </w:r>
    </w:p>
    <w:p w:rsidR="00B0773E" w:rsidRPr="001D3086" w:rsidRDefault="00B0773E" w:rsidP="00EA653F">
      <w:pPr>
        <w:pStyle w:val="FootnoteText"/>
        <w:spacing w:line="360" w:lineRule="auto"/>
        <w:ind w:left="720" w:hanging="720"/>
        <w:rPr>
          <w:rFonts w:cs="Times New Roman"/>
          <w:sz w:val="24"/>
          <w:szCs w:val="24"/>
          <w:lang w:val="en-US"/>
        </w:rPr>
      </w:pPr>
      <w:r w:rsidRPr="001D3086">
        <w:rPr>
          <w:rFonts w:cs="Times New Roman"/>
          <w:sz w:val="24"/>
          <w:szCs w:val="24"/>
          <w:shd w:val="clear" w:color="auto" w:fill="FFFFFF"/>
        </w:rPr>
        <w:t>Zurndorfer, Harriet T. "Economic, Social, and Legal Aspects of Slavery and Indentured Labor in Late Ming China (1550–1645): What the Huizhou Documents Tell Us." In </w:t>
      </w:r>
      <w:r w:rsidRPr="001D3086">
        <w:rPr>
          <w:rFonts w:cs="Times New Roman"/>
          <w:i/>
          <w:iCs/>
          <w:sz w:val="24"/>
          <w:szCs w:val="24"/>
          <w:shd w:val="clear" w:color="auto" w:fill="FFFFFF"/>
        </w:rPr>
        <w:t>Slavery and Bonded Labor in Asia, 1250–1900</w:t>
      </w:r>
      <w:r w:rsidRPr="001D3086">
        <w:rPr>
          <w:rFonts w:cs="Times New Roman"/>
          <w:sz w:val="24"/>
          <w:szCs w:val="24"/>
          <w:shd w:val="clear" w:color="auto" w:fill="FFFFFF"/>
        </w:rPr>
        <w:t>, pp. 131-149. Brill, 2021.</w:t>
      </w:r>
    </w:p>
    <w:p w:rsidR="00FF4B3F" w:rsidRPr="001D3086" w:rsidRDefault="00FF4B3F" w:rsidP="00EA653F">
      <w:pPr>
        <w:ind w:firstLine="0"/>
        <w:rPr>
          <w:rFonts w:cs="Times New Roman"/>
          <w:szCs w:val="24"/>
        </w:rPr>
      </w:pPr>
    </w:p>
    <w:p w:rsidR="00AB32B0" w:rsidRPr="001D3086" w:rsidRDefault="00AB32B0" w:rsidP="00EA653F">
      <w:pPr>
        <w:rPr>
          <w:rFonts w:cs="Times New Roman"/>
          <w:szCs w:val="24"/>
        </w:rPr>
      </w:pPr>
    </w:p>
    <w:p w:rsidR="00AB32B0" w:rsidRPr="001D3086" w:rsidRDefault="00AB32B0" w:rsidP="00EA653F">
      <w:pPr>
        <w:rPr>
          <w:rFonts w:cs="Times New Roman"/>
          <w:szCs w:val="24"/>
        </w:rPr>
      </w:pPr>
    </w:p>
    <w:p w:rsidR="00AB32B0" w:rsidRPr="001D3086" w:rsidRDefault="00AB32B0" w:rsidP="00EA653F">
      <w:pPr>
        <w:rPr>
          <w:rFonts w:cs="Times New Roman"/>
          <w:szCs w:val="24"/>
        </w:rPr>
      </w:pPr>
    </w:p>
    <w:p w:rsidR="0031225C" w:rsidRPr="001D3086" w:rsidRDefault="0031225C" w:rsidP="00EA653F">
      <w:pPr>
        <w:rPr>
          <w:rFonts w:cs="Times New Roman"/>
          <w:szCs w:val="24"/>
        </w:rPr>
      </w:pPr>
    </w:p>
    <w:p w:rsidR="00B13559" w:rsidRPr="001D3086" w:rsidRDefault="00B13559" w:rsidP="00EA653F">
      <w:pPr>
        <w:rPr>
          <w:rFonts w:cs="Times New Roman"/>
          <w:szCs w:val="24"/>
        </w:rPr>
      </w:pPr>
    </w:p>
    <w:p w:rsidR="006B5319" w:rsidRPr="001D3086" w:rsidRDefault="006B5319">
      <w:pPr>
        <w:rPr>
          <w:rFonts w:cs="Times New Roman"/>
          <w:szCs w:val="24"/>
        </w:rPr>
      </w:pPr>
    </w:p>
    <w:sectPr w:rsidR="006B5319" w:rsidRPr="001D3086" w:rsidSect="00FA3E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20C" w:rsidRDefault="00BA020C" w:rsidP="000A0AC3">
      <w:pPr>
        <w:spacing w:line="240" w:lineRule="auto"/>
      </w:pPr>
      <w:r>
        <w:separator/>
      </w:r>
    </w:p>
  </w:endnote>
  <w:endnote w:type="continuationSeparator" w:id="1">
    <w:p w:rsidR="00BA020C" w:rsidRDefault="00BA020C" w:rsidP="000A0AC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20C" w:rsidRDefault="00BA020C" w:rsidP="000A0AC3">
      <w:pPr>
        <w:spacing w:line="240" w:lineRule="auto"/>
      </w:pPr>
      <w:r>
        <w:separator/>
      </w:r>
    </w:p>
  </w:footnote>
  <w:footnote w:type="continuationSeparator" w:id="1">
    <w:p w:rsidR="00BA020C" w:rsidRDefault="00BA020C" w:rsidP="000A0AC3">
      <w:pPr>
        <w:spacing w:line="240" w:lineRule="auto"/>
      </w:pPr>
      <w:r>
        <w:continuationSeparator/>
      </w:r>
    </w:p>
  </w:footnote>
  <w:footnote w:id="2">
    <w:p w:rsidR="00A11921" w:rsidRPr="006F508F" w:rsidRDefault="00A11921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</w:rPr>
        <w:t>Slavery Abolition Act of 1833</w:t>
      </w:r>
    </w:p>
  </w:footnote>
  <w:footnote w:id="3">
    <w:p w:rsidR="00DD040F" w:rsidRPr="006F508F" w:rsidRDefault="00DD040F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</w:rPr>
        <w:t>Alibrandi, Rosamaria. "British parliamentary abolitionists: Sir Thomas Fowell Buxton (1786–1845) and the political and cultural debate on abolitionism in the nineteenth century." Parliaments, Estates and Representation 40, no. 1 (2020): 21-34.</w:t>
      </w:r>
    </w:p>
  </w:footnote>
  <w:footnote w:id="4">
    <w:p w:rsidR="002E30B3" w:rsidRPr="006F508F" w:rsidRDefault="002E30B3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  <w:shd w:val="clear" w:color="auto" w:fill="FFFFFF"/>
        </w:rPr>
        <w:t>Drescher, Seymour. "The historical context of British abolition." In </w:t>
      </w:r>
      <w:r w:rsidRPr="006F508F">
        <w:rPr>
          <w:rFonts w:cs="Times New Roman"/>
          <w:i/>
          <w:iCs/>
          <w:shd w:val="clear" w:color="auto" w:fill="FFFFFF"/>
        </w:rPr>
        <w:t>Abolition and its Aftermath</w:t>
      </w:r>
      <w:r w:rsidRPr="006F508F">
        <w:rPr>
          <w:rFonts w:cs="Times New Roman"/>
          <w:shd w:val="clear" w:color="auto" w:fill="FFFFFF"/>
        </w:rPr>
        <w:t>, pp. 3-24. Routledge, 2013.</w:t>
      </w:r>
    </w:p>
  </w:footnote>
  <w:footnote w:id="5">
    <w:p w:rsidR="002E30B3" w:rsidRPr="006F508F" w:rsidRDefault="002E30B3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  <w:shd w:val="clear" w:color="auto" w:fill="FFFFFF"/>
        </w:rPr>
        <w:t>Atkin, Lara, and Lara Atkin. "“The South African ‘Children of the Mist’”: The Bushman, the Highlander, and the Making of Colonial Identity in Thomas Pringle’s South African Poetry." </w:t>
      </w:r>
      <w:r w:rsidRPr="006F508F">
        <w:rPr>
          <w:rFonts w:cs="Times New Roman"/>
          <w:i/>
          <w:iCs/>
          <w:shd w:val="clear" w:color="auto" w:fill="FFFFFF"/>
        </w:rPr>
        <w:t>Writing the South African San: Colonial Ethnographic Discourses</w:t>
      </w:r>
      <w:r w:rsidRPr="006F508F">
        <w:rPr>
          <w:rFonts w:cs="Times New Roman"/>
          <w:shd w:val="clear" w:color="auto" w:fill="FFFFFF"/>
        </w:rPr>
        <w:t> (2021): 89-114.</w:t>
      </w:r>
    </w:p>
  </w:footnote>
  <w:footnote w:id="6">
    <w:p w:rsidR="00324A92" w:rsidRPr="006F508F" w:rsidRDefault="00324A92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</w:rPr>
        <w:t>1807 Slave Trade Act</w:t>
      </w:r>
    </w:p>
  </w:footnote>
  <w:footnote w:id="7">
    <w:p w:rsidR="008B1428" w:rsidRPr="006F508F" w:rsidRDefault="008B1428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  <w:shd w:val="clear" w:color="auto" w:fill="FFFFFF"/>
        </w:rPr>
        <w:t>Zurndorfer, Harriet T. "Economic, Social, and Legal Aspects of Slavery and Indentured Labor in Late Ming China (1550–1645): What the Huizhou Documents Tell Us." In </w:t>
      </w:r>
      <w:r w:rsidRPr="006F508F">
        <w:rPr>
          <w:rFonts w:cs="Times New Roman"/>
          <w:i/>
          <w:iCs/>
          <w:shd w:val="clear" w:color="auto" w:fill="FFFFFF"/>
        </w:rPr>
        <w:t>Slavery and Bonded Labor in Asia, 1250–1900</w:t>
      </w:r>
      <w:r w:rsidRPr="006F508F">
        <w:rPr>
          <w:rFonts w:cs="Times New Roman"/>
          <w:shd w:val="clear" w:color="auto" w:fill="FFFFFF"/>
        </w:rPr>
        <w:t>, pp. 131-149. Brill, 2021.</w:t>
      </w:r>
    </w:p>
  </w:footnote>
  <w:footnote w:id="8">
    <w:p w:rsidR="006F508F" w:rsidRPr="006F508F" w:rsidRDefault="006F508F" w:rsidP="006F508F">
      <w:pPr>
        <w:pStyle w:val="FootnoteText"/>
        <w:ind w:firstLine="0"/>
        <w:rPr>
          <w:lang w:val="en-US"/>
        </w:rPr>
      </w:pPr>
      <w:r w:rsidRPr="006F508F">
        <w:rPr>
          <w:rStyle w:val="FootnoteReference"/>
        </w:rPr>
        <w:footnoteRef/>
      </w:r>
      <w:r w:rsidRPr="006F508F">
        <w:rPr>
          <w:lang w:val="en-US"/>
        </w:rPr>
        <w:t>Ibid01</w:t>
      </w:r>
    </w:p>
  </w:footnote>
  <w:footnote w:id="9">
    <w:p w:rsidR="006F508F" w:rsidRPr="006F508F" w:rsidRDefault="006F508F" w:rsidP="006F508F">
      <w:pPr>
        <w:pStyle w:val="FootnoteText"/>
        <w:ind w:firstLine="0"/>
        <w:rPr>
          <w:lang w:val="en-US"/>
        </w:rPr>
      </w:pPr>
      <w:r w:rsidRPr="006F508F">
        <w:rPr>
          <w:rStyle w:val="FootnoteReference"/>
        </w:rPr>
        <w:footnoteRef/>
      </w:r>
      <w:r w:rsidRPr="006F508F">
        <w:rPr>
          <w:lang w:val="en-US"/>
        </w:rPr>
        <w:t>Ibid02</w:t>
      </w:r>
    </w:p>
  </w:footnote>
  <w:footnote w:id="10">
    <w:p w:rsidR="00FF4B3F" w:rsidRPr="006F508F" w:rsidRDefault="00FF4B3F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  <w:shd w:val="clear" w:color="auto" w:fill="FFFFFF"/>
        </w:rPr>
        <w:t>Manjapra, Kris. "The Scandal of the British Slavery Abolition Act Loan." </w:t>
      </w:r>
      <w:r w:rsidRPr="006F508F">
        <w:rPr>
          <w:rFonts w:cs="Times New Roman"/>
          <w:i/>
          <w:iCs/>
          <w:shd w:val="clear" w:color="auto" w:fill="FFFFFF"/>
        </w:rPr>
        <w:t>Social and economic studies</w:t>
      </w:r>
      <w:r w:rsidRPr="006F508F">
        <w:rPr>
          <w:rFonts w:cs="Times New Roman"/>
          <w:shd w:val="clear" w:color="auto" w:fill="FFFFFF"/>
        </w:rPr>
        <w:t> (2019): 165-184.</w:t>
      </w:r>
    </w:p>
  </w:footnote>
  <w:footnote w:id="11">
    <w:p w:rsidR="006F508F" w:rsidRPr="006F508F" w:rsidRDefault="006F508F" w:rsidP="006F508F">
      <w:pPr>
        <w:pStyle w:val="FootnoteText"/>
        <w:ind w:firstLine="0"/>
        <w:rPr>
          <w:lang w:val="en-US"/>
        </w:rPr>
      </w:pPr>
      <w:r w:rsidRPr="006F508F">
        <w:rPr>
          <w:rStyle w:val="FootnoteReference"/>
        </w:rPr>
        <w:footnoteRef/>
      </w:r>
      <w:r w:rsidRPr="006F508F">
        <w:rPr>
          <w:lang w:val="en-US"/>
        </w:rPr>
        <w:t>Ibid02</w:t>
      </w:r>
    </w:p>
  </w:footnote>
  <w:footnote w:id="12">
    <w:p w:rsidR="00FF4B3F" w:rsidRPr="006F508F" w:rsidRDefault="00FF4B3F" w:rsidP="00085049">
      <w:pPr>
        <w:pStyle w:val="FootnoteText"/>
        <w:ind w:firstLine="0"/>
        <w:rPr>
          <w:rFonts w:cs="Times New Roman"/>
          <w:lang w:val="en-US"/>
        </w:rPr>
      </w:pPr>
      <w:r w:rsidRPr="006F508F">
        <w:rPr>
          <w:rStyle w:val="FootnoteReference"/>
          <w:rFonts w:cs="Times New Roman"/>
        </w:rPr>
        <w:footnoteRef/>
      </w:r>
      <w:r w:rsidRPr="006F508F">
        <w:rPr>
          <w:rFonts w:cs="Times New Roman"/>
          <w:shd w:val="clear" w:color="auto" w:fill="FFFFFF"/>
        </w:rPr>
        <w:t>Sovacool, Benjamin K. "Beyond science and policy: Typologizing and harnessing social movements for transformational social change." </w:t>
      </w:r>
      <w:r w:rsidRPr="006F508F">
        <w:rPr>
          <w:rFonts w:cs="Times New Roman"/>
          <w:i/>
          <w:iCs/>
          <w:shd w:val="clear" w:color="auto" w:fill="FFFFFF"/>
        </w:rPr>
        <w:t>Energy Research &amp; Social Science</w:t>
      </w:r>
      <w:r w:rsidRPr="006F508F">
        <w:rPr>
          <w:rFonts w:cs="Times New Roman"/>
          <w:shd w:val="clear" w:color="auto" w:fill="FFFFFF"/>
        </w:rPr>
        <w:t> 94 (2022): 102857.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defaultTabStop w:val="720"/>
  <w:characterSpacingControl w:val="doNotCompress"/>
  <w:savePreviewPicture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C66D06"/>
    <w:rsid w:val="00031439"/>
    <w:rsid w:val="00033E19"/>
    <w:rsid w:val="000458BE"/>
    <w:rsid w:val="00084C64"/>
    <w:rsid w:val="00085049"/>
    <w:rsid w:val="00086AF7"/>
    <w:rsid w:val="000A0AC3"/>
    <w:rsid w:val="000D0B73"/>
    <w:rsid w:val="000D4CA9"/>
    <w:rsid w:val="000F1121"/>
    <w:rsid w:val="000F66E6"/>
    <w:rsid w:val="0011317D"/>
    <w:rsid w:val="001169A1"/>
    <w:rsid w:val="00166D53"/>
    <w:rsid w:val="001707E5"/>
    <w:rsid w:val="001A0D8F"/>
    <w:rsid w:val="001B1127"/>
    <w:rsid w:val="001B77DD"/>
    <w:rsid w:val="001D19ED"/>
    <w:rsid w:val="001D3086"/>
    <w:rsid w:val="001E579E"/>
    <w:rsid w:val="002019B4"/>
    <w:rsid w:val="00214540"/>
    <w:rsid w:val="00230AB5"/>
    <w:rsid w:val="00260088"/>
    <w:rsid w:val="002A6568"/>
    <w:rsid w:val="002B6FB3"/>
    <w:rsid w:val="002D3DC4"/>
    <w:rsid w:val="002E30B3"/>
    <w:rsid w:val="0031225C"/>
    <w:rsid w:val="00324A92"/>
    <w:rsid w:val="00342DEE"/>
    <w:rsid w:val="003B35AC"/>
    <w:rsid w:val="003D1A3D"/>
    <w:rsid w:val="003E5C72"/>
    <w:rsid w:val="003F1B93"/>
    <w:rsid w:val="0041425F"/>
    <w:rsid w:val="00430DD5"/>
    <w:rsid w:val="00476C2C"/>
    <w:rsid w:val="00484968"/>
    <w:rsid w:val="004B6069"/>
    <w:rsid w:val="004B79FA"/>
    <w:rsid w:val="004C5B80"/>
    <w:rsid w:val="004E7CD1"/>
    <w:rsid w:val="0050478B"/>
    <w:rsid w:val="0051439C"/>
    <w:rsid w:val="00567237"/>
    <w:rsid w:val="005847E0"/>
    <w:rsid w:val="00590A28"/>
    <w:rsid w:val="00594430"/>
    <w:rsid w:val="005D1B7A"/>
    <w:rsid w:val="005D5C4D"/>
    <w:rsid w:val="005E23D6"/>
    <w:rsid w:val="005F5D50"/>
    <w:rsid w:val="00603022"/>
    <w:rsid w:val="00615754"/>
    <w:rsid w:val="00647D33"/>
    <w:rsid w:val="00650F83"/>
    <w:rsid w:val="00660E5B"/>
    <w:rsid w:val="0069126B"/>
    <w:rsid w:val="006B5319"/>
    <w:rsid w:val="006D6160"/>
    <w:rsid w:val="006D6F99"/>
    <w:rsid w:val="006F508F"/>
    <w:rsid w:val="007012EF"/>
    <w:rsid w:val="00714E93"/>
    <w:rsid w:val="0077105F"/>
    <w:rsid w:val="00776453"/>
    <w:rsid w:val="0079183F"/>
    <w:rsid w:val="007A7608"/>
    <w:rsid w:val="007B3602"/>
    <w:rsid w:val="007E4DA7"/>
    <w:rsid w:val="007E7E86"/>
    <w:rsid w:val="007F02E1"/>
    <w:rsid w:val="008255E5"/>
    <w:rsid w:val="00846C04"/>
    <w:rsid w:val="008864F9"/>
    <w:rsid w:val="00886E74"/>
    <w:rsid w:val="008B1428"/>
    <w:rsid w:val="008B4416"/>
    <w:rsid w:val="008D583D"/>
    <w:rsid w:val="008E3FD9"/>
    <w:rsid w:val="00950E66"/>
    <w:rsid w:val="009A2AC3"/>
    <w:rsid w:val="009A2B92"/>
    <w:rsid w:val="009A43B9"/>
    <w:rsid w:val="009C3B84"/>
    <w:rsid w:val="009C3E7A"/>
    <w:rsid w:val="009C5D14"/>
    <w:rsid w:val="009C6A24"/>
    <w:rsid w:val="009D7BE1"/>
    <w:rsid w:val="00A07775"/>
    <w:rsid w:val="00A11921"/>
    <w:rsid w:val="00A16D3B"/>
    <w:rsid w:val="00A23519"/>
    <w:rsid w:val="00A23CEC"/>
    <w:rsid w:val="00A243A7"/>
    <w:rsid w:val="00A715E3"/>
    <w:rsid w:val="00AB32B0"/>
    <w:rsid w:val="00AB79CE"/>
    <w:rsid w:val="00AD5E90"/>
    <w:rsid w:val="00AF78D1"/>
    <w:rsid w:val="00B0773E"/>
    <w:rsid w:val="00B13559"/>
    <w:rsid w:val="00B30180"/>
    <w:rsid w:val="00B7035A"/>
    <w:rsid w:val="00B77B8C"/>
    <w:rsid w:val="00B831AA"/>
    <w:rsid w:val="00B9695B"/>
    <w:rsid w:val="00BA020C"/>
    <w:rsid w:val="00BA28E4"/>
    <w:rsid w:val="00BB49CF"/>
    <w:rsid w:val="00BC4C34"/>
    <w:rsid w:val="00BF32D0"/>
    <w:rsid w:val="00C0004F"/>
    <w:rsid w:val="00C00BE9"/>
    <w:rsid w:val="00C50C08"/>
    <w:rsid w:val="00C560CA"/>
    <w:rsid w:val="00C66D06"/>
    <w:rsid w:val="00C703B4"/>
    <w:rsid w:val="00CF533D"/>
    <w:rsid w:val="00D0038A"/>
    <w:rsid w:val="00D138A9"/>
    <w:rsid w:val="00D17D2E"/>
    <w:rsid w:val="00D463D3"/>
    <w:rsid w:val="00D64702"/>
    <w:rsid w:val="00D72ED9"/>
    <w:rsid w:val="00D942A1"/>
    <w:rsid w:val="00D94693"/>
    <w:rsid w:val="00D9513E"/>
    <w:rsid w:val="00DA616C"/>
    <w:rsid w:val="00DD040F"/>
    <w:rsid w:val="00DD37A3"/>
    <w:rsid w:val="00E23B30"/>
    <w:rsid w:val="00E31A65"/>
    <w:rsid w:val="00E43098"/>
    <w:rsid w:val="00E86342"/>
    <w:rsid w:val="00E9545C"/>
    <w:rsid w:val="00EA3389"/>
    <w:rsid w:val="00EA653F"/>
    <w:rsid w:val="00EB12B8"/>
    <w:rsid w:val="00EB7428"/>
    <w:rsid w:val="00EC00A8"/>
    <w:rsid w:val="00EC0DDF"/>
    <w:rsid w:val="00EC1D1F"/>
    <w:rsid w:val="00F14CF5"/>
    <w:rsid w:val="00F21A66"/>
    <w:rsid w:val="00F246DB"/>
    <w:rsid w:val="00F26399"/>
    <w:rsid w:val="00F52E64"/>
    <w:rsid w:val="00F67255"/>
    <w:rsid w:val="00F955B1"/>
    <w:rsid w:val="00FA0E01"/>
    <w:rsid w:val="00FA3EAB"/>
    <w:rsid w:val="00FD4D54"/>
    <w:rsid w:val="00FF4B3F"/>
    <w:rsid w:val="00FF7A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13E"/>
    <w:pPr>
      <w:spacing w:after="0" w:line="360" w:lineRule="auto"/>
      <w:ind w:firstLine="720"/>
      <w:jc w:val="both"/>
    </w:pPr>
    <w:rPr>
      <w:rFonts w:ascii="Times New Roman" w:hAnsi="Times New Roman"/>
      <w:color w:val="000000" w:themeColor="text1"/>
      <w:kern w:val="2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038A"/>
    <w:pPr>
      <w:keepNext/>
      <w:keepLines/>
      <w:spacing w:line="480" w:lineRule="auto"/>
      <w:ind w:left="720" w:hanging="720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B8C"/>
    <w:pPr>
      <w:keepNext/>
      <w:keepLines/>
      <w:spacing w:line="480" w:lineRule="auto"/>
      <w:ind w:firstLine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C3E7A"/>
    <w:pPr>
      <w:keepNext/>
      <w:keepLines/>
      <w:spacing w:before="40"/>
      <w:jc w:val="center"/>
      <w:outlineLvl w:val="2"/>
    </w:pPr>
    <w:rPr>
      <w:rFonts w:eastAsiaTheme="majorEastAsia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C3B84"/>
    <w:pPr>
      <w:keepNext/>
      <w:keepLines/>
      <w:outlineLvl w:val="3"/>
    </w:pPr>
    <w:rPr>
      <w:rFonts w:eastAsiaTheme="majorEastAsi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38A"/>
    <w:rPr>
      <w:rFonts w:ascii="Times New Roman" w:eastAsiaTheme="majorEastAsia" w:hAnsi="Times New Roman" w:cstheme="majorBidi"/>
      <w:b/>
      <w:i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B77B8C"/>
    <w:rPr>
      <w:rFonts w:ascii="Times New Roman" w:eastAsiaTheme="majorEastAsia" w:hAnsi="Times New Roman" w:cstheme="majorBidi"/>
      <w:i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C3E7A"/>
    <w:rPr>
      <w:rFonts w:ascii="Times New Roman" w:eastAsiaTheme="majorEastAsia" w:hAnsi="Times New Roman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C3B84"/>
    <w:rPr>
      <w:rFonts w:ascii="Times New Roman" w:eastAsiaTheme="majorEastAsia" w:hAnsi="Times New Roman" w:cstheme="majorBidi"/>
      <w:i/>
      <w:iCs/>
      <w:color w:val="000000" w:themeColor="text1"/>
      <w:kern w:val="2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A0A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AC3"/>
    <w:rPr>
      <w:rFonts w:ascii="Times New Roman" w:hAnsi="Times New Roman"/>
      <w:color w:val="000000" w:themeColor="text1"/>
      <w:kern w:val="2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A0A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AC3"/>
    <w:rPr>
      <w:rFonts w:ascii="Times New Roman" w:hAnsi="Times New Roman"/>
      <w:color w:val="000000" w:themeColor="text1"/>
      <w:kern w:val="2"/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4A9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4A92"/>
    <w:rPr>
      <w:rFonts w:ascii="Times New Roman" w:hAnsi="Times New Roman"/>
      <w:color w:val="000000" w:themeColor="text1"/>
      <w:kern w:val="2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324A9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2023-11-23T10:40:00Z</dcterms:created>
  <dcterms:modified xsi:type="dcterms:W3CDTF">2023-11-23T10:40:00Z</dcterms:modified>
</cp:coreProperties>
</file>