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7347030"/>
        <w:docPartObj>
          <w:docPartGallery w:val="Cover Pages"/>
          <w:docPartUnique/>
        </w:docPartObj>
      </w:sdtPr>
      <w:sdtContent>
        <w:p w14:paraId="203F53EE" w14:textId="1F876A77" w:rsidR="00AF113F" w:rsidRDefault="00AF113F">
          <w:r>
            <w:rPr>
              <w:noProof/>
            </w:rPr>
            <mc:AlternateContent>
              <mc:Choice Requires="wps">
                <w:drawing>
                  <wp:anchor distT="0" distB="0" distL="114300" distR="114300" simplePos="0" relativeHeight="251659264" behindDoc="0" locked="0" layoutInCell="1" allowOverlap="1" wp14:anchorId="5654C175" wp14:editId="0C8E87F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43"/>
                                </w:tblGrid>
                                <w:tr w:rsidR="00AF113F" w14:paraId="200F27AE" w14:textId="77777777">
                                  <w:trPr>
                                    <w:jc w:val="center"/>
                                  </w:trPr>
                                  <w:tc>
                                    <w:tcPr>
                                      <w:tcW w:w="2568" w:type="pct"/>
                                      <w:vAlign w:val="center"/>
                                    </w:tcPr>
                                    <w:p w14:paraId="28D799A1" w14:textId="77777777" w:rsidR="00AF113F" w:rsidRDefault="00AF113F">
                                      <w:pPr>
                                        <w:jc w:val="right"/>
                                      </w:pPr>
                                      <w:r>
                                        <w:rPr>
                                          <w:noProof/>
                                        </w:rPr>
                                        <w:drawing>
                                          <wp:inline distT="0" distB="0" distL="0" distR="0" wp14:anchorId="209EB7E5" wp14:editId="5D28277E">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4">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C0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22D7493" w14:textId="055C6EA7" w:rsidR="00AF113F" w:rsidRPr="00782D7C" w:rsidRDefault="003A3129">
                                          <w:pPr>
                                            <w:pStyle w:val="NoSpacing"/>
                                            <w:spacing w:line="312" w:lineRule="auto"/>
                                            <w:jc w:val="right"/>
                                            <w:rPr>
                                              <w:caps/>
                                              <w:color w:val="C00000"/>
                                              <w:sz w:val="72"/>
                                              <w:szCs w:val="72"/>
                                            </w:rPr>
                                          </w:pPr>
                                          <w:r w:rsidRPr="00782D7C">
                                            <w:rPr>
                                              <w:caps/>
                                              <w:color w:val="C00000"/>
                                              <w:sz w:val="72"/>
                                              <w:szCs w:val="72"/>
                                            </w:rPr>
                                            <w:t>report</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4DE295B" w14:textId="15C99183" w:rsidR="00AF113F" w:rsidRDefault="003A3129">
                                          <w:pPr>
                                            <w:jc w:val="right"/>
                                            <w:rPr>
                                              <w:sz w:val="24"/>
                                              <w:szCs w:val="24"/>
                                            </w:rPr>
                                          </w:pPr>
                                          <w:r>
                                            <w:rPr>
                                              <w:color w:val="000000" w:themeColor="text1"/>
                                              <w:sz w:val="24"/>
                                              <w:szCs w:val="24"/>
                                            </w:rPr>
                                            <w:t xml:space="preserve">     </w:t>
                                          </w:r>
                                        </w:p>
                                      </w:sdtContent>
                                    </w:sdt>
                                  </w:tc>
                                  <w:tc>
                                    <w:tcPr>
                                      <w:tcW w:w="2432" w:type="pct"/>
                                      <w:vAlign w:val="center"/>
                                    </w:tcPr>
                                    <w:p w14:paraId="69E56EEF" w14:textId="3FFF62F4" w:rsidR="00AF113F" w:rsidRDefault="00AF113F">
                                      <w:pPr>
                                        <w:pStyle w:val="NoSpacing"/>
                                        <w:rPr>
                                          <w:caps/>
                                          <w:color w:val="ED7D31" w:themeColor="accent2"/>
                                          <w:sz w:val="26"/>
                                          <w:szCs w:val="26"/>
                                        </w:rPr>
                                      </w:pPr>
                                    </w:p>
                                    <w:sdt>
                                      <w:sdtPr>
                                        <w:rPr>
                                          <w:color w:val="00B05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0AB316F" w14:textId="397FAD10" w:rsidR="00AF113F" w:rsidRDefault="00630A05">
                                          <w:pPr>
                                            <w:pStyle w:val="NoSpacing"/>
                                            <w:rPr>
                                              <w:color w:val="ED7D31" w:themeColor="accent2"/>
                                              <w:sz w:val="26"/>
                                              <w:szCs w:val="26"/>
                                            </w:rPr>
                                          </w:pPr>
                                          <w:r w:rsidRPr="00782D7C">
                                            <w:rPr>
                                              <w:color w:val="00B050"/>
                                              <w:sz w:val="26"/>
                                              <w:szCs w:val="26"/>
                                            </w:rPr>
                                            <w:t xml:space="preserve">Lecturer David Jenkins                               </w:t>
                                          </w:r>
                                          <w:r w:rsidR="00AF113F" w:rsidRPr="00782D7C">
                                            <w:rPr>
                                              <w:color w:val="00B050"/>
                                              <w:sz w:val="26"/>
                                              <w:szCs w:val="26"/>
                                            </w:rPr>
                                            <w:t>Krum Marinov</w:t>
                                          </w:r>
                                          <w:r w:rsidR="004D1FA0" w:rsidRPr="00782D7C">
                                            <w:rPr>
                                              <w:color w:val="00B050"/>
                                              <w:sz w:val="26"/>
                                              <w:szCs w:val="26"/>
                                            </w:rPr>
                                            <w:t xml:space="preserve"> S</w:t>
                                          </w:r>
                                          <w:r w:rsidRPr="00782D7C">
                                            <w:rPr>
                                              <w:color w:val="00B050"/>
                                              <w:sz w:val="26"/>
                                              <w:szCs w:val="26"/>
                                            </w:rPr>
                                            <w:t>t</w:t>
                                          </w:r>
                                          <w:r w:rsidR="004D1FA0" w:rsidRPr="00782D7C">
                                            <w:rPr>
                                              <w:color w:val="00B050"/>
                                              <w:sz w:val="26"/>
                                              <w:szCs w:val="26"/>
                                            </w:rPr>
                                            <w:t>udent ID_1922542</w:t>
                                          </w:r>
                                        </w:p>
                                      </w:sdtContent>
                                    </w:sdt>
                                    <w:p w14:paraId="5294585F" w14:textId="102BB20C" w:rsidR="00AF113F" w:rsidRDefault="00AF113F">
                                      <w:pPr>
                                        <w:pStyle w:val="NoSpacing"/>
                                      </w:pPr>
                                      <w:sdt>
                                        <w:sdtPr>
                                          <w:rPr>
                                            <w:color w:val="2E74B5" w:themeColor="accent5" w:themeShade="BF"/>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D1FA0" w:rsidRPr="00782D7C">
                                            <w:rPr>
                                              <w:color w:val="2E74B5" w:themeColor="accent5" w:themeShade="BF"/>
                                              <w:sz w:val="24"/>
                                              <w:szCs w:val="24"/>
                                            </w:rPr>
                                            <w:t>Management Accounting LCBB5002_BIRM</w:t>
                                          </w:r>
                                        </w:sdtContent>
                                      </w:sdt>
                                    </w:p>
                                  </w:tc>
                                </w:tr>
                              </w:tbl>
                              <w:p w14:paraId="0071F8A9" w14:textId="77777777" w:rsidR="00AF113F" w:rsidRDefault="00AF113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654C17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43"/>
                          </w:tblGrid>
                          <w:tr w:rsidR="00AF113F" w14:paraId="200F27AE" w14:textId="77777777">
                            <w:trPr>
                              <w:jc w:val="center"/>
                            </w:trPr>
                            <w:tc>
                              <w:tcPr>
                                <w:tcW w:w="2568" w:type="pct"/>
                                <w:vAlign w:val="center"/>
                              </w:tcPr>
                              <w:p w14:paraId="28D799A1" w14:textId="77777777" w:rsidR="00AF113F" w:rsidRDefault="00AF113F">
                                <w:pPr>
                                  <w:jc w:val="right"/>
                                </w:pPr>
                                <w:r>
                                  <w:rPr>
                                    <w:noProof/>
                                  </w:rPr>
                                  <w:drawing>
                                    <wp:inline distT="0" distB="0" distL="0" distR="0" wp14:anchorId="209EB7E5" wp14:editId="5D28277E">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4">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C0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22D7493" w14:textId="055C6EA7" w:rsidR="00AF113F" w:rsidRPr="00782D7C" w:rsidRDefault="003A3129">
                                    <w:pPr>
                                      <w:pStyle w:val="NoSpacing"/>
                                      <w:spacing w:line="312" w:lineRule="auto"/>
                                      <w:jc w:val="right"/>
                                      <w:rPr>
                                        <w:caps/>
                                        <w:color w:val="C00000"/>
                                        <w:sz w:val="72"/>
                                        <w:szCs w:val="72"/>
                                      </w:rPr>
                                    </w:pPr>
                                    <w:r w:rsidRPr="00782D7C">
                                      <w:rPr>
                                        <w:caps/>
                                        <w:color w:val="C00000"/>
                                        <w:sz w:val="72"/>
                                        <w:szCs w:val="72"/>
                                      </w:rPr>
                                      <w:t>report</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4DE295B" w14:textId="15C99183" w:rsidR="00AF113F" w:rsidRDefault="003A3129">
                                    <w:pPr>
                                      <w:jc w:val="right"/>
                                      <w:rPr>
                                        <w:sz w:val="24"/>
                                        <w:szCs w:val="24"/>
                                      </w:rPr>
                                    </w:pPr>
                                    <w:r>
                                      <w:rPr>
                                        <w:color w:val="000000" w:themeColor="text1"/>
                                        <w:sz w:val="24"/>
                                        <w:szCs w:val="24"/>
                                      </w:rPr>
                                      <w:t xml:space="preserve">     </w:t>
                                    </w:r>
                                  </w:p>
                                </w:sdtContent>
                              </w:sdt>
                            </w:tc>
                            <w:tc>
                              <w:tcPr>
                                <w:tcW w:w="2432" w:type="pct"/>
                                <w:vAlign w:val="center"/>
                              </w:tcPr>
                              <w:p w14:paraId="69E56EEF" w14:textId="3FFF62F4" w:rsidR="00AF113F" w:rsidRDefault="00AF113F">
                                <w:pPr>
                                  <w:pStyle w:val="NoSpacing"/>
                                  <w:rPr>
                                    <w:caps/>
                                    <w:color w:val="ED7D31" w:themeColor="accent2"/>
                                    <w:sz w:val="26"/>
                                    <w:szCs w:val="26"/>
                                  </w:rPr>
                                </w:pPr>
                              </w:p>
                              <w:sdt>
                                <w:sdtPr>
                                  <w:rPr>
                                    <w:color w:val="00B05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0AB316F" w14:textId="397FAD10" w:rsidR="00AF113F" w:rsidRDefault="00630A05">
                                    <w:pPr>
                                      <w:pStyle w:val="NoSpacing"/>
                                      <w:rPr>
                                        <w:color w:val="ED7D31" w:themeColor="accent2"/>
                                        <w:sz w:val="26"/>
                                        <w:szCs w:val="26"/>
                                      </w:rPr>
                                    </w:pPr>
                                    <w:r w:rsidRPr="00782D7C">
                                      <w:rPr>
                                        <w:color w:val="00B050"/>
                                        <w:sz w:val="26"/>
                                        <w:szCs w:val="26"/>
                                      </w:rPr>
                                      <w:t xml:space="preserve">Lecturer David Jenkins                               </w:t>
                                    </w:r>
                                    <w:r w:rsidR="00AF113F" w:rsidRPr="00782D7C">
                                      <w:rPr>
                                        <w:color w:val="00B050"/>
                                        <w:sz w:val="26"/>
                                        <w:szCs w:val="26"/>
                                      </w:rPr>
                                      <w:t>Krum Marinov</w:t>
                                    </w:r>
                                    <w:r w:rsidR="004D1FA0" w:rsidRPr="00782D7C">
                                      <w:rPr>
                                        <w:color w:val="00B050"/>
                                        <w:sz w:val="26"/>
                                        <w:szCs w:val="26"/>
                                      </w:rPr>
                                      <w:t xml:space="preserve"> S</w:t>
                                    </w:r>
                                    <w:r w:rsidRPr="00782D7C">
                                      <w:rPr>
                                        <w:color w:val="00B050"/>
                                        <w:sz w:val="26"/>
                                        <w:szCs w:val="26"/>
                                      </w:rPr>
                                      <w:t>t</w:t>
                                    </w:r>
                                    <w:r w:rsidR="004D1FA0" w:rsidRPr="00782D7C">
                                      <w:rPr>
                                        <w:color w:val="00B050"/>
                                        <w:sz w:val="26"/>
                                        <w:szCs w:val="26"/>
                                      </w:rPr>
                                      <w:t>udent ID_1922542</w:t>
                                    </w:r>
                                  </w:p>
                                </w:sdtContent>
                              </w:sdt>
                              <w:p w14:paraId="5294585F" w14:textId="102BB20C" w:rsidR="00AF113F" w:rsidRDefault="00AF113F">
                                <w:pPr>
                                  <w:pStyle w:val="NoSpacing"/>
                                </w:pPr>
                                <w:sdt>
                                  <w:sdtPr>
                                    <w:rPr>
                                      <w:color w:val="2E74B5" w:themeColor="accent5" w:themeShade="BF"/>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D1FA0" w:rsidRPr="00782D7C">
                                      <w:rPr>
                                        <w:color w:val="2E74B5" w:themeColor="accent5" w:themeShade="BF"/>
                                        <w:sz w:val="24"/>
                                        <w:szCs w:val="24"/>
                                      </w:rPr>
                                      <w:t>Management Accounting LCBB5002_BIRM</w:t>
                                    </w:r>
                                  </w:sdtContent>
                                </w:sdt>
                              </w:p>
                            </w:tc>
                          </w:tr>
                        </w:tbl>
                        <w:p w14:paraId="0071F8A9" w14:textId="77777777" w:rsidR="00AF113F" w:rsidRDefault="00AF113F"/>
                      </w:txbxContent>
                    </v:textbox>
                    <w10:wrap anchorx="page" anchory="page"/>
                  </v:shape>
                </w:pict>
              </mc:Fallback>
            </mc:AlternateContent>
          </w:r>
          <w:r>
            <w:br w:type="page"/>
          </w:r>
        </w:p>
      </w:sdtContent>
    </w:sdt>
    <w:sdt>
      <w:sdtPr>
        <w:rPr>
          <w:rFonts w:ascii="Arial" w:eastAsia="Calibri" w:hAnsi="Arial" w:cs="Arial"/>
        </w:rPr>
        <w:id w:val="-1998878206"/>
        <w:docPartObj>
          <w:docPartGallery w:val="Table of Contents"/>
          <w:docPartUnique/>
        </w:docPartObj>
      </w:sdtPr>
      <w:sdtEndPr>
        <w:rPr>
          <w:noProof/>
        </w:rPr>
      </w:sdtEndPr>
      <w:sdtContent>
        <w:p w14:paraId="5182E3D5" w14:textId="6611838B" w:rsidR="00AF113F" w:rsidRPr="00AF113F" w:rsidRDefault="00782D7C" w:rsidP="00AF113F">
          <w:pPr>
            <w:keepNext/>
            <w:keepLines/>
            <w:spacing w:before="240" w:after="0" w:line="360" w:lineRule="auto"/>
            <w:rPr>
              <w:rFonts w:ascii="Arial" w:eastAsia="Times New Roman" w:hAnsi="Arial" w:cs="Arial"/>
              <w:color w:val="2E74B5"/>
              <w:lang w:val="en-US"/>
            </w:rPr>
          </w:pPr>
          <w:r>
            <w:rPr>
              <w:rFonts w:ascii="Arial" w:eastAsia="Times New Roman" w:hAnsi="Arial" w:cs="Arial"/>
              <w:color w:val="2E74B5"/>
              <w:lang w:val="en-US"/>
            </w:rPr>
            <w:t xml:space="preserve">Table </w:t>
          </w:r>
          <w:r w:rsidR="000A5154">
            <w:rPr>
              <w:rFonts w:ascii="Arial" w:eastAsia="Times New Roman" w:hAnsi="Arial" w:cs="Arial"/>
              <w:color w:val="2E74B5"/>
              <w:lang w:val="en-US"/>
            </w:rPr>
            <w:t>of c</w:t>
          </w:r>
          <w:r w:rsidR="00AF113F" w:rsidRPr="00AF113F">
            <w:rPr>
              <w:rFonts w:ascii="Arial" w:eastAsia="Times New Roman" w:hAnsi="Arial" w:cs="Arial"/>
              <w:color w:val="2E74B5"/>
              <w:lang w:val="en-US"/>
            </w:rPr>
            <w:t>ontents</w:t>
          </w:r>
        </w:p>
        <w:p w14:paraId="4A53D913" w14:textId="626C3C93" w:rsidR="00630A05" w:rsidRPr="00782D7C" w:rsidRDefault="00AF113F">
          <w:pPr>
            <w:pStyle w:val="TOC1"/>
            <w:tabs>
              <w:tab w:val="right" w:leader="dot" w:pos="9016"/>
            </w:tabs>
            <w:rPr>
              <w:rFonts w:ascii="Arial" w:hAnsi="Arial" w:cs="Arial"/>
              <w:noProof/>
            </w:rPr>
          </w:pPr>
          <w:r w:rsidRPr="00AF113F">
            <w:rPr>
              <w:rFonts w:ascii="Arial" w:eastAsia="Calibri" w:hAnsi="Arial" w:cs="Arial"/>
            </w:rPr>
            <w:fldChar w:fldCharType="begin"/>
          </w:r>
          <w:r w:rsidRPr="00AF113F">
            <w:rPr>
              <w:rFonts w:ascii="Arial" w:eastAsia="Calibri" w:hAnsi="Arial" w:cs="Arial"/>
            </w:rPr>
            <w:instrText xml:space="preserve"> TOC \o "1-3" \h \z \u </w:instrText>
          </w:r>
          <w:r w:rsidRPr="00AF113F">
            <w:rPr>
              <w:rFonts w:ascii="Arial" w:eastAsia="Calibri" w:hAnsi="Arial" w:cs="Arial"/>
            </w:rPr>
            <w:fldChar w:fldCharType="separate"/>
          </w:r>
          <w:hyperlink w:anchor="_Toc86050421" w:history="1">
            <w:r w:rsidR="00630A05" w:rsidRPr="00782D7C">
              <w:rPr>
                <w:rStyle w:val="Hyperlink"/>
                <w:rFonts w:ascii="Arial" w:eastAsia="Times New Roman" w:hAnsi="Arial" w:cs="Arial"/>
                <w:b/>
                <w:noProof/>
              </w:rPr>
              <w:t>Introduction</w:t>
            </w:r>
            <w:r w:rsidR="00630A05" w:rsidRPr="00782D7C">
              <w:rPr>
                <w:rFonts w:ascii="Arial" w:hAnsi="Arial" w:cs="Arial"/>
                <w:noProof/>
                <w:webHidden/>
              </w:rPr>
              <w:tab/>
            </w:r>
            <w:r w:rsidR="00630A05" w:rsidRPr="00782D7C">
              <w:rPr>
                <w:rFonts w:ascii="Arial" w:hAnsi="Arial" w:cs="Arial"/>
                <w:noProof/>
                <w:webHidden/>
              </w:rPr>
              <w:fldChar w:fldCharType="begin"/>
            </w:r>
            <w:r w:rsidR="00630A05" w:rsidRPr="00782D7C">
              <w:rPr>
                <w:rFonts w:ascii="Arial" w:hAnsi="Arial" w:cs="Arial"/>
                <w:noProof/>
                <w:webHidden/>
              </w:rPr>
              <w:instrText xml:space="preserve"> PAGEREF _Toc86050421 \h </w:instrText>
            </w:r>
            <w:r w:rsidR="00630A05" w:rsidRPr="00782D7C">
              <w:rPr>
                <w:rFonts w:ascii="Arial" w:hAnsi="Arial" w:cs="Arial"/>
                <w:noProof/>
                <w:webHidden/>
              </w:rPr>
            </w:r>
            <w:r w:rsidR="00630A05" w:rsidRPr="00782D7C">
              <w:rPr>
                <w:rFonts w:ascii="Arial" w:hAnsi="Arial" w:cs="Arial"/>
                <w:noProof/>
                <w:webHidden/>
              </w:rPr>
              <w:fldChar w:fldCharType="separate"/>
            </w:r>
            <w:r w:rsidR="00630A05" w:rsidRPr="00782D7C">
              <w:rPr>
                <w:rFonts w:ascii="Arial" w:hAnsi="Arial" w:cs="Arial"/>
                <w:noProof/>
                <w:webHidden/>
              </w:rPr>
              <w:t>2</w:t>
            </w:r>
            <w:r w:rsidR="00630A05" w:rsidRPr="00782D7C">
              <w:rPr>
                <w:rFonts w:ascii="Arial" w:hAnsi="Arial" w:cs="Arial"/>
                <w:noProof/>
                <w:webHidden/>
              </w:rPr>
              <w:fldChar w:fldCharType="end"/>
            </w:r>
          </w:hyperlink>
        </w:p>
        <w:p w14:paraId="0DBB8F03" w14:textId="2F9BFF6C" w:rsidR="00630A05" w:rsidRPr="00782D7C" w:rsidRDefault="00630A05">
          <w:pPr>
            <w:pStyle w:val="TOC1"/>
            <w:tabs>
              <w:tab w:val="right" w:leader="dot" w:pos="9016"/>
            </w:tabs>
            <w:rPr>
              <w:rFonts w:ascii="Arial" w:hAnsi="Arial" w:cs="Arial"/>
              <w:noProof/>
            </w:rPr>
          </w:pPr>
          <w:hyperlink w:anchor="_Toc86050422" w:history="1">
            <w:r w:rsidRPr="00782D7C">
              <w:rPr>
                <w:rStyle w:val="Hyperlink"/>
                <w:rFonts w:ascii="Arial" w:eastAsia="Times New Roman" w:hAnsi="Arial" w:cs="Arial"/>
                <w:b/>
                <w:noProof/>
              </w:rPr>
              <w:t>Current profit position</w:t>
            </w:r>
            <w:r w:rsidRPr="00782D7C">
              <w:rPr>
                <w:rFonts w:ascii="Arial" w:hAnsi="Arial" w:cs="Arial"/>
                <w:noProof/>
                <w:webHidden/>
              </w:rPr>
              <w:tab/>
            </w:r>
            <w:r w:rsidRPr="00782D7C">
              <w:rPr>
                <w:rFonts w:ascii="Arial" w:hAnsi="Arial" w:cs="Arial"/>
                <w:noProof/>
                <w:webHidden/>
              </w:rPr>
              <w:fldChar w:fldCharType="begin"/>
            </w:r>
            <w:r w:rsidRPr="00782D7C">
              <w:rPr>
                <w:rFonts w:ascii="Arial" w:hAnsi="Arial" w:cs="Arial"/>
                <w:noProof/>
                <w:webHidden/>
              </w:rPr>
              <w:instrText xml:space="preserve"> PAGEREF _Toc86050422 \h </w:instrText>
            </w:r>
            <w:r w:rsidRPr="00782D7C">
              <w:rPr>
                <w:rFonts w:ascii="Arial" w:hAnsi="Arial" w:cs="Arial"/>
                <w:noProof/>
                <w:webHidden/>
              </w:rPr>
            </w:r>
            <w:r w:rsidRPr="00782D7C">
              <w:rPr>
                <w:rFonts w:ascii="Arial" w:hAnsi="Arial" w:cs="Arial"/>
                <w:noProof/>
                <w:webHidden/>
              </w:rPr>
              <w:fldChar w:fldCharType="separate"/>
            </w:r>
            <w:r w:rsidRPr="00782D7C">
              <w:rPr>
                <w:rFonts w:ascii="Arial" w:hAnsi="Arial" w:cs="Arial"/>
                <w:noProof/>
                <w:webHidden/>
              </w:rPr>
              <w:t>2</w:t>
            </w:r>
            <w:r w:rsidRPr="00782D7C">
              <w:rPr>
                <w:rFonts w:ascii="Arial" w:hAnsi="Arial" w:cs="Arial"/>
                <w:noProof/>
                <w:webHidden/>
              </w:rPr>
              <w:fldChar w:fldCharType="end"/>
            </w:r>
          </w:hyperlink>
        </w:p>
        <w:p w14:paraId="6F6A2926" w14:textId="12D071B9" w:rsidR="00630A05" w:rsidRPr="00782D7C" w:rsidRDefault="00630A05">
          <w:pPr>
            <w:pStyle w:val="TOC1"/>
            <w:tabs>
              <w:tab w:val="right" w:leader="dot" w:pos="9016"/>
            </w:tabs>
            <w:rPr>
              <w:rFonts w:ascii="Arial" w:hAnsi="Arial" w:cs="Arial"/>
              <w:noProof/>
            </w:rPr>
          </w:pPr>
          <w:hyperlink w:anchor="_Toc86050423" w:history="1">
            <w:r w:rsidRPr="00782D7C">
              <w:rPr>
                <w:rStyle w:val="Hyperlink"/>
                <w:rFonts w:ascii="Arial" w:eastAsia="Times New Roman" w:hAnsi="Arial" w:cs="Arial"/>
                <w:b/>
                <w:noProof/>
              </w:rPr>
              <w:t>Critical analysis of the costs</w:t>
            </w:r>
            <w:r w:rsidRPr="00782D7C">
              <w:rPr>
                <w:rFonts w:ascii="Arial" w:hAnsi="Arial" w:cs="Arial"/>
                <w:noProof/>
                <w:webHidden/>
              </w:rPr>
              <w:tab/>
            </w:r>
            <w:r w:rsidRPr="00782D7C">
              <w:rPr>
                <w:rFonts w:ascii="Arial" w:hAnsi="Arial" w:cs="Arial"/>
                <w:noProof/>
                <w:webHidden/>
              </w:rPr>
              <w:fldChar w:fldCharType="begin"/>
            </w:r>
            <w:r w:rsidRPr="00782D7C">
              <w:rPr>
                <w:rFonts w:ascii="Arial" w:hAnsi="Arial" w:cs="Arial"/>
                <w:noProof/>
                <w:webHidden/>
              </w:rPr>
              <w:instrText xml:space="preserve"> PAGEREF _Toc86050423 \h </w:instrText>
            </w:r>
            <w:r w:rsidRPr="00782D7C">
              <w:rPr>
                <w:rFonts w:ascii="Arial" w:hAnsi="Arial" w:cs="Arial"/>
                <w:noProof/>
                <w:webHidden/>
              </w:rPr>
            </w:r>
            <w:r w:rsidRPr="00782D7C">
              <w:rPr>
                <w:rFonts w:ascii="Arial" w:hAnsi="Arial" w:cs="Arial"/>
                <w:noProof/>
                <w:webHidden/>
              </w:rPr>
              <w:fldChar w:fldCharType="separate"/>
            </w:r>
            <w:r w:rsidRPr="00782D7C">
              <w:rPr>
                <w:rFonts w:ascii="Arial" w:hAnsi="Arial" w:cs="Arial"/>
                <w:noProof/>
                <w:webHidden/>
              </w:rPr>
              <w:t>3</w:t>
            </w:r>
            <w:r w:rsidRPr="00782D7C">
              <w:rPr>
                <w:rFonts w:ascii="Arial" w:hAnsi="Arial" w:cs="Arial"/>
                <w:noProof/>
                <w:webHidden/>
              </w:rPr>
              <w:fldChar w:fldCharType="end"/>
            </w:r>
          </w:hyperlink>
        </w:p>
        <w:p w14:paraId="56B98672" w14:textId="7BEF6928" w:rsidR="00630A05" w:rsidRPr="00782D7C" w:rsidRDefault="00630A05">
          <w:pPr>
            <w:pStyle w:val="TOC1"/>
            <w:tabs>
              <w:tab w:val="right" w:leader="dot" w:pos="9016"/>
            </w:tabs>
            <w:rPr>
              <w:rFonts w:ascii="Arial" w:hAnsi="Arial" w:cs="Arial"/>
              <w:noProof/>
            </w:rPr>
          </w:pPr>
          <w:hyperlink w:anchor="_Toc86050424" w:history="1">
            <w:r w:rsidRPr="00782D7C">
              <w:rPr>
                <w:rStyle w:val="Hyperlink"/>
                <w:rFonts w:ascii="Arial" w:eastAsia="Times New Roman" w:hAnsi="Arial" w:cs="Arial"/>
                <w:b/>
                <w:noProof/>
              </w:rPr>
              <w:t>Recommendations to be adopted by the management of Rapid Response Drainage Services Limited</w:t>
            </w:r>
            <w:r w:rsidRPr="00782D7C">
              <w:rPr>
                <w:rFonts w:ascii="Arial" w:hAnsi="Arial" w:cs="Arial"/>
                <w:noProof/>
                <w:webHidden/>
              </w:rPr>
              <w:tab/>
            </w:r>
            <w:r w:rsidRPr="00782D7C">
              <w:rPr>
                <w:rFonts w:ascii="Arial" w:hAnsi="Arial" w:cs="Arial"/>
                <w:noProof/>
                <w:webHidden/>
              </w:rPr>
              <w:fldChar w:fldCharType="begin"/>
            </w:r>
            <w:r w:rsidRPr="00782D7C">
              <w:rPr>
                <w:rFonts w:ascii="Arial" w:hAnsi="Arial" w:cs="Arial"/>
                <w:noProof/>
                <w:webHidden/>
              </w:rPr>
              <w:instrText xml:space="preserve"> PAGEREF _Toc86050424 \h </w:instrText>
            </w:r>
            <w:r w:rsidRPr="00782D7C">
              <w:rPr>
                <w:rFonts w:ascii="Arial" w:hAnsi="Arial" w:cs="Arial"/>
                <w:noProof/>
                <w:webHidden/>
              </w:rPr>
            </w:r>
            <w:r w:rsidRPr="00782D7C">
              <w:rPr>
                <w:rFonts w:ascii="Arial" w:hAnsi="Arial" w:cs="Arial"/>
                <w:noProof/>
                <w:webHidden/>
              </w:rPr>
              <w:fldChar w:fldCharType="separate"/>
            </w:r>
            <w:r w:rsidRPr="00782D7C">
              <w:rPr>
                <w:rFonts w:ascii="Arial" w:hAnsi="Arial" w:cs="Arial"/>
                <w:noProof/>
                <w:webHidden/>
              </w:rPr>
              <w:t>4</w:t>
            </w:r>
            <w:r w:rsidRPr="00782D7C">
              <w:rPr>
                <w:rFonts w:ascii="Arial" w:hAnsi="Arial" w:cs="Arial"/>
                <w:noProof/>
                <w:webHidden/>
              </w:rPr>
              <w:fldChar w:fldCharType="end"/>
            </w:r>
          </w:hyperlink>
        </w:p>
        <w:p w14:paraId="2667B622" w14:textId="4D529337" w:rsidR="00630A05" w:rsidRPr="00782D7C" w:rsidRDefault="00630A05">
          <w:pPr>
            <w:pStyle w:val="TOC1"/>
            <w:tabs>
              <w:tab w:val="right" w:leader="dot" w:pos="9016"/>
            </w:tabs>
            <w:rPr>
              <w:rFonts w:ascii="Arial" w:hAnsi="Arial" w:cs="Arial"/>
              <w:noProof/>
            </w:rPr>
          </w:pPr>
          <w:hyperlink w:anchor="_Toc86050425" w:history="1">
            <w:r w:rsidRPr="00782D7C">
              <w:rPr>
                <w:rStyle w:val="Hyperlink"/>
                <w:rFonts w:ascii="Arial" w:eastAsia="Times New Roman" w:hAnsi="Arial" w:cs="Arial"/>
                <w:b/>
                <w:noProof/>
              </w:rPr>
              <w:t>Conclusion</w:t>
            </w:r>
            <w:r w:rsidRPr="00782D7C">
              <w:rPr>
                <w:rFonts w:ascii="Arial" w:hAnsi="Arial" w:cs="Arial"/>
                <w:noProof/>
                <w:webHidden/>
              </w:rPr>
              <w:tab/>
            </w:r>
            <w:r w:rsidRPr="00782D7C">
              <w:rPr>
                <w:rFonts w:ascii="Arial" w:hAnsi="Arial" w:cs="Arial"/>
                <w:noProof/>
                <w:webHidden/>
              </w:rPr>
              <w:fldChar w:fldCharType="begin"/>
            </w:r>
            <w:r w:rsidRPr="00782D7C">
              <w:rPr>
                <w:rFonts w:ascii="Arial" w:hAnsi="Arial" w:cs="Arial"/>
                <w:noProof/>
                <w:webHidden/>
              </w:rPr>
              <w:instrText xml:space="preserve"> PAGEREF _Toc86050425 \h </w:instrText>
            </w:r>
            <w:r w:rsidRPr="00782D7C">
              <w:rPr>
                <w:rFonts w:ascii="Arial" w:hAnsi="Arial" w:cs="Arial"/>
                <w:noProof/>
                <w:webHidden/>
              </w:rPr>
            </w:r>
            <w:r w:rsidRPr="00782D7C">
              <w:rPr>
                <w:rFonts w:ascii="Arial" w:hAnsi="Arial" w:cs="Arial"/>
                <w:noProof/>
                <w:webHidden/>
              </w:rPr>
              <w:fldChar w:fldCharType="separate"/>
            </w:r>
            <w:r w:rsidRPr="00782D7C">
              <w:rPr>
                <w:rFonts w:ascii="Arial" w:hAnsi="Arial" w:cs="Arial"/>
                <w:noProof/>
                <w:webHidden/>
              </w:rPr>
              <w:t>6</w:t>
            </w:r>
            <w:r w:rsidRPr="00782D7C">
              <w:rPr>
                <w:rFonts w:ascii="Arial" w:hAnsi="Arial" w:cs="Arial"/>
                <w:noProof/>
                <w:webHidden/>
              </w:rPr>
              <w:fldChar w:fldCharType="end"/>
            </w:r>
          </w:hyperlink>
        </w:p>
        <w:p w14:paraId="73C2ED59" w14:textId="2422322E" w:rsidR="00630A05" w:rsidRPr="00782D7C" w:rsidRDefault="00630A05">
          <w:pPr>
            <w:pStyle w:val="TOC1"/>
            <w:tabs>
              <w:tab w:val="right" w:leader="dot" w:pos="9016"/>
            </w:tabs>
            <w:rPr>
              <w:rFonts w:ascii="Arial" w:hAnsi="Arial" w:cs="Arial"/>
              <w:noProof/>
            </w:rPr>
          </w:pPr>
          <w:hyperlink w:anchor="_Toc86050426" w:history="1">
            <w:r w:rsidRPr="00782D7C">
              <w:rPr>
                <w:rStyle w:val="Hyperlink"/>
                <w:rFonts w:ascii="Arial" w:eastAsia="Times New Roman" w:hAnsi="Arial" w:cs="Arial"/>
                <w:b/>
                <w:noProof/>
              </w:rPr>
              <w:t>References</w:t>
            </w:r>
            <w:r w:rsidRPr="00782D7C">
              <w:rPr>
                <w:rFonts w:ascii="Arial" w:hAnsi="Arial" w:cs="Arial"/>
                <w:noProof/>
                <w:webHidden/>
              </w:rPr>
              <w:tab/>
            </w:r>
            <w:r w:rsidRPr="00782D7C">
              <w:rPr>
                <w:rFonts w:ascii="Arial" w:hAnsi="Arial" w:cs="Arial"/>
                <w:noProof/>
                <w:webHidden/>
              </w:rPr>
              <w:fldChar w:fldCharType="begin"/>
            </w:r>
            <w:r w:rsidRPr="00782D7C">
              <w:rPr>
                <w:rFonts w:ascii="Arial" w:hAnsi="Arial" w:cs="Arial"/>
                <w:noProof/>
                <w:webHidden/>
              </w:rPr>
              <w:instrText xml:space="preserve"> PAGEREF _Toc86050426 \h </w:instrText>
            </w:r>
            <w:r w:rsidRPr="00782D7C">
              <w:rPr>
                <w:rFonts w:ascii="Arial" w:hAnsi="Arial" w:cs="Arial"/>
                <w:noProof/>
                <w:webHidden/>
              </w:rPr>
            </w:r>
            <w:r w:rsidRPr="00782D7C">
              <w:rPr>
                <w:rFonts w:ascii="Arial" w:hAnsi="Arial" w:cs="Arial"/>
                <w:noProof/>
                <w:webHidden/>
              </w:rPr>
              <w:fldChar w:fldCharType="separate"/>
            </w:r>
            <w:r w:rsidRPr="00782D7C">
              <w:rPr>
                <w:rFonts w:ascii="Arial" w:hAnsi="Arial" w:cs="Arial"/>
                <w:noProof/>
                <w:webHidden/>
              </w:rPr>
              <w:t>7</w:t>
            </w:r>
            <w:r w:rsidRPr="00782D7C">
              <w:rPr>
                <w:rFonts w:ascii="Arial" w:hAnsi="Arial" w:cs="Arial"/>
                <w:noProof/>
                <w:webHidden/>
              </w:rPr>
              <w:fldChar w:fldCharType="end"/>
            </w:r>
          </w:hyperlink>
        </w:p>
        <w:p w14:paraId="01320C28" w14:textId="1818559D" w:rsidR="00AF113F" w:rsidRPr="00AF113F" w:rsidRDefault="00AF113F" w:rsidP="00AF113F">
          <w:pPr>
            <w:spacing w:line="360" w:lineRule="auto"/>
            <w:rPr>
              <w:rFonts w:ascii="Arial" w:eastAsia="Calibri" w:hAnsi="Arial" w:cs="Arial"/>
            </w:rPr>
          </w:pPr>
          <w:r w:rsidRPr="00AF113F">
            <w:rPr>
              <w:rFonts w:ascii="Arial" w:eastAsia="Calibri" w:hAnsi="Arial" w:cs="Arial"/>
              <w:noProof/>
            </w:rPr>
            <w:fldChar w:fldCharType="end"/>
          </w:r>
        </w:p>
      </w:sdtContent>
    </w:sdt>
    <w:p w14:paraId="7809180B" w14:textId="77777777" w:rsidR="00AF113F" w:rsidRPr="00AF113F" w:rsidRDefault="00AF113F" w:rsidP="00AF113F">
      <w:pPr>
        <w:spacing w:line="360" w:lineRule="auto"/>
        <w:rPr>
          <w:rFonts w:ascii="Arial" w:eastAsia="Calibri" w:hAnsi="Arial" w:cs="Arial"/>
          <w:b/>
        </w:rPr>
      </w:pPr>
      <w:r w:rsidRPr="00AF113F">
        <w:rPr>
          <w:rFonts w:ascii="Arial" w:eastAsia="Calibri" w:hAnsi="Arial" w:cs="Arial"/>
          <w:b/>
        </w:rPr>
        <w:br w:type="page"/>
      </w:r>
    </w:p>
    <w:p w14:paraId="0FEC6313" w14:textId="77777777" w:rsidR="00AF113F" w:rsidRPr="00AF113F" w:rsidRDefault="00AF113F" w:rsidP="00782D7C">
      <w:pPr>
        <w:keepNext/>
        <w:keepLines/>
        <w:spacing w:before="240" w:after="0" w:line="360" w:lineRule="auto"/>
        <w:jc w:val="center"/>
        <w:outlineLvl w:val="0"/>
        <w:rPr>
          <w:rFonts w:ascii="Arial" w:eastAsia="Times New Roman" w:hAnsi="Arial" w:cs="Arial"/>
          <w:b/>
          <w:color w:val="0070C0"/>
        </w:rPr>
      </w:pPr>
      <w:bookmarkStart w:id="0" w:name="_Toc86050421"/>
      <w:r w:rsidRPr="00AF113F">
        <w:rPr>
          <w:rFonts w:ascii="Arial" w:eastAsia="Times New Roman" w:hAnsi="Arial" w:cs="Arial"/>
          <w:b/>
          <w:color w:val="0070C0"/>
        </w:rPr>
        <w:lastRenderedPageBreak/>
        <w:t>Introduction</w:t>
      </w:r>
      <w:bookmarkEnd w:id="0"/>
    </w:p>
    <w:p w14:paraId="7AA17F54"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Management accounting is a crucial aspect that aids the managers in making strategic decisions in connection to income and expenditure decisions and other investment options. Consequently, for effective results, the management of any firm is obliged to implement and choose appropriate management accounting methods such as variable costing and strategies. Therefore, the management accountant of Rapid Response Drainage Services Limited is expected to prepare a report to the Board of Directors regarding the suggested closure of the Coventry branch. Notably, the management accountant is expected to state the most appropriate course of action based on the Company's financial situation. </w:t>
      </w:r>
    </w:p>
    <w:p w14:paraId="209EB8E5" w14:textId="77777777" w:rsidR="00AF113F" w:rsidRPr="00AF113F" w:rsidRDefault="00AF113F" w:rsidP="00782D7C">
      <w:pPr>
        <w:keepNext/>
        <w:keepLines/>
        <w:spacing w:before="240" w:after="0" w:line="360" w:lineRule="auto"/>
        <w:jc w:val="center"/>
        <w:outlineLvl w:val="0"/>
        <w:rPr>
          <w:rFonts w:ascii="Arial" w:eastAsia="Times New Roman" w:hAnsi="Arial" w:cs="Arial"/>
          <w:b/>
          <w:color w:val="0070C0"/>
        </w:rPr>
      </w:pPr>
      <w:bookmarkStart w:id="1" w:name="_Toc86050422"/>
      <w:r w:rsidRPr="00AF113F">
        <w:rPr>
          <w:rFonts w:ascii="Arial" w:eastAsia="Times New Roman" w:hAnsi="Arial" w:cs="Arial"/>
          <w:b/>
          <w:color w:val="0070C0"/>
        </w:rPr>
        <w:t>Current profit position</w:t>
      </w:r>
      <w:bookmarkEnd w:id="1"/>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1390"/>
        <w:gridCol w:w="1440"/>
        <w:gridCol w:w="1260"/>
        <w:gridCol w:w="1195"/>
      </w:tblGrid>
      <w:tr w:rsidR="00AF113F" w:rsidRPr="00AF113F" w14:paraId="24EC6984" w14:textId="77777777" w:rsidTr="00D83BD1">
        <w:trPr>
          <w:trHeight w:val="300"/>
        </w:trPr>
        <w:tc>
          <w:tcPr>
            <w:tcW w:w="3235" w:type="dxa"/>
            <w:shd w:val="clear" w:color="auto" w:fill="auto"/>
            <w:noWrap/>
            <w:vAlign w:val="bottom"/>
            <w:hideMark/>
          </w:tcPr>
          <w:p w14:paraId="0427FAF1" w14:textId="77777777" w:rsidR="00AF113F" w:rsidRPr="00AF113F" w:rsidRDefault="00AF113F" w:rsidP="00782D7C">
            <w:pPr>
              <w:spacing w:after="0" w:line="360" w:lineRule="auto"/>
              <w:rPr>
                <w:rFonts w:ascii="Arial" w:eastAsia="Times New Roman" w:hAnsi="Arial" w:cs="Arial"/>
                <w:b/>
                <w:color w:val="000000"/>
                <w:lang w:val="en-US"/>
              </w:rPr>
            </w:pPr>
            <w:r w:rsidRPr="00AF113F">
              <w:rPr>
                <w:rFonts w:ascii="Arial" w:eastAsia="Times New Roman" w:hAnsi="Arial" w:cs="Arial"/>
                <w:b/>
                <w:color w:val="000000"/>
                <w:lang w:val="en-US"/>
              </w:rPr>
              <w:t>Details</w:t>
            </w:r>
          </w:p>
        </w:tc>
        <w:tc>
          <w:tcPr>
            <w:tcW w:w="1390" w:type="dxa"/>
            <w:shd w:val="clear" w:color="auto" w:fill="auto"/>
            <w:noWrap/>
            <w:vAlign w:val="bottom"/>
            <w:hideMark/>
          </w:tcPr>
          <w:p w14:paraId="0CD2A98C"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Birmingham</w:t>
            </w:r>
          </w:p>
        </w:tc>
        <w:tc>
          <w:tcPr>
            <w:tcW w:w="1440" w:type="dxa"/>
            <w:shd w:val="clear" w:color="auto" w:fill="auto"/>
            <w:noWrap/>
            <w:vAlign w:val="bottom"/>
            <w:hideMark/>
          </w:tcPr>
          <w:p w14:paraId="08BF29F8"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Stafford</w:t>
            </w:r>
          </w:p>
        </w:tc>
        <w:tc>
          <w:tcPr>
            <w:tcW w:w="1260" w:type="dxa"/>
            <w:shd w:val="clear" w:color="auto" w:fill="auto"/>
            <w:noWrap/>
            <w:vAlign w:val="bottom"/>
            <w:hideMark/>
          </w:tcPr>
          <w:p w14:paraId="28B9B4DC"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Coventry</w:t>
            </w:r>
          </w:p>
        </w:tc>
        <w:tc>
          <w:tcPr>
            <w:tcW w:w="1195" w:type="dxa"/>
            <w:shd w:val="clear" w:color="auto" w:fill="auto"/>
            <w:noWrap/>
            <w:vAlign w:val="bottom"/>
            <w:hideMark/>
          </w:tcPr>
          <w:p w14:paraId="775C2460"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Total</w:t>
            </w:r>
          </w:p>
        </w:tc>
      </w:tr>
      <w:tr w:rsidR="00AF113F" w:rsidRPr="00AF113F" w14:paraId="402F930E" w14:textId="77777777" w:rsidTr="00D83BD1">
        <w:trPr>
          <w:trHeight w:val="300"/>
        </w:trPr>
        <w:tc>
          <w:tcPr>
            <w:tcW w:w="3235" w:type="dxa"/>
            <w:shd w:val="clear" w:color="auto" w:fill="auto"/>
            <w:noWrap/>
            <w:vAlign w:val="bottom"/>
            <w:hideMark/>
          </w:tcPr>
          <w:p w14:paraId="1C98C37F"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Sales</w:t>
            </w:r>
          </w:p>
        </w:tc>
        <w:tc>
          <w:tcPr>
            <w:tcW w:w="1390" w:type="dxa"/>
            <w:shd w:val="clear" w:color="auto" w:fill="auto"/>
            <w:noWrap/>
            <w:vAlign w:val="bottom"/>
            <w:hideMark/>
          </w:tcPr>
          <w:p w14:paraId="2B90B11C"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1,400,000</w:t>
            </w:r>
          </w:p>
        </w:tc>
        <w:tc>
          <w:tcPr>
            <w:tcW w:w="1440" w:type="dxa"/>
            <w:shd w:val="clear" w:color="auto" w:fill="auto"/>
            <w:noWrap/>
            <w:vAlign w:val="bottom"/>
            <w:hideMark/>
          </w:tcPr>
          <w:p w14:paraId="68E74E12"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880,000</w:t>
            </w:r>
          </w:p>
        </w:tc>
        <w:tc>
          <w:tcPr>
            <w:tcW w:w="1260" w:type="dxa"/>
            <w:shd w:val="clear" w:color="auto" w:fill="auto"/>
            <w:noWrap/>
            <w:vAlign w:val="bottom"/>
            <w:hideMark/>
          </w:tcPr>
          <w:p w14:paraId="0CAAECA6"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800,000</w:t>
            </w:r>
          </w:p>
        </w:tc>
        <w:tc>
          <w:tcPr>
            <w:tcW w:w="1195" w:type="dxa"/>
            <w:shd w:val="clear" w:color="auto" w:fill="auto"/>
            <w:noWrap/>
            <w:vAlign w:val="bottom"/>
            <w:hideMark/>
          </w:tcPr>
          <w:p w14:paraId="14454332"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3,080,000</w:t>
            </w:r>
          </w:p>
        </w:tc>
      </w:tr>
      <w:tr w:rsidR="00AF113F" w:rsidRPr="00AF113F" w14:paraId="10F4F5BC" w14:textId="77777777" w:rsidTr="00D83BD1">
        <w:trPr>
          <w:trHeight w:val="300"/>
        </w:trPr>
        <w:tc>
          <w:tcPr>
            <w:tcW w:w="3235" w:type="dxa"/>
            <w:shd w:val="clear" w:color="auto" w:fill="auto"/>
            <w:noWrap/>
            <w:vAlign w:val="bottom"/>
          </w:tcPr>
          <w:p w14:paraId="7C295B45" w14:textId="77777777" w:rsidR="00AF113F" w:rsidRPr="00AF113F" w:rsidRDefault="00AF113F" w:rsidP="00782D7C">
            <w:pPr>
              <w:spacing w:after="0" w:line="360" w:lineRule="auto"/>
              <w:rPr>
                <w:rFonts w:ascii="Arial" w:eastAsia="Times New Roman" w:hAnsi="Arial" w:cs="Arial"/>
                <w:b/>
                <w:color w:val="000000"/>
                <w:lang w:val="en-US"/>
              </w:rPr>
            </w:pPr>
            <w:r w:rsidRPr="00AF113F">
              <w:rPr>
                <w:rFonts w:ascii="Arial" w:eastAsia="Times New Roman" w:hAnsi="Arial" w:cs="Arial"/>
                <w:b/>
                <w:color w:val="000000"/>
                <w:lang w:val="en-US"/>
              </w:rPr>
              <w:t>Expenses</w:t>
            </w:r>
          </w:p>
        </w:tc>
        <w:tc>
          <w:tcPr>
            <w:tcW w:w="1390" w:type="dxa"/>
            <w:shd w:val="clear" w:color="auto" w:fill="auto"/>
            <w:noWrap/>
            <w:vAlign w:val="bottom"/>
          </w:tcPr>
          <w:p w14:paraId="599F6871"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440" w:type="dxa"/>
            <w:shd w:val="clear" w:color="auto" w:fill="auto"/>
            <w:noWrap/>
            <w:vAlign w:val="bottom"/>
          </w:tcPr>
          <w:p w14:paraId="537692FD"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260" w:type="dxa"/>
            <w:shd w:val="clear" w:color="auto" w:fill="auto"/>
            <w:noWrap/>
            <w:vAlign w:val="bottom"/>
          </w:tcPr>
          <w:p w14:paraId="06F1C8E2"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195" w:type="dxa"/>
            <w:shd w:val="clear" w:color="auto" w:fill="auto"/>
            <w:noWrap/>
            <w:vAlign w:val="bottom"/>
          </w:tcPr>
          <w:p w14:paraId="04B438D5" w14:textId="77777777" w:rsidR="00AF113F" w:rsidRPr="00AF113F" w:rsidRDefault="00AF113F" w:rsidP="00782D7C">
            <w:pPr>
              <w:spacing w:after="0" w:line="360" w:lineRule="auto"/>
              <w:jc w:val="right"/>
              <w:rPr>
                <w:rFonts w:ascii="Arial" w:eastAsia="Times New Roman" w:hAnsi="Arial" w:cs="Arial"/>
                <w:color w:val="000000"/>
                <w:lang w:val="en-US"/>
              </w:rPr>
            </w:pPr>
          </w:p>
        </w:tc>
      </w:tr>
      <w:tr w:rsidR="00AF113F" w:rsidRPr="00AF113F" w14:paraId="58273B34" w14:textId="77777777" w:rsidTr="00D83BD1">
        <w:trPr>
          <w:trHeight w:val="300"/>
        </w:trPr>
        <w:tc>
          <w:tcPr>
            <w:tcW w:w="3235" w:type="dxa"/>
            <w:shd w:val="clear" w:color="auto" w:fill="auto"/>
            <w:noWrap/>
            <w:vAlign w:val="bottom"/>
          </w:tcPr>
          <w:p w14:paraId="2083E32C"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Salaries</w:t>
            </w:r>
          </w:p>
        </w:tc>
        <w:tc>
          <w:tcPr>
            <w:tcW w:w="1390" w:type="dxa"/>
            <w:shd w:val="clear" w:color="auto" w:fill="auto"/>
            <w:noWrap/>
            <w:vAlign w:val="bottom"/>
          </w:tcPr>
          <w:p w14:paraId="7EAED976"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124,000</w:t>
            </w:r>
          </w:p>
        </w:tc>
        <w:tc>
          <w:tcPr>
            <w:tcW w:w="1440" w:type="dxa"/>
            <w:shd w:val="clear" w:color="auto" w:fill="auto"/>
            <w:noWrap/>
            <w:vAlign w:val="bottom"/>
          </w:tcPr>
          <w:p w14:paraId="14D972D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84,000</w:t>
            </w:r>
          </w:p>
        </w:tc>
        <w:tc>
          <w:tcPr>
            <w:tcW w:w="1260" w:type="dxa"/>
            <w:shd w:val="clear" w:color="auto" w:fill="auto"/>
            <w:noWrap/>
            <w:vAlign w:val="bottom"/>
          </w:tcPr>
          <w:p w14:paraId="7517560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76,000</w:t>
            </w:r>
          </w:p>
        </w:tc>
        <w:tc>
          <w:tcPr>
            <w:tcW w:w="1195" w:type="dxa"/>
            <w:shd w:val="clear" w:color="auto" w:fill="auto"/>
            <w:noWrap/>
            <w:vAlign w:val="bottom"/>
          </w:tcPr>
          <w:p w14:paraId="1B4C460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284,000</w:t>
            </w:r>
          </w:p>
        </w:tc>
      </w:tr>
      <w:tr w:rsidR="00AF113F" w:rsidRPr="00AF113F" w14:paraId="23340220" w14:textId="77777777" w:rsidTr="00D83BD1">
        <w:trPr>
          <w:trHeight w:val="300"/>
        </w:trPr>
        <w:tc>
          <w:tcPr>
            <w:tcW w:w="3235" w:type="dxa"/>
            <w:shd w:val="clear" w:color="auto" w:fill="auto"/>
            <w:noWrap/>
            <w:vAlign w:val="bottom"/>
          </w:tcPr>
          <w:p w14:paraId="741730B9"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Advertising</w:t>
            </w:r>
          </w:p>
        </w:tc>
        <w:tc>
          <w:tcPr>
            <w:tcW w:w="1390" w:type="dxa"/>
            <w:shd w:val="clear" w:color="auto" w:fill="auto"/>
            <w:noWrap/>
            <w:vAlign w:val="bottom"/>
          </w:tcPr>
          <w:p w14:paraId="38B52C8F"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120,000</w:t>
            </w:r>
          </w:p>
        </w:tc>
        <w:tc>
          <w:tcPr>
            <w:tcW w:w="1440" w:type="dxa"/>
            <w:shd w:val="clear" w:color="auto" w:fill="auto"/>
            <w:noWrap/>
            <w:vAlign w:val="bottom"/>
          </w:tcPr>
          <w:p w14:paraId="197B2D76"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16,000</w:t>
            </w:r>
          </w:p>
        </w:tc>
        <w:tc>
          <w:tcPr>
            <w:tcW w:w="1260" w:type="dxa"/>
            <w:shd w:val="clear" w:color="auto" w:fill="auto"/>
            <w:noWrap/>
            <w:vAlign w:val="bottom"/>
          </w:tcPr>
          <w:p w14:paraId="258BD498"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30,000</w:t>
            </w:r>
          </w:p>
        </w:tc>
        <w:tc>
          <w:tcPr>
            <w:tcW w:w="1195" w:type="dxa"/>
            <w:shd w:val="clear" w:color="auto" w:fill="auto"/>
            <w:noWrap/>
            <w:vAlign w:val="bottom"/>
          </w:tcPr>
          <w:p w14:paraId="0067A510"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166,000</w:t>
            </w:r>
          </w:p>
        </w:tc>
      </w:tr>
      <w:tr w:rsidR="00AF113F" w:rsidRPr="00AF113F" w14:paraId="4581DF7C" w14:textId="77777777" w:rsidTr="00D83BD1">
        <w:trPr>
          <w:trHeight w:val="300"/>
        </w:trPr>
        <w:tc>
          <w:tcPr>
            <w:tcW w:w="3235" w:type="dxa"/>
            <w:shd w:val="clear" w:color="auto" w:fill="auto"/>
            <w:noWrap/>
            <w:vAlign w:val="bottom"/>
          </w:tcPr>
          <w:p w14:paraId="1D4238A8"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Others</w:t>
            </w:r>
          </w:p>
        </w:tc>
        <w:tc>
          <w:tcPr>
            <w:tcW w:w="1390" w:type="dxa"/>
            <w:shd w:val="clear" w:color="auto" w:fill="auto"/>
            <w:noWrap/>
            <w:vAlign w:val="bottom"/>
          </w:tcPr>
          <w:p w14:paraId="10843B48"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22,000</w:t>
            </w:r>
          </w:p>
        </w:tc>
        <w:tc>
          <w:tcPr>
            <w:tcW w:w="1440" w:type="dxa"/>
            <w:shd w:val="clear" w:color="auto" w:fill="auto"/>
            <w:noWrap/>
            <w:vAlign w:val="bottom"/>
          </w:tcPr>
          <w:p w14:paraId="3BE3001D"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20,000</w:t>
            </w:r>
          </w:p>
        </w:tc>
        <w:tc>
          <w:tcPr>
            <w:tcW w:w="1260" w:type="dxa"/>
            <w:shd w:val="clear" w:color="auto" w:fill="auto"/>
            <w:noWrap/>
            <w:vAlign w:val="bottom"/>
          </w:tcPr>
          <w:p w14:paraId="0E8832E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16,000</w:t>
            </w:r>
          </w:p>
        </w:tc>
        <w:tc>
          <w:tcPr>
            <w:tcW w:w="1195" w:type="dxa"/>
            <w:shd w:val="clear" w:color="auto" w:fill="auto"/>
            <w:noWrap/>
            <w:vAlign w:val="bottom"/>
          </w:tcPr>
          <w:p w14:paraId="1A157DA5"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58,000</w:t>
            </w:r>
          </w:p>
        </w:tc>
      </w:tr>
      <w:tr w:rsidR="00AF113F" w:rsidRPr="00AF113F" w14:paraId="38670525" w14:textId="77777777" w:rsidTr="00D83BD1">
        <w:trPr>
          <w:trHeight w:val="300"/>
        </w:trPr>
        <w:tc>
          <w:tcPr>
            <w:tcW w:w="3235" w:type="dxa"/>
            <w:shd w:val="clear" w:color="auto" w:fill="auto"/>
            <w:noWrap/>
            <w:vAlign w:val="bottom"/>
          </w:tcPr>
          <w:p w14:paraId="226768E6" w14:textId="77777777" w:rsidR="00AF113F" w:rsidRPr="00AF113F" w:rsidRDefault="00AF113F" w:rsidP="00782D7C">
            <w:pPr>
              <w:spacing w:after="0" w:line="360" w:lineRule="auto"/>
              <w:rPr>
                <w:rFonts w:ascii="Arial" w:eastAsia="Times New Roman" w:hAnsi="Arial" w:cs="Arial"/>
                <w:b/>
                <w:color w:val="000000"/>
                <w:lang w:val="en-US"/>
              </w:rPr>
            </w:pPr>
            <w:r w:rsidRPr="00AF113F">
              <w:rPr>
                <w:rFonts w:ascii="Arial" w:eastAsia="Times New Roman" w:hAnsi="Arial" w:cs="Arial"/>
                <w:b/>
                <w:color w:val="000000"/>
                <w:lang w:val="en-US"/>
              </w:rPr>
              <w:t>Profit</w:t>
            </w:r>
          </w:p>
        </w:tc>
        <w:tc>
          <w:tcPr>
            <w:tcW w:w="1390" w:type="dxa"/>
            <w:shd w:val="clear" w:color="auto" w:fill="auto"/>
            <w:noWrap/>
            <w:vAlign w:val="bottom"/>
          </w:tcPr>
          <w:p w14:paraId="742FF2A7"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440" w:type="dxa"/>
            <w:shd w:val="clear" w:color="auto" w:fill="auto"/>
            <w:noWrap/>
            <w:vAlign w:val="bottom"/>
          </w:tcPr>
          <w:p w14:paraId="6E7CEC39"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260" w:type="dxa"/>
            <w:shd w:val="clear" w:color="auto" w:fill="auto"/>
            <w:noWrap/>
            <w:vAlign w:val="bottom"/>
          </w:tcPr>
          <w:p w14:paraId="497F34C7"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195" w:type="dxa"/>
            <w:shd w:val="clear" w:color="auto" w:fill="auto"/>
            <w:noWrap/>
            <w:vAlign w:val="bottom"/>
          </w:tcPr>
          <w:p w14:paraId="301889B1" w14:textId="77777777" w:rsidR="00AF113F" w:rsidRPr="00AF113F" w:rsidRDefault="00AF113F" w:rsidP="00782D7C">
            <w:pPr>
              <w:spacing w:after="0" w:line="360" w:lineRule="auto"/>
              <w:jc w:val="right"/>
              <w:rPr>
                <w:rFonts w:ascii="Arial" w:eastAsia="Times New Roman" w:hAnsi="Arial" w:cs="Arial"/>
                <w:b/>
                <w:color w:val="000000"/>
                <w:lang w:val="en-US"/>
              </w:rPr>
            </w:pPr>
            <w:r w:rsidRPr="00AF113F">
              <w:rPr>
                <w:rFonts w:ascii="Arial" w:eastAsia="Times New Roman" w:hAnsi="Arial" w:cs="Arial"/>
                <w:b/>
                <w:color w:val="000000"/>
                <w:lang w:val="en-US"/>
              </w:rPr>
              <w:t>2,572,000</w:t>
            </w:r>
          </w:p>
        </w:tc>
      </w:tr>
    </w:tbl>
    <w:p w14:paraId="633D3EF8" w14:textId="77777777" w:rsidR="00AF113F" w:rsidRPr="00AF113F" w:rsidRDefault="00AF113F" w:rsidP="00782D7C">
      <w:pPr>
        <w:spacing w:line="360" w:lineRule="auto"/>
        <w:rPr>
          <w:rFonts w:ascii="Arial" w:eastAsia="Calibri" w:hAnsi="Arial" w:cs="Arial"/>
        </w:rPr>
      </w:pPr>
    </w:p>
    <w:p w14:paraId="3FA5AAD4" w14:textId="77777777" w:rsidR="00AF113F" w:rsidRPr="00AF113F" w:rsidRDefault="00AF113F" w:rsidP="00782D7C">
      <w:pPr>
        <w:spacing w:line="360" w:lineRule="auto"/>
        <w:rPr>
          <w:rFonts w:ascii="Arial" w:eastAsia="Calibri" w:hAnsi="Arial" w:cs="Arial"/>
          <w:b/>
        </w:rPr>
      </w:pPr>
      <w:r w:rsidRPr="00AF113F">
        <w:rPr>
          <w:rFonts w:ascii="Arial" w:eastAsia="Calibri" w:hAnsi="Arial" w:cs="Arial"/>
          <w:b/>
        </w:rPr>
        <w:t>The head office marginal Cost</w:t>
      </w:r>
    </w:p>
    <w:tbl>
      <w:tblPr>
        <w:tblW w:w="8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1390"/>
        <w:gridCol w:w="1440"/>
        <w:gridCol w:w="1260"/>
        <w:gridCol w:w="1195"/>
      </w:tblGrid>
      <w:tr w:rsidR="00AF113F" w:rsidRPr="00AF113F" w14:paraId="10D5F423" w14:textId="77777777" w:rsidTr="00D83BD1">
        <w:trPr>
          <w:trHeight w:val="300"/>
        </w:trPr>
        <w:tc>
          <w:tcPr>
            <w:tcW w:w="3235" w:type="dxa"/>
            <w:shd w:val="clear" w:color="auto" w:fill="auto"/>
            <w:noWrap/>
            <w:vAlign w:val="bottom"/>
            <w:hideMark/>
          </w:tcPr>
          <w:p w14:paraId="51974EB9" w14:textId="77777777" w:rsidR="00AF113F" w:rsidRPr="00AF113F" w:rsidRDefault="00AF113F" w:rsidP="00782D7C">
            <w:pPr>
              <w:spacing w:after="0" w:line="360" w:lineRule="auto"/>
              <w:rPr>
                <w:rFonts w:ascii="Arial" w:eastAsia="Times New Roman" w:hAnsi="Arial" w:cs="Arial"/>
                <w:b/>
                <w:color w:val="000000"/>
                <w:lang w:val="en-US"/>
              </w:rPr>
            </w:pPr>
            <w:r w:rsidRPr="00AF113F">
              <w:rPr>
                <w:rFonts w:ascii="Arial" w:eastAsia="Times New Roman" w:hAnsi="Arial" w:cs="Arial"/>
                <w:b/>
                <w:color w:val="000000"/>
                <w:lang w:val="en-US"/>
              </w:rPr>
              <w:t>Details</w:t>
            </w:r>
          </w:p>
        </w:tc>
        <w:tc>
          <w:tcPr>
            <w:tcW w:w="1350" w:type="dxa"/>
            <w:shd w:val="clear" w:color="auto" w:fill="auto"/>
            <w:noWrap/>
            <w:vAlign w:val="bottom"/>
            <w:hideMark/>
          </w:tcPr>
          <w:p w14:paraId="34B3E28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Birmingham</w:t>
            </w:r>
          </w:p>
        </w:tc>
        <w:tc>
          <w:tcPr>
            <w:tcW w:w="1440" w:type="dxa"/>
            <w:shd w:val="clear" w:color="auto" w:fill="auto"/>
            <w:noWrap/>
            <w:vAlign w:val="bottom"/>
            <w:hideMark/>
          </w:tcPr>
          <w:p w14:paraId="74062E48"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Stafford</w:t>
            </w:r>
          </w:p>
        </w:tc>
        <w:tc>
          <w:tcPr>
            <w:tcW w:w="1260" w:type="dxa"/>
            <w:shd w:val="clear" w:color="auto" w:fill="auto"/>
            <w:noWrap/>
            <w:vAlign w:val="bottom"/>
            <w:hideMark/>
          </w:tcPr>
          <w:p w14:paraId="2C2A66CF"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Coventry</w:t>
            </w:r>
          </w:p>
        </w:tc>
        <w:tc>
          <w:tcPr>
            <w:tcW w:w="900" w:type="dxa"/>
            <w:shd w:val="clear" w:color="auto" w:fill="auto"/>
            <w:noWrap/>
            <w:vAlign w:val="bottom"/>
            <w:hideMark/>
          </w:tcPr>
          <w:p w14:paraId="71B6E75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Total</w:t>
            </w:r>
          </w:p>
        </w:tc>
      </w:tr>
      <w:tr w:rsidR="00AF113F" w:rsidRPr="00AF113F" w14:paraId="0ED5854B" w14:textId="77777777" w:rsidTr="00D83BD1">
        <w:trPr>
          <w:trHeight w:val="300"/>
        </w:trPr>
        <w:tc>
          <w:tcPr>
            <w:tcW w:w="3235" w:type="dxa"/>
            <w:shd w:val="clear" w:color="auto" w:fill="auto"/>
            <w:noWrap/>
            <w:vAlign w:val="bottom"/>
          </w:tcPr>
          <w:p w14:paraId="7B039C2E"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Sales</w:t>
            </w:r>
          </w:p>
        </w:tc>
        <w:tc>
          <w:tcPr>
            <w:tcW w:w="1350" w:type="dxa"/>
            <w:shd w:val="clear" w:color="auto" w:fill="auto"/>
            <w:noWrap/>
            <w:vAlign w:val="bottom"/>
          </w:tcPr>
          <w:p w14:paraId="548B9D20"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1,400,000</w:t>
            </w:r>
          </w:p>
        </w:tc>
        <w:tc>
          <w:tcPr>
            <w:tcW w:w="1440" w:type="dxa"/>
            <w:shd w:val="clear" w:color="auto" w:fill="auto"/>
            <w:noWrap/>
            <w:vAlign w:val="bottom"/>
          </w:tcPr>
          <w:p w14:paraId="0B17BDC1"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880,000</w:t>
            </w:r>
          </w:p>
        </w:tc>
        <w:tc>
          <w:tcPr>
            <w:tcW w:w="1260" w:type="dxa"/>
            <w:shd w:val="clear" w:color="auto" w:fill="auto"/>
            <w:noWrap/>
            <w:vAlign w:val="bottom"/>
          </w:tcPr>
          <w:p w14:paraId="28D74286"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800,000</w:t>
            </w:r>
          </w:p>
        </w:tc>
        <w:tc>
          <w:tcPr>
            <w:tcW w:w="900" w:type="dxa"/>
            <w:shd w:val="clear" w:color="auto" w:fill="auto"/>
            <w:noWrap/>
            <w:vAlign w:val="bottom"/>
          </w:tcPr>
          <w:p w14:paraId="651FC500"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3,080,000</w:t>
            </w:r>
          </w:p>
        </w:tc>
      </w:tr>
      <w:tr w:rsidR="00AF113F" w:rsidRPr="00AF113F" w14:paraId="12C91DC5" w14:textId="77777777" w:rsidTr="00D83BD1">
        <w:trPr>
          <w:trHeight w:val="300"/>
        </w:trPr>
        <w:tc>
          <w:tcPr>
            <w:tcW w:w="3235" w:type="dxa"/>
            <w:shd w:val="clear" w:color="auto" w:fill="auto"/>
            <w:noWrap/>
            <w:vAlign w:val="bottom"/>
          </w:tcPr>
          <w:p w14:paraId="30673E20"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less marginal cost</w:t>
            </w:r>
          </w:p>
        </w:tc>
        <w:tc>
          <w:tcPr>
            <w:tcW w:w="1350" w:type="dxa"/>
            <w:shd w:val="clear" w:color="auto" w:fill="auto"/>
            <w:noWrap/>
            <w:vAlign w:val="bottom"/>
          </w:tcPr>
          <w:p w14:paraId="03C72E1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1,050,000</w:t>
            </w:r>
          </w:p>
        </w:tc>
        <w:tc>
          <w:tcPr>
            <w:tcW w:w="1440" w:type="dxa"/>
            <w:shd w:val="clear" w:color="auto" w:fill="auto"/>
            <w:noWrap/>
            <w:vAlign w:val="bottom"/>
          </w:tcPr>
          <w:p w14:paraId="0B3FE161"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660,0000</w:t>
            </w:r>
          </w:p>
        </w:tc>
        <w:tc>
          <w:tcPr>
            <w:tcW w:w="1260" w:type="dxa"/>
            <w:shd w:val="clear" w:color="auto" w:fill="auto"/>
            <w:noWrap/>
            <w:vAlign w:val="bottom"/>
          </w:tcPr>
          <w:p w14:paraId="2CB6027B"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600</w:t>
            </w:r>
          </w:p>
        </w:tc>
        <w:tc>
          <w:tcPr>
            <w:tcW w:w="900" w:type="dxa"/>
            <w:shd w:val="clear" w:color="auto" w:fill="auto"/>
            <w:noWrap/>
            <w:vAlign w:val="bottom"/>
          </w:tcPr>
          <w:p w14:paraId="5D8A0405"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2,310,000</w:t>
            </w:r>
          </w:p>
        </w:tc>
      </w:tr>
      <w:tr w:rsidR="00AF113F" w:rsidRPr="00AF113F" w14:paraId="33433EDC" w14:textId="77777777" w:rsidTr="00D83BD1">
        <w:trPr>
          <w:trHeight w:val="300"/>
        </w:trPr>
        <w:tc>
          <w:tcPr>
            <w:tcW w:w="3235" w:type="dxa"/>
            <w:shd w:val="clear" w:color="auto" w:fill="auto"/>
            <w:noWrap/>
            <w:vAlign w:val="bottom"/>
            <w:hideMark/>
          </w:tcPr>
          <w:p w14:paraId="4887BBE6"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Contribution</w:t>
            </w:r>
          </w:p>
        </w:tc>
        <w:tc>
          <w:tcPr>
            <w:tcW w:w="1350" w:type="dxa"/>
            <w:shd w:val="clear" w:color="auto" w:fill="auto"/>
            <w:noWrap/>
            <w:vAlign w:val="bottom"/>
            <w:hideMark/>
          </w:tcPr>
          <w:p w14:paraId="1A403C46"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350,000</w:t>
            </w:r>
          </w:p>
        </w:tc>
        <w:tc>
          <w:tcPr>
            <w:tcW w:w="1440" w:type="dxa"/>
            <w:shd w:val="clear" w:color="auto" w:fill="auto"/>
            <w:noWrap/>
            <w:vAlign w:val="bottom"/>
            <w:hideMark/>
          </w:tcPr>
          <w:p w14:paraId="2D551B7A"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220,000</w:t>
            </w:r>
          </w:p>
        </w:tc>
        <w:tc>
          <w:tcPr>
            <w:tcW w:w="1260" w:type="dxa"/>
            <w:shd w:val="clear" w:color="auto" w:fill="auto"/>
            <w:noWrap/>
            <w:vAlign w:val="bottom"/>
            <w:hideMark/>
          </w:tcPr>
          <w:p w14:paraId="350BED30"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200</w:t>
            </w:r>
          </w:p>
        </w:tc>
        <w:tc>
          <w:tcPr>
            <w:tcW w:w="900" w:type="dxa"/>
            <w:shd w:val="clear" w:color="auto" w:fill="auto"/>
            <w:noWrap/>
            <w:vAlign w:val="bottom"/>
            <w:hideMark/>
          </w:tcPr>
          <w:p w14:paraId="25972A6C"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770,000</w:t>
            </w:r>
          </w:p>
        </w:tc>
      </w:tr>
      <w:tr w:rsidR="00AF113F" w:rsidRPr="00AF113F" w14:paraId="7E9AAFB6" w14:textId="77777777" w:rsidTr="00D83BD1">
        <w:trPr>
          <w:trHeight w:val="300"/>
        </w:trPr>
        <w:tc>
          <w:tcPr>
            <w:tcW w:w="4585" w:type="dxa"/>
            <w:gridSpan w:val="2"/>
            <w:shd w:val="clear" w:color="auto" w:fill="auto"/>
            <w:noWrap/>
            <w:vAlign w:val="bottom"/>
            <w:hideMark/>
          </w:tcPr>
          <w:p w14:paraId="35CF5EA8"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less payroll and bookkeeping cost</w:t>
            </w:r>
          </w:p>
        </w:tc>
        <w:tc>
          <w:tcPr>
            <w:tcW w:w="1440" w:type="dxa"/>
            <w:shd w:val="clear" w:color="auto" w:fill="auto"/>
            <w:noWrap/>
            <w:vAlign w:val="bottom"/>
            <w:hideMark/>
          </w:tcPr>
          <w:p w14:paraId="6F6F199C" w14:textId="77777777" w:rsidR="00AF113F" w:rsidRPr="00AF113F" w:rsidRDefault="00AF113F" w:rsidP="00782D7C">
            <w:pPr>
              <w:spacing w:after="0" w:line="360" w:lineRule="auto"/>
              <w:rPr>
                <w:rFonts w:ascii="Arial" w:eastAsia="Times New Roman" w:hAnsi="Arial" w:cs="Arial"/>
                <w:color w:val="000000"/>
                <w:lang w:val="en-US"/>
              </w:rPr>
            </w:pPr>
          </w:p>
        </w:tc>
        <w:tc>
          <w:tcPr>
            <w:tcW w:w="1260" w:type="dxa"/>
            <w:shd w:val="clear" w:color="auto" w:fill="auto"/>
            <w:noWrap/>
            <w:vAlign w:val="bottom"/>
            <w:hideMark/>
          </w:tcPr>
          <w:p w14:paraId="143679EC" w14:textId="77777777" w:rsidR="00AF113F" w:rsidRPr="00AF113F" w:rsidRDefault="00AF113F" w:rsidP="00782D7C">
            <w:pPr>
              <w:spacing w:after="0" w:line="360" w:lineRule="auto"/>
              <w:rPr>
                <w:rFonts w:ascii="Arial" w:eastAsia="Times New Roman" w:hAnsi="Arial" w:cs="Arial"/>
                <w:lang w:val="en-US"/>
              </w:rPr>
            </w:pPr>
          </w:p>
        </w:tc>
        <w:tc>
          <w:tcPr>
            <w:tcW w:w="900" w:type="dxa"/>
            <w:shd w:val="clear" w:color="auto" w:fill="auto"/>
            <w:noWrap/>
            <w:vAlign w:val="bottom"/>
            <w:hideMark/>
          </w:tcPr>
          <w:p w14:paraId="08F01D24"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308,000</w:t>
            </w:r>
          </w:p>
        </w:tc>
      </w:tr>
      <w:tr w:rsidR="00AF113F" w:rsidRPr="00AF113F" w14:paraId="27E8E3AD" w14:textId="77777777" w:rsidTr="00D83BD1">
        <w:trPr>
          <w:trHeight w:val="300"/>
        </w:trPr>
        <w:tc>
          <w:tcPr>
            <w:tcW w:w="3235" w:type="dxa"/>
            <w:shd w:val="clear" w:color="auto" w:fill="auto"/>
            <w:noWrap/>
            <w:vAlign w:val="bottom"/>
            <w:hideMark/>
          </w:tcPr>
          <w:p w14:paraId="0F53DDD2" w14:textId="77777777" w:rsidR="00AF113F" w:rsidRPr="00AF113F" w:rsidRDefault="00AF113F" w:rsidP="00782D7C">
            <w:pPr>
              <w:spacing w:after="0" w:line="360" w:lineRule="auto"/>
              <w:rPr>
                <w:rFonts w:ascii="Arial" w:eastAsia="Times New Roman" w:hAnsi="Arial" w:cs="Arial"/>
                <w:b/>
                <w:color w:val="000000"/>
                <w:lang w:val="en-US"/>
              </w:rPr>
            </w:pPr>
            <w:r w:rsidRPr="00AF113F">
              <w:rPr>
                <w:rFonts w:ascii="Arial" w:eastAsia="Times New Roman" w:hAnsi="Arial" w:cs="Arial"/>
                <w:b/>
                <w:color w:val="000000"/>
                <w:lang w:val="en-US"/>
              </w:rPr>
              <w:t>Profit</w:t>
            </w:r>
          </w:p>
        </w:tc>
        <w:tc>
          <w:tcPr>
            <w:tcW w:w="1350" w:type="dxa"/>
            <w:shd w:val="clear" w:color="auto" w:fill="auto"/>
            <w:noWrap/>
            <w:vAlign w:val="bottom"/>
            <w:hideMark/>
          </w:tcPr>
          <w:p w14:paraId="1F7168C7" w14:textId="77777777" w:rsidR="00AF113F" w:rsidRPr="00AF113F" w:rsidRDefault="00AF113F" w:rsidP="00782D7C">
            <w:pPr>
              <w:spacing w:after="0" w:line="360" w:lineRule="auto"/>
              <w:rPr>
                <w:rFonts w:ascii="Arial" w:eastAsia="Times New Roman" w:hAnsi="Arial" w:cs="Arial"/>
                <w:color w:val="000000"/>
                <w:lang w:val="en-US"/>
              </w:rPr>
            </w:pPr>
          </w:p>
        </w:tc>
        <w:tc>
          <w:tcPr>
            <w:tcW w:w="1440" w:type="dxa"/>
            <w:shd w:val="clear" w:color="auto" w:fill="auto"/>
            <w:noWrap/>
            <w:vAlign w:val="bottom"/>
            <w:hideMark/>
          </w:tcPr>
          <w:p w14:paraId="5CCD6991" w14:textId="77777777" w:rsidR="00AF113F" w:rsidRPr="00AF113F" w:rsidRDefault="00AF113F" w:rsidP="00782D7C">
            <w:pPr>
              <w:spacing w:after="0" w:line="360" w:lineRule="auto"/>
              <w:rPr>
                <w:rFonts w:ascii="Arial" w:eastAsia="Times New Roman" w:hAnsi="Arial" w:cs="Arial"/>
                <w:lang w:val="en-US"/>
              </w:rPr>
            </w:pPr>
          </w:p>
        </w:tc>
        <w:tc>
          <w:tcPr>
            <w:tcW w:w="1260" w:type="dxa"/>
            <w:shd w:val="clear" w:color="auto" w:fill="auto"/>
            <w:noWrap/>
            <w:vAlign w:val="bottom"/>
            <w:hideMark/>
          </w:tcPr>
          <w:p w14:paraId="4F57C042" w14:textId="77777777" w:rsidR="00AF113F" w:rsidRPr="00AF113F" w:rsidRDefault="00AF113F" w:rsidP="00782D7C">
            <w:pPr>
              <w:spacing w:after="0" w:line="360" w:lineRule="auto"/>
              <w:rPr>
                <w:rFonts w:ascii="Arial" w:eastAsia="Times New Roman" w:hAnsi="Arial" w:cs="Arial"/>
                <w:lang w:val="en-US"/>
              </w:rPr>
            </w:pPr>
          </w:p>
        </w:tc>
        <w:tc>
          <w:tcPr>
            <w:tcW w:w="900" w:type="dxa"/>
            <w:shd w:val="clear" w:color="auto" w:fill="auto"/>
            <w:noWrap/>
            <w:vAlign w:val="bottom"/>
            <w:hideMark/>
          </w:tcPr>
          <w:p w14:paraId="747782FC"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462,000</w:t>
            </w:r>
          </w:p>
        </w:tc>
      </w:tr>
    </w:tbl>
    <w:p w14:paraId="2C732D81" w14:textId="77777777" w:rsidR="00AF113F" w:rsidRPr="00AF113F" w:rsidRDefault="00AF113F" w:rsidP="00782D7C">
      <w:pPr>
        <w:spacing w:line="360" w:lineRule="auto"/>
        <w:rPr>
          <w:rFonts w:ascii="Arial" w:eastAsia="Calibri" w:hAnsi="Arial" w:cs="Arial"/>
        </w:rPr>
      </w:pPr>
    </w:p>
    <w:p w14:paraId="59A5768B"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From the analysis above Coventry branch produces a contribution of 200. If the contribution margin is dropped, the position of the Company would be as follows</w:t>
      </w:r>
    </w:p>
    <w:tbl>
      <w:tblPr>
        <w:tblW w:w="8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1497"/>
        <w:gridCol w:w="1440"/>
        <w:gridCol w:w="1260"/>
        <w:gridCol w:w="1284"/>
      </w:tblGrid>
      <w:tr w:rsidR="00AF113F" w:rsidRPr="00AF113F" w14:paraId="4233A574" w14:textId="77777777" w:rsidTr="00D83BD1">
        <w:trPr>
          <w:trHeight w:val="300"/>
        </w:trPr>
        <w:tc>
          <w:tcPr>
            <w:tcW w:w="3235" w:type="dxa"/>
            <w:shd w:val="clear" w:color="auto" w:fill="auto"/>
            <w:noWrap/>
            <w:vAlign w:val="bottom"/>
            <w:hideMark/>
          </w:tcPr>
          <w:p w14:paraId="3BC193AE" w14:textId="77777777" w:rsidR="00AF113F" w:rsidRPr="00AF113F" w:rsidRDefault="00AF113F" w:rsidP="00782D7C">
            <w:pPr>
              <w:spacing w:after="0" w:line="360" w:lineRule="auto"/>
              <w:rPr>
                <w:rFonts w:ascii="Arial" w:eastAsia="Times New Roman" w:hAnsi="Arial" w:cs="Arial"/>
                <w:b/>
                <w:color w:val="000000"/>
                <w:lang w:val="en-US"/>
              </w:rPr>
            </w:pPr>
            <w:r w:rsidRPr="00AF113F">
              <w:rPr>
                <w:rFonts w:ascii="Arial" w:eastAsia="Times New Roman" w:hAnsi="Arial" w:cs="Arial"/>
                <w:b/>
                <w:color w:val="000000"/>
                <w:lang w:val="en-US"/>
              </w:rPr>
              <w:t>Details</w:t>
            </w:r>
          </w:p>
        </w:tc>
        <w:tc>
          <w:tcPr>
            <w:tcW w:w="1497" w:type="dxa"/>
            <w:shd w:val="clear" w:color="auto" w:fill="auto"/>
            <w:noWrap/>
            <w:vAlign w:val="bottom"/>
            <w:hideMark/>
          </w:tcPr>
          <w:p w14:paraId="0C4B443E"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Birmingham</w:t>
            </w:r>
          </w:p>
        </w:tc>
        <w:tc>
          <w:tcPr>
            <w:tcW w:w="1440" w:type="dxa"/>
            <w:shd w:val="clear" w:color="auto" w:fill="auto"/>
            <w:noWrap/>
            <w:vAlign w:val="bottom"/>
            <w:hideMark/>
          </w:tcPr>
          <w:p w14:paraId="3E85C3AF"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Stafford</w:t>
            </w:r>
          </w:p>
        </w:tc>
        <w:tc>
          <w:tcPr>
            <w:tcW w:w="1260" w:type="dxa"/>
            <w:shd w:val="clear" w:color="auto" w:fill="auto"/>
            <w:noWrap/>
            <w:vAlign w:val="bottom"/>
            <w:hideMark/>
          </w:tcPr>
          <w:p w14:paraId="2CB0DD2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Coventry</w:t>
            </w:r>
          </w:p>
        </w:tc>
        <w:tc>
          <w:tcPr>
            <w:tcW w:w="1284" w:type="dxa"/>
            <w:shd w:val="clear" w:color="auto" w:fill="auto"/>
            <w:noWrap/>
            <w:vAlign w:val="bottom"/>
            <w:hideMark/>
          </w:tcPr>
          <w:p w14:paraId="1820ED13" w14:textId="77777777" w:rsidR="00AF113F" w:rsidRPr="00AF113F" w:rsidRDefault="00AF113F" w:rsidP="00782D7C">
            <w:pPr>
              <w:spacing w:after="0" w:line="360" w:lineRule="auto"/>
              <w:jc w:val="right"/>
              <w:rPr>
                <w:rFonts w:ascii="Arial" w:eastAsia="Times New Roman" w:hAnsi="Arial" w:cs="Arial"/>
                <w:b/>
                <w:color w:val="000000"/>
                <w:lang w:val="en-US"/>
              </w:rPr>
            </w:pPr>
            <w:r w:rsidRPr="00AF113F">
              <w:rPr>
                <w:rFonts w:ascii="Arial" w:eastAsia="Times New Roman" w:hAnsi="Arial" w:cs="Arial"/>
                <w:b/>
                <w:color w:val="000000"/>
                <w:lang w:val="en-US"/>
              </w:rPr>
              <w:t xml:space="preserve">Total amount </w:t>
            </w:r>
            <w:r w:rsidRPr="00AF113F">
              <w:rPr>
                <w:rFonts w:ascii="Arial" w:eastAsia="Calibri" w:hAnsi="Arial" w:cs="Arial"/>
                <w:b/>
              </w:rPr>
              <w:t>£</w:t>
            </w:r>
          </w:p>
        </w:tc>
      </w:tr>
      <w:tr w:rsidR="00AF113F" w:rsidRPr="00AF113F" w14:paraId="4BB6BEF2" w14:textId="77777777" w:rsidTr="00D83BD1">
        <w:trPr>
          <w:trHeight w:val="300"/>
        </w:trPr>
        <w:tc>
          <w:tcPr>
            <w:tcW w:w="3235" w:type="dxa"/>
            <w:shd w:val="clear" w:color="auto" w:fill="auto"/>
            <w:noWrap/>
            <w:vAlign w:val="bottom"/>
          </w:tcPr>
          <w:p w14:paraId="525F2BC8"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Sales</w:t>
            </w:r>
          </w:p>
        </w:tc>
        <w:tc>
          <w:tcPr>
            <w:tcW w:w="1497" w:type="dxa"/>
            <w:shd w:val="clear" w:color="auto" w:fill="auto"/>
            <w:noWrap/>
            <w:vAlign w:val="bottom"/>
          </w:tcPr>
          <w:p w14:paraId="281F6CED"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1,400,000</w:t>
            </w:r>
          </w:p>
        </w:tc>
        <w:tc>
          <w:tcPr>
            <w:tcW w:w="1440" w:type="dxa"/>
            <w:shd w:val="clear" w:color="auto" w:fill="auto"/>
            <w:noWrap/>
            <w:vAlign w:val="bottom"/>
          </w:tcPr>
          <w:p w14:paraId="58A28EB2"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880,000</w:t>
            </w:r>
          </w:p>
        </w:tc>
        <w:tc>
          <w:tcPr>
            <w:tcW w:w="1260" w:type="dxa"/>
            <w:shd w:val="clear" w:color="auto" w:fill="auto"/>
            <w:noWrap/>
            <w:vAlign w:val="bottom"/>
          </w:tcPr>
          <w:p w14:paraId="6F493141"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800,000</w:t>
            </w:r>
          </w:p>
        </w:tc>
        <w:tc>
          <w:tcPr>
            <w:tcW w:w="1284" w:type="dxa"/>
            <w:shd w:val="clear" w:color="auto" w:fill="auto"/>
            <w:noWrap/>
            <w:vAlign w:val="bottom"/>
          </w:tcPr>
          <w:p w14:paraId="65F38EB6"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3,080,000</w:t>
            </w:r>
          </w:p>
        </w:tc>
      </w:tr>
      <w:tr w:rsidR="00AF113F" w:rsidRPr="00AF113F" w14:paraId="7A84EFB4" w14:textId="77777777" w:rsidTr="00D83BD1">
        <w:trPr>
          <w:trHeight w:val="300"/>
        </w:trPr>
        <w:tc>
          <w:tcPr>
            <w:tcW w:w="3235" w:type="dxa"/>
            <w:shd w:val="clear" w:color="auto" w:fill="auto"/>
            <w:noWrap/>
            <w:vAlign w:val="bottom"/>
          </w:tcPr>
          <w:p w14:paraId="3CC83A28"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less marginal cost</w:t>
            </w:r>
          </w:p>
        </w:tc>
        <w:tc>
          <w:tcPr>
            <w:tcW w:w="1497" w:type="dxa"/>
            <w:shd w:val="clear" w:color="auto" w:fill="auto"/>
            <w:noWrap/>
            <w:vAlign w:val="bottom"/>
          </w:tcPr>
          <w:p w14:paraId="686BEE1D"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1,050,000</w:t>
            </w:r>
          </w:p>
        </w:tc>
        <w:tc>
          <w:tcPr>
            <w:tcW w:w="1440" w:type="dxa"/>
            <w:shd w:val="clear" w:color="auto" w:fill="auto"/>
            <w:noWrap/>
            <w:vAlign w:val="bottom"/>
          </w:tcPr>
          <w:p w14:paraId="0F9AC9B8"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660,0000</w:t>
            </w:r>
          </w:p>
        </w:tc>
        <w:tc>
          <w:tcPr>
            <w:tcW w:w="1260" w:type="dxa"/>
            <w:shd w:val="clear" w:color="auto" w:fill="auto"/>
            <w:noWrap/>
            <w:vAlign w:val="bottom"/>
          </w:tcPr>
          <w:p w14:paraId="403962FF"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600</w:t>
            </w:r>
          </w:p>
        </w:tc>
        <w:tc>
          <w:tcPr>
            <w:tcW w:w="1284" w:type="dxa"/>
            <w:shd w:val="clear" w:color="auto" w:fill="auto"/>
            <w:noWrap/>
            <w:vAlign w:val="bottom"/>
          </w:tcPr>
          <w:p w14:paraId="7497B197"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2,310,000</w:t>
            </w:r>
          </w:p>
        </w:tc>
      </w:tr>
      <w:tr w:rsidR="00AF113F" w:rsidRPr="00AF113F" w14:paraId="28D51563" w14:textId="77777777" w:rsidTr="00D83BD1">
        <w:trPr>
          <w:trHeight w:val="300"/>
        </w:trPr>
        <w:tc>
          <w:tcPr>
            <w:tcW w:w="3235" w:type="dxa"/>
            <w:shd w:val="clear" w:color="auto" w:fill="auto"/>
            <w:noWrap/>
            <w:vAlign w:val="bottom"/>
            <w:hideMark/>
          </w:tcPr>
          <w:p w14:paraId="58ECC45A"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t>Contribution</w:t>
            </w:r>
          </w:p>
        </w:tc>
        <w:tc>
          <w:tcPr>
            <w:tcW w:w="1497" w:type="dxa"/>
            <w:shd w:val="clear" w:color="auto" w:fill="auto"/>
            <w:noWrap/>
            <w:vAlign w:val="bottom"/>
            <w:hideMark/>
          </w:tcPr>
          <w:p w14:paraId="0E358332"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350,000</w:t>
            </w:r>
          </w:p>
        </w:tc>
        <w:tc>
          <w:tcPr>
            <w:tcW w:w="1440" w:type="dxa"/>
            <w:shd w:val="clear" w:color="auto" w:fill="auto"/>
            <w:noWrap/>
            <w:vAlign w:val="bottom"/>
            <w:hideMark/>
          </w:tcPr>
          <w:p w14:paraId="35F6C81E"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220,000</w:t>
            </w:r>
          </w:p>
        </w:tc>
        <w:tc>
          <w:tcPr>
            <w:tcW w:w="1260" w:type="dxa"/>
            <w:shd w:val="clear" w:color="auto" w:fill="auto"/>
            <w:noWrap/>
            <w:vAlign w:val="bottom"/>
            <w:hideMark/>
          </w:tcPr>
          <w:p w14:paraId="5767EE27"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284" w:type="dxa"/>
            <w:shd w:val="clear" w:color="auto" w:fill="auto"/>
            <w:noWrap/>
            <w:vAlign w:val="bottom"/>
            <w:hideMark/>
          </w:tcPr>
          <w:p w14:paraId="49284468"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570,000</w:t>
            </w:r>
          </w:p>
        </w:tc>
      </w:tr>
      <w:tr w:rsidR="00AF113F" w:rsidRPr="00AF113F" w14:paraId="31C9156D" w14:textId="77777777" w:rsidTr="00D83BD1">
        <w:trPr>
          <w:trHeight w:val="300"/>
        </w:trPr>
        <w:tc>
          <w:tcPr>
            <w:tcW w:w="3235" w:type="dxa"/>
            <w:shd w:val="clear" w:color="auto" w:fill="auto"/>
            <w:noWrap/>
            <w:vAlign w:val="bottom"/>
          </w:tcPr>
          <w:p w14:paraId="11A23502" w14:textId="77777777" w:rsidR="00AF113F" w:rsidRPr="00AF113F" w:rsidRDefault="00AF113F" w:rsidP="00782D7C">
            <w:pPr>
              <w:spacing w:after="0" w:line="360" w:lineRule="auto"/>
              <w:rPr>
                <w:rFonts w:ascii="Arial" w:eastAsia="Times New Roman" w:hAnsi="Arial" w:cs="Arial"/>
                <w:color w:val="000000"/>
                <w:lang w:val="en-US"/>
              </w:rPr>
            </w:pPr>
            <w:r w:rsidRPr="00AF113F">
              <w:rPr>
                <w:rFonts w:ascii="Arial" w:eastAsia="Times New Roman" w:hAnsi="Arial" w:cs="Arial"/>
                <w:color w:val="000000"/>
                <w:lang w:val="en-US"/>
              </w:rPr>
              <w:lastRenderedPageBreak/>
              <w:t>less payroll and bookkeeping cost</w:t>
            </w:r>
          </w:p>
        </w:tc>
        <w:tc>
          <w:tcPr>
            <w:tcW w:w="1497" w:type="dxa"/>
            <w:shd w:val="clear" w:color="auto" w:fill="auto"/>
            <w:noWrap/>
            <w:vAlign w:val="bottom"/>
          </w:tcPr>
          <w:p w14:paraId="16D8507E" w14:textId="77777777" w:rsidR="00AF113F" w:rsidRPr="00AF113F" w:rsidRDefault="00AF113F" w:rsidP="00782D7C">
            <w:pPr>
              <w:spacing w:after="0" w:line="360" w:lineRule="auto"/>
              <w:rPr>
                <w:rFonts w:ascii="Arial" w:eastAsia="Times New Roman" w:hAnsi="Arial" w:cs="Arial"/>
                <w:color w:val="000000"/>
                <w:lang w:val="en-US"/>
              </w:rPr>
            </w:pPr>
          </w:p>
        </w:tc>
        <w:tc>
          <w:tcPr>
            <w:tcW w:w="1440" w:type="dxa"/>
            <w:shd w:val="clear" w:color="auto" w:fill="auto"/>
            <w:noWrap/>
            <w:vAlign w:val="bottom"/>
          </w:tcPr>
          <w:p w14:paraId="03949F2F" w14:textId="77777777" w:rsidR="00AF113F" w:rsidRPr="00AF113F" w:rsidRDefault="00AF113F" w:rsidP="00782D7C">
            <w:pPr>
              <w:spacing w:after="0" w:line="360" w:lineRule="auto"/>
              <w:rPr>
                <w:rFonts w:ascii="Arial" w:eastAsia="Times New Roman" w:hAnsi="Arial" w:cs="Arial"/>
                <w:lang w:val="en-US"/>
              </w:rPr>
            </w:pPr>
          </w:p>
        </w:tc>
        <w:tc>
          <w:tcPr>
            <w:tcW w:w="1260" w:type="dxa"/>
            <w:shd w:val="clear" w:color="auto" w:fill="auto"/>
            <w:noWrap/>
            <w:vAlign w:val="bottom"/>
          </w:tcPr>
          <w:p w14:paraId="77AB8465"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284" w:type="dxa"/>
            <w:shd w:val="clear" w:color="auto" w:fill="auto"/>
            <w:noWrap/>
            <w:vAlign w:val="bottom"/>
          </w:tcPr>
          <w:p w14:paraId="0A030AFC" w14:textId="77777777" w:rsidR="00AF113F" w:rsidRPr="00AF113F" w:rsidRDefault="00AF113F" w:rsidP="00782D7C">
            <w:pPr>
              <w:spacing w:after="0" w:line="360" w:lineRule="auto"/>
              <w:jc w:val="right"/>
              <w:rPr>
                <w:rFonts w:ascii="Arial" w:eastAsia="Times New Roman" w:hAnsi="Arial" w:cs="Arial"/>
                <w:color w:val="000000"/>
                <w:lang w:val="en-US"/>
              </w:rPr>
            </w:pPr>
            <w:r w:rsidRPr="00AF113F">
              <w:rPr>
                <w:rFonts w:ascii="Arial" w:eastAsia="Times New Roman" w:hAnsi="Arial" w:cs="Arial"/>
                <w:color w:val="000000"/>
                <w:lang w:val="en-US"/>
              </w:rPr>
              <w:t>308,000</w:t>
            </w:r>
          </w:p>
        </w:tc>
      </w:tr>
      <w:tr w:rsidR="00AF113F" w:rsidRPr="00AF113F" w14:paraId="22BE8E91" w14:textId="77777777" w:rsidTr="00D83BD1">
        <w:trPr>
          <w:trHeight w:val="300"/>
        </w:trPr>
        <w:tc>
          <w:tcPr>
            <w:tcW w:w="3235" w:type="dxa"/>
            <w:shd w:val="clear" w:color="auto" w:fill="auto"/>
            <w:noWrap/>
            <w:vAlign w:val="bottom"/>
          </w:tcPr>
          <w:p w14:paraId="0A47D310" w14:textId="77777777" w:rsidR="00AF113F" w:rsidRPr="00AF113F" w:rsidRDefault="00AF113F" w:rsidP="00782D7C">
            <w:pPr>
              <w:spacing w:after="0" w:line="360" w:lineRule="auto"/>
              <w:rPr>
                <w:rFonts w:ascii="Arial" w:eastAsia="Times New Roman" w:hAnsi="Arial" w:cs="Arial"/>
                <w:b/>
                <w:color w:val="000000"/>
                <w:lang w:val="en-US"/>
              </w:rPr>
            </w:pPr>
            <w:r w:rsidRPr="00AF113F">
              <w:rPr>
                <w:rFonts w:ascii="Arial" w:eastAsia="Times New Roman" w:hAnsi="Arial" w:cs="Arial"/>
                <w:b/>
                <w:color w:val="000000"/>
                <w:lang w:val="en-US"/>
              </w:rPr>
              <w:t>Profit</w:t>
            </w:r>
          </w:p>
        </w:tc>
        <w:tc>
          <w:tcPr>
            <w:tcW w:w="1497" w:type="dxa"/>
            <w:shd w:val="clear" w:color="auto" w:fill="auto"/>
            <w:noWrap/>
            <w:vAlign w:val="bottom"/>
          </w:tcPr>
          <w:p w14:paraId="0078C5D6" w14:textId="77777777" w:rsidR="00AF113F" w:rsidRPr="00AF113F" w:rsidRDefault="00AF113F" w:rsidP="00782D7C">
            <w:pPr>
              <w:spacing w:after="0" w:line="360" w:lineRule="auto"/>
              <w:rPr>
                <w:rFonts w:ascii="Arial" w:eastAsia="Times New Roman" w:hAnsi="Arial" w:cs="Arial"/>
                <w:color w:val="000000"/>
                <w:lang w:val="en-US"/>
              </w:rPr>
            </w:pPr>
          </w:p>
        </w:tc>
        <w:tc>
          <w:tcPr>
            <w:tcW w:w="1440" w:type="dxa"/>
            <w:shd w:val="clear" w:color="auto" w:fill="auto"/>
            <w:noWrap/>
            <w:vAlign w:val="bottom"/>
          </w:tcPr>
          <w:p w14:paraId="344A5EFC" w14:textId="77777777" w:rsidR="00AF113F" w:rsidRPr="00AF113F" w:rsidRDefault="00AF113F" w:rsidP="00782D7C">
            <w:pPr>
              <w:spacing w:after="0" w:line="360" w:lineRule="auto"/>
              <w:rPr>
                <w:rFonts w:ascii="Arial" w:eastAsia="Times New Roman" w:hAnsi="Arial" w:cs="Arial"/>
                <w:lang w:val="en-US"/>
              </w:rPr>
            </w:pPr>
          </w:p>
        </w:tc>
        <w:tc>
          <w:tcPr>
            <w:tcW w:w="1260" w:type="dxa"/>
            <w:shd w:val="clear" w:color="auto" w:fill="auto"/>
            <w:noWrap/>
            <w:vAlign w:val="bottom"/>
          </w:tcPr>
          <w:p w14:paraId="242AC4E3" w14:textId="77777777" w:rsidR="00AF113F" w:rsidRPr="00AF113F" w:rsidRDefault="00AF113F" w:rsidP="00782D7C">
            <w:pPr>
              <w:spacing w:after="0" w:line="360" w:lineRule="auto"/>
              <w:jc w:val="right"/>
              <w:rPr>
                <w:rFonts w:ascii="Arial" w:eastAsia="Times New Roman" w:hAnsi="Arial" w:cs="Arial"/>
                <w:color w:val="000000"/>
                <w:lang w:val="en-US"/>
              </w:rPr>
            </w:pPr>
          </w:p>
        </w:tc>
        <w:tc>
          <w:tcPr>
            <w:tcW w:w="1284" w:type="dxa"/>
            <w:shd w:val="clear" w:color="auto" w:fill="auto"/>
            <w:noWrap/>
            <w:vAlign w:val="bottom"/>
          </w:tcPr>
          <w:p w14:paraId="17D0078E" w14:textId="77777777" w:rsidR="00AF113F" w:rsidRPr="00AF113F" w:rsidRDefault="00AF113F" w:rsidP="00782D7C">
            <w:pPr>
              <w:spacing w:after="0" w:line="360" w:lineRule="auto"/>
              <w:jc w:val="right"/>
              <w:rPr>
                <w:rFonts w:ascii="Arial" w:eastAsia="Times New Roman" w:hAnsi="Arial" w:cs="Arial"/>
                <w:b/>
                <w:color w:val="000000"/>
                <w:lang w:val="en-US"/>
              </w:rPr>
            </w:pPr>
            <w:r w:rsidRPr="00AF113F">
              <w:rPr>
                <w:rFonts w:ascii="Arial" w:eastAsia="Calibri" w:hAnsi="Arial" w:cs="Arial"/>
                <w:b/>
              </w:rPr>
              <w:t>£</w:t>
            </w:r>
            <w:r w:rsidRPr="00AF113F">
              <w:rPr>
                <w:rFonts w:ascii="Arial" w:eastAsia="Times New Roman" w:hAnsi="Arial" w:cs="Arial"/>
                <w:b/>
                <w:color w:val="000000"/>
                <w:lang w:val="en-US"/>
              </w:rPr>
              <w:t>322,000</w:t>
            </w:r>
          </w:p>
        </w:tc>
      </w:tr>
    </w:tbl>
    <w:p w14:paraId="037026CF"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 </w:t>
      </w:r>
    </w:p>
    <w:p w14:paraId="008D9208" w14:textId="77777777" w:rsidR="00AF113F" w:rsidRPr="00AF113F" w:rsidRDefault="00AF113F" w:rsidP="00782D7C">
      <w:pPr>
        <w:spacing w:line="360" w:lineRule="auto"/>
        <w:rPr>
          <w:rFonts w:ascii="Arial" w:eastAsia="Calibri" w:hAnsi="Arial" w:cs="Arial"/>
          <w:b/>
        </w:rPr>
      </w:pPr>
      <w:r w:rsidRPr="00AF113F">
        <w:rPr>
          <w:rFonts w:ascii="Arial" w:eastAsia="Calibri" w:hAnsi="Arial" w:cs="Arial"/>
          <w:b/>
        </w:rPr>
        <w:t xml:space="preserve">Drop in the profit </w:t>
      </w:r>
      <w:proofErr w:type="gramStart"/>
      <w:r w:rsidRPr="00AF113F">
        <w:rPr>
          <w:rFonts w:ascii="Arial" w:eastAsia="Calibri" w:hAnsi="Arial" w:cs="Arial"/>
          <w:b/>
        </w:rPr>
        <w:t>as a result of</w:t>
      </w:r>
      <w:proofErr w:type="gramEnd"/>
      <w:r w:rsidRPr="00AF113F">
        <w:rPr>
          <w:rFonts w:ascii="Arial" w:eastAsia="Calibri" w:hAnsi="Arial" w:cs="Arial"/>
          <w:b/>
        </w:rPr>
        <w:t xml:space="preserve"> the proposed closure of the Coventry branch</w:t>
      </w:r>
    </w:p>
    <w:tbl>
      <w:tblPr>
        <w:tblStyle w:val="TableGrid1"/>
        <w:tblW w:w="0" w:type="auto"/>
        <w:tblLook w:val="04A0" w:firstRow="1" w:lastRow="0" w:firstColumn="1" w:lastColumn="0" w:noHBand="0" w:noVBand="1"/>
      </w:tblPr>
      <w:tblGrid>
        <w:gridCol w:w="4508"/>
        <w:gridCol w:w="4508"/>
      </w:tblGrid>
      <w:tr w:rsidR="00AF113F" w:rsidRPr="00AF113F" w14:paraId="57178D7D" w14:textId="77777777" w:rsidTr="00D83BD1">
        <w:tc>
          <w:tcPr>
            <w:tcW w:w="4675" w:type="dxa"/>
          </w:tcPr>
          <w:p w14:paraId="5227E8ED"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Profit before the proposed closure </w:t>
            </w:r>
          </w:p>
          <w:p w14:paraId="601FAE24" w14:textId="77777777" w:rsidR="00AF113F" w:rsidRPr="00AF113F" w:rsidRDefault="00AF113F" w:rsidP="00782D7C">
            <w:pPr>
              <w:spacing w:line="360" w:lineRule="auto"/>
              <w:rPr>
                <w:rFonts w:ascii="Arial" w:eastAsia="Calibri" w:hAnsi="Arial" w:cs="Arial"/>
              </w:rPr>
            </w:pPr>
          </w:p>
        </w:tc>
        <w:tc>
          <w:tcPr>
            <w:tcW w:w="4675" w:type="dxa"/>
          </w:tcPr>
          <w:p w14:paraId="3A688733"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£462,000</w:t>
            </w:r>
          </w:p>
        </w:tc>
      </w:tr>
      <w:tr w:rsidR="00AF113F" w:rsidRPr="00AF113F" w14:paraId="4A1E8BBC" w14:textId="77777777" w:rsidTr="00D83BD1">
        <w:tc>
          <w:tcPr>
            <w:tcW w:w="4675" w:type="dxa"/>
          </w:tcPr>
          <w:p w14:paraId="3D9BC5B5"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Profit after the closure</w:t>
            </w:r>
          </w:p>
          <w:p w14:paraId="1BFC8DAB" w14:textId="77777777" w:rsidR="00AF113F" w:rsidRPr="00AF113F" w:rsidRDefault="00AF113F" w:rsidP="00782D7C">
            <w:pPr>
              <w:spacing w:line="360" w:lineRule="auto"/>
              <w:rPr>
                <w:rFonts w:ascii="Arial" w:eastAsia="Calibri" w:hAnsi="Arial" w:cs="Arial"/>
              </w:rPr>
            </w:pPr>
          </w:p>
        </w:tc>
        <w:tc>
          <w:tcPr>
            <w:tcW w:w="4675" w:type="dxa"/>
          </w:tcPr>
          <w:p w14:paraId="42D39597"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£322,000</w:t>
            </w:r>
          </w:p>
        </w:tc>
      </w:tr>
      <w:tr w:rsidR="00AF113F" w:rsidRPr="00AF113F" w14:paraId="1FA09AE4" w14:textId="77777777" w:rsidTr="00D83BD1">
        <w:tc>
          <w:tcPr>
            <w:tcW w:w="4675" w:type="dxa"/>
          </w:tcPr>
          <w:p w14:paraId="10E388E3"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Drop in the profit</w:t>
            </w:r>
          </w:p>
        </w:tc>
        <w:tc>
          <w:tcPr>
            <w:tcW w:w="4675" w:type="dxa"/>
          </w:tcPr>
          <w:p w14:paraId="04071AED"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£140,000</w:t>
            </w:r>
          </w:p>
        </w:tc>
      </w:tr>
    </w:tbl>
    <w:p w14:paraId="6F62D76B" w14:textId="77777777" w:rsidR="00AF113F" w:rsidRPr="00AF113F" w:rsidRDefault="00AF113F" w:rsidP="00782D7C">
      <w:pPr>
        <w:spacing w:line="360" w:lineRule="auto"/>
        <w:rPr>
          <w:rFonts w:ascii="Arial" w:eastAsia="Calibri" w:hAnsi="Arial" w:cs="Arial"/>
        </w:rPr>
      </w:pPr>
    </w:p>
    <w:p w14:paraId="3DEF25B9" w14:textId="77777777" w:rsidR="00AF113F" w:rsidRPr="00AF113F" w:rsidRDefault="00AF113F" w:rsidP="00782D7C">
      <w:pPr>
        <w:spacing w:line="360" w:lineRule="auto"/>
        <w:rPr>
          <w:rFonts w:ascii="Arial" w:eastAsia="Calibri" w:hAnsi="Arial" w:cs="Arial"/>
          <w:b/>
        </w:rPr>
      </w:pPr>
      <w:r w:rsidRPr="00AF113F">
        <w:rPr>
          <w:rFonts w:ascii="Arial" w:eastAsia="Calibri" w:hAnsi="Arial" w:cs="Arial"/>
          <w:b/>
        </w:rPr>
        <w:t>Saving in the cost of the outsourced operation</w:t>
      </w:r>
    </w:p>
    <w:tbl>
      <w:tblPr>
        <w:tblStyle w:val="TableGrid1"/>
        <w:tblW w:w="0" w:type="auto"/>
        <w:tblLook w:val="04A0" w:firstRow="1" w:lastRow="0" w:firstColumn="1" w:lastColumn="0" w:noHBand="0" w:noVBand="1"/>
      </w:tblPr>
      <w:tblGrid>
        <w:gridCol w:w="4508"/>
        <w:gridCol w:w="4508"/>
      </w:tblGrid>
      <w:tr w:rsidR="00AF113F" w:rsidRPr="00AF113F" w14:paraId="51133988" w14:textId="77777777" w:rsidTr="00D83BD1">
        <w:tc>
          <w:tcPr>
            <w:tcW w:w="4675" w:type="dxa"/>
          </w:tcPr>
          <w:p w14:paraId="1A86FBCE"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Before the proposed closure </w:t>
            </w:r>
          </w:p>
          <w:p w14:paraId="4776E042" w14:textId="77777777" w:rsidR="00AF113F" w:rsidRPr="00AF113F" w:rsidRDefault="00AF113F" w:rsidP="00782D7C">
            <w:pPr>
              <w:spacing w:line="360" w:lineRule="auto"/>
              <w:rPr>
                <w:rFonts w:ascii="Arial" w:eastAsia="Calibri" w:hAnsi="Arial" w:cs="Arial"/>
              </w:rPr>
            </w:pPr>
          </w:p>
        </w:tc>
        <w:tc>
          <w:tcPr>
            <w:tcW w:w="4675" w:type="dxa"/>
          </w:tcPr>
          <w:p w14:paraId="36861653"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£308,000</w:t>
            </w:r>
          </w:p>
        </w:tc>
      </w:tr>
      <w:tr w:rsidR="00AF113F" w:rsidRPr="00AF113F" w14:paraId="6286E8D9" w14:textId="77777777" w:rsidTr="00D83BD1">
        <w:tc>
          <w:tcPr>
            <w:tcW w:w="4675" w:type="dxa"/>
          </w:tcPr>
          <w:p w14:paraId="6992E5E7"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After the proposed closure</w:t>
            </w:r>
          </w:p>
          <w:p w14:paraId="438AC468" w14:textId="77777777" w:rsidR="00AF113F" w:rsidRPr="00AF113F" w:rsidRDefault="00AF113F" w:rsidP="00782D7C">
            <w:pPr>
              <w:spacing w:line="360" w:lineRule="auto"/>
              <w:rPr>
                <w:rFonts w:ascii="Arial" w:eastAsia="Calibri" w:hAnsi="Arial" w:cs="Arial"/>
              </w:rPr>
            </w:pPr>
          </w:p>
        </w:tc>
        <w:tc>
          <w:tcPr>
            <w:tcW w:w="4675" w:type="dxa"/>
          </w:tcPr>
          <w:p w14:paraId="3D9D9C6D"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£248,000</w:t>
            </w:r>
          </w:p>
        </w:tc>
      </w:tr>
      <w:tr w:rsidR="00AF113F" w:rsidRPr="00AF113F" w14:paraId="09EB1916" w14:textId="77777777" w:rsidTr="00D83BD1">
        <w:tc>
          <w:tcPr>
            <w:tcW w:w="4675" w:type="dxa"/>
          </w:tcPr>
          <w:p w14:paraId="6C9FB235"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Total cost saved </w:t>
            </w:r>
          </w:p>
        </w:tc>
        <w:tc>
          <w:tcPr>
            <w:tcW w:w="4675" w:type="dxa"/>
          </w:tcPr>
          <w:p w14:paraId="4584923D"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£60,000</w:t>
            </w:r>
          </w:p>
        </w:tc>
      </w:tr>
    </w:tbl>
    <w:p w14:paraId="1B2E1C30"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 </w:t>
      </w:r>
    </w:p>
    <w:p w14:paraId="52FC23F2" w14:textId="77777777" w:rsidR="00AF113F" w:rsidRPr="00AF113F" w:rsidRDefault="00AF113F" w:rsidP="00782D7C">
      <w:pPr>
        <w:keepNext/>
        <w:keepLines/>
        <w:spacing w:before="240" w:after="0" w:line="360" w:lineRule="auto"/>
        <w:jc w:val="center"/>
        <w:outlineLvl w:val="0"/>
        <w:rPr>
          <w:rFonts w:ascii="Arial" w:eastAsia="Times New Roman" w:hAnsi="Arial" w:cs="Arial"/>
          <w:b/>
          <w:color w:val="0070C0"/>
        </w:rPr>
      </w:pPr>
      <w:bookmarkStart w:id="2" w:name="_Toc86050423"/>
      <w:r w:rsidRPr="00AF113F">
        <w:rPr>
          <w:rFonts w:ascii="Arial" w:eastAsia="Times New Roman" w:hAnsi="Arial" w:cs="Arial"/>
          <w:b/>
          <w:color w:val="0070C0"/>
        </w:rPr>
        <w:t>Critical analysis of the costs</w:t>
      </w:r>
      <w:bookmarkEnd w:id="2"/>
    </w:p>
    <w:p w14:paraId="2DFBD1D5"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The current profit position of the head office before the implementation of the proposed closure of the Coventry branch shows a profit of £2,572,000. Since Coventry branch is contributing £678 to the head office of revenue. The analysis of each branch's variable cost, which is 75% of the total sales, shows that the </w:t>
      </w:r>
      <w:r w:rsidRPr="00AF113F">
        <w:rPr>
          <w:rFonts w:ascii="Arial" w:eastAsia="Times New Roman" w:hAnsi="Arial" w:cs="Arial"/>
          <w:color w:val="000000"/>
          <w:lang w:val="en-US"/>
        </w:rPr>
        <w:t xml:space="preserve">Birmingham branch has the highest variable price of </w:t>
      </w:r>
      <w:r w:rsidRPr="00AF113F">
        <w:rPr>
          <w:rFonts w:ascii="Arial" w:eastAsia="Calibri" w:hAnsi="Arial" w:cs="Arial"/>
        </w:rPr>
        <w:t>£1,050,000, the Stafford branch has the variable cost of £660,000, and Coventry branch has a variable cost of £600,000. Similarly, the fixed cost for each branch is obtained as £350,000 for Birmingham, £220,000 for Stafford and £200,000 for the Coventry branch.</w:t>
      </w:r>
    </w:p>
    <w:p w14:paraId="30ADA6D5"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For instance, to determine the contribution for each branch, the marginal costing technique is applied. The results of the marginal costing show that the Birmingham branch has a contribution of £350,000, the Stafford branch has a contribution of £220,000, and the Coventry branch has a contribution of £200,000. The total contribution for the head office is computed as £770,000.  Besides, when the cost of outsourcing payroll and bookkeeping services is deducted from the total contribution margin, the total profit of the head office becomes £462,000. </w:t>
      </w:r>
    </w:p>
    <w:p w14:paraId="10E5F3AD"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lastRenderedPageBreak/>
        <w:t xml:space="preserve">Contextually, it is anticipated that the proposed closure of the Coventry branch will result in the loss of all the sales made by the branch. This implies that the total sales made by the Head office will be made by Birmingham branch and Safford branch. On the other hand, the payroll and bookkeeping service cost will only reduce by £60,000 from the current amount of £308,000 to £248,000. Likewise, the Head office profit calculation after the closure of the Coventry branch reveals that the Head office will only generate a profit of £322,000. The profit figure of £322,000 decreases from £462,000 that was earned before the closure of the Coventry branch. Therefore, these results indicate a decline in the profit of the Head office by £140,000. Notably, as shown above, the Company will only save £60,000 of the current payroll and bookkeeping service expenses. </w:t>
      </w:r>
    </w:p>
    <w:p w14:paraId="60C1F376"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Besides, the Head office should not contemplate the closure of the Coventry branch. For instance, if the Coventry branch is closed, the revenue earned would drop by £140,000, and the operating cost would reduce by £60,000. Therefore, the report recommends that the Company should adopt various strategies as discussed below. </w:t>
      </w:r>
    </w:p>
    <w:p w14:paraId="0BA5D7E0" w14:textId="77777777" w:rsidR="00AF113F" w:rsidRPr="00AF113F" w:rsidRDefault="00AF113F" w:rsidP="00782D7C">
      <w:pPr>
        <w:keepNext/>
        <w:keepLines/>
        <w:spacing w:before="240" w:after="0" w:line="360" w:lineRule="auto"/>
        <w:jc w:val="center"/>
        <w:outlineLvl w:val="0"/>
        <w:rPr>
          <w:rFonts w:ascii="Arial" w:eastAsia="Times New Roman" w:hAnsi="Arial" w:cs="Arial"/>
          <w:b/>
          <w:color w:val="0070C0"/>
        </w:rPr>
      </w:pPr>
      <w:bookmarkStart w:id="3" w:name="_Toc86050424"/>
      <w:r w:rsidRPr="00AF113F">
        <w:rPr>
          <w:rFonts w:ascii="Arial" w:eastAsia="Times New Roman" w:hAnsi="Arial" w:cs="Arial"/>
          <w:b/>
          <w:color w:val="0070C0"/>
        </w:rPr>
        <w:t>Recommendations to be adopted by the management of Rapid Response Drainage Services Limited</w:t>
      </w:r>
      <w:bookmarkEnd w:id="3"/>
    </w:p>
    <w:p w14:paraId="74577654"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The Company should look for alternative ways of reducing the variable costs and, in return, increase the profitability rate. For instance, the management should reduce variable expenditures like advertising and employee compensation before focusing on fixed expenses like bills and rent. Notably, reducing the fixed costs can be more tiresome in finances and operations than cutting your variable costs. Besides, direct and marketing expenses may need to be reduced if a corporation wants to boost profit by lowering variable expenses. However, the cost savings should not be at the expense of the quality of the product, as this would hurt sales. A business's gross profit margin or contribution margin is increased by lowering variable costs. The contribution margin enables management to assess how much revenue and profit each unit of goods sold can generate (</w:t>
      </w:r>
      <w:r w:rsidRPr="00AF113F">
        <w:rPr>
          <w:rFonts w:ascii="Arial" w:eastAsia="Calibri" w:hAnsi="Arial" w:cs="Arial"/>
          <w:color w:val="222222"/>
          <w:shd w:val="clear" w:color="auto" w:fill="FFFFFF"/>
        </w:rPr>
        <w:t>Jha, 2017)</w:t>
      </w:r>
      <w:r w:rsidRPr="00AF113F">
        <w:rPr>
          <w:rFonts w:ascii="Arial" w:eastAsia="Calibri" w:hAnsi="Arial" w:cs="Arial"/>
        </w:rPr>
        <w:t>.</w:t>
      </w:r>
    </w:p>
    <w:p w14:paraId="5A635911"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Contextually, the report recommends that the management reduce the production costs. For instance, the management of Rapid Response Drainage Services Limited should monitor costs closely to evaluate if the available human resources, direct </w:t>
      </w:r>
      <w:proofErr w:type="gramStart"/>
      <w:r w:rsidRPr="00AF113F">
        <w:rPr>
          <w:rFonts w:ascii="Arial" w:eastAsia="Calibri" w:hAnsi="Arial" w:cs="Arial"/>
        </w:rPr>
        <w:t>materials</w:t>
      </w:r>
      <w:proofErr w:type="gramEnd"/>
      <w:r w:rsidRPr="00AF113F">
        <w:rPr>
          <w:rFonts w:ascii="Arial" w:eastAsia="Calibri" w:hAnsi="Arial" w:cs="Arial"/>
        </w:rPr>
        <w:t xml:space="preserve"> and overhead charges may surpass the anticipated limits for each stage of the manufacturing process (</w:t>
      </w:r>
      <w:proofErr w:type="spellStart"/>
      <w:r w:rsidRPr="00AF113F">
        <w:rPr>
          <w:rFonts w:ascii="Arial" w:eastAsia="Calibri" w:hAnsi="Arial" w:cs="Arial"/>
          <w:color w:val="222222"/>
          <w:shd w:val="clear" w:color="auto" w:fill="FFFFFF"/>
        </w:rPr>
        <w:t>Mowen</w:t>
      </w:r>
      <w:proofErr w:type="spellEnd"/>
      <w:r w:rsidRPr="00AF113F">
        <w:rPr>
          <w:rFonts w:ascii="Arial" w:eastAsia="Calibri" w:hAnsi="Arial" w:cs="Arial"/>
          <w:color w:val="222222"/>
          <w:shd w:val="clear" w:color="auto" w:fill="FFFFFF"/>
        </w:rPr>
        <w:t xml:space="preserve"> and </w:t>
      </w:r>
      <w:proofErr w:type="spellStart"/>
      <w:r w:rsidRPr="00AF113F">
        <w:rPr>
          <w:rFonts w:ascii="Arial" w:eastAsia="Calibri" w:hAnsi="Arial" w:cs="Arial"/>
          <w:color w:val="222222"/>
          <w:shd w:val="clear" w:color="auto" w:fill="FFFFFF"/>
        </w:rPr>
        <w:t>Heitger</w:t>
      </w:r>
      <w:proofErr w:type="spellEnd"/>
      <w:r w:rsidRPr="00AF113F">
        <w:rPr>
          <w:rFonts w:ascii="Arial" w:eastAsia="Calibri" w:hAnsi="Arial" w:cs="Arial"/>
          <w:color w:val="222222"/>
          <w:shd w:val="clear" w:color="auto" w:fill="FFFFFF"/>
        </w:rPr>
        <w:t>, 2021)</w:t>
      </w:r>
      <w:r w:rsidRPr="00AF113F">
        <w:rPr>
          <w:rFonts w:ascii="Arial" w:eastAsia="Calibri" w:hAnsi="Arial" w:cs="Arial"/>
        </w:rPr>
        <w:t xml:space="preserve">. Similarly, the Company’s management accountant must regularly update all the production costs to view the actual expenditure and evaluate the data. For example, once the formulas have been entered into the spreadsheet, the document will perform </w:t>
      </w:r>
      <w:proofErr w:type="gramStart"/>
      <w:r w:rsidRPr="00AF113F">
        <w:rPr>
          <w:rFonts w:ascii="Arial" w:eastAsia="Calibri" w:hAnsi="Arial" w:cs="Arial"/>
        </w:rPr>
        <w:t>all of</w:t>
      </w:r>
      <w:proofErr w:type="gramEnd"/>
      <w:r w:rsidRPr="00AF113F">
        <w:rPr>
          <w:rFonts w:ascii="Arial" w:eastAsia="Calibri" w:hAnsi="Arial" w:cs="Arial"/>
        </w:rPr>
        <w:t xml:space="preserve"> the calculations regularly.</w:t>
      </w:r>
    </w:p>
    <w:p w14:paraId="305CD863"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lastRenderedPageBreak/>
        <w:t xml:space="preserve">Notably, this report recommends that the management of Rapid Response Drainage Services Limited must agree with PLS limited to pay a fixed sum for utilities. For example, instead of spending a variable rate every month, the management can negotiate with PLS to limit a service provider to be paid a fixed sum each month for their utilities. Likewise, in the long run, the management may spend less money in the long term, thus eliminating uncertainty. Besides, the management should ensure that PLS limited provides additional discounts for their services. This will help to reduce the costs. </w:t>
      </w:r>
    </w:p>
    <w:p w14:paraId="74E6276D"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The report recommends that Rapid Response Drainage Services Limited's management automate its marketing activities with low-cost tools. For instance, with a small investment in digital marketing, it is possible to improve sales. Since prospective clients will become connected with the Company’s trademark brand and get interested in the business due to an online presence. Furthermore, the selection of a correct media platform is cheaper. Likewise, this report recommends that Rapid Response Drainage Services Limited's management use a software tool that allows it to pay bills online. For instance, implementing an online bill-paying software package can reduce documentation and save up to 50 per cent of the total cost on contract management and bill clearance period. Notably, paying the Company's bills online is a fantastic advantage that the internet provides. As a result, Rapid Response Drainage Services Limited management should think about signing up for an online bill payment service and creating a cloud-based account that allows them to pay all the bills in one spot. This will save time since automated payments will help them to prevent late payments. Many banks have a bill-paying tool available on their websites (</w:t>
      </w:r>
      <w:r w:rsidRPr="00AF113F">
        <w:rPr>
          <w:rFonts w:ascii="Arial" w:eastAsia="Calibri" w:hAnsi="Arial" w:cs="Arial"/>
          <w:color w:val="222222"/>
          <w:shd w:val="clear" w:color="auto" w:fill="FFFFFF"/>
        </w:rPr>
        <w:t>Ullah, Farooq and Hussain, 2020)</w:t>
      </w:r>
      <w:r w:rsidRPr="00AF113F">
        <w:rPr>
          <w:rFonts w:ascii="Arial" w:eastAsia="Calibri" w:hAnsi="Arial" w:cs="Arial"/>
        </w:rPr>
        <w:t>.</w:t>
      </w:r>
    </w:p>
    <w:p w14:paraId="3C837C28"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Finally, this report recommends that the management of Rapid Response Drainage Services Limited prepare budgets and adhere to them. </w:t>
      </w:r>
      <w:r w:rsidRPr="00AF113F">
        <w:rPr>
          <w:rFonts w:ascii="Arial" w:eastAsia="Calibri" w:hAnsi="Arial" w:cs="Arial"/>
          <w:color w:val="222222"/>
          <w:shd w:val="clear" w:color="auto" w:fill="FFFFFF"/>
        </w:rPr>
        <w:t xml:space="preserve">Hansen, </w:t>
      </w:r>
      <w:proofErr w:type="spellStart"/>
      <w:r w:rsidRPr="00AF113F">
        <w:rPr>
          <w:rFonts w:ascii="Arial" w:eastAsia="Calibri" w:hAnsi="Arial" w:cs="Arial"/>
          <w:color w:val="222222"/>
          <w:shd w:val="clear" w:color="auto" w:fill="FFFFFF"/>
        </w:rPr>
        <w:t>Mowen</w:t>
      </w:r>
      <w:proofErr w:type="spellEnd"/>
      <w:r w:rsidRPr="00AF113F">
        <w:rPr>
          <w:rFonts w:ascii="Arial" w:eastAsia="Calibri" w:hAnsi="Arial" w:cs="Arial"/>
          <w:color w:val="222222"/>
          <w:shd w:val="clear" w:color="auto" w:fill="FFFFFF"/>
        </w:rPr>
        <w:t xml:space="preserve"> and </w:t>
      </w:r>
      <w:proofErr w:type="spellStart"/>
      <w:r w:rsidRPr="00AF113F">
        <w:rPr>
          <w:rFonts w:ascii="Arial" w:eastAsia="Calibri" w:hAnsi="Arial" w:cs="Arial"/>
          <w:color w:val="222222"/>
          <w:shd w:val="clear" w:color="auto" w:fill="FFFFFF"/>
        </w:rPr>
        <w:t>Heitger</w:t>
      </w:r>
      <w:proofErr w:type="spellEnd"/>
      <w:r w:rsidRPr="00AF113F">
        <w:rPr>
          <w:rFonts w:ascii="Arial" w:eastAsia="Calibri" w:hAnsi="Arial" w:cs="Arial"/>
          <w:color w:val="222222"/>
          <w:shd w:val="clear" w:color="auto" w:fill="FFFFFF"/>
        </w:rPr>
        <w:t xml:space="preserve"> (2021) </w:t>
      </w:r>
      <w:r w:rsidRPr="00AF113F">
        <w:rPr>
          <w:rFonts w:ascii="Arial" w:eastAsia="Calibri" w:hAnsi="Arial" w:cs="Arial"/>
        </w:rPr>
        <w:t>note that the ability to set a budget is a necessary skill for managers and accountants. For example, learning about Rapid Response Drainage Services budgeting timetable, practices, and financial statements will enable the accountants to develop a budget that will allow the entire team to complete initiatives to increase profitability and performance. Besides, budgets will Keep track of each action item the team completes to compare the actual expenses to budgeted expenditures. This will enable the management of Rapid Response Drainage Services Limited to learn from their mistakes and make more informed financial decisions in the future.</w:t>
      </w:r>
    </w:p>
    <w:p w14:paraId="1B3ED23D" w14:textId="77777777" w:rsidR="00AF113F" w:rsidRPr="00AF113F" w:rsidRDefault="00AF113F" w:rsidP="00782D7C">
      <w:pPr>
        <w:keepNext/>
        <w:keepLines/>
        <w:spacing w:before="240" w:after="0" w:line="360" w:lineRule="auto"/>
        <w:jc w:val="center"/>
        <w:outlineLvl w:val="0"/>
        <w:rPr>
          <w:rFonts w:ascii="Arial" w:eastAsia="Times New Roman" w:hAnsi="Arial" w:cs="Arial"/>
          <w:b/>
          <w:color w:val="0070C0"/>
        </w:rPr>
      </w:pPr>
      <w:bookmarkStart w:id="4" w:name="_Toc86050425"/>
      <w:r w:rsidRPr="00AF113F">
        <w:rPr>
          <w:rFonts w:ascii="Arial" w:eastAsia="Times New Roman" w:hAnsi="Arial" w:cs="Arial"/>
          <w:b/>
          <w:color w:val="0070C0"/>
        </w:rPr>
        <w:t>Conclusion</w:t>
      </w:r>
      <w:bookmarkEnd w:id="4"/>
    </w:p>
    <w:p w14:paraId="5414417B"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t xml:space="preserve">In a nutshell, this report has provided a critical analysis of the position of the three branches. For instance, the total revenue amounted to £2,572,000 before the suggestion of </w:t>
      </w:r>
      <w:proofErr w:type="gramStart"/>
      <w:r w:rsidRPr="00AF113F">
        <w:rPr>
          <w:rFonts w:ascii="Arial" w:eastAsia="Calibri" w:hAnsi="Arial" w:cs="Arial"/>
        </w:rPr>
        <w:t xml:space="preserve">closing </w:t>
      </w:r>
      <w:r w:rsidRPr="00AF113F">
        <w:rPr>
          <w:rFonts w:ascii="Arial" w:eastAsia="Calibri" w:hAnsi="Arial" w:cs="Arial"/>
        </w:rPr>
        <w:lastRenderedPageBreak/>
        <w:t>down</w:t>
      </w:r>
      <w:proofErr w:type="gramEnd"/>
      <w:r w:rsidRPr="00AF113F">
        <w:rPr>
          <w:rFonts w:ascii="Arial" w:eastAsia="Calibri" w:hAnsi="Arial" w:cs="Arial"/>
        </w:rPr>
        <w:t xml:space="preserve"> the Coventry branch. Besides, the report adopted the marginal costing method to compute the contribution margin and the net income of the three branches. For example, the Birmingham branch had a contribution of £350,000, Stafford branch had a contribution of £220,000, and Coventry branch had a contribution of £200,000 and a total net income of £462,000. Notably, the report has recommended various ways of improving the profitability of the Coventry branch. For example, reducing the variable expenses such as advertisement costs and workers’ remuneration, preparing budgets, automating its marketing </w:t>
      </w:r>
      <w:proofErr w:type="gramStart"/>
      <w:r w:rsidRPr="00AF113F">
        <w:rPr>
          <w:rFonts w:ascii="Arial" w:eastAsia="Calibri" w:hAnsi="Arial" w:cs="Arial"/>
        </w:rPr>
        <w:t>activities</w:t>
      </w:r>
      <w:proofErr w:type="gramEnd"/>
      <w:r w:rsidRPr="00AF113F">
        <w:rPr>
          <w:rFonts w:ascii="Arial" w:eastAsia="Calibri" w:hAnsi="Arial" w:cs="Arial"/>
        </w:rPr>
        <w:t xml:space="preserve"> and negotiating for discounts.</w:t>
      </w:r>
    </w:p>
    <w:p w14:paraId="2820E4ED" w14:textId="77777777" w:rsidR="00AF113F" w:rsidRPr="00AF113F" w:rsidRDefault="00AF113F" w:rsidP="00782D7C">
      <w:pPr>
        <w:spacing w:line="360" w:lineRule="auto"/>
        <w:rPr>
          <w:rFonts w:ascii="Arial" w:eastAsia="Calibri" w:hAnsi="Arial" w:cs="Arial"/>
        </w:rPr>
      </w:pPr>
      <w:r w:rsidRPr="00AF113F">
        <w:rPr>
          <w:rFonts w:ascii="Arial" w:eastAsia="Calibri" w:hAnsi="Arial" w:cs="Arial"/>
        </w:rPr>
        <w:br w:type="page"/>
      </w:r>
    </w:p>
    <w:p w14:paraId="10FB1864" w14:textId="77777777" w:rsidR="00AF113F" w:rsidRPr="00AF113F" w:rsidRDefault="00AF113F" w:rsidP="00AF113F">
      <w:pPr>
        <w:keepNext/>
        <w:keepLines/>
        <w:spacing w:before="240" w:after="0" w:line="360" w:lineRule="auto"/>
        <w:jc w:val="center"/>
        <w:outlineLvl w:val="0"/>
        <w:rPr>
          <w:rFonts w:ascii="Arial" w:eastAsia="Times New Roman" w:hAnsi="Arial" w:cs="Arial"/>
          <w:b/>
        </w:rPr>
      </w:pPr>
      <w:bookmarkStart w:id="5" w:name="_Toc86050426"/>
      <w:r w:rsidRPr="00AF113F">
        <w:rPr>
          <w:rFonts w:ascii="Arial" w:eastAsia="Times New Roman" w:hAnsi="Arial" w:cs="Arial"/>
          <w:b/>
        </w:rPr>
        <w:lastRenderedPageBreak/>
        <w:t>References</w:t>
      </w:r>
      <w:bookmarkEnd w:id="5"/>
    </w:p>
    <w:p w14:paraId="0BE361F7" w14:textId="77777777" w:rsidR="00AF113F" w:rsidRPr="00AF113F" w:rsidRDefault="00AF113F" w:rsidP="00AF113F">
      <w:pPr>
        <w:spacing w:line="360" w:lineRule="auto"/>
        <w:ind w:left="720" w:hanging="720"/>
        <w:rPr>
          <w:rFonts w:ascii="Arial" w:eastAsia="Calibri" w:hAnsi="Arial" w:cs="Arial"/>
          <w:color w:val="222222"/>
          <w:shd w:val="clear" w:color="auto" w:fill="FFFFFF"/>
        </w:rPr>
      </w:pPr>
      <w:r w:rsidRPr="00AF113F">
        <w:rPr>
          <w:rFonts w:ascii="Arial" w:eastAsia="Calibri" w:hAnsi="Arial" w:cs="Arial"/>
          <w:color w:val="222222"/>
          <w:shd w:val="clear" w:color="auto" w:fill="FFFFFF"/>
        </w:rPr>
        <w:t xml:space="preserve">Hansen, D.R., </w:t>
      </w:r>
      <w:proofErr w:type="spellStart"/>
      <w:r w:rsidRPr="00AF113F">
        <w:rPr>
          <w:rFonts w:ascii="Arial" w:eastAsia="Calibri" w:hAnsi="Arial" w:cs="Arial"/>
          <w:color w:val="222222"/>
          <w:shd w:val="clear" w:color="auto" w:fill="FFFFFF"/>
        </w:rPr>
        <w:t>Mowen</w:t>
      </w:r>
      <w:proofErr w:type="spellEnd"/>
      <w:r w:rsidRPr="00AF113F">
        <w:rPr>
          <w:rFonts w:ascii="Arial" w:eastAsia="Calibri" w:hAnsi="Arial" w:cs="Arial"/>
          <w:color w:val="222222"/>
          <w:shd w:val="clear" w:color="auto" w:fill="FFFFFF"/>
        </w:rPr>
        <w:t xml:space="preserve">, M.M. and </w:t>
      </w:r>
      <w:proofErr w:type="spellStart"/>
      <w:r w:rsidRPr="00AF113F">
        <w:rPr>
          <w:rFonts w:ascii="Arial" w:eastAsia="Calibri" w:hAnsi="Arial" w:cs="Arial"/>
          <w:color w:val="222222"/>
          <w:shd w:val="clear" w:color="auto" w:fill="FFFFFF"/>
        </w:rPr>
        <w:t>Heitger</w:t>
      </w:r>
      <w:proofErr w:type="spellEnd"/>
      <w:r w:rsidRPr="00AF113F">
        <w:rPr>
          <w:rFonts w:ascii="Arial" w:eastAsia="Calibri" w:hAnsi="Arial" w:cs="Arial"/>
          <w:color w:val="222222"/>
          <w:shd w:val="clear" w:color="auto" w:fill="FFFFFF"/>
        </w:rPr>
        <w:t>, D.L. (2021). </w:t>
      </w:r>
      <w:r w:rsidRPr="00AF113F">
        <w:rPr>
          <w:rFonts w:ascii="Arial" w:eastAsia="Calibri" w:hAnsi="Arial" w:cs="Arial"/>
          <w:i/>
          <w:iCs/>
          <w:color w:val="222222"/>
          <w:shd w:val="clear" w:color="auto" w:fill="FFFFFF"/>
        </w:rPr>
        <w:t>Cost management</w:t>
      </w:r>
      <w:r w:rsidRPr="00AF113F">
        <w:rPr>
          <w:rFonts w:ascii="Arial" w:eastAsia="Calibri" w:hAnsi="Arial" w:cs="Arial"/>
          <w:color w:val="222222"/>
          <w:shd w:val="clear" w:color="auto" w:fill="FFFFFF"/>
        </w:rPr>
        <w:t>. Cengage Learning.</w:t>
      </w:r>
    </w:p>
    <w:p w14:paraId="2D31E599" w14:textId="77777777" w:rsidR="00AF113F" w:rsidRPr="00AF113F" w:rsidRDefault="00AF113F" w:rsidP="00AF113F">
      <w:pPr>
        <w:spacing w:line="360" w:lineRule="auto"/>
        <w:ind w:left="720" w:hanging="720"/>
        <w:rPr>
          <w:rFonts w:ascii="Arial" w:eastAsia="Calibri" w:hAnsi="Arial" w:cs="Arial"/>
          <w:color w:val="222222"/>
          <w:shd w:val="clear" w:color="auto" w:fill="FFFFFF"/>
        </w:rPr>
      </w:pPr>
      <w:r w:rsidRPr="00AF113F">
        <w:rPr>
          <w:rFonts w:ascii="Arial" w:eastAsia="Calibri" w:hAnsi="Arial" w:cs="Arial"/>
          <w:color w:val="222222"/>
          <w:shd w:val="clear" w:color="auto" w:fill="FFFFFF"/>
        </w:rPr>
        <w:t>Jha, A.K. (2017). Possible Ways for Reducing the Ventilation Cost. In </w:t>
      </w:r>
      <w:r w:rsidRPr="00AF113F">
        <w:rPr>
          <w:rFonts w:ascii="Arial" w:eastAsia="Calibri" w:hAnsi="Arial" w:cs="Arial"/>
          <w:i/>
          <w:iCs/>
          <w:color w:val="222222"/>
          <w:shd w:val="clear" w:color="auto" w:fill="FFFFFF"/>
        </w:rPr>
        <w:t>Selection of Main Mechanical Ventilators for Underground Coal Mines</w:t>
      </w:r>
      <w:r w:rsidRPr="00AF113F">
        <w:rPr>
          <w:rFonts w:ascii="Arial" w:eastAsia="Calibri" w:hAnsi="Arial" w:cs="Arial"/>
          <w:color w:val="222222"/>
          <w:shd w:val="clear" w:color="auto" w:fill="FFFFFF"/>
        </w:rPr>
        <w:t> (pp. 25-41). Springer, Cham.</w:t>
      </w:r>
    </w:p>
    <w:p w14:paraId="6E41E024" w14:textId="77777777" w:rsidR="00AF113F" w:rsidRPr="00AF113F" w:rsidRDefault="00AF113F" w:rsidP="00AF113F">
      <w:pPr>
        <w:spacing w:line="360" w:lineRule="auto"/>
        <w:ind w:left="720" w:hanging="720"/>
        <w:rPr>
          <w:rFonts w:ascii="Arial" w:eastAsia="Calibri" w:hAnsi="Arial" w:cs="Arial"/>
          <w:color w:val="222222"/>
          <w:shd w:val="clear" w:color="auto" w:fill="FFFFFF"/>
        </w:rPr>
      </w:pPr>
      <w:r w:rsidRPr="00AF113F">
        <w:rPr>
          <w:rFonts w:ascii="Arial" w:eastAsia="Calibri" w:hAnsi="Arial" w:cs="Arial"/>
          <w:color w:val="222222"/>
          <w:shd w:val="clear" w:color="auto" w:fill="FFFFFF"/>
        </w:rPr>
        <w:t xml:space="preserve">Ullah, A., Farooq, M. and Hussain, M. (2020). Improving the productivity, </w:t>
      </w:r>
      <w:proofErr w:type="gramStart"/>
      <w:r w:rsidRPr="00AF113F">
        <w:rPr>
          <w:rFonts w:ascii="Arial" w:eastAsia="Calibri" w:hAnsi="Arial" w:cs="Arial"/>
          <w:color w:val="222222"/>
          <w:shd w:val="clear" w:color="auto" w:fill="FFFFFF"/>
        </w:rPr>
        <w:t>profitability</w:t>
      </w:r>
      <w:proofErr w:type="gramEnd"/>
      <w:r w:rsidRPr="00AF113F">
        <w:rPr>
          <w:rFonts w:ascii="Arial" w:eastAsia="Calibri" w:hAnsi="Arial" w:cs="Arial"/>
          <w:color w:val="222222"/>
          <w:shd w:val="clear" w:color="auto" w:fill="FFFFFF"/>
        </w:rPr>
        <w:t xml:space="preserve"> and grain quality of Kabuli chickpea with co-application of zinc and endophyte bacteria Enterobacter sp. MN17. </w:t>
      </w:r>
      <w:r w:rsidRPr="00AF113F">
        <w:rPr>
          <w:rFonts w:ascii="Arial" w:eastAsia="Calibri" w:hAnsi="Arial" w:cs="Arial"/>
          <w:i/>
          <w:iCs/>
          <w:color w:val="222222"/>
          <w:shd w:val="clear" w:color="auto" w:fill="FFFFFF"/>
        </w:rPr>
        <w:t>Archives of Agronomy and Soil Science</w:t>
      </w:r>
      <w:r w:rsidRPr="00AF113F">
        <w:rPr>
          <w:rFonts w:ascii="Arial" w:eastAsia="Calibri" w:hAnsi="Arial" w:cs="Arial"/>
          <w:color w:val="222222"/>
          <w:shd w:val="clear" w:color="auto" w:fill="FFFFFF"/>
        </w:rPr>
        <w:t>, </w:t>
      </w:r>
      <w:r w:rsidRPr="00AF113F">
        <w:rPr>
          <w:rFonts w:ascii="Arial" w:eastAsia="Calibri" w:hAnsi="Arial" w:cs="Arial"/>
          <w:i/>
          <w:iCs/>
          <w:color w:val="222222"/>
          <w:shd w:val="clear" w:color="auto" w:fill="FFFFFF"/>
        </w:rPr>
        <w:t>66</w:t>
      </w:r>
      <w:r w:rsidRPr="00AF113F">
        <w:rPr>
          <w:rFonts w:ascii="Arial" w:eastAsia="Calibri" w:hAnsi="Arial" w:cs="Arial"/>
          <w:color w:val="222222"/>
          <w:shd w:val="clear" w:color="auto" w:fill="FFFFFF"/>
        </w:rPr>
        <w:t>(7), pp.897-912.</w:t>
      </w:r>
    </w:p>
    <w:p w14:paraId="4C6500ED" w14:textId="77777777" w:rsidR="00646B37" w:rsidRDefault="00646B37"/>
    <w:sectPr w:rsidR="00646B37" w:rsidSect="00AF11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13F"/>
    <w:rsid w:val="000A5154"/>
    <w:rsid w:val="003A3129"/>
    <w:rsid w:val="004D1FA0"/>
    <w:rsid w:val="00630A05"/>
    <w:rsid w:val="00646B37"/>
    <w:rsid w:val="006D13C5"/>
    <w:rsid w:val="00782D7C"/>
    <w:rsid w:val="008D0398"/>
    <w:rsid w:val="00AF1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E18A4"/>
  <w15:chartTrackingRefBased/>
  <w15:docId w15:val="{8BB64229-0B4D-47F2-AC81-A86ACFD7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AF113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F1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11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113F"/>
    <w:rPr>
      <w:rFonts w:eastAsiaTheme="minorEastAsia"/>
      <w:lang w:val="en-US"/>
    </w:rPr>
  </w:style>
  <w:style w:type="paragraph" w:styleId="TOC1">
    <w:name w:val="toc 1"/>
    <w:basedOn w:val="Normal"/>
    <w:next w:val="Normal"/>
    <w:autoRedefine/>
    <w:uiPriority w:val="39"/>
    <w:unhideWhenUsed/>
    <w:rsid w:val="00630A05"/>
    <w:pPr>
      <w:spacing w:after="100"/>
    </w:pPr>
  </w:style>
  <w:style w:type="character" w:styleId="Hyperlink">
    <w:name w:val="Hyperlink"/>
    <w:basedOn w:val="DefaultParagraphFont"/>
    <w:uiPriority w:val="99"/>
    <w:unhideWhenUsed/>
    <w:rsid w:val="00630A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1598</Words>
  <Characters>9114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Lecturer David Jenkins                               Krum Marinov Student ID_1922542</dc:creator>
  <cp:keywords/>
  <dc:description/>
  <cp:lastModifiedBy>Krum Marinov</cp:lastModifiedBy>
  <cp:revision>2</cp:revision>
  <dcterms:created xsi:type="dcterms:W3CDTF">2021-10-25T09:51:00Z</dcterms:created>
  <dcterms:modified xsi:type="dcterms:W3CDTF">2021-10-25T09:51:00Z</dcterms:modified>
  <cp:category>Management Accounting LCBB5002_BIRM</cp:category>
</cp:coreProperties>
</file>