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862D6" w14:textId="08B9DF6A" w:rsidR="00F62F2F" w:rsidRDefault="004609BF" w:rsidP="002B0D41">
      <w:pPr>
        <w:jc w:val="center"/>
        <w:rPr>
          <w:rFonts w:cs="Arial"/>
          <w:b/>
        </w:rPr>
      </w:pPr>
      <w:r>
        <w:rPr>
          <w:rFonts w:cs="Arial"/>
          <w:b/>
        </w:rPr>
        <w:t>s</w:t>
      </w:r>
      <w:r w:rsidR="00F62F2F" w:rsidRPr="00C43955">
        <w:rPr>
          <w:rFonts w:cs="Arial"/>
          <w:b/>
          <w:noProof/>
          <w:lang w:val="en-US"/>
        </w:rPr>
        <w:drawing>
          <wp:inline distT="0" distB="0" distL="0" distR="0" wp14:anchorId="084F51EC" wp14:editId="660684BA">
            <wp:extent cx="4236720" cy="180875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49103" cy="1814041"/>
                    </a:xfrm>
                    <a:prstGeom prst="rect">
                      <a:avLst/>
                    </a:prstGeom>
                  </pic:spPr>
                </pic:pic>
              </a:graphicData>
            </a:graphic>
          </wp:inline>
        </w:drawing>
      </w:r>
    </w:p>
    <w:p w14:paraId="04D46FC8" w14:textId="77777777" w:rsidR="00F62F2F" w:rsidRPr="00A6321A" w:rsidRDefault="00F62F2F" w:rsidP="002B0D41">
      <w:pPr>
        <w:jc w:val="center"/>
        <w:rPr>
          <w:rFonts w:cs="Arial"/>
          <w:b/>
        </w:rPr>
      </w:pPr>
      <w:r w:rsidRPr="00A6321A">
        <w:rPr>
          <w:rFonts w:cs="Arial"/>
          <w:b/>
        </w:rPr>
        <w:t>Faculty of Business and Management</w:t>
      </w:r>
    </w:p>
    <w:p w14:paraId="64D0FC6F" w14:textId="77777777" w:rsidR="00F62F2F" w:rsidRPr="00A6321A" w:rsidRDefault="00F62F2F" w:rsidP="002B0D41">
      <w:pPr>
        <w:jc w:val="center"/>
        <w:rPr>
          <w:rFonts w:cs="Arial"/>
        </w:rPr>
      </w:pPr>
    </w:p>
    <w:p w14:paraId="407111AE" w14:textId="77777777" w:rsidR="00F62F2F" w:rsidRPr="00A6321A" w:rsidRDefault="00F62F2F" w:rsidP="002B0D41">
      <w:pPr>
        <w:jc w:val="center"/>
        <w:rPr>
          <w:rFonts w:cs="Arial"/>
        </w:rPr>
      </w:pPr>
      <w:r w:rsidRPr="00A6321A">
        <w:rPr>
          <w:rFonts w:cs="Arial"/>
        </w:rPr>
        <w:t>Module Title</w:t>
      </w:r>
    </w:p>
    <w:p w14:paraId="4CC01481" w14:textId="000B465A" w:rsidR="00F62F2F" w:rsidRPr="00A6321A" w:rsidRDefault="00F62F2F" w:rsidP="002B0D41">
      <w:pPr>
        <w:jc w:val="center"/>
        <w:rPr>
          <w:rFonts w:cs="Arial"/>
        </w:rPr>
      </w:pPr>
      <w:r w:rsidRPr="00A6321A">
        <w:rPr>
          <w:rStyle w:val="Strong"/>
          <w:rFonts w:cs="Arial"/>
        </w:rPr>
        <w:t>Financial Management</w:t>
      </w:r>
    </w:p>
    <w:p w14:paraId="7FDF7FF6" w14:textId="77777777" w:rsidR="00F62F2F" w:rsidRPr="00A6321A" w:rsidRDefault="00F62F2F" w:rsidP="002B0D41">
      <w:pPr>
        <w:jc w:val="center"/>
        <w:rPr>
          <w:rFonts w:cs="Arial"/>
        </w:rPr>
      </w:pPr>
    </w:p>
    <w:p w14:paraId="3C3CFE2C" w14:textId="77777777" w:rsidR="00F62F2F" w:rsidRPr="00A6321A" w:rsidRDefault="00F62F2F" w:rsidP="002B0D41">
      <w:pPr>
        <w:jc w:val="center"/>
        <w:rPr>
          <w:rFonts w:cs="Arial"/>
        </w:rPr>
      </w:pPr>
      <w:r w:rsidRPr="00A6321A">
        <w:rPr>
          <w:rFonts w:cs="Arial"/>
        </w:rPr>
        <w:t>Strategic Financial Evaluation, Restructuring</w:t>
      </w:r>
    </w:p>
    <w:p w14:paraId="0AEFB6EE" w14:textId="77777777" w:rsidR="00F62F2F" w:rsidRPr="00A6321A" w:rsidRDefault="00F62F2F" w:rsidP="002B0D41">
      <w:pPr>
        <w:jc w:val="center"/>
        <w:rPr>
          <w:rFonts w:cs="Arial"/>
        </w:rPr>
      </w:pPr>
      <w:r w:rsidRPr="00A6321A">
        <w:rPr>
          <w:rFonts w:cs="Arial"/>
        </w:rPr>
        <w:t>and Investment Appraisal Report</w:t>
      </w:r>
    </w:p>
    <w:p w14:paraId="00E2B1DC" w14:textId="240B9528" w:rsidR="00F62F2F" w:rsidRDefault="00F56C94" w:rsidP="002B0D41">
      <w:pPr>
        <w:jc w:val="center"/>
        <w:rPr>
          <w:rFonts w:cs="Arial"/>
          <w:b/>
          <w:bCs/>
        </w:rPr>
      </w:pPr>
      <w:r w:rsidRPr="00F56C94">
        <w:rPr>
          <w:rFonts w:cs="Arial"/>
          <w:b/>
          <w:bCs/>
        </w:rPr>
        <w:t>InterContinental Hotels Group PLC (IHG)</w:t>
      </w:r>
    </w:p>
    <w:p w14:paraId="162D61E9" w14:textId="059E5619" w:rsidR="00F56C94" w:rsidRDefault="00AC1B2F" w:rsidP="00AC1B2F">
      <w:pPr>
        <w:rPr>
          <w:rFonts w:cs="Arial"/>
          <w:b/>
          <w:bCs/>
        </w:rPr>
      </w:pPr>
      <w:r>
        <w:rPr>
          <w:rFonts w:cs="Arial"/>
          <w:b/>
          <w:bCs/>
        </w:rPr>
        <w:tab/>
      </w:r>
      <w:r>
        <w:rPr>
          <w:rFonts w:cs="Arial"/>
          <w:b/>
          <w:bCs/>
        </w:rPr>
        <w:tab/>
      </w:r>
      <w:r>
        <w:rPr>
          <w:rFonts w:cs="Arial"/>
          <w:b/>
          <w:bCs/>
        </w:rPr>
        <w:tab/>
      </w:r>
      <w:r w:rsidRPr="003F2633">
        <w:rPr>
          <w:color w:val="000000" w:themeColor="text1"/>
        </w:rPr>
        <w:t>Student name:</w:t>
      </w:r>
      <w:r>
        <w:rPr>
          <w:color w:val="000000" w:themeColor="text1"/>
        </w:rPr>
        <w:t xml:space="preserve"> Bhaveshkumar Arashibhai Odedara</w:t>
      </w:r>
    </w:p>
    <w:p w14:paraId="6BA8B593" w14:textId="77777777" w:rsidR="00073CB3" w:rsidRPr="003F2633" w:rsidRDefault="00073CB3" w:rsidP="00073CB3">
      <w:pPr>
        <w:ind w:left="2160" w:firstLine="720"/>
        <w:contextualSpacing/>
        <w:rPr>
          <w:color w:val="000000" w:themeColor="text1"/>
        </w:rPr>
      </w:pPr>
      <w:r w:rsidRPr="003F2633">
        <w:rPr>
          <w:color w:val="000000" w:themeColor="text1"/>
        </w:rPr>
        <w:t>Student id:</w:t>
      </w:r>
      <w:r>
        <w:rPr>
          <w:color w:val="000000" w:themeColor="text1"/>
        </w:rPr>
        <w:t xml:space="preserve"> 2536676</w:t>
      </w:r>
    </w:p>
    <w:p w14:paraId="424AB4AD" w14:textId="77777777" w:rsidR="00073CB3" w:rsidRDefault="00073CB3" w:rsidP="00073CB3">
      <w:pPr>
        <w:ind w:left="2160" w:firstLine="720"/>
        <w:contextualSpacing/>
        <w:rPr>
          <w:color w:val="000000" w:themeColor="text1"/>
        </w:rPr>
      </w:pPr>
      <w:r w:rsidRPr="003F2633">
        <w:rPr>
          <w:color w:val="000000" w:themeColor="text1"/>
        </w:rPr>
        <w:t xml:space="preserve">Lecturer name: </w:t>
      </w:r>
      <w:r>
        <w:rPr>
          <w:color w:val="000000" w:themeColor="text1"/>
        </w:rPr>
        <w:t>Ghulam Mujtaba</w:t>
      </w:r>
    </w:p>
    <w:p w14:paraId="47021675" w14:textId="5070E35E" w:rsidR="00073CB3" w:rsidRPr="003F2633" w:rsidRDefault="00AC1B2F" w:rsidP="00073CB3">
      <w:pPr>
        <w:contextualSpacing/>
        <w:jc w:val="center"/>
        <w:rPr>
          <w:color w:val="000000" w:themeColor="text1"/>
        </w:rPr>
      </w:pPr>
      <w:r>
        <w:rPr>
          <w:color w:val="000000" w:themeColor="text1"/>
        </w:rPr>
        <w:t xml:space="preserve">      </w:t>
      </w:r>
      <w:r w:rsidR="00073CB3" w:rsidRPr="003F2633">
        <w:rPr>
          <w:color w:val="000000" w:themeColor="text1"/>
        </w:rPr>
        <w:t xml:space="preserve">Submission date: </w:t>
      </w:r>
      <w:r w:rsidR="00073CB3">
        <w:rPr>
          <w:color w:val="000000" w:themeColor="text1"/>
        </w:rPr>
        <w:t>13</w:t>
      </w:r>
      <w:r w:rsidR="00073CB3" w:rsidRPr="003D17E1">
        <w:rPr>
          <w:color w:val="000000" w:themeColor="text1"/>
          <w:vertAlign w:val="superscript"/>
        </w:rPr>
        <w:t>th</w:t>
      </w:r>
      <w:r w:rsidR="00073CB3">
        <w:rPr>
          <w:color w:val="000000" w:themeColor="text1"/>
        </w:rPr>
        <w:t xml:space="preserve"> August</w:t>
      </w:r>
      <w:r w:rsidR="00073CB3" w:rsidRPr="003F2633">
        <w:rPr>
          <w:color w:val="000000" w:themeColor="text1"/>
        </w:rPr>
        <w:t xml:space="preserve"> 2026</w:t>
      </w:r>
    </w:p>
    <w:p w14:paraId="5DCC64C6" w14:textId="093FB252" w:rsidR="0020671D" w:rsidRDefault="00F62F2F" w:rsidP="00073CB3">
      <w:r>
        <w:rPr>
          <w:rFonts w:cs="Arial"/>
        </w:rPr>
        <w:t xml:space="preserve"> </w:t>
      </w:r>
    </w:p>
    <w:p w14:paraId="73976A7B" w14:textId="77777777" w:rsidR="0020671D" w:rsidRDefault="0020671D" w:rsidP="002B0D41">
      <w:pPr>
        <w:pStyle w:val="Heading1"/>
      </w:pPr>
    </w:p>
    <w:p w14:paraId="40CA2985" w14:textId="77777777" w:rsidR="0020671D" w:rsidRDefault="0020671D" w:rsidP="002B0D41">
      <w:pPr>
        <w:pStyle w:val="Heading1"/>
      </w:pPr>
    </w:p>
    <w:p w14:paraId="09E146C0" w14:textId="77777777" w:rsidR="0020671D" w:rsidRDefault="0020671D" w:rsidP="002B0D41">
      <w:pPr>
        <w:spacing w:before="0" w:after="160"/>
        <w:jc w:val="left"/>
        <w:rPr>
          <w:rFonts w:eastAsiaTheme="majorEastAsia"/>
          <w:b/>
          <w:bCs/>
          <w:color w:val="000000" w:themeColor="text1"/>
          <w:kern w:val="36"/>
          <w:szCs w:val="48"/>
          <w:lang w:val="en-IN" w:eastAsia="en-IN"/>
        </w:rPr>
      </w:pPr>
      <w:r>
        <w:br w:type="page"/>
      </w:r>
    </w:p>
    <w:sdt>
      <w:sdtPr>
        <w:rPr>
          <w:rFonts w:ascii="Arial" w:eastAsiaTheme="minorHAnsi" w:hAnsi="Arial" w:cs="Arial"/>
          <w:b/>
          <w:bCs/>
          <w:color w:val="000000" w:themeColor="text1"/>
          <w:sz w:val="24"/>
          <w:szCs w:val="22"/>
          <w:lang w:val="en-GB"/>
        </w:rPr>
        <w:id w:val="-2094618002"/>
        <w:docPartObj>
          <w:docPartGallery w:val="Table of Contents"/>
          <w:docPartUnique/>
        </w:docPartObj>
      </w:sdtPr>
      <w:sdtEndPr>
        <w:rPr>
          <w:rFonts w:cstheme="minorBidi"/>
          <w:noProof/>
          <w:color w:val="auto"/>
        </w:rPr>
      </w:sdtEndPr>
      <w:sdtContent>
        <w:p w14:paraId="07492C43" w14:textId="29EB43C4" w:rsidR="0020671D" w:rsidRPr="00FF0F84" w:rsidRDefault="0020671D" w:rsidP="002B0D41">
          <w:pPr>
            <w:pStyle w:val="TOCHeading"/>
            <w:spacing w:line="360" w:lineRule="auto"/>
            <w:jc w:val="center"/>
            <w:rPr>
              <w:rFonts w:ascii="Arial" w:hAnsi="Arial" w:cs="Arial"/>
              <w:b/>
              <w:bCs/>
              <w:color w:val="000000" w:themeColor="text1"/>
            </w:rPr>
          </w:pPr>
          <w:r w:rsidRPr="00FF0F84">
            <w:rPr>
              <w:rFonts w:ascii="Arial" w:hAnsi="Arial" w:cs="Arial"/>
              <w:b/>
              <w:bCs/>
              <w:color w:val="000000" w:themeColor="text1"/>
            </w:rPr>
            <w:t>Table of Contents</w:t>
          </w:r>
        </w:p>
        <w:p w14:paraId="6664D18C" w14:textId="5ECF0BBB" w:rsidR="00FF0F84" w:rsidRDefault="0020671D">
          <w:pPr>
            <w:pStyle w:val="TOC1"/>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35636764" w:history="1">
            <w:r w:rsidR="00FF0F84" w:rsidRPr="0086658C">
              <w:rPr>
                <w:rStyle w:val="Hyperlink"/>
                <w:noProof/>
              </w:rPr>
              <w:t>1. Introduction</w:t>
            </w:r>
            <w:r w:rsidR="00FF0F84">
              <w:rPr>
                <w:noProof/>
                <w:webHidden/>
              </w:rPr>
              <w:tab/>
            </w:r>
            <w:r w:rsidR="00FF0F84">
              <w:rPr>
                <w:noProof/>
                <w:webHidden/>
              </w:rPr>
              <w:fldChar w:fldCharType="begin"/>
            </w:r>
            <w:r w:rsidR="00FF0F84">
              <w:rPr>
                <w:noProof/>
                <w:webHidden/>
              </w:rPr>
              <w:instrText xml:space="preserve"> PAGEREF _Toc235636764 \h </w:instrText>
            </w:r>
            <w:r w:rsidR="00FF0F84">
              <w:rPr>
                <w:noProof/>
                <w:webHidden/>
              </w:rPr>
            </w:r>
            <w:r w:rsidR="00FF0F84">
              <w:rPr>
                <w:noProof/>
                <w:webHidden/>
              </w:rPr>
              <w:fldChar w:fldCharType="separate"/>
            </w:r>
            <w:r w:rsidR="00FF0F84">
              <w:rPr>
                <w:noProof/>
                <w:webHidden/>
              </w:rPr>
              <w:t>4</w:t>
            </w:r>
            <w:r w:rsidR="00FF0F84">
              <w:rPr>
                <w:noProof/>
                <w:webHidden/>
              </w:rPr>
              <w:fldChar w:fldCharType="end"/>
            </w:r>
          </w:hyperlink>
        </w:p>
        <w:p w14:paraId="44C7C931" w14:textId="0E5E3A7B" w:rsidR="00FF0F84" w:rsidRDefault="00FF0F84">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5636765" w:history="1">
            <w:r w:rsidRPr="0086658C">
              <w:rPr>
                <w:rStyle w:val="Hyperlink"/>
                <w:noProof/>
              </w:rPr>
              <w:t>2. Financial Health Check</w:t>
            </w:r>
            <w:r>
              <w:rPr>
                <w:noProof/>
                <w:webHidden/>
              </w:rPr>
              <w:tab/>
            </w:r>
            <w:r>
              <w:rPr>
                <w:noProof/>
                <w:webHidden/>
              </w:rPr>
              <w:fldChar w:fldCharType="begin"/>
            </w:r>
            <w:r>
              <w:rPr>
                <w:noProof/>
                <w:webHidden/>
              </w:rPr>
              <w:instrText xml:space="preserve"> PAGEREF _Toc235636765 \h </w:instrText>
            </w:r>
            <w:r>
              <w:rPr>
                <w:noProof/>
                <w:webHidden/>
              </w:rPr>
            </w:r>
            <w:r>
              <w:rPr>
                <w:noProof/>
                <w:webHidden/>
              </w:rPr>
              <w:fldChar w:fldCharType="separate"/>
            </w:r>
            <w:r>
              <w:rPr>
                <w:noProof/>
                <w:webHidden/>
              </w:rPr>
              <w:t>4</w:t>
            </w:r>
            <w:r>
              <w:rPr>
                <w:noProof/>
                <w:webHidden/>
              </w:rPr>
              <w:fldChar w:fldCharType="end"/>
            </w:r>
          </w:hyperlink>
        </w:p>
        <w:p w14:paraId="3F7E34C4" w14:textId="323EE5F3"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66" w:history="1">
            <w:r w:rsidRPr="0086658C">
              <w:rPr>
                <w:rStyle w:val="Hyperlink"/>
                <w:noProof/>
                <w:lang w:val="en-IN"/>
              </w:rPr>
              <w:t>2.1 Five-Year Financial Performance Overview</w:t>
            </w:r>
            <w:r>
              <w:rPr>
                <w:noProof/>
                <w:webHidden/>
              </w:rPr>
              <w:tab/>
            </w:r>
            <w:r>
              <w:rPr>
                <w:noProof/>
                <w:webHidden/>
              </w:rPr>
              <w:fldChar w:fldCharType="begin"/>
            </w:r>
            <w:r>
              <w:rPr>
                <w:noProof/>
                <w:webHidden/>
              </w:rPr>
              <w:instrText xml:space="preserve"> PAGEREF _Toc235636766 \h </w:instrText>
            </w:r>
            <w:r>
              <w:rPr>
                <w:noProof/>
                <w:webHidden/>
              </w:rPr>
            </w:r>
            <w:r>
              <w:rPr>
                <w:noProof/>
                <w:webHidden/>
              </w:rPr>
              <w:fldChar w:fldCharType="separate"/>
            </w:r>
            <w:r>
              <w:rPr>
                <w:noProof/>
                <w:webHidden/>
              </w:rPr>
              <w:t>4</w:t>
            </w:r>
            <w:r>
              <w:rPr>
                <w:noProof/>
                <w:webHidden/>
              </w:rPr>
              <w:fldChar w:fldCharType="end"/>
            </w:r>
          </w:hyperlink>
        </w:p>
        <w:p w14:paraId="67BB267B" w14:textId="064BB690"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67" w:history="1">
            <w:r w:rsidRPr="0086658C">
              <w:rPr>
                <w:rStyle w:val="Hyperlink"/>
                <w:noProof/>
                <w:lang w:val="en-IN"/>
              </w:rPr>
              <w:t>2.2 Profitability Analysis</w:t>
            </w:r>
            <w:r>
              <w:rPr>
                <w:noProof/>
                <w:webHidden/>
              </w:rPr>
              <w:tab/>
            </w:r>
            <w:r>
              <w:rPr>
                <w:noProof/>
                <w:webHidden/>
              </w:rPr>
              <w:fldChar w:fldCharType="begin"/>
            </w:r>
            <w:r>
              <w:rPr>
                <w:noProof/>
                <w:webHidden/>
              </w:rPr>
              <w:instrText xml:space="preserve"> PAGEREF _Toc235636767 \h </w:instrText>
            </w:r>
            <w:r>
              <w:rPr>
                <w:noProof/>
                <w:webHidden/>
              </w:rPr>
            </w:r>
            <w:r>
              <w:rPr>
                <w:noProof/>
                <w:webHidden/>
              </w:rPr>
              <w:fldChar w:fldCharType="separate"/>
            </w:r>
            <w:r>
              <w:rPr>
                <w:noProof/>
                <w:webHidden/>
              </w:rPr>
              <w:t>5</w:t>
            </w:r>
            <w:r>
              <w:rPr>
                <w:noProof/>
                <w:webHidden/>
              </w:rPr>
              <w:fldChar w:fldCharType="end"/>
            </w:r>
          </w:hyperlink>
        </w:p>
        <w:p w14:paraId="11C03060" w14:textId="2C4F5B32"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68" w:history="1">
            <w:r w:rsidRPr="0086658C">
              <w:rPr>
                <w:rStyle w:val="Hyperlink"/>
                <w:noProof/>
                <w:lang w:val="en-IN"/>
              </w:rPr>
              <w:t>2.3 Liquidity and Working Capital Position</w:t>
            </w:r>
            <w:r>
              <w:rPr>
                <w:noProof/>
                <w:webHidden/>
              </w:rPr>
              <w:tab/>
            </w:r>
            <w:r>
              <w:rPr>
                <w:noProof/>
                <w:webHidden/>
              </w:rPr>
              <w:fldChar w:fldCharType="begin"/>
            </w:r>
            <w:r>
              <w:rPr>
                <w:noProof/>
                <w:webHidden/>
              </w:rPr>
              <w:instrText xml:space="preserve"> PAGEREF _Toc235636768 \h </w:instrText>
            </w:r>
            <w:r>
              <w:rPr>
                <w:noProof/>
                <w:webHidden/>
              </w:rPr>
            </w:r>
            <w:r>
              <w:rPr>
                <w:noProof/>
                <w:webHidden/>
              </w:rPr>
              <w:fldChar w:fldCharType="separate"/>
            </w:r>
            <w:r>
              <w:rPr>
                <w:noProof/>
                <w:webHidden/>
              </w:rPr>
              <w:t>7</w:t>
            </w:r>
            <w:r>
              <w:rPr>
                <w:noProof/>
                <w:webHidden/>
              </w:rPr>
              <w:fldChar w:fldCharType="end"/>
            </w:r>
          </w:hyperlink>
        </w:p>
        <w:p w14:paraId="150C97BD" w14:textId="3B57AA89"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69" w:history="1">
            <w:r w:rsidRPr="0086658C">
              <w:rPr>
                <w:rStyle w:val="Hyperlink"/>
                <w:noProof/>
                <w:lang w:val="en-IN"/>
              </w:rPr>
              <w:t>2.4 Efficiency Analysis</w:t>
            </w:r>
            <w:r>
              <w:rPr>
                <w:noProof/>
                <w:webHidden/>
              </w:rPr>
              <w:tab/>
            </w:r>
            <w:r>
              <w:rPr>
                <w:noProof/>
                <w:webHidden/>
              </w:rPr>
              <w:fldChar w:fldCharType="begin"/>
            </w:r>
            <w:r>
              <w:rPr>
                <w:noProof/>
                <w:webHidden/>
              </w:rPr>
              <w:instrText xml:space="preserve"> PAGEREF _Toc235636769 \h </w:instrText>
            </w:r>
            <w:r>
              <w:rPr>
                <w:noProof/>
                <w:webHidden/>
              </w:rPr>
            </w:r>
            <w:r>
              <w:rPr>
                <w:noProof/>
                <w:webHidden/>
              </w:rPr>
              <w:fldChar w:fldCharType="separate"/>
            </w:r>
            <w:r>
              <w:rPr>
                <w:noProof/>
                <w:webHidden/>
              </w:rPr>
              <w:t>8</w:t>
            </w:r>
            <w:r>
              <w:rPr>
                <w:noProof/>
                <w:webHidden/>
              </w:rPr>
              <w:fldChar w:fldCharType="end"/>
            </w:r>
          </w:hyperlink>
        </w:p>
        <w:p w14:paraId="1F25DE5E" w14:textId="1242DADD"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70" w:history="1">
            <w:r w:rsidRPr="0086658C">
              <w:rPr>
                <w:rStyle w:val="Hyperlink"/>
                <w:noProof/>
                <w:lang w:val="en-IN"/>
              </w:rPr>
              <w:t>2.5 Gearing and Financial Risk</w:t>
            </w:r>
            <w:r>
              <w:rPr>
                <w:noProof/>
                <w:webHidden/>
              </w:rPr>
              <w:tab/>
            </w:r>
            <w:r>
              <w:rPr>
                <w:noProof/>
                <w:webHidden/>
              </w:rPr>
              <w:fldChar w:fldCharType="begin"/>
            </w:r>
            <w:r>
              <w:rPr>
                <w:noProof/>
                <w:webHidden/>
              </w:rPr>
              <w:instrText xml:space="preserve"> PAGEREF _Toc235636770 \h </w:instrText>
            </w:r>
            <w:r>
              <w:rPr>
                <w:noProof/>
                <w:webHidden/>
              </w:rPr>
            </w:r>
            <w:r>
              <w:rPr>
                <w:noProof/>
                <w:webHidden/>
              </w:rPr>
              <w:fldChar w:fldCharType="separate"/>
            </w:r>
            <w:r>
              <w:rPr>
                <w:noProof/>
                <w:webHidden/>
              </w:rPr>
              <w:t>9</w:t>
            </w:r>
            <w:r>
              <w:rPr>
                <w:noProof/>
                <w:webHidden/>
              </w:rPr>
              <w:fldChar w:fldCharType="end"/>
            </w:r>
          </w:hyperlink>
        </w:p>
        <w:p w14:paraId="0AD0722D" w14:textId="1F04E45C"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71" w:history="1">
            <w:r w:rsidRPr="0086658C">
              <w:rPr>
                <w:rStyle w:val="Hyperlink"/>
                <w:noProof/>
                <w:lang w:val="en-IN"/>
              </w:rPr>
              <w:t>2.6 Cash Flow Analysis and Overall Financial Health</w:t>
            </w:r>
            <w:r>
              <w:rPr>
                <w:noProof/>
                <w:webHidden/>
              </w:rPr>
              <w:tab/>
            </w:r>
            <w:r>
              <w:rPr>
                <w:noProof/>
                <w:webHidden/>
              </w:rPr>
              <w:fldChar w:fldCharType="begin"/>
            </w:r>
            <w:r>
              <w:rPr>
                <w:noProof/>
                <w:webHidden/>
              </w:rPr>
              <w:instrText xml:space="preserve"> PAGEREF _Toc235636771 \h </w:instrText>
            </w:r>
            <w:r>
              <w:rPr>
                <w:noProof/>
                <w:webHidden/>
              </w:rPr>
            </w:r>
            <w:r>
              <w:rPr>
                <w:noProof/>
                <w:webHidden/>
              </w:rPr>
              <w:fldChar w:fldCharType="separate"/>
            </w:r>
            <w:r>
              <w:rPr>
                <w:noProof/>
                <w:webHidden/>
              </w:rPr>
              <w:t>11</w:t>
            </w:r>
            <w:r>
              <w:rPr>
                <w:noProof/>
                <w:webHidden/>
              </w:rPr>
              <w:fldChar w:fldCharType="end"/>
            </w:r>
          </w:hyperlink>
        </w:p>
        <w:p w14:paraId="79B8DA66" w14:textId="7766C1F2" w:rsidR="00FF0F84" w:rsidRDefault="00FF0F84">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5636772" w:history="1">
            <w:r w:rsidRPr="0086658C">
              <w:rPr>
                <w:rStyle w:val="Hyperlink"/>
                <w:noProof/>
              </w:rPr>
              <w:t>3. Working Capital Management Analysis</w:t>
            </w:r>
            <w:r>
              <w:rPr>
                <w:noProof/>
                <w:webHidden/>
              </w:rPr>
              <w:tab/>
            </w:r>
            <w:r>
              <w:rPr>
                <w:noProof/>
                <w:webHidden/>
              </w:rPr>
              <w:fldChar w:fldCharType="begin"/>
            </w:r>
            <w:r>
              <w:rPr>
                <w:noProof/>
                <w:webHidden/>
              </w:rPr>
              <w:instrText xml:space="preserve"> PAGEREF _Toc235636772 \h </w:instrText>
            </w:r>
            <w:r>
              <w:rPr>
                <w:noProof/>
                <w:webHidden/>
              </w:rPr>
            </w:r>
            <w:r>
              <w:rPr>
                <w:noProof/>
                <w:webHidden/>
              </w:rPr>
              <w:fldChar w:fldCharType="separate"/>
            </w:r>
            <w:r>
              <w:rPr>
                <w:noProof/>
                <w:webHidden/>
              </w:rPr>
              <w:t>12</w:t>
            </w:r>
            <w:r>
              <w:rPr>
                <w:noProof/>
                <w:webHidden/>
              </w:rPr>
              <w:fldChar w:fldCharType="end"/>
            </w:r>
          </w:hyperlink>
        </w:p>
        <w:p w14:paraId="439F61C8" w14:textId="6539E4AA"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73" w:history="1">
            <w:r w:rsidRPr="0086658C">
              <w:rPr>
                <w:rStyle w:val="Hyperlink"/>
                <w:noProof/>
                <w:lang w:val="en-IN"/>
              </w:rPr>
              <w:t>3.1 Working Capital Position and Cash Operating Cycle</w:t>
            </w:r>
            <w:r>
              <w:rPr>
                <w:noProof/>
                <w:webHidden/>
              </w:rPr>
              <w:tab/>
            </w:r>
            <w:r>
              <w:rPr>
                <w:noProof/>
                <w:webHidden/>
              </w:rPr>
              <w:fldChar w:fldCharType="begin"/>
            </w:r>
            <w:r>
              <w:rPr>
                <w:noProof/>
                <w:webHidden/>
              </w:rPr>
              <w:instrText xml:space="preserve"> PAGEREF _Toc235636773 \h </w:instrText>
            </w:r>
            <w:r>
              <w:rPr>
                <w:noProof/>
                <w:webHidden/>
              </w:rPr>
            </w:r>
            <w:r>
              <w:rPr>
                <w:noProof/>
                <w:webHidden/>
              </w:rPr>
              <w:fldChar w:fldCharType="separate"/>
            </w:r>
            <w:r>
              <w:rPr>
                <w:noProof/>
                <w:webHidden/>
              </w:rPr>
              <w:t>12</w:t>
            </w:r>
            <w:r>
              <w:rPr>
                <w:noProof/>
                <w:webHidden/>
              </w:rPr>
              <w:fldChar w:fldCharType="end"/>
            </w:r>
          </w:hyperlink>
        </w:p>
        <w:p w14:paraId="547710B1" w14:textId="7DD636FB"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74" w:history="1">
            <w:r w:rsidRPr="0086658C">
              <w:rPr>
                <w:rStyle w:val="Hyperlink"/>
                <w:noProof/>
                <w:lang w:val="en-IN"/>
              </w:rPr>
              <w:t>3.2 Strategies to Improve Liquidity</w:t>
            </w:r>
            <w:r>
              <w:rPr>
                <w:noProof/>
                <w:webHidden/>
              </w:rPr>
              <w:tab/>
            </w:r>
            <w:r>
              <w:rPr>
                <w:noProof/>
                <w:webHidden/>
              </w:rPr>
              <w:fldChar w:fldCharType="begin"/>
            </w:r>
            <w:r>
              <w:rPr>
                <w:noProof/>
                <w:webHidden/>
              </w:rPr>
              <w:instrText xml:space="preserve"> PAGEREF _Toc235636774 \h </w:instrText>
            </w:r>
            <w:r>
              <w:rPr>
                <w:noProof/>
                <w:webHidden/>
              </w:rPr>
            </w:r>
            <w:r>
              <w:rPr>
                <w:noProof/>
                <w:webHidden/>
              </w:rPr>
              <w:fldChar w:fldCharType="separate"/>
            </w:r>
            <w:r>
              <w:rPr>
                <w:noProof/>
                <w:webHidden/>
              </w:rPr>
              <w:t>14</w:t>
            </w:r>
            <w:r>
              <w:rPr>
                <w:noProof/>
                <w:webHidden/>
              </w:rPr>
              <w:fldChar w:fldCharType="end"/>
            </w:r>
          </w:hyperlink>
        </w:p>
        <w:p w14:paraId="76C84ABC" w14:textId="3CC417BF"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75" w:history="1">
            <w:r w:rsidRPr="0086658C">
              <w:rPr>
                <w:rStyle w:val="Hyperlink"/>
                <w:noProof/>
                <w:lang w:val="en-IN"/>
              </w:rPr>
              <w:t>3.3 Short-Term versus Long-Term Financing</w:t>
            </w:r>
            <w:r>
              <w:rPr>
                <w:noProof/>
                <w:webHidden/>
              </w:rPr>
              <w:tab/>
            </w:r>
            <w:r>
              <w:rPr>
                <w:noProof/>
                <w:webHidden/>
              </w:rPr>
              <w:fldChar w:fldCharType="begin"/>
            </w:r>
            <w:r>
              <w:rPr>
                <w:noProof/>
                <w:webHidden/>
              </w:rPr>
              <w:instrText xml:space="preserve"> PAGEREF _Toc235636775 \h </w:instrText>
            </w:r>
            <w:r>
              <w:rPr>
                <w:noProof/>
                <w:webHidden/>
              </w:rPr>
            </w:r>
            <w:r>
              <w:rPr>
                <w:noProof/>
                <w:webHidden/>
              </w:rPr>
              <w:fldChar w:fldCharType="separate"/>
            </w:r>
            <w:r>
              <w:rPr>
                <w:noProof/>
                <w:webHidden/>
              </w:rPr>
              <w:t>15</w:t>
            </w:r>
            <w:r>
              <w:rPr>
                <w:noProof/>
                <w:webHidden/>
              </w:rPr>
              <w:fldChar w:fldCharType="end"/>
            </w:r>
          </w:hyperlink>
        </w:p>
        <w:p w14:paraId="7CE818D6" w14:textId="4538A4CD" w:rsidR="00FF0F84" w:rsidRDefault="00FF0F84">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5636776" w:history="1">
            <w:r w:rsidRPr="0086658C">
              <w:rPr>
                <w:rStyle w:val="Hyperlink"/>
                <w:noProof/>
              </w:rPr>
              <w:t>4. Strategic Financial Restructuring Plan</w:t>
            </w:r>
            <w:r>
              <w:rPr>
                <w:noProof/>
                <w:webHidden/>
              </w:rPr>
              <w:tab/>
            </w:r>
            <w:r>
              <w:rPr>
                <w:noProof/>
                <w:webHidden/>
              </w:rPr>
              <w:fldChar w:fldCharType="begin"/>
            </w:r>
            <w:r>
              <w:rPr>
                <w:noProof/>
                <w:webHidden/>
              </w:rPr>
              <w:instrText xml:space="preserve"> PAGEREF _Toc235636776 \h </w:instrText>
            </w:r>
            <w:r>
              <w:rPr>
                <w:noProof/>
                <w:webHidden/>
              </w:rPr>
            </w:r>
            <w:r>
              <w:rPr>
                <w:noProof/>
                <w:webHidden/>
              </w:rPr>
              <w:fldChar w:fldCharType="separate"/>
            </w:r>
            <w:r>
              <w:rPr>
                <w:noProof/>
                <w:webHidden/>
              </w:rPr>
              <w:t>16</w:t>
            </w:r>
            <w:r>
              <w:rPr>
                <w:noProof/>
                <w:webHidden/>
              </w:rPr>
              <w:fldChar w:fldCharType="end"/>
            </w:r>
          </w:hyperlink>
        </w:p>
        <w:p w14:paraId="6F0DC466" w14:textId="7A5063C5"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77" w:history="1">
            <w:r w:rsidRPr="0086658C">
              <w:rPr>
                <w:rStyle w:val="Hyperlink"/>
                <w:noProof/>
                <w:lang w:val="en-IN"/>
              </w:rPr>
              <w:t>4.1 Need for Financial Restructuring</w:t>
            </w:r>
            <w:r>
              <w:rPr>
                <w:noProof/>
                <w:webHidden/>
              </w:rPr>
              <w:tab/>
            </w:r>
            <w:r>
              <w:rPr>
                <w:noProof/>
                <w:webHidden/>
              </w:rPr>
              <w:fldChar w:fldCharType="begin"/>
            </w:r>
            <w:r>
              <w:rPr>
                <w:noProof/>
                <w:webHidden/>
              </w:rPr>
              <w:instrText xml:space="preserve"> PAGEREF _Toc235636777 \h </w:instrText>
            </w:r>
            <w:r>
              <w:rPr>
                <w:noProof/>
                <w:webHidden/>
              </w:rPr>
            </w:r>
            <w:r>
              <w:rPr>
                <w:noProof/>
                <w:webHidden/>
              </w:rPr>
              <w:fldChar w:fldCharType="separate"/>
            </w:r>
            <w:r>
              <w:rPr>
                <w:noProof/>
                <w:webHidden/>
              </w:rPr>
              <w:t>16</w:t>
            </w:r>
            <w:r>
              <w:rPr>
                <w:noProof/>
                <w:webHidden/>
              </w:rPr>
              <w:fldChar w:fldCharType="end"/>
            </w:r>
          </w:hyperlink>
        </w:p>
        <w:p w14:paraId="7E34643A" w14:textId="0A07F273"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78" w:history="1">
            <w:r w:rsidRPr="0086658C">
              <w:rPr>
                <w:rStyle w:val="Hyperlink"/>
                <w:noProof/>
                <w:lang w:val="en-IN"/>
              </w:rPr>
              <w:t>4.2 Evaluation of Strategic Restructuring Options</w:t>
            </w:r>
            <w:r>
              <w:rPr>
                <w:noProof/>
                <w:webHidden/>
              </w:rPr>
              <w:tab/>
            </w:r>
            <w:r>
              <w:rPr>
                <w:noProof/>
                <w:webHidden/>
              </w:rPr>
              <w:fldChar w:fldCharType="begin"/>
            </w:r>
            <w:r>
              <w:rPr>
                <w:noProof/>
                <w:webHidden/>
              </w:rPr>
              <w:instrText xml:space="preserve"> PAGEREF _Toc235636778 \h </w:instrText>
            </w:r>
            <w:r>
              <w:rPr>
                <w:noProof/>
                <w:webHidden/>
              </w:rPr>
            </w:r>
            <w:r>
              <w:rPr>
                <w:noProof/>
                <w:webHidden/>
              </w:rPr>
              <w:fldChar w:fldCharType="separate"/>
            </w:r>
            <w:r>
              <w:rPr>
                <w:noProof/>
                <w:webHidden/>
              </w:rPr>
              <w:t>16</w:t>
            </w:r>
            <w:r>
              <w:rPr>
                <w:noProof/>
                <w:webHidden/>
              </w:rPr>
              <w:fldChar w:fldCharType="end"/>
            </w:r>
          </w:hyperlink>
        </w:p>
        <w:p w14:paraId="3AF609EB" w14:textId="33F551AA"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79" w:history="1">
            <w:r w:rsidRPr="0086658C">
              <w:rPr>
                <w:rStyle w:val="Hyperlink"/>
                <w:noProof/>
                <w:lang w:val="en-IN"/>
              </w:rPr>
              <w:t>4.3 International Financial Considerations</w:t>
            </w:r>
            <w:r>
              <w:rPr>
                <w:noProof/>
                <w:webHidden/>
              </w:rPr>
              <w:tab/>
            </w:r>
            <w:r>
              <w:rPr>
                <w:noProof/>
                <w:webHidden/>
              </w:rPr>
              <w:fldChar w:fldCharType="begin"/>
            </w:r>
            <w:r>
              <w:rPr>
                <w:noProof/>
                <w:webHidden/>
              </w:rPr>
              <w:instrText xml:space="preserve"> PAGEREF _Toc235636779 \h </w:instrText>
            </w:r>
            <w:r>
              <w:rPr>
                <w:noProof/>
                <w:webHidden/>
              </w:rPr>
            </w:r>
            <w:r>
              <w:rPr>
                <w:noProof/>
                <w:webHidden/>
              </w:rPr>
              <w:fldChar w:fldCharType="separate"/>
            </w:r>
            <w:r>
              <w:rPr>
                <w:noProof/>
                <w:webHidden/>
              </w:rPr>
              <w:t>17</w:t>
            </w:r>
            <w:r>
              <w:rPr>
                <w:noProof/>
                <w:webHidden/>
              </w:rPr>
              <w:fldChar w:fldCharType="end"/>
            </w:r>
          </w:hyperlink>
        </w:p>
        <w:p w14:paraId="0BE75829" w14:textId="7D0E1ECE"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80" w:history="1">
            <w:r w:rsidRPr="0086658C">
              <w:rPr>
                <w:rStyle w:val="Hyperlink"/>
                <w:noProof/>
                <w:lang w:val="en-IN"/>
              </w:rPr>
              <w:t>4.4 Ethical, CSR and ESG Implications</w:t>
            </w:r>
            <w:r>
              <w:rPr>
                <w:noProof/>
                <w:webHidden/>
              </w:rPr>
              <w:tab/>
            </w:r>
            <w:r>
              <w:rPr>
                <w:noProof/>
                <w:webHidden/>
              </w:rPr>
              <w:fldChar w:fldCharType="begin"/>
            </w:r>
            <w:r>
              <w:rPr>
                <w:noProof/>
                <w:webHidden/>
              </w:rPr>
              <w:instrText xml:space="preserve"> PAGEREF _Toc235636780 \h </w:instrText>
            </w:r>
            <w:r>
              <w:rPr>
                <w:noProof/>
                <w:webHidden/>
              </w:rPr>
            </w:r>
            <w:r>
              <w:rPr>
                <w:noProof/>
                <w:webHidden/>
              </w:rPr>
              <w:fldChar w:fldCharType="separate"/>
            </w:r>
            <w:r>
              <w:rPr>
                <w:noProof/>
                <w:webHidden/>
              </w:rPr>
              <w:t>18</w:t>
            </w:r>
            <w:r>
              <w:rPr>
                <w:noProof/>
                <w:webHidden/>
              </w:rPr>
              <w:fldChar w:fldCharType="end"/>
            </w:r>
          </w:hyperlink>
        </w:p>
        <w:p w14:paraId="452DE3ED" w14:textId="7C79152F" w:rsidR="00FF0F84" w:rsidRDefault="00FF0F84">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5636781" w:history="1">
            <w:r w:rsidRPr="0086658C">
              <w:rPr>
                <w:rStyle w:val="Hyperlink"/>
                <w:noProof/>
              </w:rPr>
              <w:t>5. Investment Appraisal and Capital Budgeting</w:t>
            </w:r>
            <w:r>
              <w:rPr>
                <w:noProof/>
                <w:webHidden/>
              </w:rPr>
              <w:tab/>
            </w:r>
            <w:r>
              <w:rPr>
                <w:noProof/>
                <w:webHidden/>
              </w:rPr>
              <w:fldChar w:fldCharType="begin"/>
            </w:r>
            <w:r>
              <w:rPr>
                <w:noProof/>
                <w:webHidden/>
              </w:rPr>
              <w:instrText xml:space="preserve"> PAGEREF _Toc235636781 \h </w:instrText>
            </w:r>
            <w:r>
              <w:rPr>
                <w:noProof/>
                <w:webHidden/>
              </w:rPr>
            </w:r>
            <w:r>
              <w:rPr>
                <w:noProof/>
                <w:webHidden/>
              </w:rPr>
              <w:fldChar w:fldCharType="separate"/>
            </w:r>
            <w:r>
              <w:rPr>
                <w:noProof/>
                <w:webHidden/>
              </w:rPr>
              <w:t>18</w:t>
            </w:r>
            <w:r>
              <w:rPr>
                <w:noProof/>
                <w:webHidden/>
              </w:rPr>
              <w:fldChar w:fldCharType="end"/>
            </w:r>
          </w:hyperlink>
        </w:p>
        <w:p w14:paraId="0C8DDC6F" w14:textId="36CD435F"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82" w:history="1">
            <w:r w:rsidRPr="0086658C">
              <w:rPr>
                <w:rStyle w:val="Hyperlink"/>
                <w:noProof/>
                <w:lang w:val="en-IN"/>
              </w:rPr>
              <w:t>5.1 Investment Appraisal Methods</w:t>
            </w:r>
            <w:r>
              <w:rPr>
                <w:noProof/>
                <w:webHidden/>
              </w:rPr>
              <w:tab/>
            </w:r>
            <w:r>
              <w:rPr>
                <w:noProof/>
                <w:webHidden/>
              </w:rPr>
              <w:fldChar w:fldCharType="begin"/>
            </w:r>
            <w:r>
              <w:rPr>
                <w:noProof/>
                <w:webHidden/>
              </w:rPr>
              <w:instrText xml:space="preserve"> PAGEREF _Toc235636782 \h </w:instrText>
            </w:r>
            <w:r>
              <w:rPr>
                <w:noProof/>
                <w:webHidden/>
              </w:rPr>
            </w:r>
            <w:r>
              <w:rPr>
                <w:noProof/>
                <w:webHidden/>
              </w:rPr>
              <w:fldChar w:fldCharType="separate"/>
            </w:r>
            <w:r>
              <w:rPr>
                <w:noProof/>
                <w:webHidden/>
              </w:rPr>
              <w:t>19</w:t>
            </w:r>
            <w:r>
              <w:rPr>
                <w:noProof/>
                <w:webHidden/>
              </w:rPr>
              <w:fldChar w:fldCharType="end"/>
            </w:r>
          </w:hyperlink>
        </w:p>
        <w:p w14:paraId="394E3FED" w14:textId="03B13718"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83" w:history="1">
            <w:r w:rsidRPr="0086658C">
              <w:rPr>
                <w:rStyle w:val="Hyperlink"/>
                <w:noProof/>
                <w:lang w:val="en-IN"/>
              </w:rPr>
              <w:t>5.2 Comparative Project Evaluation</w:t>
            </w:r>
            <w:r>
              <w:rPr>
                <w:noProof/>
                <w:webHidden/>
              </w:rPr>
              <w:tab/>
            </w:r>
            <w:r>
              <w:rPr>
                <w:noProof/>
                <w:webHidden/>
              </w:rPr>
              <w:fldChar w:fldCharType="begin"/>
            </w:r>
            <w:r>
              <w:rPr>
                <w:noProof/>
                <w:webHidden/>
              </w:rPr>
              <w:instrText xml:space="preserve"> PAGEREF _Toc235636783 \h </w:instrText>
            </w:r>
            <w:r>
              <w:rPr>
                <w:noProof/>
                <w:webHidden/>
              </w:rPr>
            </w:r>
            <w:r>
              <w:rPr>
                <w:noProof/>
                <w:webHidden/>
              </w:rPr>
              <w:fldChar w:fldCharType="separate"/>
            </w:r>
            <w:r>
              <w:rPr>
                <w:noProof/>
                <w:webHidden/>
              </w:rPr>
              <w:t>20</w:t>
            </w:r>
            <w:r>
              <w:rPr>
                <w:noProof/>
                <w:webHidden/>
              </w:rPr>
              <w:fldChar w:fldCharType="end"/>
            </w:r>
          </w:hyperlink>
        </w:p>
        <w:p w14:paraId="09F74A62" w14:textId="1DE4F369"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84" w:history="1">
            <w:r w:rsidRPr="0086658C">
              <w:rPr>
                <w:rStyle w:val="Hyperlink"/>
                <w:noProof/>
                <w:lang w:val="en-IN"/>
              </w:rPr>
              <w:t>5.3 Recommended Investment Project</w:t>
            </w:r>
            <w:r>
              <w:rPr>
                <w:noProof/>
                <w:webHidden/>
              </w:rPr>
              <w:tab/>
            </w:r>
            <w:r>
              <w:rPr>
                <w:noProof/>
                <w:webHidden/>
              </w:rPr>
              <w:fldChar w:fldCharType="begin"/>
            </w:r>
            <w:r>
              <w:rPr>
                <w:noProof/>
                <w:webHidden/>
              </w:rPr>
              <w:instrText xml:space="preserve"> PAGEREF _Toc235636784 \h </w:instrText>
            </w:r>
            <w:r>
              <w:rPr>
                <w:noProof/>
                <w:webHidden/>
              </w:rPr>
            </w:r>
            <w:r>
              <w:rPr>
                <w:noProof/>
                <w:webHidden/>
              </w:rPr>
              <w:fldChar w:fldCharType="separate"/>
            </w:r>
            <w:r>
              <w:rPr>
                <w:noProof/>
                <w:webHidden/>
              </w:rPr>
              <w:t>21</w:t>
            </w:r>
            <w:r>
              <w:rPr>
                <w:noProof/>
                <w:webHidden/>
              </w:rPr>
              <w:fldChar w:fldCharType="end"/>
            </w:r>
          </w:hyperlink>
        </w:p>
        <w:p w14:paraId="6EED3890" w14:textId="7C67290C"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85" w:history="1">
            <w:r w:rsidRPr="0086658C">
              <w:rPr>
                <w:rStyle w:val="Hyperlink"/>
                <w:noProof/>
                <w:lang w:val="en-IN"/>
              </w:rPr>
              <w:t>5.4 Capital Rationing under the £100 Million Constraint</w:t>
            </w:r>
            <w:r>
              <w:rPr>
                <w:noProof/>
                <w:webHidden/>
              </w:rPr>
              <w:tab/>
            </w:r>
            <w:r>
              <w:rPr>
                <w:noProof/>
                <w:webHidden/>
              </w:rPr>
              <w:fldChar w:fldCharType="begin"/>
            </w:r>
            <w:r>
              <w:rPr>
                <w:noProof/>
                <w:webHidden/>
              </w:rPr>
              <w:instrText xml:space="preserve"> PAGEREF _Toc235636785 \h </w:instrText>
            </w:r>
            <w:r>
              <w:rPr>
                <w:noProof/>
                <w:webHidden/>
              </w:rPr>
            </w:r>
            <w:r>
              <w:rPr>
                <w:noProof/>
                <w:webHidden/>
              </w:rPr>
              <w:fldChar w:fldCharType="separate"/>
            </w:r>
            <w:r>
              <w:rPr>
                <w:noProof/>
                <w:webHidden/>
              </w:rPr>
              <w:t>22</w:t>
            </w:r>
            <w:r>
              <w:rPr>
                <w:noProof/>
                <w:webHidden/>
              </w:rPr>
              <w:fldChar w:fldCharType="end"/>
            </w:r>
          </w:hyperlink>
        </w:p>
        <w:p w14:paraId="1D9FD78A" w14:textId="0F81ADE4"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86" w:history="1">
            <w:r w:rsidRPr="0086658C">
              <w:rPr>
                <w:rStyle w:val="Hyperlink"/>
                <w:noProof/>
                <w:lang w:val="en-IN"/>
              </w:rPr>
              <w:t>5.5 Final Investment Decision</w:t>
            </w:r>
            <w:r>
              <w:rPr>
                <w:noProof/>
                <w:webHidden/>
              </w:rPr>
              <w:tab/>
            </w:r>
            <w:r>
              <w:rPr>
                <w:noProof/>
                <w:webHidden/>
              </w:rPr>
              <w:fldChar w:fldCharType="begin"/>
            </w:r>
            <w:r>
              <w:rPr>
                <w:noProof/>
                <w:webHidden/>
              </w:rPr>
              <w:instrText xml:space="preserve"> PAGEREF _Toc235636786 \h </w:instrText>
            </w:r>
            <w:r>
              <w:rPr>
                <w:noProof/>
                <w:webHidden/>
              </w:rPr>
            </w:r>
            <w:r>
              <w:rPr>
                <w:noProof/>
                <w:webHidden/>
              </w:rPr>
              <w:fldChar w:fldCharType="separate"/>
            </w:r>
            <w:r>
              <w:rPr>
                <w:noProof/>
                <w:webHidden/>
              </w:rPr>
              <w:t>23</w:t>
            </w:r>
            <w:r>
              <w:rPr>
                <w:noProof/>
                <w:webHidden/>
              </w:rPr>
              <w:fldChar w:fldCharType="end"/>
            </w:r>
          </w:hyperlink>
        </w:p>
        <w:p w14:paraId="181C79EA" w14:textId="6BE22569" w:rsidR="00FF0F84" w:rsidRDefault="00FF0F84">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5636787" w:history="1">
            <w:r w:rsidRPr="0086658C">
              <w:rPr>
                <w:rStyle w:val="Hyperlink"/>
                <w:noProof/>
              </w:rPr>
              <w:t>6. Conclusion</w:t>
            </w:r>
            <w:r>
              <w:rPr>
                <w:noProof/>
                <w:webHidden/>
              </w:rPr>
              <w:tab/>
            </w:r>
            <w:r>
              <w:rPr>
                <w:noProof/>
                <w:webHidden/>
              </w:rPr>
              <w:fldChar w:fldCharType="begin"/>
            </w:r>
            <w:r>
              <w:rPr>
                <w:noProof/>
                <w:webHidden/>
              </w:rPr>
              <w:instrText xml:space="preserve"> PAGEREF _Toc235636787 \h </w:instrText>
            </w:r>
            <w:r>
              <w:rPr>
                <w:noProof/>
                <w:webHidden/>
              </w:rPr>
            </w:r>
            <w:r>
              <w:rPr>
                <w:noProof/>
                <w:webHidden/>
              </w:rPr>
              <w:fldChar w:fldCharType="separate"/>
            </w:r>
            <w:r>
              <w:rPr>
                <w:noProof/>
                <w:webHidden/>
              </w:rPr>
              <w:t>24</w:t>
            </w:r>
            <w:r>
              <w:rPr>
                <w:noProof/>
                <w:webHidden/>
              </w:rPr>
              <w:fldChar w:fldCharType="end"/>
            </w:r>
          </w:hyperlink>
        </w:p>
        <w:p w14:paraId="177DC301" w14:textId="7D2A42E3" w:rsidR="00FF0F84" w:rsidRDefault="00FF0F84">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5636788" w:history="1">
            <w:r w:rsidRPr="0086658C">
              <w:rPr>
                <w:rStyle w:val="Hyperlink"/>
                <w:noProof/>
              </w:rPr>
              <w:t>7. References</w:t>
            </w:r>
            <w:r>
              <w:rPr>
                <w:noProof/>
                <w:webHidden/>
              </w:rPr>
              <w:tab/>
            </w:r>
            <w:r>
              <w:rPr>
                <w:noProof/>
                <w:webHidden/>
              </w:rPr>
              <w:fldChar w:fldCharType="begin"/>
            </w:r>
            <w:r>
              <w:rPr>
                <w:noProof/>
                <w:webHidden/>
              </w:rPr>
              <w:instrText xml:space="preserve"> PAGEREF _Toc235636788 \h </w:instrText>
            </w:r>
            <w:r>
              <w:rPr>
                <w:noProof/>
                <w:webHidden/>
              </w:rPr>
            </w:r>
            <w:r>
              <w:rPr>
                <w:noProof/>
                <w:webHidden/>
              </w:rPr>
              <w:fldChar w:fldCharType="separate"/>
            </w:r>
            <w:r>
              <w:rPr>
                <w:noProof/>
                <w:webHidden/>
              </w:rPr>
              <w:t>25</w:t>
            </w:r>
            <w:r>
              <w:rPr>
                <w:noProof/>
                <w:webHidden/>
              </w:rPr>
              <w:fldChar w:fldCharType="end"/>
            </w:r>
          </w:hyperlink>
        </w:p>
        <w:p w14:paraId="4EAEAB4B" w14:textId="2ADAAD64" w:rsidR="00FF0F84" w:rsidRDefault="00FF0F84">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5636789" w:history="1">
            <w:r w:rsidRPr="0086658C">
              <w:rPr>
                <w:rStyle w:val="Hyperlink"/>
                <w:noProof/>
              </w:rPr>
              <w:t>8. Appendix</w:t>
            </w:r>
            <w:r>
              <w:rPr>
                <w:noProof/>
                <w:webHidden/>
              </w:rPr>
              <w:tab/>
            </w:r>
            <w:r>
              <w:rPr>
                <w:noProof/>
                <w:webHidden/>
              </w:rPr>
              <w:fldChar w:fldCharType="begin"/>
            </w:r>
            <w:r>
              <w:rPr>
                <w:noProof/>
                <w:webHidden/>
              </w:rPr>
              <w:instrText xml:space="preserve"> PAGEREF _Toc235636789 \h </w:instrText>
            </w:r>
            <w:r>
              <w:rPr>
                <w:noProof/>
                <w:webHidden/>
              </w:rPr>
            </w:r>
            <w:r>
              <w:rPr>
                <w:noProof/>
                <w:webHidden/>
              </w:rPr>
              <w:fldChar w:fldCharType="separate"/>
            </w:r>
            <w:r>
              <w:rPr>
                <w:noProof/>
                <w:webHidden/>
              </w:rPr>
              <w:t>27</w:t>
            </w:r>
            <w:r>
              <w:rPr>
                <w:noProof/>
                <w:webHidden/>
              </w:rPr>
              <w:fldChar w:fldCharType="end"/>
            </w:r>
          </w:hyperlink>
        </w:p>
        <w:p w14:paraId="1DEE435A" w14:textId="3FF47B14"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90" w:history="1">
            <w:r w:rsidRPr="0086658C">
              <w:rPr>
                <w:rStyle w:val="Hyperlink"/>
                <w:noProof/>
              </w:rPr>
              <w:t>Appendix A – Financial Data of 5 years</w:t>
            </w:r>
            <w:r>
              <w:rPr>
                <w:noProof/>
                <w:webHidden/>
              </w:rPr>
              <w:tab/>
            </w:r>
            <w:r>
              <w:rPr>
                <w:noProof/>
                <w:webHidden/>
              </w:rPr>
              <w:fldChar w:fldCharType="begin"/>
            </w:r>
            <w:r>
              <w:rPr>
                <w:noProof/>
                <w:webHidden/>
              </w:rPr>
              <w:instrText xml:space="preserve"> PAGEREF _Toc235636790 \h </w:instrText>
            </w:r>
            <w:r>
              <w:rPr>
                <w:noProof/>
                <w:webHidden/>
              </w:rPr>
            </w:r>
            <w:r>
              <w:rPr>
                <w:noProof/>
                <w:webHidden/>
              </w:rPr>
              <w:fldChar w:fldCharType="separate"/>
            </w:r>
            <w:r>
              <w:rPr>
                <w:noProof/>
                <w:webHidden/>
              </w:rPr>
              <w:t>27</w:t>
            </w:r>
            <w:r>
              <w:rPr>
                <w:noProof/>
                <w:webHidden/>
              </w:rPr>
              <w:fldChar w:fldCharType="end"/>
            </w:r>
          </w:hyperlink>
        </w:p>
        <w:p w14:paraId="589A84C6" w14:textId="4495A7F0"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91" w:history="1">
            <w:r w:rsidRPr="0086658C">
              <w:rPr>
                <w:rStyle w:val="Hyperlink"/>
                <w:noProof/>
              </w:rPr>
              <w:t>Appendix B – Ratio calculations</w:t>
            </w:r>
            <w:r>
              <w:rPr>
                <w:noProof/>
                <w:webHidden/>
              </w:rPr>
              <w:tab/>
            </w:r>
            <w:r>
              <w:rPr>
                <w:noProof/>
                <w:webHidden/>
              </w:rPr>
              <w:fldChar w:fldCharType="begin"/>
            </w:r>
            <w:r>
              <w:rPr>
                <w:noProof/>
                <w:webHidden/>
              </w:rPr>
              <w:instrText xml:space="preserve"> PAGEREF _Toc235636791 \h </w:instrText>
            </w:r>
            <w:r>
              <w:rPr>
                <w:noProof/>
                <w:webHidden/>
              </w:rPr>
            </w:r>
            <w:r>
              <w:rPr>
                <w:noProof/>
                <w:webHidden/>
              </w:rPr>
              <w:fldChar w:fldCharType="separate"/>
            </w:r>
            <w:r>
              <w:rPr>
                <w:noProof/>
                <w:webHidden/>
              </w:rPr>
              <w:t>28</w:t>
            </w:r>
            <w:r>
              <w:rPr>
                <w:noProof/>
                <w:webHidden/>
              </w:rPr>
              <w:fldChar w:fldCharType="end"/>
            </w:r>
          </w:hyperlink>
        </w:p>
        <w:p w14:paraId="3AE478CC" w14:textId="29C60847"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92" w:history="1">
            <w:r w:rsidRPr="0086658C">
              <w:rPr>
                <w:rStyle w:val="Hyperlink"/>
                <w:noProof/>
              </w:rPr>
              <w:t>Appendix C - Working Capital &amp; Cash Operating</w:t>
            </w:r>
            <w:r>
              <w:rPr>
                <w:noProof/>
                <w:webHidden/>
              </w:rPr>
              <w:tab/>
            </w:r>
            <w:r>
              <w:rPr>
                <w:noProof/>
                <w:webHidden/>
              </w:rPr>
              <w:fldChar w:fldCharType="begin"/>
            </w:r>
            <w:r>
              <w:rPr>
                <w:noProof/>
                <w:webHidden/>
              </w:rPr>
              <w:instrText xml:space="preserve"> PAGEREF _Toc235636792 \h </w:instrText>
            </w:r>
            <w:r>
              <w:rPr>
                <w:noProof/>
                <w:webHidden/>
              </w:rPr>
            </w:r>
            <w:r>
              <w:rPr>
                <w:noProof/>
                <w:webHidden/>
              </w:rPr>
              <w:fldChar w:fldCharType="separate"/>
            </w:r>
            <w:r>
              <w:rPr>
                <w:noProof/>
                <w:webHidden/>
              </w:rPr>
              <w:t>28</w:t>
            </w:r>
            <w:r>
              <w:rPr>
                <w:noProof/>
                <w:webHidden/>
              </w:rPr>
              <w:fldChar w:fldCharType="end"/>
            </w:r>
          </w:hyperlink>
        </w:p>
        <w:p w14:paraId="69FAEDEB" w14:textId="640AD2C7" w:rsidR="00FF0F84" w:rsidRDefault="00FF0F84">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5636793" w:history="1">
            <w:r w:rsidRPr="0086658C">
              <w:rPr>
                <w:rStyle w:val="Hyperlink"/>
                <w:noProof/>
              </w:rPr>
              <w:t>Appendix D - Investment Appraisal</w:t>
            </w:r>
            <w:r>
              <w:rPr>
                <w:noProof/>
                <w:webHidden/>
              </w:rPr>
              <w:tab/>
            </w:r>
            <w:r>
              <w:rPr>
                <w:noProof/>
                <w:webHidden/>
              </w:rPr>
              <w:fldChar w:fldCharType="begin"/>
            </w:r>
            <w:r>
              <w:rPr>
                <w:noProof/>
                <w:webHidden/>
              </w:rPr>
              <w:instrText xml:space="preserve"> PAGEREF _Toc235636793 \h </w:instrText>
            </w:r>
            <w:r>
              <w:rPr>
                <w:noProof/>
                <w:webHidden/>
              </w:rPr>
            </w:r>
            <w:r>
              <w:rPr>
                <w:noProof/>
                <w:webHidden/>
              </w:rPr>
              <w:fldChar w:fldCharType="separate"/>
            </w:r>
            <w:r>
              <w:rPr>
                <w:noProof/>
                <w:webHidden/>
              </w:rPr>
              <w:t>29</w:t>
            </w:r>
            <w:r>
              <w:rPr>
                <w:noProof/>
                <w:webHidden/>
              </w:rPr>
              <w:fldChar w:fldCharType="end"/>
            </w:r>
          </w:hyperlink>
        </w:p>
        <w:p w14:paraId="1D33C8CE" w14:textId="5A8638F8" w:rsidR="0020671D" w:rsidRDefault="0020671D" w:rsidP="002B0D41">
          <w:r>
            <w:rPr>
              <w:b/>
              <w:bCs/>
              <w:noProof/>
            </w:rPr>
            <w:fldChar w:fldCharType="end"/>
          </w:r>
        </w:p>
      </w:sdtContent>
    </w:sdt>
    <w:p w14:paraId="7B886415" w14:textId="5A694867" w:rsidR="00F17CC5" w:rsidRPr="00F17CC5" w:rsidRDefault="00F17CC5" w:rsidP="002B0D41">
      <w:pPr>
        <w:jc w:val="center"/>
        <w:rPr>
          <w:b/>
          <w:bCs/>
          <w:i/>
          <w:iCs/>
          <w:sz w:val="28"/>
          <w:szCs w:val="24"/>
        </w:rPr>
      </w:pPr>
      <w:r w:rsidRPr="00F17CC5">
        <w:rPr>
          <w:b/>
          <w:bCs/>
          <w:i/>
          <w:iCs/>
          <w:sz w:val="28"/>
          <w:szCs w:val="24"/>
        </w:rPr>
        <w:t>Table of figures</w:t>
      </w:r>
    </w:p>
    <w:p w14:paraId="7AB5790F" w14:textId="443DC4C6" w:rsidR="001F3529" w:rsidRDefault="00F17CC5">
      <w:pPr>
        <w:pStyle w:val="TableofFigures"/>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\h \z \c "Figure" </w:instrText>
      </w:r>
      <w:r>
        <w:fldChar w:fldCharType="separate"/>
      </w:r>
      <w:hyperlink w:anchor="_Toc235636794" w:history="1">
        <w:r w:rsidR="001F3529" w:rsidRPr="00E81905">
          <w:rPr>
            <w:rStyle w:val="Hyperlink"/>
            <w:noProof/>
          </w:rPr>
          <w:t>Figure 1: IHG Profitability Trend (2021–2025)</w:t>
        </w:r>
        <w:r w:rsidR="001F3529">
          <w:rPr>
            <w:noProof/>
            <w:webHidden/>
          </w:rPr>
          <w:tab/>
        </w:r>
        <w:r w:rsidR="001F3529">
          <w:rPr>
            <w:noProof/>
            <w:webHidden/>
          </w:rPr>
          <w:fldChar w:fldCharType="begin"/>
        </w:r>
        <w:r w:rsidR="001F3529">
          <w:rPr>
            <w:noProof/>
            <w:webHidden/>
          </w:rPr>
          <w:instrText xml:space="preserve"> PAGEREF _Toc235636794 \h </w:instrText>
        </w:r>
        <w:r w:rsidR="001F3529">
          <w:rPr>
            <w:noProof/>
            <w:webHidden/>
          </w:rPr>
        </w:r>
        <w:r w:rsidR="001F3529">
          <w:rPr>
            <w:noProof/>
            <w:webHidden/>
          </w:rPr>
          <w:fldChar w:fldCharType="separate"/>
        </w:r>
        <w:r w:rsidR="001F3529">
          <w:rPr>
            <w:noProof/>
            <w:webHidden/>
          </w:rPr>
          <w:t>6</w:t>
        </w:r>
        <w:r w:rsidR="001F3529">
          <w:rPr>
            <w:noProof/>
            <w:webHidden/>
          </w:rPr>
          <w:fldChar w:fldCharType="end"/>
        </w:r>
      </w:hyperlink>
    </w:p>
    <w:p w14:paraId="1EF2400B" w14:textId="3456C330" w:rsidR="001F3529" w:rsidRDefault="001F3529">
      <w:pPr>
        <w:pStyle w:val="TableofFigures"/>
        <w:tabs>
          <w:tab w:val="right" w:leader="dot" w:pos="9016"/>
        </w:tabs>
        <w:rPr>
          <w:rFonts w:asciiTheme="minorHAnsi" w:eastAsiaTheme="minorEastAsia" w:hAnsiTheme="minorHAnsi"/>
          <w:noProof/>
          <w:kern w:val="2"/>
          <w:szCs w:val="24"/>
          <w:lang w:val="en-IN" w:eastAsia="en-IN"/>
          <w14:ligatures w14:val="standardContextual"/>
        </w:rPr>
      </w:pPr>
      <w:hyperlink w:anchor="_Toc235636795" w:history="1">
        <w:r w:rsidRPr="00E81905">
          <w:rPr>
            <w:rStyle w:val="Hyperlink"/>
            <w:noProof/>
          </w:rPr>
          <w:t>Figure 2: IHG Liquidity Trend (2021–2025)</w:t>
        </w:r>
        <w:r>
          <w:rPr>
            <w:noProof/>
            <w:webHidden/>
          </w:rPr>
          <w:tab/>
        </w:r>
        <w:r>
          <w:rPr>
            <w:noProof/>
            <w:webHidden/>
          </w:rPr>
          <w:fldChar w:fldCharType="begin"/>
        </w:r>
        <w:r>
          <w:rPr>
            <w:noProof/>
            <w:webHidden/>
          </w:rPr>
          <w:instrText xml:space="preserve"> PAGEREF _Toc235636795 \h </w:instrText>
        </w:r>
        <w:r>
          <w:rPr>
            <w:noProof/>
            <w:webHidden/>
          </w:rPr>
        </w:r>
        <w:r>
          <w:rPr>
            <w:noProof/>
            <w:webHidden/>
          </w:rPr>
          <w:fldChar w:fldCharType="separate"/>
        </w:r>
        <w:r>
          <w:rPr>
            <w:noProof/>
            <w:webHidden/>
          </w:rPr>
          <w:t>7</w:t>
        </w:r>
        <w:r>
          <w:rPr>
            <w:noProof/>
            <w:webHidden/>
          </w:rPr>
          <w:fldChar w:fldCharType="end"/>
        </w:r>
      </w:hyperlink>
    </w:p>
    <w:p w14:paraId="4E8FA8C2" w14:textId="0B09B2A5" w:rsidR="001F3529" w:rsidRDefault="001F3529">
      <w:pPr>
        <w:pStyle w:val="TableofFigures"/>
        <w:tabs>
          <w:tab w:val="right" w:leader="dot" w:pos="9016"/>
        </w:tabs>
        <w:rPr>
          <w:rFonts w:asciiTheme="minorHAnsi" w:eastAsiaTheme="minorEastAsia" w:hAnsiTheme="minorHAnsi"/>
          <w:noProof/>
          <w:kern w:val="2"/>
          <w:szCs w:val="24"/>
          <w:lang w:val="en-IN" w:eastAsia="en-IN"/>
          <w14:ligatures w14:val="standardContextual"/>
        </w:rPr>
      </w:pPr>
      <w:hyperlink w:anchor="_Toc235636796" w:history="1">
        <w:r w:rsidRPr="00E81905">
          <w:rPr>
            <w:rStyle w:val="Hyperlink"/>
            <w:noProof/>
          </w:rPr>
          <w:t>Figure 3: IHG Efficiency Trend (2021–2025)</w:t>
        </w:r>
        <w:r>
          <w:rPr>
            <w:noProof/>
            <w:webHidden/>
          </w:rPr>
          <w:tab/>
        </w:r>
        <w:r>
          <w:rPr>
            <w:noProof/>
            <w:webHidden/>
          </w:rPr>
          <w:fldChar w:fldCharType="begin"/>
        </w:r>
        <w:r>
          <w:rPr>
            <w:noProof/>
            <w:webHidden/>
          </w:rPr>
          <w:instrText xml:space="preserve"> PAGEREF _Toc235636796 \h </w:instrText>
        </w:r>
        <w:r>
          <w:rPr>
            <w:noProof/>
            <w:webHidden/>
          </w:rPr>
        </w:r>
        <w:r>
          <w:rPr>
            <w:noProof/>
            <w:webHidden/>
          </w:rPr>
          <w:fldChar w:fldCharType="separate"/>
        </w:r>
        <w:r>
          <w:rPr>
            <w:noProof/>
            <w:webHidden/>
          </w:rPr>
          <w:t>9</w:t>
        </w:r>
        <w:r>
          <w:rPr>
            <w:noProof/>
            <w:webHidden/>
          </w:rPr>
          <w:fldChar w:fldCharType="end"/>
        </w:r>
      </w:hyperlink>
    </w:p>
    <w:p w14:paraId="7849EE3E" w14:textId="2820A794" w:rsidR="001F3529" w:rsidRDefault="001F3529">
      <w:pPr>
        <w:pStyle w:val="TableofFigures"/>
        <w:tabs>
          <w:tab w:val="right" w:leader="dot" w:pos="9016"/>
        </w:tabs>
        <w:rPr>
          <w:rFonts w:asciiTheme="minorHAnsi" w:eastAsiaTheme="minorEastAsia" w:hAnsiTheme="minorHAnsi"/>
          <w:noProof/>
          <w:kern w:val="2"/>
          <w:szCs w:val="24"/>
          <w:lang w:val="en-IN" w:eastAsia="en-IN"/>
          <w14:ligatures w14:val="standardContextual"/>
        </w:rPr>
      </w:pPr>
      <w:hyperlink w:anchor="_Toc235636797" w:history="1">
        <w:r w:rsidRPr="00E81905">
          <w:rPr>
            <w:rStyle w:val="Hyperlink"/>
            <w:noProof/>
          </w:rPr>
          <w:t>Figure 4: IHG Debt Ratio Trend (2021–2025)</w:t>
        </w:r>
        <w:r>
          <w:rPr>
            <w:noProof/>
            <w:webHidden/>
          </w:rPr>
          <w:tab/>
        </w:r>
        <w:r>
          <w:rPr>
            <w:noProof/>
            <w:webHidden/>
          </w:rPr>
          <w:fldChar w:fldCharType="begin"/>
        </w:r>
        <w:r>
          <w:rPr>
            <w:noProof/>
            <w:webHidden/>
          </w:rPr>
          <w:instrText xml:space="preserve"> PAGEREF _Toc235636797 \h </w:instrText>
        </w:r>
        <w:r>
          <w:rPr>
            <w:noProof/>
            <w:webHidden/>
          </w:rPr>
        </w:r>
        <w:r>
          <w:rPr>
            <w:noProof/>
            <w:webHidden/>
          </w:rPr>
          <w:fldChar w:fldCharType="separate"/>
        </w:r>
        <w:r>
          <w:rPr>
            <w:noProof/>
            <w:webHidden/>
          </w:rPr>
          <w:t>10</w:t>
        </w:r>
        <w:r>
          <w:rPr>
            <w:noProof/>
            <w:webHidden/>
          </w:rPr>
          <w:fldChar w:fldCharType="end"/>
        </w:r>
      </w:hyperlink>
    </w:p>
    <w:p w14:paraId="4745C393" w14:textId="5C4F1E96" w:rsidR="001F3529" w:rsidRDefault="001F3529">
      <w:pPr>
        <w:pStyle w:val="TableofFigures"/>
        <w:tabs>
          <w:tab w:val="right" w:leader="dot" w:pos="9016"/>
        </w:tabs>
        <w:rPr>
          <w:rFonts w:asciiTheme="minorHAnsi" w:eastAsiaTheme="minorEastAsia" w:hAnsiTheme="minorHAnsi"/>
          <w:noProof/>
          <w:kern w:val="2"/>
          <w:szCs w:val="24"/>
          <w:lang w:val="en-IN" w:eastAsia="en-IN"/>
          <w14:ligatures w14:val="standardContextual"/>
        </w:rPr>
      </w:pPr>
      <w:hyperlink w:anchor="_Toc235636798" w:history="1">
        <w:r w:rsidRPr="00E81905">
          <w:rPr>
            <w:rStyle w:val="Hyperlink"/>
            <w:noProof/>
          </w:rPr>
          <w:t>Figure 5: IHG Cash Flow Performance (2021–2025)</w:t>
        </w:r>
        <w:r>
          <w:rPr>
            <w:noProof/>
            <w:webHidden/>
          </w:rPr>
          <w:tab/>
        </w:r>
        <w:r>
          <w:rPr>
            <w:noProof/>
            <w:webHidden/>
          </w:rPr>
          <w:fldChar w:fldCharType="begin"/>
        </w:r>
        <w:r>
          <w:rPr>
            <w:noProof/>
            <w:webHidden/>
          </w:rPr>
          <w:instrText xml:space="preserve"> PAGEREF _Toc235636798 \h </w:instrText>
        </w:r>
        <w:r>
          <w:rPr>
            <w:noProof/>
            <w:webHidden/>
          </w:rPr>
        </w:r>
        <w:r>
          <w:rPr>
            <w:noProof/>
            <w:webHidden/>
          </w:rPr>
          <w:fldChar w:fldCharType="separate"/>
        </w:r>
        <w:r>
          <w:rPr>
            <w:noProof/>
            <w:webHidden/>
          </w:rPr>
          <w:t>11</w:t>
        </w:r>
        <w:r>
          <w:rPr>
            <w:noProof/>
            <w:webHidden/>
          </w:rPr>
          <w:fldChar w:fldCharType="end"/>
        </w:r>
      </w:hyperlink>
    </w:p>
    <w:p w14:paraId="5A6CAC67" w14:textId="7ECD70F5" w:rsidR="001F3529" w:rsidRDefault="001F3529">
      <w:pPr>
        <w:pStyle w:val="TableofFigures"/>
        <w:tabs>
          <w:tab w:val="right" w:leader="dot" w:pos="9016"/>
        </w:tabs>
        <w:rPr>
          <w:rFonts w:asciiTheme="minorHAnsi" w:eastAsiaTheme="minorEastAsia" w:hAnsiTheme="minorHAnsi"/>
          <w:noProof/>
          <w:kern w:val="2"/>
          <w:szCs w:val="24"/>
          <w:lang w:val="en-IN" w:eastAsia="en-IN"/>
          <w14:ligatures w14:val="standardContextual"/>
        </w:rPr>
      </w:pPr>
      <w:hyperlink w:anchor="_Toc235636799" w:history="1">
        <w:r w:rsidRPr="00E81905">
          <w:rPr>
            <w:rStyle w:val="Hyperlink"/>
            <w:noProof/>
          </w:rPr>
          <w:t>Figure 6: IHG Net Working Capital Trend (2021–2025)</w:t>
        </w:r>
        <w:r>
          <w:rPr>
            <w:noProof/>
            <w:webHidden/>
          </w:rPr>
          <w:tab/>
        </w:r>
        <w:r>
          <w:rPr>
            <w:noProof/>
            <w:webHidden/>
          </w:rPr>
          <w:fldChar w:fldCharType="begin"/>
        </w:r>
        <w:r>
          <w:rPr>
            <w:noProof/>
            <w:webHidden/>
          </w:rPr>
          <w:instrText xml:space="preserve"> PAGEREF _Toc235636799 \h </w:instrText>
        </w:r>
        <w:r>
          <w:rPr>
            <w:noProof/>
            <w:webHidden/>
          </w:rPr>
        </w:r>
        <w:r>
          <w:rPr>
            <w:noProof/>
            <w:webHidden/>
          </w:rPr>
          <w:fldChar w:fldCharType="separate"/>
        </w:r>
        <w:r>
          <w:rPr>
            <w:noProof/>
            <w:webHidden/>
          </w:rPr>
          <w:t>13</w:t>
        </w:r>
        <w:r>
          <w:rPr>
            <w:noProof/>
            <w:webHidden/>
          </w:rPr>
          <w:fldChar w:fldCharType="end"/>
        </w:r>
      </w:hyperlink>
    </w:p>
    <w:p w14:paraId="6207BF2F" w14:textId="161EC8A2" w:rsidR="00F17CC5" w:rsidRDefault="00F17CC5" w:rsidP="002B0D41">
      <w:r>
        <w:fldChar w:fldCharType="end"/>
      </w:r>
    </w:p>
    <w:p w14:paraId="1BA95083" w14:textId="77777777" w:rsidR="00F17CC5" w:rsidRDefault="00F17CC5" w:rsidP="002B0D41"/>
    <w:p w14:paraId="2B71A315" w14:textId="77777777" w:rsidR="00F17CC5" w:rsidRDefault="00F17CC5" w:rsidP="002B0D41"/>
    <w:p w14:paraId="02879A6A" w14:textId="77777777" w:rsidR="0020671D" w:rsidRDefault="0020671D" w:rsidP="002B0D41">
      <w:pPr>
        <w:pStyle w:val="Heading1"/>
      </w:pPr>
    </w:p>
    <w:p w14:paraId="2ED76303" w14:textId="77777777" w:rsidR="0020671D" w:rsidRDefault="0020671D" w:rsidP="002B0D41">
      <w:pPr>
        <w:pStyle w:val="Heading1"/>
      </w:pPr>
    </w:p>
    <w:p w14:paraId="0D89F547" w14:textId="77777777" w:rsidR="0020671D" w:rsidRDefault="0020671D" w:rsidP="002B0D41">
      <w:pPr>
        <w:spacing w:before="0" w:after="160"/>
        <w:jc w:val="left"/>
        <w:rPr>
          <w:rFonts w:eastAsiaTheme="majorEastAsia"/>
          <w:b/>
          <w:bCs/>
          <w:color w:val="000000" w:themeColor="text1"/>
          <w:kern w:val="36"/>
          <w:szCs w:val="48"/>
          <w:lang w:val="en-IN" w:eastAsia="en-IN"/>
        </w:rPr>
      </w:pPr>
      <w:r>
        <w:br w:type="page"/>
      </w:r>
    </w:p>
    <w:p w14:paraId="08D2914D" w14:textId="17FE3027" w:rsidR="00072BEC" w:rsidRPr="00072BEC" w:rsidRDefault="00072BEC" w:rsidP="002B0D41">
      <w:pPr>
        <w:pStyle w:val="Heading1"/>
      </w:pPr>
      <w:bookmarkStart w:id="0" w:name="_Toc235636764"/>
      <w:r w:rsidRPr="00072BEC">
        <w:lastRenderedPageBreak/>
        <w:t>1. Introduction</w:t>
      </w:r>
      <w:bookmarkEnd w:id="0"/>
    </w:p>
    <w:p w14:paraId="2A6EF360" w14:textId="7714F0CA" w:rsidR="00710D53" w:rsidRPr="00710D53" w:rsidRDefault="00710D53" w:rsidP="00710D53">
      <w:pPr>
        <w:rPr>
          <w:lang w:val="en-IN"/>
        </w:rPr>
      </w:pPr>
      <w:r w:rsidRPr="00710D53">
        <w:rPr>
          <w:lang w:val="en-IN"/>
        </w:rPr>
        <w:t>InterContinental Hotels Group PLC (IHG) is a major international hospitality group operating through a broad portfolio of hotel brands across global markets</w:t>
      </w:r>
      <w:r>
        <w:rPr>
          <w:lang w:val="en-IN"/>
        </w:rPr>
        <w:t xml:space="preserve"> (</w:t>
      </w:r>
      <w:r>
        <w:t>IHG, 2026a</w:t>
      </w:r>
      <w:r>
        <w:rPr>
          <w:lang w:val="en-IN"/>
        </w:rPr>
        <w:t>)</w:t>
      </w:r>
      <w:r w:rsidRPr="00710D53">
        <w:rPr>
          <w:lang w:val="en-IN"/>
        </w:rPr>
        <w:t xml:space="preserve">. Its predominantly asset-light model, based on franchising and hotel management, supports international expansion while limiting the capital required for direct hotel ownership. However, IHG operates in a financially sensitive industry where performance is affected by changes in consumer demand, inflation, interest rates, foreign exchange movements and wider economic conditions. </w:t>
      </w:r>
    </w:p>
    <w:p w14:paraId="7D7B6CC8" w14:textId="77777777" w:rsidR="00710D53" w:rsidRPr="00710D53" w:rsidRDefault="00710D53" w:rsidP="00710D53">
      <w:pPr>
        <w:rPr>
          <w:lang w:val="en-IN"/>
        </w:rPr>
      </w:pPr>
      <w:r w:rsidRPr="00710D53">
        <w:rPr>
          <w:lang w:val="en-IN"/>
        </w:rPr>
        <w:t xml:space="preserve">This report critically evaluates IHG’s financial performance and financial management </w:t>
      </w:r>
      <w:r w:rsidRPr="00946252">
        <w:rPr>
          <w:lang w:val="en-IN"/>
        </w:rPr>
        <w:t>over 2021–2025, a period characterised by substantial improvement in profitability and cash generation but increasing balance-sheet pressure. Revenue increased from $2,907 million in 2021 to $5,189 million in 2025, while operating profit increased from $494 million to $1,198 million. However, total borrowings also increased from $2,845 million to $4,201 million, while shareholders’ equity deteriorated from −$1,474 million to −$2,736 million.</w:t>
      </w:r>
      <w:r w:rsidRPr="00710D53">
        <w:rPr>
          <w:lang w:val="en-IN"/>
        </w:rPr>
        <w:t xml:space="preserve"> </w:t>
      </w:r>
    </w:p>
    <w:p w14:paraId="31AC9B82" w14:textId="465DEA5E" w:rsidR="00710D53" w:rsidRPr="00072BEC" w:rsidRDefault="00710D53" w:rsidP="002B0D41">
      <w:pPr>
        <w:rPr>
          <w:lang w:val="en-IN"/>
        </w:rPr>
      </w:pPr>
      <w:r w:rsidRPr="00710D53">
        <w:rPr>
          <w:lang w:val="en-IN"/>
        </w:rPr>
        <w:t xml:space="preserve">The analysis therefore examines profitability, liquidity, efficiency, gearing and cash-flow ratios alongside working-capital performance to identify the underlying causes of financial changes rather than simply reporting numerical trends. The report subsequently evaluates liquidity improvement, financing and restructuring alternatives, international financial risks and investment opportunities using </w:t>
      </w:r>
      <w:r w:rsidRPr="00710D53">
        <w:rPr>
          <w:b/>
          <w:bCs/>
          <w:lang w:val="en-IN"/>
        </w:rPr>
        <w:t>PBP, ARR, NPV, PI and IRR</w:t>
      </w:r>
      <w:r w:rsidRPr="00710D53">
        <w:rPr>
          <w:lang w:val="en-IN"/>
        </w:rPr>
        <w:t>. Based on these findings, the report develops financially justified recommendations aimed at strengthening liquidity, controlling leverage and supporting sustainable shareholder value creation.</w:t>
      </w:r>
    </w:p>
    <w:p w14:paraId="797B881C" w14:textId="77777777" w:rsidR="00072BEC" w:rsidRPr="00072BEC" w:rsidRDefault="00072BEC" w:rsidP="002B0D41">
      <w:pPr>
        <w:pStyle w:val="Heading1"/>
      </w:pPr>
      <w:bookmarkStart w:id="1" w:name="_Toc235636765"/>
      <w:r w:rsidRPr="00072BEC">
        <w:t>2. Financial Health Check</w:t>
      </w:r>
      <w:bookmarkEnd w:id="1"/>
    </w:p>
    <w:p w14:paraId="1321A325" w14:textId="77777777" w:rsidR="00072BEC" w:rsidRPr="00072BEC" w:rsidRDefault="00072BEC" w:rsidP="002B0D41">
      <w:pPr>
        <w:pStyle w:val="Heading2"/>
        <w:rPr>
          <w:lang w:val="en-IN"/>
        </w:rPr>
      </w:pPr>
      <w:bookmarkStart w:id="2" w:name="_Toc235636766"/>
      <w:r w:rsidRPr="00072BEC">
        <w:rPr>
          <w:lang w:val="en-IN"/>
        </w:rPr>
        <w:t>2.1 Five-Year Financial Performance Overview</w:t>
      </w:r>
      <w:bookmarkEnd w:id="2"/>
    </w:p>
    <w:p w14:paraId="0C7C776B" w14:textId="27B2C116" w:rsidR="00072BEC" w:rsidRPr="00072BEC" w:rsidRDefault="00072BEC" w:rsidP="002B0D41">
      <w:pPr>
        <w:rPr>
          <w:lang w:val="en-IN"/>
        </w:rPr>
      </w:pPr>
      <w:r w:rsidRPr="00072BEC">
        <w:rPr>
          <w:lang w:val="en-IN"/>
        </w:rPr>
        <w:t xml:space="preserve">InterContinental Hotels Group (IHG) demonstrated a substantial improvement in financial performance between 2021 and 2025, although this recovery was accompanied by increasing leverage and a progressively weaker equity position. As shown in </w:t>
      </w:r>
      <w:r w:rsidR="00E91C3F">
        <w:rPr>
          <w:lang w:val="en-IN"/>
        </w:rPr>
        <w:t>Appendix A</w:t>
      </w:r>
      <w:r w:rsidRPr="00072BEC">
        <w:rPr>
          <w:lang w:val="en-IN"/>
        </w:rPr>
        <w:t xml:space="preserve">, total revenue increased from $2,907 million in 2021 to $5,189 million in 2025, representing overall growth of approximately </w:t>
      </w:r>
      <w:r w:rsidRPr="00072BEC">
        <w:rPr>
          <w:b/>
          <w:bCs/>
          <w:lang w:val="en-IN"/>
        </w:rPr>
        <w:t>78.50%</w:t>
      </w:r>
      <w:r w:rsidRPr="00072BEC">
        <w:rPr>
          <w:lang w:val="en-IN"/>
        </w:rPr>
        <w:t xml:space="preserve">, calculated as </w:t>
      </w:r>
      <w:r w:rsidRPr="00072BEC">
        <w:rPr>
          <w:b/>
          <w:bCs/>
          <w:lang w:val="en-IN"/>
        </w:rPr>
        <w:t>(($5,189m − $2,907m) ÷ $2,907m) × 100</w:t>
      </w:r>
      <w:r w:rsidRPr="00072BEC">
        <w:rPr>
          <w:lang w:val="en-IN"/>
        </w:rPr>
        <w:t xml:space="preserve">. Operating profit increased even more strongly, from $494 million to $1,198 million, an increase of approximately </w:t>
      </w:r>
      <w:r w:rsidRPr="00072BEC">
        <w:rPr>
          <w:b/>
          <w:bCs/>
          <w:lang w:val="en-IN"/>
        </w:rPr>
        <w:t>142.51%</w:t>
      </w:r>
      <w:r w:rsidRPr="00072BEC">
        <w:rPr>
          <w:lang w:val="en-IN"/>
        </w:rPr>
        <w:t xml:space="preserve">. </w:t>
      </w:r>
      <w:r w:rsidRPr="00072BEC">
        <w:rPr>
          <w:lang w:val="en-IN"/>
        </w:rPr>
        <w:lastRenderedPageBreak/>
        <w:t>Profit for the year similarly rose from $265 million in 2021 to $759 million in 2025, indicating significant improvement in the Group's earnings capacity</w:t>
      </w:r>
      <w:r w:rsidR="008A12BD">
        <w:rPr>
          <w:lang w:val="en-IN"/>
        </w:rPr>
        <w:t xml:space="preserve"> (</w:t>
      </w:r>
      <w:r w:rsidR="008A12BD">
        <w:t>IHG, 2026</w:t>
      </w:r>
      <w:r w:rsidR="008A12BD">
        <w:rPr>
          <w:lang w:val="en-IN"/>
        </w:rPr>
        <w:t>)</w:t>
      </w:r>
      <w:r w:rsidRPr="00072BEC">
        <w:rPr>
          <w:lang w:val="en-IN"/>
        </w:rPr>
        <w:t>.</w:t>
      </w:r>
    </w:p>
    <w:p w14:paraId="0C0C680C" w14:textId="078B8F13" w:rsidR="00072BEC" w:rsidRPr="00072BEC" w:rsidRDefault="00072BEC" w:rsidP="002B0D41">
      <w:pPr>
        <w:rPr>
          <w:lang w:val="en-IN"/>
        </w:rPr>
      </w:pPr>
      <w:r w:rsidRPr="00072BEC">
        <w:rPr>
          <w:lang w:val="en-IN"/>
        </w:rPr>
        <w:t xml:space="preserve">The improvement in earnings is particularly notable relative to asset growth. Total assets increased by only </w:t>
      </w:r>
      <w:r w:rsidRPr="00072BEC">
        <w:rPr>
          <w:b/>
          <w:bCs/>
          <w:lang w:val="en-IN"/>
        </w:rPr>
        <w:t>13.34%</w:t>
      </w:r>
      <w:r w:rsidRPr="00072BEC">
        <w:rPr>
          <w:lang w:val="en-IN"/>
        </w:rPr>
        <w:t xml:space="preserve"> between 2021 and 2025, from $4,716 million to $5,345 million, while revenue and operating profit grew considerably faster</w:t>
      </w:r>
      <w:r w:rsidR="0065765D">
        <w:rPr>
          <w:lang w:val="en-IN"/>
        </w:rPr>
        <w:t xml:space="preserve"> ()</w:t>
      </w:r>
      <w:r w:rsidRPr="00072BEC">
        <w:rPr>
          <w:lang w:val="en-IN"/>
        </w:rPr>
        <w:t xml:space="preserve">. This suggests stronger utilisation of the Group's asset base. </w:t>
      </w:r>
      <w:r w:rsidR="000D0B00">
        <w:rPr>
          <w:lang w:val="en-IN"/>
        </w:rPr>
        <w:t>Total</w:t>
      </w:r>
      <w:r w:rsidRPr="00072BEC">
        <w:rPr>
          <w:lang w:val="en-IN"/>
        </w:rPr>
        <w:t xml:space="preserve"> borrowings increased from $2,845 million to $4,201 million, equivalent to growth of </w:t>
      </w:r>
      <w:r w:rsidRPr="00072BEC">
        <w:rPr>
          <w:b/>
          <w:bCs/>
          <w:lang w:val="en-IN"/>
        </w:rPr>
        <w:t>47.66%</w:t>
      </w:r>
      <w:r w:rsidRPr="00072BEC">
        <w:rPr>
          <w:lang w:val="en-IN"/>
        </w:rPr>
        <w:t xml:space="preserve">. Furthermore, total equity deteriorated from </w:t>
      </w:r>
      <w:r w:rsidRPr="00072BEC">
        <w:rPr>
          <w:b/>
          <w:bCs/>
          <w:lang w:val="en-IN"/>
        </w:rPr>
        <w:t>−$1,474 million in 2021 to −$2,736 million in 2025</w:t>
      </w:r>
      <w:r w:rsidRPr="00072BEC">
        <w:rPr>
          <w:lang w:val="en-IN"/>
        </w:rPr>
        <w:t>. Therefore, IHG's financial health presents a contrasting picture: strong operational recovery and cash generation coexist with increasing financial leverage and balance-sheet vulnerability.</w:t>
      </w:r>
    </w:p>
    <w:p w14:paraId="530040B7" w14:textId="77777777" w:rsidR="00072BEC" w:rsidRPr="00072BEC" w:rsidRDefault="00072BEC" w:rsidP="002B0D41">
      <w:pPr>
        <w:pStyle w:val="Heading2"/>
        <w:rPr>
          <w:lang w:val="en-IN"/>
        </w:rPr>
      </w:pPr>
      <w:bookmarkStart w:id="3" w:name="_Toc235636767"/>
      <w:r w:rsidRPr="00072BEC">
        <w:rPr>
          <w:lang w:val="en-IN"/>
        </w:rPr>
        <w:t>2.2 Profitability Analysis</w:t>
      </w:r>
      <w:bookmarkEnd w:id="3"/>
    </w:p>
    <w:p w14:paraId="4BBF9AB3" w14:textId="2DEE1803" w:rsidR="00072BEC" w:rsidRPr="00072BEC" w:rsidRDefault="00072BEC" w:rsidP="002B0D41">
      <w:pPr>
        <w:rPr>
          <w:lang w:val="en-IN"/>
        </w:rPr>
      </w:pPr>
      <w:r w:rsidRPr="00072BEC">
        <w:rPr>
          <w:lang w:val="en-IN"/>
        </w:rPr>
        <w:t>Profitability ratios provide evidence of a substantial strengthening in IHG's ability to convert revenue and assets into profits over the five</w:t>
      </w:r>
      <w:r w:rsidR="0025707B">
        <w:rPr>
          <w:lang w:val="en-IN"/>
        </w:rPr>
        <w:t xml:space="preserve"> years</w:t>
      </w:r>
      <w:r w:rsidRPr="00072BEC">
        <w:rPr>
          <w:lang w:val="en-IN"/>
        </w:rPr>
        <w:t>.</w:t>
      </w:r>
    </w:p>
    <w:p w14:paraId="109EA64A" w14:textId="77777777" w:rsidR="00072BEC" w:rsidRPr="00072BEC" w:rsidRDefault="00072BEC" w:rsidP="002B0D41">
      <w:pPr>
        <w:rPr>
          <w:lang w:val="en-IN"/>
        </w:rPr>
      </w:pPr>
      <w:r w:rsidRPr="00072BEC">
        <w:rPr>
          <w:b/>
          <w:bCs/>
          <w:lang w:val="en-IN"/>
        </w:rPr>
        <w:t>Operating Profit Margin = Operating Profit ÷ Total Revenue × 100</w:t>
      </w:r>
    </w:p>
    <w:p w14:paraId="315E0F85" w14:textId="77777777" w:rsidR="00072BEC" w:rsidRPr="00072BEC" w:rsidRDefault="00072BEC" w:rsidP="002B0D41">
      <w:pPr>
        <w:rPr>
          <w:lang w:val="en-IN"/>
        </w:rPr>
      </w:pPr>
      <w:r w:rsidRPr="00072BEC">
        <w:rPr>
          <w:lang w:val="en-IN"/>
        </w:rPr>
        <w:t>For example, in 2025:</w:t>
      </w:r>
    </w:p>
    <w:p w14:paraId="0086225C" w14:textId="77777777" w:rsidR="00072BEC" w:rsidRPr="00072BEC" w:rsidRDefault="00072BEC" w:rsidP="002B0D41">
      <w:pPr>
        <w:rPr>
          <w:lang w:val="en-IN"/>
        </w:rPr>
      </w:pPr>
      <w:r w:rsidRPr="00072BEC">
        <w:rPr>
          <w:b/>
          <w:bCs/>
          <w:lang w:val="en-IN"/>
        </w:rPr>
        <w:t>= $1,198m ÷ $5,189m × 100 = 23.09%</w:t>
      </w:r>
    </w:p>
    <w:p w14:paraId="0F119AAA" w14:textId="2E56BA8B" w:rsidR="00542324" w:rsidRDefault="00542324" w:rsidP="002B0D41">
      <w:pPr>
        <w:rPr>
          <w:lang w:val="en-IN"/>
        </w:rPr>
      </w:pPr>
      <w:r w:rsidRPr="00542324">
        <w:rPr>
          <w:lang w:val="en-IN"/>
        </w:rPr>
        <w:t>The movement in operating profit margin reflects changes in IHG’s operating performance across the five-year period. The margin declined slightly from 16.99% in 2021 to 16.14% in 2022 because revenue increased at a faster rate than operating profit during the continuing recovery in hotel demand</w:t>
      </w:r>
      <w:r w:rsidR="005940CD">
        <w:rPr>
          <w:lang w:val="en-IN"/>
        </w:rPr>
        <w:t xml:space="preserve"> (</w:t>
      </w:r>
      <w:r w:rsidR="005940CD">
        <w:t>IHG, 2022</w:t>
      </w:r>
      <w:r w:rsidR="005940CD">
        <w:rPr>
          <w:lang w:val="en-IN"/>
        </w:rPr>
        <w:t>)</w:t>
      </w:r>
      <w:r w:rsidRPr="00542324">
        <w:rPr>
          <w:lang w:val="en-IN"/>
        </w:rPr>
        <w:t xml:space="preserve">. The margin then increased significantly to 23.05% in 2023, reflecting stronger trading performance and the substantial recovery in hotel activity, which allowed operating profit to grow faster than revenue. In 2024, the margin decreased to 21.15%, despite continued revenue growth, because operating profit did not increase proportionately; IHG reported pressure from System Fund and reimbursable activities during the year. The margin subsequently recovered to 23.09% in 2025 because operating profit increased substantially faster than revenue, indicating improved operating leverage and stronger profitability. </w:t>
      </w:r>
    </w:p>
    <w:p w14:paraId="085A78C2" w14:textId="77777777" w:rsidR="00072BEC" w:rsidRDefault="00072BEC" w:rsidP="002B0D41">
      <w:pPr>
        <w:keepNext/>
        <w:jc w:val="center"/>
      </w:pPr>
      <w:r>
        <w:rPr>
          <w:noProof/>
        </w:rPr>
        <w:lastRenderedPageBreak/>
        <w:drawing>
          <wp:inline distT="0" distB="0" distL="0" distR="0" wp14:anchorId="2FD1BF61" wp14:editId="1CA7B931">
            <wp:extent cx="4572000" cy="2743200"/>
            <wp:effectExtent l="0" t="0" r="0" b="0"/>
            <wp:docPr id="141598262" name="Chart 1">
              <a:extLst xmlns:a="http://schemas.openxmlformats.org/drawingml/2006/main">
                <a:ext uri="{FF2B5EF4-FFF2-40B4-BE49-F238E27FC236}">
                  <a16:creationId xmlns:a16="http://schemas.microsoft.com/office/drawing/2014/main" id="{5B3477B9-F87F-529B-CF8B-61FCF76E4D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EB29D79" w14:textId="10285145" w:rsidR="00072BEC" w:rsidRPr="004242CF" w:rsidRDefault="00072BEC" w:rsidP="002B0D41">
      <w:pPr>
        <w:pStyle w:val="Caption"/>
        <w:spacing w:line="360" w:lineRule="auto"/>
        <w:jc w:val="center"/>
        <w:rPr>
          <w:color w:val="000000" w:themeColor="text1"/>
          <w:sz w:val="24"/>
          <w:szCs w:val="24"/>
        </w:rPr>
      </w:pPr>
      <w:bookmarkStart w:id="4" w:name="_Ref235632303"/>
      <w:bookmarkStart w:id="5" w:name="_Toc235636794"/>
      <w:r w:rsidRPr="00072BEC">
        <w:rPr>
          <w:color w:val="000000" w:themeColor="text1"/>
          <w:sz w:val="24"/>
          <w:szCs w:val="24"/>
        </w:rPr>
        <w:t xml:space="preserve">Figure </w:t>
      </w:r>
      <w:r w:rsidRPr="00072BEC">
        <w:rPr>
          <w:color w:val="000000" w:themeColor="text1"/>
          <w:sz w:val="24"/>
          <w:szCs w:val="24"/>
        </w:rPr>
        <w:fldChar w:fldCharType="begin"/>
      </w:r>
      <w:r w:rsidRPr="00072BEC">
        <w:rPr>
          <w:color w:val="000000" w:themeColor="text1"/>
          <w:sz w:val="24"/>
          <w:szCs w:val="24"/>
        </w:rPr>
        <w:instrText xml:space="preserve"> SEQ Figure \* ARABIC </w:instrText>
      </w:r>
      <w:r w:rsidRPr="00072BEC">
        <w:rPr>
          <w:color w:val="000000" w:themeColor="text1"/>
          <w:sz w:val="24"/>
          <w:szCs w:val="24"/>
        </w:rPr>
        <w:fldChar w:fldCharType="separate"/>
      </w:r>
      <w:r w:rsidR="00D21E6D">
        <w:rPr>
          <w:noProof/>
          <w:color w:val="000000" w:themeColor="text1"/>
          <w:sz w:val="24"/>
          <w:szCs w:val="24"/>
        </w:rPr>
        <w:t>1</w:t>
      </w:r>
      <w:r w:rsidRPr="00072BEC">
        <w:rPr>
          <w:color w:val="000000" w:themeColor="text1"/>
          <w:sz w:val="24"/>
          <w:szCs w:val="24"/>
        </w:rPr>
        <w:fldChar w:fldCharType="end"/>
      </w:r>
      <w:bookmarkEnd w:id="4"/>
      <w:r w:rsidRPr="00072BEC">
        <w:rPr>
          <w:color w:val="000000" w:themeColor="text1"/>
          <w:sz w:val="24"/>
          <w:szCs w:val="24"/>
        </w:rPr>
        <w:t>: IHG Profitability Trend (2021–2025)</w:t>
      </w:r>
      <w:bookmarkEnd w:id="5"/>
    </w:p>
    <w:p w14:paraId="154FFBC5" w14:textId="77777777" w:rsidR="00072BEC" w:rsidRPr="00072BEC" w:rsidRDefault="00072BEC" w:rsidP="002B0D41">
      <w:pPr>
        <w:rPr>
          <w:lang w:val="en-IN"/>
        </w:rPr>
      </w:pPr>
      <w:r w:rsidRPr="00072BEC">
        <w:rPr>
          <w:lang w:val="en-IN"/>
        </w:rPr>
        <w:t>Net profitability followed a broadly similar pattern. The formula used is:</w:t>
      </w:r>
    </w:p>
    <w:p w14:paraId="387A775E" w14:textId="77777777" w:rsidR="00072BEC" w:rsidRPr="00072BEC" w:rsidRDefault="00072BEC" w:rsidP="002B0D41">
      <w:pPr>
        <w:rPr>
          <w:lang w:val="en-IN"/>
        </w:rPr>
      </w:pPr>
      <w:r w:rsidRPr="00072BEC">
        <w:rPr>
          <w:b/>
          <w:bCs/>
          <w:lang w:val="en-IN"/>
        </w:rPr>
        <w:t>Net Profit Margin = Profit for the Year ÷ Total Revenue × 100</w:t>
      </w:r>
    </w:p>
    <w:p w14:paraId="4D421538" w14:textId="77777777" w:rsidR="00072BEC" w:rsidRPr="00072BEC" w:rsidRDefault="00072BEC" w:rsidP="002B0D41">
      <w:pPr>
        <w:rPr>
          <w:lang w:val="en-IN"/>
        </w:rPr>
      </w:pPr>
      <w:r w:rsidRPr="00072BEC">
        <w:rPr>
          <w:lang w:val="en-IN"/>
        </w:rPr>
        <w:t>For 2025:</w:t>
      </w:r>
    </w:p>
    <w:p w14:paraId="7B34F32F" w14:textId="77777777" w:rsidR="00072BEC" w:rsidRPr="00072BEC" w:rsidRDefault="00072BEC" w:rsidP="002B0D41">
      <w:pPr>
        <w:rPr>
          <w:lang w:val="en-IN"/>
        </w:rPr>
      </w:pPr>
      <w:r w:rsidRPr="00072BEC">
        <w:rPr>
          <w:b/>
          <w:bCs/>
          <w:lang w:val="en-IN"/>
        </w:rPr>
        <w:t>= $759m ÷ $5,189m × 100 = 14.63%</w:t>
      </w:r>
    </w:p>
    <w:p w14:paraId="18438F15" w14:textId="7268D3D3" w:rsidR="00D522A9" w:rsidRPr="00072BEC" w:rsidRDefault="00D522A9" w:rsidP="002B0D41">
      <w:pPr>
        <w:rPr>
          <w:lang w:val="en-IN"/>
        </w:rPr>
      </w:pPr>
      <w:r w:rsidRPr="00D522A9">
        <w:rPr>
          <w:lang w:val="en-IN"/>
        </w:rPr>
        <w:t>Net profit margin increased from 9.12% in 2021 to 9.66% in 2022 and then increased substantially to 16.22% in 2023, reflecting the improvement in IHG’s underlying trading performance and earnings</w:t>
      </w:r>
      <w:r w:rsidR="001D06AE">
        <w:rPr>
          <w:lang w:val="en-IN"/>
        </w:rPr>
        <w:t xml:space="preserve"> (</w:t>
      </w:r>
      <w:r w:rsidR="001D06AE">
        <w:t>IHG, 2023</w:t>
      </w:r>
      <w:r w:rsidR="001D06AE">
        <w:rPr>
          <w:lang w:val="en-IN"/>
        </w:rPr>
        <w:t>)</w:t>
      </w:r>
      <w:r w:rsidRPr="00D522A9">
        <w:rPr>
          <w:lang w:val="en-IN"/>
        </w:rPr>
        <w:t>. However, the margin fell to 12.76% in 2024 because the improvement in operating performance did not translate proportionately into profit for the year, with higher financing and other costs placing pressure on bottom-line profitability. The ratio recovered to 14.63% in 2025, supported by stronger operating profit and improved overall earnings. This indicates that IHG restored part of its bottom-line profitability after the 2024 deterioration, although the 2025 margin remained below the 2023 peak.</w:t>
      </w:r>
    </w:p>
    <w:p w14:paraId="0D9EECA9" w14:textId="77777777" w:rsidR="00072BEC" w:rsidRPr="00072BEC" w:rsidRDefault="00072BEC" w:rsidP="002B0D41">
      <w:pPr>
        <w:rPr>
          <w:lang w:val="en-IN"/>
        </w:rPr>
      </w:pPr>
      <w:r w:rsidRPr="00072BEC">
        <w:rPr>
          <w:lang w:val="en-IN"/>
        </w:rPr>
        <w:t>Return on Assets (ROA) assesses how effectively the asset base generates profit:</w:t>
      </w:r>
    </w:p>
    <w:p w14:paraId="24E9D588" w14:textId="77777777" w:rsidR="00072BEC" w:rsidRPr="00072BEC" w:rsidRDefault="00072BEC" w:rsidP="002B0D41">
      <w:pPr>
        <w:rPr>
          <w:lang w:val="en-IN"/>
        </w:rPr>
      </w:pPr>
      <w:r w:rsidRPr="00072BEC">
        <w:rPr>
          <w:b/>
          <w:bCs/>
          <w:lang w:val="en-IN"/>
        </w:rPr>
        <w:t>ROA = Profit for the Year ÷ Total Assets × 100</w:t>
      </w:r>
    </w:p>
    <w:p w14:paraId="39B1767B" w14:textId="77777777" w:rsidR="00072BEC" w:rsidRPr="00072BEC" w:rsidRDefault="00072BEC" w:rsidP="002B0D41">
      <w:pPr>
        <w:rPr>
          <w:lang w:val="en-IN"/>
        </w:rPr>
      </w:pPr>
      <w:r w:rsidRPr="00072BEC">
        <w:rPr>
          <w:lang w:val="en-IN"/>
        </w:rPr>
        <w:t>For 2025:</w:t>
      </w:r>
    </w:p>
    <w:p w14:paraId="681B2FBD" w14:textId="77777777" w:rsidR="00072BEC" w:rsidRPr="00072BEC" w:rsidRDefault="00072BEC" w:rsidP="002B0D41">
      <w:pPr>
        <w:rPr>
          <w:lang w:val="en-IN"/>
        </w:rPr>
      </w:pPr>
      <w:r w:rsidRPr="00072BEC">
        <w:rPr>
          <w:b/>
          <w:bCs/>
          <w:lang w:val="en-IN"/>
        </w:rPr>
        <w:t>= $759m ÷ $5,345m × 100 = 14.20%</w:t>
      </w:r>
    </w:p>
    <w:p w14:paraId="2D85B901" w14:textId="55C89098" w:rsidR="00FF0838" w:rsidRPr="00072BEC" w:rsidRDefault="00FF0838" w:rsidP="002B0D41">
      <w:pPr>
        <w:rPr>
          <w:lang w:val="en-IN"/>
        </w:rPr>
      </w:pPr>
      <w:r w:rsidRPr="00FF0838">
        <w:rPr>
          <w:lang w:val="en-IN"/>
        </w:rPr>
        <w:lastRenderedPageBreak/>
        <w:t xml:space="preserve">ROA increased from 5.62% in 2021 to 8.92% in 2022 as profit recovered and increased relative to the asset base. The ratio rose further to 15.58% in 2023, reflecting the substantial improvement in profitability and more effective utilisation of assets. ROA subsequently declined to 13.23% in 2024, as profit weakened while the asset base remained substantial. In 2025, ROA recovered to 14.20% as profit for the year increased to $759 million. </w:t>
      </w:r>
      <w:r w:rsidR="00AC6CAA">
        <w:rPr>
          <w:lang w:val="en-IN"/>
        </w:rPr>
        <w:t>The</w:t>
      </w:r>
      <w:r w:rsidRPr="00FF0838">
        <w:rPr>
          <w:lang w:val="en-IN"/>
        </w:rPr>
        <w:t xml:space="preserve"> movement indicates that IHG became considerably more effective at generating profit from its assets compared with 2021, although the decline in 2024 highlights sensitivity to changes in profitability.</w:t>
      </w:r>
    </w:p>
    <w:p w14:paraId="32EA3529" w14:textId="77777777" w:rsidR="00072BEC" w:rsidRPr="00072BEC" w:rsidRDefault="00072BEC" w:rsidP="002B0D41">
      <w:pPr>
        <w:pStyle w:val="Heading2"/>
        <w:rPr>
          <w:lang w:val="en-IN"/>
        </w:rPr>
      </w:pPr>
      <w:bookmarkStart w:id="6" w:name="_Toc235636768"/>
      <w:r w:rsidRPr="00072BEC">
        <w:rPr>
          <w:lang w:val="en-IN"/>
        </w:rPr>
        <w:t>2.3 Liquidity and Working Capital Position</w:t>
      </w:r>
      <w:bookmarkEnd w:id="6"/>
    </w:p>
    <w:p w14:paraId="5E06268E" w14:textId="77777777" w:rsidR="00072BEC" w:rsidRPr="00072BEC" w:rsidRDefault="00072BEC" w:rsidP="002B0D41">
      <w:pPr>
        <w:rPr>
          <w:lang w:val="en-IN"/>
        </w:rPr>
      </w:pPr>
      <w:r w:rsidRPr="00072BEC">
        <w:rPr>
          <w:lang w:val="en-IN"/>
        </w:rPr>
        <w:t>IHG's liquidity position represents a more significant area of concern. The current ratio measures the ability of current assets to cover short-term liabilities:</w:t>
      </w:r>
    </w:p>
    <w:p w14:paraId="2D020C6C" w14:textId="77777777" w:rsidR="00072BEC" w:rsidRPr="00072BEC" w:rsidRDefault="00072BEC" w:rsidP="002B0D41">
      <w:pPr>
        <w:rPr>
          <w:lang w:val="en-IN"/>
        </w:rPr>
      </w:pPr>
      <w:r w:rsidRPr="00072BEC">
        <w:rPr>
          <w:b/>
          <w:bCs/>
          <w:lang w:val="en-IN"/>
        </w:rPr>
        <w:t>Current Ratio = Current Assets ÷ Current Liabilities</w:t>
      </w:r>
    </w:p>
    <w:p w14:paraId="42A36838" w14:textId="77777777" w:rsidR="00072BEC" w:rsidRPr="00072BEC" w:rsidRDefault="00072BEC" w:rsidP="002B0D41">
      <w:pPr>
        <w:rPr>
          <w:lang w:val="en-IN"/>
        </w:rPr>
      </w:pPr>
      <w:r w:rsidRPr="00072BEC">
        <w:rPr>
          <w:lang w:val="en-IN"/>
        </w:rPr>
        <w:t>For 2025:</w:t>
      </w:r>
    </w:p>
    <w:p w14:paraId="11E21625" w14:textId="77777777" w:rsidR="00072BEC" w:rsidRPr="00072BEC" w:rsidRDefault="00072BEC" w:rsidP="002B0D41">
      <w:pPr>
        <w:rPr>
          <w:lang w:val="en-IN"/>
        </w:rPr>
      </w:pPr>
      <w:r w:rsidRPr="00072BEC">
        <w:rPr>
          <w:b/>
          <w:bCs/>
          <w:lang w:val="en-IN"/>
        </w:rPr>
        <w:t>= $2,049m ÷ $2,100m = 0.98 times</w:t>
      </w:r>
    </w:p>
    <w:p w14:paraId="3941FEA3" w14:textId="5FD3464F" w:rsidR="00CD5048" w:rsidRPr="00072BEC" w:rsidRDefault="00CD5048" w:rsidP="002B0D41">
      <w:pPr>
        <w:rPr>
          <w:lang w:val="en-IN"/>
        </w:rPr>
      </w:pPr>
      <w:r>
        <w:t xml:space="preserve">The current ratio declined from </w:t>
      </w:r>
      <w:r>
        <w:rPr>
          <w:rStyle w:val="Strong"/>
        </w:rPr>
        <w:t>1.27 in 2021 to 1.09 in 2022</w:t>
      </w:r>
      <w:r>
        <w:t xml:space="preserve">, indicating that current liabilities increased relative to current assets during the period of financial recovery. It subsequently fell to </w:t>
      </w:r>
      <w:r>
        <w:rPr>
          <w:rStyle w:val="Strong"/>
        </w:rPr>
        <w:t>0.97 in 2023</w:t>
      </w:r>
      <w:r>
        <w:t>, meaning that current liabilities exceeded current assets and therefore reduced IHG’s short-term liquidity buffer (</w:t>
      </w:r>
      <w:r w:rsidRPr="00CD5048">
        <w:t>IHG, 2024</w:t>
      </w:r>
      <w:r>
        <w:t xml:space="preserve">). The ratio remained at </w:t>
      </w:r>
      <w:r>
        <w:rPr>
          <w:rStyle w:val="Strong"/>
        </w:rPr>
        <w:t>0.97 in 2024</w:t>
      </w:r>
      <w:r>
        <w:t xml:space="preserve">, reflecting continued pressure on short-term liquidity as the Group increased its financial commitments and returned more than $1 billion to shareholders through dividends and share buybacks. In </w:t>
      </w:r>
      <w:r>
        <w:rPr>
          <w:rStyle w:val="Strong"/>
        </w:rPr>
        <w:t>2025, the ratio improved marginally to 0.98</w:t>
      </w:r>
      <w:r>
        <w:t xml:space="preserve">, supported by stronger operating performance and cash generation; however, it remained below 1, indicating that current liabilities still exceeded current assets. </w:t>
      </w:r>
    </w:p>
    <w:p w14:paraId="0783357E" w14:textId="77777777" w:rsidR="00072BEC" w:rsidRPr="00072BEC" w:rsidRDefault="00072BEC" w:rsidP="002B0D41">
      <w:pPr>
        <w:rPr>
          <w:lang w:val="en-IN"/>
        </w:rPr>
      </w:pPr>
      <w:r w:rsidRPr="00072BEC">
        <w:rPr>
          <w:lang w:val="en-IN"/>
        </w:rPr>
        <w:t>The quick ratio provides a stricter liquidity assessment by excluding inventories:</w:t>
      </w:r>
    </w:p>
    <w:p w14:paraId="4FA7CDB5" w14:textId="77777777" w:rsidR="00072BEC" w:rsidRPr="00072BEC" w:rsidRDefault="00072BEC" w:rsidP="002B0D41">
      <w:pPr>
        <w:rPr>
          <w:lang w:val="en-IN"/>
        </w:rPr>
      </w:pPr>
      <w:r w:rsidRPr="00072BEC">
        <w:rPr>
          <w:b/>
          <w:bCs/>
          <w:lang w:val="en-IN"/>
        </w:rPr>
        <w:t>Quick Ratio = (Current Assets − Inventories) ÷ Current Liabilities</w:t>
      </w:r>
    </w:p>
    <w:p w14:paraId="738B75AA" w14:textId="77777777" w:rsidR="00072BEC" w:rsidRPr="00072BEC" w:rsidRDefault="00072BEC" w:rsidP="002B0D41">
      <w:pPr>
        <w:rPr>
          <w:lang w:val="en-IN"/>
        </w:rPr>
      </w:pPr>
      <w:r w:rsidRPr="00072BEC">
        <w:rPr>
          <w:lang w:val="en-IN"/>
        </w:rPr>
        <w:t>For 2025:</w:t>
      </w:r>
    </w:p>
    <w:p w14:paraId="482DDD97" w14:textId="77777777" w:rsidR="00072BEC" w:rsidRDefault="00072BEC" w:rsidP="002B0D41">
      <w:pPr>
        <w:rPr>
          <w:b/>
          <w:bCs/>
          <w:lang w:val="en-IN"/>
        </w:rPr>
      </w:pPr>
      <w:r w:rsidRPr="00072BEC">
        <w:rPr>
          <w:b/>
          <w:bCs/>
          <w:lang w:val="en-IN"/>
        </w:rPr>
        <w:t>= ($2,049m − $5m) ÷ $2,100m = 0.97 times</w:t>
      </w:r>
    </w:p>
    <w:p w14:paraId="3E9ABAE4" w14:textId="77777777" w:rsidR="00F241E6" w:rsidRDefault="00F241E6" w:rsidP="002B0D41">
      <w:pPr>
        <w:keepNext/>
        <w:jc w:val="center"/>
      </w:pPr>
      <w:r>
        <w:rPr>
          <w:noProof/>
        </w:rPr>
        <w:lastRenderedPageBreak/>
        <w:drawing>
          <wp:inline distT="0" distB="0" distL="0" distR="0" wp14:anchorId="4B6419D4" wp14:editId="7F903072">
            <wp:extent cx="4572331" cy="2790908"/>
            <wp:effectExtent l="0" t="0" r="0" b="9525"/>
            <wp:docPr id="1950170368" name="Chart 1">
              <a:extLst xmlns:a="http://schemas.openxmlformats.org/drawingml/2006/main">
                <a:ext uri="{FF2B5EF4-FFF2-40B4-BE49-F238E27FC236}">
                  <a16:creationId xmlns:a16="http://schemas.microsoft.com/office/drawing/2014/main" id="{9FD6BD1B-4623-866B-D5A3-4CC3D03FBB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34348CF" w14:textId="40397B6B" w:rsidR="00A61997" w:rsidRPr="00DF6A52" w:rsidRDefault="00F241E6" w:rsidP="002B0D41">
      <w:pPr>
        <w:pStyle w:val="Caption"/>
        <w:spacing w:line="360" w:lineRule="auto"/>
        <w:jc w:val="center"/>
        <w:rPr>
          <w:color w:val="000000" w:themeColor="text1"/>
          <w:sz w:val="24"/>
          <w:szCs w:val="24"/>
          <w:lang w:val="en-IN"/>
        </w:rPr>
      </w:pPr>
      <w:bookmarkStart w:id="7" w:name="_Toc235636795"/>
      <w:r w:rsidRPr="00DF6A52">
        <w:rPr>
          <w:color w:val="000000" w:themeColor="text1"/>
          <w:sz w:val="24"/>
          <w:szCs w:val="24"/>
        </w:rPr>
        <w:t xml:space="preserve">Figure </w:t>
      </w:r>
      <w:r w:rsidRPr="00DF6A52">
        <w:rPr>
          <w:color w:val="000000" w:themeColor="text1"/>
          <w:sz w:val="24"/>
          <w:szCs w:val="24"/>
        </w:rPr>
        <w:fldChar w:fldCharType="begin"/>
      </w:r>
      <w:r w:rsidRPr="00DF6A52">
        <w:rPr>
          <w:color w:val="000000" w:themeColor="text1"/>
          <w:sz w:val="24"/>
          <w:szCs w:val="24"/>
        </w:rPr>
        <w:instrText xml:space="preserve"> SEQ Figure \* ARABIC </w:instrText>
      </w:r>
      <w:r w:rsidRPr="00DF6A52">
        <w:rPr>
          <w:color w:val="000000" w:themeColor="text1"/>
          <w:sz w:val="24"/>
          <w:szCs w:val="24"/>
        </w:rPr>
        <w:fldChar w:fldCharType="separate"/>
      </w:r>
      <w:r w:rsidR="00D21E6D">
        <w:rPr>
          <w:noProof/>
          <w:color w:val="000000" w:themeColor="text1"/>
          <w:sz w:val="24"/>
          <w:szCs w:val="24"/>
        </w:rPr>
        <w:t>2</w:t>
      </w:r>
      <w:r w:rsidRPr="00DF6A52">
        <w:rPr>
          <w:color w:val="000000" w:themeColor="text1"/>
          <w:sz w:val="24"/>
          <w:szCs w:val="24"/>
        </w:rPr>
        <w:fldChar w:fldCharType="end"/>
      </w:r>
      <w:r w:rsidRPr="00DF6A52">
        <w:rPr>
          <w:color w:val="000000" w:themeColor="text1"/>
          <w:sz w:val="24"/>
          <w:szCs w:val="24"/>
        </w:rPr>
        <w:t>: IHG Liquidity Trend (2021–2025)</w:t>
      </w:r>
      <w:bookmarkEnd w:id="7"/>
    </w:p>
    <w:p w14:paraId="23F0F0C1" w14:textId="14854662" w:rsidR="00072BEC" w:rsidRPr="00072BEC" w:rsidRDefault="00E06908" w:rsidP="002B0D41">
      <w:pPr>
        <w:rPr>
          <w:lang w:val="en-IN"/>
        </w:rPr>
      </w:pPr>
      <w:r w:rsidRPr="00E06908">
        <w:rPr>
          <w:lang w:val="en-IN"/>
        </w:rPr>
        <w:t>The quick ratio followed a similar pattern, declining from 1.27 in 2021 to 1.08 in 2022, before falling to 0.97 in 2023 and remaining at this level in 2024 and 2025. The decline indicates that IHG’s immediately available current assets became less sufficient to cover short-term liabilities. The very small difference between the current ratio and quick ratio is consistent with IHG’s extremely low inventory balance; therefore, the deterioration in liquidity was not primarily caused by inventory levels but by the relationship between current assets and current liabilities. The stability at approximately 0.97 from 2023 onwards suggests that the underlying liquidity pressure persisted despite the Group’s stronger profitability</w:t>
      </w:r>
      <w:r w:rsidR="00072BEC" w:rsidRPr="00072BEC">
        <w:rPr>
          <w:lang w:val="en-IN"/>
        </w:rPr>
        <w:t>.</w:t>
      </w:r>
    </w:p>
    <w:p w14:paraId="6D50ECCF" w14:textId="77777777" w:rsidR="00072BEC" w:rsidRPr="00072BEC" w:rsidRDefault="00072BEC" w:rsidP="002B0D41">
      <w:pPr>
        <w:rPr>
          <w:lang w:val="en-IN"/>
        </w:rPr>
      </w:pPr>
      <w:r w:rsidRPr="00072BEC">
        <w:rPr>
          <w:lang w:val="en-IN"/>
        </w:rPr>
        <w:t>This deterioration is further demonstrated by net working capital:</w:t>
      </w:r>
    </w:p>
    <w:p w14:paraId="5499B317" w14:textId="77777777" w:rsidR="00072BEC" w:rsidRPr="00072BEC" w:rsidRDefault="00072BEC" w:rsidP="002B0D41">
      <w:pPr>
        <w:rPr>
          <w:lang w:val="en-IN"/>
        </w:rPr>
      </w:pPr>
      <w:r w:rsidRPr="00072BEC">
        <w:rPr>
          <w:b/>
          <w:bCs/>
          <w:lang w:val="en-IN"/>
        </w:rPr>
        <w:t>Net Working Capital = Current Assets − Current Liabilities</w:t>
      </w:r>
    </w:p>
    <w:p w14:paraId="277856CB" w14:textId="77777777" w:rsidR="00072BEC" w:rsidRPr="00072BEC" w:rsidRDefault="00072BEC" w:rsidP="002B0D41">
      <w:pPr>
        <w:rPr>
          <w:lang w:val="en-IN"/>
        </w:rPr>
      </w:pPr>
      <w:r w:rsidRPr="00072BEC">
        <w:rPr>
          <w:lang w:val="en-IN"/>
        </w:rPr>
        <w:t>For 2025:</w:t>
      </w:r>
    </w:p>
    <w:p w14:paraId="4EA670A1" w14:textId="77777777" w:rsidR="00072BEC" w:rsidRPr="00072BEC" w:rsidRDefault="00072BEC" w:rsidP="002B0D41">
      <w:pPr>
        <w:rPr>
          <w:lang w:val="en-IN"/>
        </w:rPr>
      </w:pPr>
      <w:r w:rsidRPr="00072BEC">
        <w:rPr>
          <w:b/>
          <w:bCs/>
          <w:lang w:val="en-IN"/>
        </w:rPr>
        <w:t>= $2,049m − $2,100m = −$51m</w:t>
      </w:r>
    </w:p>
    <w:p w14:paraId="250AF550" w14:textId="4E276E8E" w:rsidR="00072BEC" w:rsidRPr="00072BEC" w:rsidRDefault="00072BEC" w:rsidP="002B0D41">
      <w:pPr>
        <w:rPr>
          <w:lang w:val="en-IN"/>
        </w:rPr>
      </w:pPr>
      <w:r w:rsidRPr="00072BEC">
        <w:rPr>
          <w:lang w:val="en-IN"/>
        </w:rPr>
        <w:t xml:space="preserve">Net working capital declined from </w:t>
      </w:r>
      <w:r w:rsidRPr="00072BEC">
        <w:rPr>
          <w:b/>
          <w:bCs/>
          <w:lang w:val="en-IN"/>
        </w:rPr>
        <w:t>+$442 million in 2021 to +$134 million in 2022</w:t>
      </w:r>
      <w:r w:rsidRPr="00072BEC">
        <w:rPr>
          <w:lang w:val="en-IN"/>
        </w:rPr>
        <w:t xml:space="preserve">, before becoming negative at </w:t>
      </w:r>
      <w:r w:rsidRPr="00072BEC">
        <w:rPr>
          <w:b/>
          <w:bCs/>
          <w:lang w:val="en-IN"/>
        </w:rPr>
        <w:t>−$61 million in 2023, −$59 million in 2024 and −$51 million in 2025</w:t>
      </w:r>
      <w:r w:rsidR="005F33CF">
        <w:rPr>
          <w:b/>
          <w:bCs/>
          <w:lang w:val="en-IN"/>
        </w:rPr>
        <w:t xml:space="preserve"> </w:t>
      </w:r>
      <w:r w:rsidR="005F33CF" w:rsidRPr="005F33CF">
        <w:rPr>
          <w:bCs/>
          <w:lang w:val="en-IN"/>
        </w:rPr>
        <w:t>(</w:t>
      </w:r>
      <w:r w:rsidR="005F33CF">
        <w:t>IHG, 2026</w:t>
      </w:r>
      <w:r w:rsidR="005F33CF" w:rsidRPr="005F33CF">
        <w:rPr>
          <w:bCs/>
          <w:lang w:val="en-IN"/>
        </w:rPr>
        <w:t>)</w:t>
      </w:r>
      <w:r w:rsidRPr="00072BEC">
        <w:rPr>
          <w:lang w:val="en-IN"/>
        </w:rPr>
        <w:t xml:space="preserve">. Although the slight improvement since 2023 is positive, sustained negative working capital creates short-term financial exposure. However, for a cash-generative, asset-light hospitality group, this position should be interpreted </w:t>
      </w:r>
      <w:r w:rsidRPr="00072BEC">
        <w:rPr>
          <w:lang w:val="en-IN"/>
        </w:rPr>
        <w:lastRenderedPageBreak/>
        <w:t>alongside operating cash flows rather than viewed in isolation. Nevertheless, the trend reinforces the need for disciplined liquidity management and cash-flow forecasting.</w:t>
      </w:r>
    </w:p>
    <w:p w14:paraId="3071BA3B" w14:textId="77777777" w:rsidR="00072BEC" w:rsidRPr="00072BEC" w:rsidRDefault="00072BEC" w:rsidP="002B0D41">
      <w:pPr>
        <w:pStyle w:val="Heading2"/>
        <w:rPr>
          <w:lang w:val="en-IN"/>
        </w:rPr>
      </w:pPr>
      <w:bookmarkStart w:id="8" w:name="_Toc235636769"/>
      <w:r w:rsidRPr="00072BEC">
        <w:rPr>
          <w:lang w:val="en-IN"/>
        </w:rPr>
        <w:t>2.4 Efficiency Analysis</w:t>
      </w:r>
      <w:bookmarkEnd w:id="8"/>
    </w:p>
    <w:p w14:paraId="16023DCE" w14:textId="77777777" w:rsidR="00072BEC" w:rsidRPr="00072BEC" w:rsidRDefault="00072BEC" w:rsidP="002B0D41">
      <w:pPr>
        <w:rPr>
          <w:lang w:val="en-IN"/>
        </w:rPr>
      </w:pPr>
      <w:r w:rsidRPr="00072BEC">
        <w:rPr>
          <w:lang w:val="en-IN"/>
        </w:rPr>
        <w:t>IHG's efficiency improved substantially over most of the period, as measured through the asset turnover ratio:</w:t>
      </w:r>
    </w:p>
    <w:p w14:paraId="6F09CF8A" w14:textId="77777777" w:rsidR="00072BEC" w:rsidRPr="00072BEC" w:rsidRDefault="00072BEC" w:rsidP="002B0D41">
      <w:pPr>
        <w:rPr>
          <w:lang w:val="en-IN"/>
        </w:rPr>
      </w:pPr>
      <w:r w:rsidRPr="00072BEC">
        <w:rPr>
          <w:b/>
          <w:bCs/>
          <w:lang w:val="en-IN"/>
        </w:rPr>
        <w:t>Asset Turnover Ratio = Total Revenue ÷ Total Assets</w:t>
      </w:r>
    </w:p>
    <w:p w14:paraId="666BDAD0" w14:textId="77777777" w:rsidR="00072BEC" w:rsidRPr="00072BEC" w:rsidRDefault="00072BEC" w:rsidP="002B0D41">
      <w:pPr>
        <w:rPr>
          <w:lang w:val="en-IN"/>
        </w:rPr>
      </w:pPr>
      <w:r w:rsidRPr="00072BEC">
        <w:rPr>
          <w:lang w:val="en-IN"/>
        </w:rPr>
        <w:t>For 2025:</w:t>
      </w:r>
    </w:p>
    <w:p w14:paraId="52B65D2A" w14:textId="77777777" w:rsidR="00072BEC" w:rsidRDefault="00072BEC" w:rsidP="002B0D41">
      <w:pPr>
        <w:rPr>
          <w:b/>
          <w:bCs/>
          <w:lang w:val="en-IN"/>
        </w:rPr>
      </w:pPr>
      <w:r w:rsidRPr="00072BEC">
        <w:rPr>
          <w:b/>
          <w:bCs/>
          <w:lang w:val="en-IN"/>
        </w:rPr>
        <w:t>= $5,189m ÷ $5,345m = 0.97 times</w:t>
      </w:r>
    </w:p>
    <w:p w14:paraId="64142181" w14:textId="77777777" w:rsidR="00C87789" w:rsidRPr="00C87789" w:rsidRDefault="00C87789" w:rsidP="002B0D41">
      <w:pPr>
        <w:keepNext/>
        <w:jc w:val="center"/>
        <w:rPr>
          <w:color w:val="000000" w:themeColor="text1"/>
          <w:szCs w:val="24"/>
        </w:rPr>
      </w:pPr>
      <w:r w:rsidRPr="00C87789">
        <w:rPr>
          <w:noProof/>
          <w:color w:val="000000" w:themeColor="text1"/>
          <w:szCs w:val="24"/>
          <w:lang w:val="en-IN"/>
        </w:rPr>
        <w:drawing>
          <wp:inline distT="0" distB="0" distL="0" distR="0" wp14:anchorId="6C99B9BE" wp14:editId="4486CD0D">
            <wp:extent cx="4584700" cy="2755900"/>
            <wp:effectExtent l="0" t="0" r="6350" b="6350"/>
            <wp:docPr id="153741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BB30D95" w14:textId="4ECE6E2C" w:rsidR="00C87789" w:rsidRPr="00C87789" w:rsidRDefault="00C87789" w:rsidP="002B0D41">
      <w:pPr>
        <w:pStyle w:val="Caption"/>
        <w:spacing w:line="360" w:lineRule="auto"/>
        <w:jc w:val="center"/>
        <w:rPr>
          <w:color w:val="000000" w:themeColor="text1"/>
          <w:sz w:val="24"/>
          <w:szCs w:val="24"/>
        </w:rPr>
      </w:pPr>
      <w:bookmarkStart w:id="9" w:name="_Toc235636796"/>
      <w:r w:rsidRPr="00C87789">
        <w:rPr>
          <w:color w:val="000000" w:themeColor="text1"/>
          <w:sz w:val="24"/>
          <w:szCs w:val="24"/>
        </w:rPr>
        <w:t xml:space="preserve">Figure </w:t>
      </w:r>
      <w:r w:rsidRPr="00C87789">
        <w:rPr>
          <w:color w:val="000000" w:themeColor="text1"/>
          <w:sz w:val="24"/>
          <w:szCs w:val="24"/>
        </w:rPr>
        <w:fldChar w:fldCharType="begin"/>
      </w:r>
      <w:r w:rsidRPr="00C87789">
        <w:rPr>
          <w:color w:val="000000" w:themeColor="text1"/>
          <w:sz w:val="24"/>
          <w:szCs w:val="24"/>
        </w:rPr>
        <w:instrText xml:space="preserve"> SEQ Figure \* ARABIC </w:instrText>
      </w:r>
      <w:r w:rsidRPr="00C87789">
        <w:rPr>
          <w:color w:val="000000" w:themeColor="text1"/>
          <w:sz w:val="24"/>
          <w:szCs w:val="24"/>
        </w:rPr>
        <w:fldChar w:fldCharType="separate"/>
      </w:r>
      <w:r w:rsidR="00D21E6D">
        <w:rPr>
          <w:noProof/>
          <w:color w:val="000000" w:themeColor="text1"/>
          <w:sz w:val="24"/>
          <w:szCs w:val="24"/>
        </w:rPr>
        <w:t>3</w:t>
      </w:r>
      <w:r w:rsidRPr="00C87789">
        <w:rPr>
          <w:color w:val="000000" w:themeColor="text1"/>
          <w:sz w:val="24"/>
          <w:szCs w:val="24"/>
        </w:rPr>
        <w:fldChar w:fldCharType="end"/>
      </w:r>
      <w:r w:rsidRPr="00C87789">
        <w:rPr>
          <w:color w:val="000000" w:themeColor="text1"/>
          <w:sz w:val="24"/>
          <w:szCs w:val="24"/>
        </w:rPr>
        <w:t>: IHG Efficiency Trend (2021–2025)</w:t>
      </w:r>
      <w:bookmarkEnd w:id="9"/>
    </w:p>
    <w:p w14:paraId="4B27AECE" w14:textId="6671B330" w:rsidR="00072BEC" w:rsidRPr="00072BEC" w:rsidRDefault="00072BEC" w:rsidP="002B0D41">
      <w:pPr>
        <w:rPr>
          <w:lang w:val="en-IN"/>
        </w:rPr>
      </w:pPr>
      <w:r w:rsidRPr="00072BEC">
        <w:rPr>
          <w:lang w:val="en-IN"/>
        </w:rPr>
        <w:t xml:space="preserve">The ratio increased from </w:t>
      </w:r>
      <w:r w:rsidRPr="00072BEC">
        <w:rPr>
          <w:b/>
          <w:bCs/>
          <w:lang w:val="en-IN"/>
        </w:rPr>
        <w:t>0.62 times in 2021 to 0.92 in 2022, 0.96 in 2023 and 1.04 in 2024</w:t>
      </w:r>
      <w:r w:rsidRPr="00072BEC">
        <w:rPr>
          <w:lang w:val="en-IN"/>
        </w:rPr>
        <w:t xml:space="preserve">, demonstrating increasingly effective utilisation of IHG's asset base to generate revenue. The 2024 ratio indicates that each dollar invested in assets supported approximately $1.04 of revenue. However, asset turnover decreased to </w:t>
      </w:r>
      <w:r w:rsidRPr="00072BEC">
        <w:rPr>
          <w:b/>
          <w:bCs/>
          <w:lang w:val="en-IN"/>
        </w:rPr>
        <w:t>0.97 in 2025</w:t>
      </w:r>
      <w:r w:rsidR="00B27B47">
        <w:rPr>
          <w:b/>
          <w:bCs/>
          <w:lang w:val="en-IN"/>
        </w:rPr>
        <w:t xml:space="preserve"> </w:t>
      </w:r>
      <w:r w:rsidR="00B27B47" w:rsidRPr="00B27B47">
        <w:rPr>
          <w:bCs/>
          <w:lang w:val="en-IN"/>
        </w:rPr>
        <w:t>(</w:t>
      </w:r>
      <w:r w:rsidR="00B27B47">
        <w:t>IHG, 2025</w:t>
      </w:r>
      <w:r w:rsidR="00B27B47" w:rsidRPr="00B27B47">
        <w:rPr>
          <w:bCs/>
          <w:lang w:val="en-IN"/>
        </w:rPr>
        <w:t>)</w:t>
      </w:r>
      <w:r w:rsidRPr="00072BEC">
        <w:rPr>
          <w:lang w:val="en-IN"/>
        </w:rPr>
        <w:t>. This occurred as total assets increased from $4,748 million to $5,345 million, a faster proportional increase than revenue growth from $4,923 million to $5,189 million. While this moderation warrants monitoring, the 2025 ratio remains considerably stronger than the 0.62 recorded in 2021. Overall, the trend supports the view that IHG's operational recovery has enhanced asset productivity, although future asset growth must continue to generate proportionate revenue returns.</w:t>
      </w:r>
    </w:p>
    <w:p w14:paraId="4C69FCC3" w14:textId="77777777" w:rsidR="00072BEC" w:rsidRPr="00072BEC" w:rsidRDefault="00072BEC" w:rsidP="002B0D41">
      <w:pPr>
        <w:pStyle w:val="Heading2"/>
        <w:rPr>
          <w:lang w:val="en-IN"/>
        </w:rPr>
      </w:pPr>
      <w:bookmarkStart w:id="10" w:name="_Toc235636770"/>
      <w:r w:rsidRPr="00072BEC">
        <w:rPr>
          <w:lang w:val="en-IN"/>
        </w:rPr>
        <w:lastRenderedPageBreak/>
        <w:t>2.5 Gearing and Financial Risk</w:t>
      </w:r>
      <w:bookmarkEnd w:id="10"/>
    </w:p>
    <w:p w14:paraId="19129C35" w14:textId="77777777" w:rsidR="00072BEC" w:rsidRPr="00072BEC" w:rsidRDefault="00072BEC" w:rsidP="002B0D41">
      <w:pPr>
        <w:rPr>
          <w:lang w:val="en-IN"/>
        </w:rPr>
      </w:pPr>
      <w:r w:rsidRPr="00072BEC">
        <w:rPr>
          <w:lang w:val="en-IN"/>
        </w:rPr>
        <w:t>Despite stronger profitability, IHG's capital structure indicates increasing financial risk. Using total borrowings relative to total assets:</w:t>
      </w:r>
    </w:p>
    <w:p w14:paraId="79FF6F26" w14:textId="77777777" w:rsidR="00072BEC" w:rsidRPr="00072BEC" w:rsidRDefault="00072BEC" w:rsidP="002B0D41">
      <w:pPr>
        <w:rPr>
          <w:lang w:val="en-IN"/>
        </w:rPr>
      </w:pPr>
      <w:r w:rsidRPr="00072BEC">
        <w:rPr>
          <w:b/>
          <w:bCs/>
          <w:lang w:val="en-IN"/>
        </w:rPr>
        <w:t>Debt Ratio = Total Borrowings ÷ Total Assets × 100</w:t>
      </w:r>
    </w:p>
    <w:p w14:paraId="5757F319" w14:textId="77777777" w:rsidR="00072BEC" w:rsidRPr="00072BEC" w:rsidRDefault="00072BEC" w:rsidP="002B0D41">
      <w:pPr>
        <w:rPr>
          <w:lang w:val="en-IN"/>
        </w:rPr>
      </w:pPr>
      <w:r w:rsidRPr="00072BEC">
        <w:rPr>
          <w:lang w:val="en-IN"/>
        </w:rPr>
        <w:t>For 2025:</w:t>
      </w:r>
    </w:p>
    <w:p w14:paraId="6415EE4E" w14:textId="77777777" w:rsidR="00072BEC" w:rsidRPr="00072BEC" w:rsidRDefault="00072BEC" w:rsidP="002B0D41">
      <w:pPr>
        <w:rPr>
          <w:lang w:val="en-IN"/>
        </w:rPr>
      </w:pPr>
      <w:r w:rsidRPr="00072BEC">
        <w:rPr>
          <w:b/>
          <w:bCs/>
          <w:lang w:val="en-IN"/>
        </w:rPr>
        <w:t>= $4,201m ÷ $5,345m × 100 = 78.60%</w:t>
      </w:r>
    </w:p>
    <w:p w14:paraId="5B2DC73F" w14:textId="77777777" w:rsidR="00B60C51" w:rsidRPr="00B60C51" w:rsidRDefault="00B60C51" w:rsidP="002B0D41">
      <w:pPr>
        <w:keepNext/>
        <w:jc w:val="center"/>
        <w:rPr>
          <w:color w:val="000000" w:themeColor="text1"/>
          <w:szCs w:val="24"/>
        </w:rPr>
      </w:pPr>
      <w:r w:rsidRPr="00B60C51">
        <w:rPr>
          <w:noProof/>
          <w:color w:val="000000" w:themeColor="text1"/>
          <w:szCs w:val="24"/>
          <w:lang w:val="en-IN"/>
        </w:rPr>
        <w:drawing>
          <wp:inline distT="0" distB="0" distL="0" distR="0" wp14:anchorId="45B84322" wp14:editId="6AC2BEA0">
            <wp:extent cx="4584700" cy="2755900"/>
            <wp:effectExtent l="0" t="0" r="6350" b="6350"/>
            <wp:docPr id="3504990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436BCAA" w14:textId="504C78BB" w:rsidR="00B60C51" w:rsidRPr="00B60C51" w:rsidRDefault="00B60C51" w:rsidP="002B0D41">
      <w:pPr>
        <w:pStyle w:val="Caption"/>
        <w:spacing w:line="360" w:lineRule="auto"/>
        <w:jc w:val="center"/>
        <w:rPr>
          <w:color w:val="000000" w:themeColor="text1"/>
          <w:sz w:val="24"/>
          <w:szCs w:val="24"/>
          <w:lang w:val="en-IN"/>
        </w:rPr>
      </w:pPr>
      <w:bookmarkStart w:id="11" w:name="_Toc235636797"/>
      <w:r w:rsidRPr="00B60C51">
        <w:rPr>
          <w:color w:val="000000" w:themeColor="text1"/>
          <w:sz w:val="24"/>
          <w:szCs w:val="24"/>
        </w:rPr>
        <w:t xml:space="preserve">Figure </w:t>
      </w:r>
      <w:r w:rsidRPr="00B60C51">
        <w:rPr>
          <w:color w:val="000000" w:themeColor="text1"/>
          <w:sz w:val="24"/>
          <w:szCs w:val="24"/>
        </w:rPr>
        <w:fldChar w:fldCharType="begin"/>
      </w:r>
      <w:r w:rsidRPr="00B60C51">
        <w:rPr>
          <w:color w:val="000000" w:themeColor="text1"/>
          <w:sz w:val="24"/>
          <w:szCs w:val="24"/>
        </w:rPr>
        <w:instrText xml:space="preserve"> SEQ Figure \* ARABIC </w:instrText>
      </w:r>
      <w:r w:rsidRPr="00B60C51">
        <w:rPr>
          <w:color w:val="000000" w:themeColor="text1"/>
          <w:sz w:val="24"/>
          <w:szCs w:val="24"/>
        </w:rPr>
        <w:fldChar w:fldCharType="separate"/>
      </w:r>
      <w:r w:rsidR="00D21E6D">
        <w:rPr>
          <w:noProof/>
          <w:color w:val="000000" w:themeColor="text1"/>
          <w:sz w:val="24"/>
          <w:szCs w:val="24"/>
        </w:rPr>
        <w:t>4</w:t>
      </w:r>
      <w:r w:rsidRPr="00B60C51">
        <w:rPr>
          <w:color w:val="000000" w:themeColor="text1"/>
          <w:sz w:val="24"/>
          <w:szCs w:val="24"/>
        </w:rPr>
        <w:fldChar w:fldCharType="end"/>
      </w:r>
      <w:r w:rsidRPr="00B60C51">
        <w:rPr>
          <w:color w:val="000000" w:themeColor="text1"/>
          <w:sz w:val="24"/>
          <w:szCs w:val="24"/>
        </w:rPr>
        <w:t>: IHG Debt Ratio Trend (2021–2025)</w:t>
      </w:r>
      <w:bookmarkEnd w:id="11"/>
    </w:p>
    <w:p w14:paraId="7336042D" w14:textId="77777777" w:rsidR="00072BEC" w:rsidRPr="00072BEC" w:rsidRDefault="00072BEC" w:rsidP="002B0D41">
      <w:pPr>
        <w:rPr>
          <w:lang w:val="en-IN"/>
        </w:rPr>
      </w:pPr>
      <w:r w:rsidRPr="00072BEC">
        <w:rPr>
          <w:lang w:val="en-IN"/>
        </w:rPr>
        <w:t xml:space="preserve">The debt ratio decreased initially from </w:t>
      </w:r>
      <w:r w:rsidRPr="00072BEC">
        <w:rPr>
          <w:b/>
          <w:bCs/>
          <w:lang w:val="en-IN"/>
        </w:rPr>
        <w:t>60.33% in 2021 to 56.83% in 2022</w:t>
      </w:r>
      <w:r w:rsidRPr="00072BEC">
        <w:rPr>
          <w:lang w:val="en-IN"/>
        </w:rPr>
        <w:t xml:space="preserve">, but subsequently increased sharply to </w:t>
      </w:r>
      <w:r w:rsidRPr="00072BEC">
        <w:rPr>
          <w:b/>
          <w:bCs/>
          <w:lang w:val="en-IN"/>
        </w:rPr>
        <w:t>65.78% in 2023, 68.96% in 2024 and 78.60% in 2025</w:t>
      </w:r>
      <w:r w:rsidRPr="00072BEC">
        <w:rPr>
          <w:lang w:val="en-IN"/>
        </w:rPr>
        <w:t>. This deterioration reflects substantial growth in borrowings. Total borrowing increased from $2,396 million in 2022 to $4,201 million in 2025.</w:t>
      </w:r>
    </w:p>
    <w:p w14:paraId="7A4B2223" w14:textId="77777777" w:rsidR="00072BEC" w:rsidRPr="00072BEC" w:rsidRDefault="00072BEC" w:rsidP="002B0D41">
      <w:pPr>
        <w:rPr>
          <w:lang w:val="en-IN"/>
        </w:rPr>
      </w:pPr>
      <w:r w:rsidRPr="00072BEC">
        <w:rPr>
          <w:lang w:val="en-IN"/>
        </w:rPr>
        <w:t xml:space="preserve">The trend is particularly significant when considered alongside IHG's negative equity. Total equity deteriorated from </w:t>
      </w:r>
      <w:r w:rsidRPr="00072BEC">
        <w:rPr>
          <w:b/>
          <w:bCs/>
          <w:lang w:val="en-IN"/>
        </w:rPr>
        <w:t>−$1,474 million in 2021 to −$2,736 million in 2025</w:t>
      </w:r>
      <w:r w:rsidRPr="00072BEC">
        <w:rPr>
          <w:lang w:val="en-IN"/>
        </w:rPr>
        <w:t>. As a result, a conventional positive debt-to-equity interpretation is inappropriate because the denominator is negative. Instead, the combination of negative equity and rising borrowings highlights potential balance-sheet risk.</w:t>
      </w:r>
    </w:p>
    <w:p w14:paraId="0127C09B" w14:textId="516DAEF3" w:rsidR="00072BEC" w:rsidRPr="00072BEC" w:rsidRDefault="00072BEC" w:rsidP="002B0D41">
      <w:pPr>
        <w:rPr>
          <w:lang w:val="en-IN"/>
        </w:rPr>
      </w:pPr>
      <w:r w:rsidRPr="00072BEC">
        <w:rPr>
          <w:lang w:val="en-IN"/>
        </w:rPr>
        <w:t xml:space="preserve">Higher leverage can enhance shareholder returns when operating returns exceed financing costs; however, it also increases exposure to interest-rate movements, refinancing conditions and economic downturns. Financial expenses increased from </w:t>
      </w:r>
      <w:r w:rsidRPr="00072BEC">
        <w:rPr>
          <w:b/>
          <w:bCs/>
          <w:lang w:val="en-IN"/>
        </w:rPr>
        <w:t>$147 million in 2021 to $202 million in 2025</w:t>
      </w:r>
      <w:r w:rsidRPr="00072BEC">
        <w:rPr>
          <w:lang w:val="en-IN"/>
        </w:rPr>
        <w:t>, reinforcing the potential cost of a debt-</w:t>
      </w:r>
      <w:r w:rsidRPr="00072BEC">
        <w:rPr>
          <w:lang w:val="en-IN"/>
        </w:rPr>
        <w:lastRenderedPageBreak/>
        <w:t>heavy capital structure</w:t>
      </w:r>
      <w:r w:rsidR="00E14D6F">
        <w:rPr>
          <w:lang w:val="en-IN"/>
        </w:rPr>
        <w:t xml:space="preserve"> (</w:t>
      </w:r>
      <w:r w:rsidR="00E14D6F">
        <w:t>IHG, 2026</w:t>
      </w:r>
      <w:r w:rsidR="00E14D6F">
        <w:rPr>
          <w:lang w:val="en-IN"/>
        </w:rPr>
        <w:t>)</w:t>
      </w:r>
      <w:r w:rsidRPr="00072BEC">
        <w:rPr>
          <w:lang w:val="en-IN"/>
        </w:rPr>
        <w:t>. Consequently, while IHG's profitability provides some capacity to service financing obligations, the rapid rise in leverage may reduce future borrowing flexibility. Management should therefore balance shareholder distributions and investment requirements against the strategic objective of strengthening the balance sheet.</w:t>
      </w:r>
    </w:p>
    <w:p w14:paraId="6D14A3D1" w14:textId="77777777" w:rsidR="00072BEC" w:rsidRPr="00072BEC" w:rsidRDefault="00072BEC" w:rsidP="002B0D41">
      <w:pPr>
        <w:pStyle w:val="Heading2"/>
        <w:rPr>
          <w:lang w:val="en-IN"/>
        </w:rPr>
      </w:pPr>
      <w:bookmarkStart w:id="12" w:name="_Toc235636771"/>
      <w:r w:rsidRPr="00072BEC">
        <w:rPr>
          <w:lang w:val="en-IN"/>
        </w:rPr>
        <w:t>2.6 Cash Flow Analysis and Overall Financial Health</w:t>
      </w:r>
      <w:bookmarkEnd w:id="12"/>
    </w:p>
    <w:p w14:paraId="4BDD7AE4" w14:textId="21DBD308" w:rsidR="00072BEC" w:rsidRPr="00072BEC" w:rsidRDefault="00072BEC" w:rsidP="002B0D41">
      <w:pPr>
        <w:rPr>
          <w:lang w:val="en-IN"/>
        </w:rPr>
      </w:pPr>
      <w:r w:rsidRPr="00072BEC">
        <w:rPr>
          <w:lang w:val="en-IN"/>
        </w:rPr>
        <w:t xml:space="preserve">IHG's cash flow performance provides an important counterbalance to the concerns </w:t>
      </w:r>
      <w:r w:rsidRPr="008A2FB1">
        <w:rPr>
          <w:lang w:val="en-IN"/>
        </w:rPr>
        <w:t>identified in liquidity and gearing. Net cash generated from operating activities increased from $636 million in 2021 to $646 million in 2022 and $893 million in 2023. Although it declined to $724 million in 2024, it recovered strongly to $898 million in 2025</w:t>
      </w:r>
      <w:r w:rsidR="00967C5E" w:rsidRPr="008A2FB1">
        <w:rPr>
          <w:lang w:val="en-IN"/>
        </w:rPr>
        <w:t xml:space="preserve"> (</w:t>
      </w:r>
      <w:r w:rsidR="00967C5E" w:rsidRPr="008A2FB1">
        <w:t>IHG, 2022</w:t>
      </w:r>
      <w:r w:rsidR="00967C5E" w:rsidRPr="008A2FB1">
        <w:rPr>
          <w:lang w:val="en-IN"/>
        </w:rPr>
        <w:t>)</w:t>
      </w:r>
      <w:r w:rsidRPr="008A2FB1">
        <w:rPr>
          <w:lang w:val="en-IN"/>
        </w:rPr>
        <w:t>.</w:t>
      </w:r>
    </w:p>
    <w:p w14:paraId="0AC06CD9" w14:textId="77777777" w:rsidR="00072BEC" w:rsidRPr="00072BEC" w:rsidRDefault="00072BEC" w:rsidP="002B0D41">
      <w:pPr>
        <w:rPr>
          <w:lang w:val="en-IN"/>
        </w:rPr>
      </w:pPr>
      <w:r w:rsidRPr="00072BEC">
        <w:rPr>
          <w:b/>
          <w:bCs/>
          <w:lang w:val="en-IN"/>
        </w:rPr>
        <w:t>Operating Cash Flow Growth (2021–2025)</w:t>
      </w:r>
      <w:r w:rsidRPr="00072BEC">
        <w:rPr>
          <w:lang w:val="en-IN"/>
        </w:rPr>
        <w:t xml:space="preserve"> can be calculated as:</w:t>
      </w:r>
    </w:p>
    <w:p w14:paraId="131C8984" w14:textId="77777777" w:rsidR="00072BEC" w:rsidRPr="00072BEC" w:rsidRDefault="00072BEC" w:rsidP="002B0D41">
      <w:pPr>
        <w:rPr>
          <w:lang w:val="en-IN"/>
        </w:rPr>
      </w:pPr>
      <w:r w:rsidRPr="00072BEC">
        <w:rPr>
          <w:b/>
          <w:bCs/>
          <w:lang w:val="en-IN"/>
        </w:rPr>
        <w:t>= ($898m − $636m) ÷ $636m × 100 = 41.19%</w:t>
      </w:r>
    </w:p>
    <w:p w14:paraId="48D447C6" w14:textId="77777777" w:rsidR="00072BEC" w:rsidRPr="00072BEC" w:rsidRDefault="00072BEC" w:rsidP="002B0D41">
      <w:pPr>
        <w:rPr>
          <w:lang w:val="en-IN"/>
        </w:rPr>
      </w:pPr>
      <w:r w:rsidRPr="00072BEC">
        <w:rPr>
          <w:lang w:val="en-IN"/>
        </w:rPr>
        <w:t xml:space="preserve">Adjusted free cash flow demonstrated a similarly positive long-term trend, rising from </w:t>
      </w:r>
      <w:r w:rsidRPr="00072BEC">
        <w:rPr>
          <w:b/>
          <w:bCs/>
          <w:lang w:val="en-IN"/>
        </w:rPr>
        <w:t>$589 million in 2021 to $893 million in 2025</w:t>
      </w:r>
      <w:r w:rsidRPr="00072BEC">
        <w:rPr>
          <w:lang w:val="en-IN"/>
        </w:rPr>
        <w:t xml:space="preserve">, representing approximately </w:t>
      </w:r>
      <w:r w:rsidRPr="00072BEC">
        <w:rPr>
          <w:b/>
          <w:bCs/>
          <w:lang w:val="en-IN"/>
        </w:rPr>
        <w:t>51.61% growth</w:t>
      </w:r>
      <w:r w:rsidRPr="00072BEC">
        <w:rPr>
          <w:lang w:val="en-IN"/>
        </w:rPr>
        <w:t>:</w:t>
      </w:r>
    </w:p>
    <w:p w14:paraId="12D240F6" w14:textId="77777777" w:rsidR="00072BEC" w:rsidRDefault="00072BEC" w:rsidP="002B0D41">
      <w:pPr>
        <w:rPr>
          <w:b/>
          <w:bCs/>
          <w:lang w:val="en-IN"/>
        </w:rPr>
      </w:pPr>
      <w:r w:rsidRPr="00072BEC">
        <w:rPr>
          <w:b/>
          <w:bCs/>
          <w:lang w:val="en-IN"/>
        </w:rPr>
        <w:t>= ($893m − $589m) ÷ $589m × 100 = 51.61%</w:t>
      </w:r>
    </w:p>
    <w:p w14:paraId="1C35EF51" w14:textId="77777777" w:rsidR="00D527AC" w:rsidRPr="00D527AC" w:rsidRDefault="00D527AC" w:rsidP="002B0D41">
      <w:pPr>
        <w:keepNext/>
        <w:jc w:val="center"/>
        <w:rPr>
          <w:color w:val="000000" w:themeColor="text1"/>
          <w:szCs w:val="24"/>
        </w:rPr>
      </w:pPr>
      <w:r w:rsidRPr="00D527AC">
        <w:rPr>
          <w:noProof/>
          <w:color w:val="000000" w:themeColor="text1"/>
          <w:szCs w:val="24"/>
        </w:rPr>
        <w:drawing>
          <wp:inline distT="0" distB="0" distL="0" distR="0" wp14:anchorId="46C2BDFE" wp14:editId="37FF86FA">
            <wp:extent cx="4572000" cy="2743200"/>
            <wp:effectExtent l="0" t="0" r="0" b="0"/>
            <wp:docPr id="496079513" name="Chart 1">
              <a:extLst xmlns:a="http://schemas.openxmlformats.org/drawingml/2006/main">
                <a:ext uri="{FF2B5EF4-FFF2-40B4-BE49-F238E27FC236}">
                  <a16:creationId xmlns:a16="http://schemas.microsoft.com/office/drawing/2014/main" id="{EB00D863-A0BC-340B-5EAD-B3896E351F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027C5E4" w14:textId="26DBC756" w:rsidR="00D527AC" w:rsidRPr="00D527AC" w:rsidRDefault="00D527AC" w:rsidP="002B0D41">
      <w:pPr>
        <w:pStyle w:val="Caption"/>
        <w:spacing w:line="360" w:lineRule="auto"/>
        <w:jc w:val="center"/>
        <w:rPr>
          <w:color w:val="000000" w:themeColor="text1"/>
          <w:sz w:val="24"/>
          <w:szCs w:val="24"/>
        </w:rPr>
      </w:pPr>
      <w:bookmarkStart w:id="13" w:name="_Toc235636798"/>
      <w:r w:rsidRPr="00D527AC">
        <w:rPr>
          <w:color w:val="000000" w:themeColor="text1"/>
          <w:sz w:val="24"/>
          <w:szCs w:val="24"/>
        </w:rPr>
        <w:t xml:space="preserve">Figure </w:t>
      </w:r>
      <w:r w:rsidRPr="00D527AC">
        <w:rPr>
          <w:color w:val="000000" w:themeColor="text1"/>
          <w:sz w:val="24"/>
          <w:szCs w:val="24"/>
        </w:rPr>
        <w:fldChar w:fldCharType="begin"/>
      </w:r>
      <w:r w:rsidRPr="00D527AC">
        <w:rPr>
          <w:color w:val="000000" w:themeColor="text1"/>
          <w:sz w:val="24"/>
          <w:szCs w:val="24"/>
        </w:rPr>
        <w:instrText xml:space="preserve"> SEQ Figure \* ARABIC </w:instrText>
      </w:r>
      <w:r w:rsidRPr="00D527AC">
        <w:rPr>
          <w:color w:val="000000" w:themeColor="text1"/>
          <w:sz w:val="24"/>
          <w:szCs w:val="24"/>
        </w:rPr>
        <w:fldChar w:fldCharType="separate"/>
      </w:r>
      <w:r w:rsidR="00D21E6D">
        <w:rPr>
          <w:noProof/>
          <w:color w:val="000000" w:themeColor="text1"/>
          <w:sz w:val="24"/>
          <w:szCs w:val="24"/>
        </w:rPr>
        <w:t>5</w:t>
      </w:r>
      <w:r w:rsidRPr="00D527AC">
        <w:rPr>
          <w:color w:val="000000" w:themeColor="text1"/>
          <w:sz w:val="24"/>
          <w:szCs w:val="24"/>
        </w:rPr>
        <w:fldChar w:fldCharType="end"/>
      </w:r>
      <w:r w:rsidRPr="00D527AC">
        <w:rPr>
          <w:color w:val="000000" w:themeColor="text1"/>
          <w:sz w:val="24"/>
          <w:szCs w:val="24"/>
        </w:rPr>
        <w:t>: IHG Cash Flow Performance (2021–2025)</w:t>
      </w:r>
      <w:bookmarkEnd w:id="13"/>
    </w:p>
    <w:p w14:paraId="1A89219F" w14:textId="77777777" w:rsidR="00072BEC" w:rsidRPr="00072BEC" w:rsidRDefault="00072BEC" w:rsidP="002B0D41">
      <w:pPr>
        <w:rPr>
          <w:lang w:val="en-IN"/>
        </w:rPr>
      </w:pPr>
      <w:r w:rsidRPr="00072BEC">
        <w:rPr>
          <w:lang w:val="en-IN"/>
        </w:rPr>
        <w:t xml:space="preserve">The close relationship between net operating cash flow of $898 million and adjusted free cash flow of $893 million in 2025 demonstrates strong cash conversion and </w:t>
      </w:r>
      <w:r w:rsidRPr="00072BEC">
        <w:rPr>
          <w:lang w:val="en-IN"/>
        </w:rPr>
        <w:lastRenderedPageBreak/>
        <w:t>provides IHG with internal financial resources to support investment, debt servicing and shareholder returns. However, strong cash generation should not obscure the Group's structural financial risks.</w:t>
      </w:r>
    </w:p>
    <w:p w14:paraId="19DB9CAB" w14:textId="6E1F9DC7" w:rsidR="00072BEC" w:rsidRPr="00072BEC" w:rsidRDefault="00072BEC" w:rsidP="002B0D41">
      <w:pPr>
        <w:rPr>
          <w:lang w:val="en-IN"/>
        </w:rPr>
      </w:pPr>
      <w:r w:rsidRPr="00A06ED3">
        <w:rPr>
          <w:lang w:val="en-IN"/>
        </w:rPr>
        <w:t>IHG's five-year financial health presents a mixed but operationally strong position.</w:t>
      </w:r>
      <w:r w:rsidRPr="00072BEC">
        <w:rPr>
          <w:lang w:val="en-IN"/>
        </w:rPr>
        <w:t xml:space="preserve"> Revenue, operating profit, net profitability, ROA, asset efficiency and cash generation have all improved significantly compared with 2021. These trends demonstrate successful operational recovery and enhanced earnings capacity. Conversely, liquidity has weakened, with the current ratio falling below 1 and net working capital remaining negative since 2023. More importantly, the debt ratio reached </w:t>
      </w:r>
      <w:r w:rsidRPr="00072BEC">
        <w:rPr>
          <w:b/>
          <w:bCs/>
          <w:lang w:val="en-IN"/>
        </w:rPr>
        <w:t>78.60% in 2025</w:t>
      </w:r>
      <w:r w:rsidRPr="00072BEC">
        <w:rPr>
          <w:lang w:val="en-IN"/>
        </w:rPr>
        <w:t>, while shareholders' equity became increasingly negative. Therefore, IHG's principal financial challenge is not insufficient profitability but maintaining an appropriate balance between growth, shareholder distributions, liquidity and financial leverage. Future financial management should prioritise disciplined working-capital control, sustainable debt management and the use of strong operating cash flows to improve balance-sheet resilience while preserving strategically valuable investment opportunities.</w:t>
      </w:r>
    </w:p>
    <w:p w14:paraId="2CCAEDC8" w14:textId="77777777" w:rsidR="00E40174" w:rsidRPr="00E40174" w:rsidRDefault="00E40174" w:rsidP="002B0D41">
      <w:pPr>
        <w:pStyle w:val="Heading1"/>
      </w:pPr>
      <w:bookmarkStart w:id="14" w:name="_Toc235636772"/>
      <w:r w:rsidRPr="00E40174">
        <w:t>3. Working Capital Management Analysis</w:t>
      </w:r>
      <w:bookmarkEnd w:id="14"/>
    </w:p>
    <w:p w14:paraId="0010ECA0" w14:textId="77777777" w:rsidR="00E40174" w:rsidRPr="00E40174" w:rsidRDefault="00E40174" w:rsidP="002B0D41">
      <w:pPr>
        <w:pStyle w:val="Heading2"/>
        <w:rPr>
          <w:lang w:val="en-IN"/>
        </w:rPr>
      </w:pPr>
      <w:bookmarkStart w:id="15" w:name="_Toc235636773"/>
      <w:r w:rsidRPr="00E40174">
        <w:rPr>
          <w:lang w:val="en-IN"/>
        </w:rPr>
        <w:t>3.1 Working Capital Position and Cash Operating Cycle</w:t>
      </w:r>
      <w:bookmarkEnd w:id="15"/>
    </w:p>
    <w:p w14:paraId="245256DF" w14:textId="77777777" w:rsidR="00E40174" w:rsidRPr="00E40174" w:rsidRDefault="00E40174" w:rsidP="002B0D41">
      <w:pPr>
        <w:rPr>
          <w:lang w:val="en-IN"/>
        </w:rPr>
      </w:pPr>
      <w:r w:rsidRPr="00E40174">
        <w:rPr>
          <w:lang w:val="en-IN"/>
        </w:rPr>
        <w:t>Working capital management is particularly important for InterContinental Hotels Group (IHG), as the Group must maintain sufficient liquidity to meet short-term obligations while supporting international operations and strategic growth. IHG's net working capital (NWC) deteriorated considerably between 2021 and 2025. Net working capital is calculated as:</w:t>
      </w:r>
    </w:p>
    <w:p w14:paraId="05DB6AF4" w14:textId="77777777" w:rsidR="00E40174" w:rsidRPr="00E40174" w:rsidRDefault="00E40174" w:rsidP="002B0D41">
      <w:pPr>
        <w:rPr>
          <w:lang w:val="en-IN"/>
        </w:rPr>
      </w:pPr>
      <w:r w:rsidRPr="00E40174">
        <w:rPr>
          <w:b/>
          <w:bCs/>
          <w:lang w:val="en-IN"/>
        </w:rPr>
        <w:t>Net Working Capital = Current Assets − Current Liabilities</w:t>
      </w:r>
    </w:p>
    <w:p w14:paraId="4DA2CDC2" w14:textId="77777777" w:rsidR="00E40174" w:rsidRPr="00E40174" w:rsidRDefault="00E40174" w:rsidP="002B0D41">
      <w:pPr>
        <w:rPr>
          <w:lang w:val="en-IN"/>
        </w:rPr>
      </w:pPr>
      <w:r w:rsidRPr="00E40174">
        <w:rPr>
          <w:lang w:val="en-IN"/>
        </w:rPr>
        <w:t>For example, in 2025:</w:t>
      </w:r>
    </w:p>
    <w:p w14:paraId="79BC7160" w14:textId="77777777" w:rsidR="00E40174" w:rsidRPr="00E40174" w:rsidRDefault="00E40174" w:rsidP="002B0D41">
      <w:pPr>
        <w:rPr>
          <w:lang w:val="en-IN"/>
        </w:rPr>
      </w:pPr>
      <w:r w:rsidRPr="00E40174">
        <w:rPr>
          <w:b/>
          <w:bCs/>
          <w:lang w:val="en-IN"/>
        </w:rPr>
        <w:t>NWC = $2,049m − $2,100m = −$51m</w:t>
      </w:r>
    </w:p>
    <w:p w14:paraId="4D567147" w14:textId="4C26B7DE" w:rsidR="00E40174" w:rsidRPr="00E74CC7" w:rsidRDefault="00E40174" w:rsidP="002B0D41">
      <w:pPr>
        <w:rPr>
          <w:lang w:val="en-IN"/>
        </w:rPr>
      </w:pPr>
      <w:r w:rsidRPr="00E74CC7">
        <w:rPr>
          <w:lang w:val="en-IN"/>
        </w:rPr>
        <w:t xml:space="preserve">As illustrated in </w:t>
      </w:r>
      <w:r w:rsidR="00A84928" w:rsidRPr="00E74CC7">
        <w:rPr>
          <w:lang w:val="en-IN"/>
        </w:rPr>
        <w:fldChar w:fldCharType="begin"/>
      </w:r>
      <w:r w:rsidR="00A84928" w:rsidRPr="00E74CC7">
        <w:rPr>
          <w:lang w:val="en-IN"/>
        </w:rPr>
        <w:instrText xml:space="preserve"> REF _Ref235632303 \h </w:instrText>
      </w:r>
      <w:r w:rsidR="002B0D41" w:rsidRPr="00E74CC7">
        <w:rPr>
          <w:lang w:val="en-IN"/>
        </w:rPr>
        <w:instrText xml:space="preserve"> \* MERGEFORMAT </w:instrText>
      </w:r>
      <w:r w:rsidR="00A84928" w:rsidRPr="00E74CC7">
        <w:rPr>
          <w:lang w:val="en-IN"/>
        </w:rPr>
      </w:r>
      <w:r w:rsidR="00A84928" w:rsidRPr="00E74CC7">
        <w:rPr>
          <w:lang w:val="en-IN"/>
        </w:rPr>
        <w:fldChar w:fldCharType="separate"/>
      </w:r>
      <w:r w:rsidR="00A84928" w:rsidRPr="00E74CC7">
        <w:rPr>
          <w:lang w:val="en-IN"/>
        </w:rPr>
        <w:fldChar w:fldCharType="end"/>
      </w:r>
      <w:r w:rsidR="00A84928" w:rsidRPr="00E74CC7">
        <w:rPr>
          <w:lang w:val="en-IN"/>
        </w:rPr>
        <w:fldChar w:fldCharType="begin"/>
      </w:r>
      <w:r w:rsidR="00A84928" w:rsidRPr="00E74CC7">
        <w:rPr>
          <w:lang w:val="en-IN"/>
        </w:rPr>
        <w:instrText xml:space="preserve"> REF _Ref235632306 \h </w:instrText>
      </w:r>
      <w:r w:rsidR="002B0D41" w:rsidRPr="00E74CC7">
        <w:rPr>
          <w:lang w:val="en-IN"/>
        </w:rPr>
        <w:instrText xml:space="preserve"> \* MERGEFORMAT </w:instrText>
      </w:r>
      <w:r w:rsidR="00A84928" w:rsidRPr="00E74CC7">
        <w:rPr>
          <w:lang w:val="en-IN"/>
        </w:rPr>
      </w:r>
      <w:r w:rsidR="00A84928" w:rsidRPr="00E74CC7">
        <w:rPr>
          <w:lang w:val="en-IN"/>
        </w:rPr>
        <w:fldChar w:fldCharType="separate"/>
      </w:r>
      <w:r w:rsidR="00A84928" w:rsidRPr="00E74CC7">
        <w:rPr>
          <w:color w:val="000000" w:themeColor="text1"/>
          <w:szCs w:val="24"/>
        </w:rPr>
        <w:t xml:space="preserve">Figure </w:t>
      </w:r>
      <w:r w:rsidR="00A84928" w:rsidRPr="00E74CC7">
        <w:rPr>
          <w:noProof/>
          <w:color w:val="000000" w:themeColor="text1"/>
          <w:szCs w:val="24"/>
        </w:rPr>
        <w:t>6</w:t>
      </w:r>
      <w:r w:rsidR="00A84928" w:rsidRPr="00E74CC7">
        <w:rPr>
          <w:lang w:val="en-IN"/>
        </w:rPr>
        <w:fldChar w:fldCharType="end"/>
      </w:r>
      <w:r w:rsidR="00A84928" w:rsidRPr="00E74CC7">
        <w:rPr>
          <w:lang w:val="en-IN"/>
        </w:rPr>
        <w:t xml:space="preserve">, </w:t>
      </w:r>
      <w:r w:rsidRPr="00E74CC7">
        <w:rPr>
          <w:lang w:val="en-IN"/>
        </w:rPr>
        <w:t>IHG reported positive net working capital of $442 million in 2021, which declined substantially to $134 million in 2022. The position subsequently became negative, reaching −$61 million in 2023, −$59 million in 2024 and −$51 million in 2025.</w:t>
      </w:r>
    </w:p>
    <w:p w14:paraId="7428363E" w14:textId="77777777" w:rsidR="00D21E6D" w:rsidRPr="00D21E6D" w:rsidRDefault="00D21E6D" w:rsidP="002B0D41">
      <w:pPr>
        <w:keepNext/>
        <w:jc w:val="center"/>
        <w:rPr>
          <w:color w:val="000000" w:themeColor="text1"/>
          <w:szCs w:val="24"/>
        </w:rPr>
      </w:pPr>
      <w:r w:rsidRPr="00D21E6D">
        <w:rPr>
          <w:noProof/>
          <w:color w:val="000000" w:themeColor="text1"/>
          <w:szCs w:val="24"/>
        </w:rPr>
        <w:lastRenderedPageBreak/>
        <w:drawing>
          <wp:inline distT="0" distB="0" distL="0" distR="0" wp14:anchorId="41EEC421" wp14:editId="7FE6FA6E">
            <wp:extent cx="4572000" cy="2743200"/>
            <wp:effectExtent l="0" t="0" r="0" b="0"/>
            <wp:docPr id="1223684659" name="Chart 1">
              <a:extLst xmlns:a="http://schemas.openxmlformats.org/drawingml/2006/main">
                <a:ext uri="{FF2B5EF4-FFF2-40B4-BE49-F238E27FC236}">
                  <a16:creationId xmlns:a16="http://schemas.microsoft.com/office/drawing/2014/main" id="{E37CE74B-841F-414A-959B-C7D9B1DDD4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DBD896A" w14:textId="112850E1" w:rsidR="00E40174" w:rsidRPr="00D21E6D" w:rsidRDefault="00D21E6D" w:rsidP="002B0D41">
      <w:pPr>
        <w:pStyle w:val="Caption"/>
        <w:spacing w:line="360" w:lineRule="auto"/>
        <w:jc w:val="center"/>
        <w:rPr>
          <w:color w:val="000000" w:themeColor="text1"/>
          <w:sz w:val="24"/>
          <w:szCs w:val="24"/>
          <w:lang w:val="en-IN"/>
        </w:rPr>
      </w:pPr>
      <w:bookmarkStart w:id="16" w:name="_Ref235632306"/>
      <w:bookmarkStart w:id="17" w:name="_Toc235636799"/>
      <w:r w:rsidRPr="00D21E6D">
        <w:rPr>
          <w:color w:val="000000" w:themeColor="text1"/>
          <w:sz w:val="24"/>
          <w:szCs w:val="24"/>
        </w:rPr>
        <w:t xml:space="preserve">Figure </w:t>
      </w:r>
      <w:r w:rsidRPr="00D21E6D">
        <w:rPr>
          <w:color w:val="000000" w:themeColor="text1"/>
          <w:sz w:val="24"/>
          <w:szCs w:val="24"/>
        </w:rPr>
        <w:fldChar w:fldCharType="begin"/>
      </w:r>
      <w:r w:rsidRPr="00D21E6D">
        <w:rPr>
          <w:color w:val="000000" w:themeColor="text1"/>
          <w:sz w:val="24"/>
          <w:szCs w:val="24"/>
        </w:rPr>
        <w:instrText xml:space="preserve"> SEQ Figure \* ARABIC </w:instrText>
      </w:r>
      <w:r w:rsidRPr="00D21E6D">
        <w:rPr>
          <w:color w:val="000000" w:themeColor="text1"/>
          <w:sz w:val="24"/>
          <w:szCs w:val="24"/>
        </w:rPr>
        <w:fldChar w:fldCharType="separate"/>
      </w:r>
      <w:r w:rsidRPr="00D21E6D">
        <w:rPr>
          <w:noProof/>
          <w:color w:val="000000" w:themeColor="text1"/>
          <w:sz w:val="24"/>
          <w:szCs w:val="24"/>
        </w:rPr>
        <w:t>6</w:t>
      </w:r>
      <w:r w:rsidRPr="00D21E6D">
        <w:rPr>
          <w:color w:val="000000" w:themeColor="text1"/>
          <w:sz w:val="24"/>
          <w:szCs w:val="24"/>
        </w:rPr>
        <w:fldChar w:fldCharType="end"/>
      </w:r>
      <w:bookmarkEnd w:id="16"/>
      <w:r w:rsidRPr="00D21E6D">
        <w:rPr>
          <w:color w:val="000000" w:themeColor="text1"/>
          <w:sz w:val="24"/>
          <w:szCs w:val="24"/>
        </w:rPr>
        <w:t>: IHG Net Working Capital Trend (2021–2025)</w:t>
      </w:r>
      <w:bookmarkEnd w:id="17"/>
    </w:p>
    <w:p w14:paraId="46C6CEB3" w14:textId="77777777" w:rsidR="00E40174" w:rsidRPr="00E40174" w:rsidRDefault="00E40174" w:rsidP="002B0D41">
      <w:pPr>
        <w:rPr>
          <w:lang w:val="en-IN"/>
        </w:rPr>
      </w:pPr>
      <w:r w:rsidRPr="00E40174">
        <w:rPr>
          <w:lang w:val="en-IN"/>
        </w:rPr>
        <w:t xml:space="preserve">The deterioration is consistent with the liquidity analysis, where the current ratio declined from </w:t>
      </w:r>
      <w:r w:rsidRPr="00E40174">
        <w:rPr>
          <w:b/>
          <w:bCs/>
          <w:lang w:val="en-IN"/>
        </w:rPr>
        <w:t>1.27 in 2021 to 0.98 in 2025</w:t>
      </w:r>
      <w:r w:rsidRPr="00E40174">
        <w:rPr>
          <w:lang w:val="en-IN"/>
        </w:rPr>
        <w:t xml:space="preserve">, while the quick ratio fell from approximately </w:t>
      </w:r>
      <w:r w:rsidRPr="00E40174">
        <w:rPr>
          <w:b/>
          <w:bCs/>
          <w:lang w:val="en-IN"/>
        </w:rPr>
        <w:t>1.27 to 0.97</w:t>
      </w:r>
      <w:r w:rsidRPr="00E40174">
        <w:rPr>
          <w:lang w:val="en-IN"/>
        </w:rPr>
        <w:t>. Consequently, by 2025, current liabilities exceeded current assets, potentially increasing IHG's dependence on continuous operating cash inflows and access to short-term financing.</w:t>
      </w:r>
    </w:p>
    <w:p w14:paraId="53F47920" w14:textId="77777777" w:rsidR="00E40174" w:rsidRPr="00E40174" w:rsidRDefault="00E40174" w:rsidP="002B0D41">
      <w:pPr>
        <w:rPr>
          <w:lang w:val="en-IN"/>
        </w:rPr>
      </w:pPr>
      <w:r w:rsidRPr="00E40174">
        <w:rPr>
          <w:lang w:val="en-IN"/>
        </w:rPr>
        <w:t>The cash operating cycle (COC) provides additional insight into working capital efficiency and is calculated as:</w:t>
      </w:r>
    </w:p>
    <w:p w14:paraId="64D7A121" w14:textId="77777777" w:rsidR="00E40174" w:rsidRPr="00E40174" w:rsidRDefault="00E40174" w:rsidP="002B0D41">
      <w:pPr>
        <w:rPr>
          <w:lang w:val="en-IN"/>
        </w:rPr>
      </w:pPr>
      <w:r w:rsidRPr="00E40174">
        <w:rPr>
          <w:b/>
          <w:bCs/>
          <w:lang w:val="en-IN"/>
        </w:rPr>
        <w:t>Cash Operating Cycle = Inventory Days + Receivables Days − Payables Days</w:t>
      </w:r>
    </w:p>
    <w:p w14:paraId="3F4D6D65" w14:textId="77777777" w:rsidR="00E40174" w:rsidRPr="00E40174" w:rsidRDefault="00E40174" w:rsidP="002B0D41">
      <w:pPr>
        <w:rPr>
          <w:lang w:val="en-IN"/>
        </w:rPr>
      </w:pPr>
      <w:r w:rsidRPr="00E40174">
        <w:rPr>
          <w:lang w:val="en-IN"/>
        </w:rPr>
        <w:t>Based on the available financial data, inventory days remained extremely low, reflecting IHG's service-oriented and asset-light hospitality business model. In 2025, inventory days were approximately:</w:t>
      </w:r>
    </w:p>
    <w:p w14:paraId="7724EC16" w14:textId="77777777" w:rsidR="007E3F74" w:rsidRDefault="00E40174" w:rsidP="002B0D41">
      <w:pPr>
        <w:rPr>
          <w:b/>
          <w:bCs/>
          <w:lang w:val="en-IN"/>
        </w:rPr>
      </w:pPr>
      <w:r w:rsidRPr="00E40174">
        <w:rPr>
          <w:b/>
          <w:bCs/>
          <w:lang w:val="en-IN"/>
        </w:rPr>
        <w:t>Inventory Days = Inventory ÷ Cost of Sales × 365</w:t>
      </w:r>
    </w:p>
    <w:p w14:paraId="186A7F94" w14:textId="5E821169" w:rsidR="00E40174" w:rsidRPr="00E40174" w:rsidRDefault="00E40174" w:rsidP="002B0D41">
      <w:pPr>
        <w:rPr>
          <w:lang w:val="en-IN"/>
        </w:rPr>
      </w:pPr>
      <w:r w:rsidRPr="00E40174">
        <w:rPr>
          <w:b/>
          <w:bCs/>
          <w:lang w:val="en-IN"/>
        </w:rPr>
        <w:t>= $5m ÷ $764m × 365 = 2.39 days</w:t>
      </w:r>
    </w:p>
    <w:p w14:paraId="48AD19F8" w14:textId="77777777" w:rsidR="00E40174" w:rsidRPr="00E40174" w:rsidRDefault="00E40174" w:rsidP="002B0D41">
      <w:pPr>
        <w:rPr>
          <w:lang w:val="en-IN"/>
        </w:rPr>
      </w:pPr>
      <w:r w:rsidRPr="00E40174">
        <w:rPr>
          <w:lang w:val="en-IN"/>
        </w:rPr>
        <w:t>Receivables days for 2025 were:</w:t>
      </w:r>
    </w:p>
    <w:p w14:paraId="1D22866D" w14:textId="77777777" w:rsidR="007E3F74" w:rsidRDefault="00E40174" w:rsidP="002B0D41">
      <w:pPr>
        <w:rPr>
          <w:b/>
          <w:bCs/>
          <w:lang w:val="en-IN"/>
        </w:rPr>
      </w:pPr>
      <w:r w:rsidRPr="00E40174">
        <w:rPr>
          <w:b/>
          <w:bCs/>
          <w:lang w:val="en-IN"/>
        </w:rPr>
        <w:t>Receivables Days = Trade and Other Receivables ÷ Revenue × 365</w:t>
      </w:r>
    </w:p>
    <w:p w14:paraId="33CA2AB1" w14:textId="67C9E31C" w:rsidR="00E40174" w:rsidRPr="00E40174" w:rsidRDefault="00E40174" w:rsidP="002B0D41">
      <w:pPr>
        <w:rPr>
          <w:lang w:val="en-IN"/>
        </w:rPr>
      </w:pPr>
      <w:r w:rsidRPr="00E40174">
        <w:rPr>
          <w:b/>
          <w:bCs/>
          <w:lang w:val="en-IN"/>
        </w:rPr>
        <w:t>= $833m ÷ $5,189m × 365 = 58.59 days</w:t>
      </w:r>
    </w:p>
    <w:p w14:paraId="6DD49BD8" w14:textId="77777777" w:rsidR="00E40174" w:rsidRPr="00E40174" w:rsidRDefault="00E40174" w:rsidP="002B0D41">
      <w:pPr>
        <w:rPr>
          <w:lang w:val="en-IN"/>
        </w:rPr>
      </w:pPr>
      <w:r w:rsidRPr="00E40174">
        <w:rPr>
          <w:lang w:val="en-IN"/>
        </w:rPr>
        <w:t>Payables days were estimated as:</w:t>
      </w:r>
    </w:p>
    <w:p w14:paraId="76AEB58B" w14:textId="77777777" w:rsidR="00FB0505" w:rsidRDefault="00E40174" w:rsidP="002B0D41">
      <w:pPr>
        <w:rPr>
          <w:b/>
          <w:bCs/>
          <w:lang w:val="en-IN"/>
        </w:rPr>
      </w:pPr>
      <w:r w:rsidRPr="00E40174">
        <w:rPr>
          <w:b/>
          <w:bCs/>
          <w:lang w:val="en-IN"/>
        </w:rPr>
        <w:t>Payables Days = Current Trade and Other Payables ÷ Cost of Sales × 365</w:t>
      </w:r>
    </w:p>
    <w:p w14:paraId="106B9B9E" w14:textId="27777E53" w:rsidR="00E40174" w:rsidRPr="00E40174" w:rsidRDefault="00E40174" w:rsidP="002B0D41">
      <w:pPr>
        <w:rPr>
          <w:lang w:val="en-IN"/>
        </w:rPr>
      </w:pPr>
      <w:r w:rsidRPr="00E40174">
        <w:rPr>
          <w:b/>
          <w:bCs/>
          <w:lang w:val="en-IN"/>
        </w:rPr>
        <w:lastRenderedPageBreak/>
        <w:t>= $676m ÷ $764m × 365 = 322.96 days</w:t>
      </w:r>
    </w:p>
    <w:p w14:paraId="0B3DB07A" w14:textId="77777777" w:rsidR="00E40174" w:rsidRPr="006F262D" w:rsidRDefault="00E40174" w:rsidP="002B0D41">
      <w:pPr>
        <w:rPr>
          <w:lang w:val="en-IN"/>
        </w:rPr>
      </w:pPr>
      <w:r w:rsidRPr="006F262D">
        <w:rPr>
          <w:lang w:val="en-IN"/>
        </w:rPr>
        <w:t>This produces an indicative negative cash operating cycle. However, this result should be interpreted cautiously because the available figures represent trade and other receivables and trade and other payables, rather than pure trade balances. Other liabilities included within these categories can significantly inflate the estimated payable period. Therefore, these calculations are useful as indicative working-capital measures but should not be interpreted as a precise representation of IHG's supplier payment cycle. The complete calculations should be presented in Appendix C.</w:t>
      </w:r>
    </w:p>
    <w:p w14:paraId="58A7F503" w14:textId="77777777" w:rsidR="00E40174" w:rsidRPr="00E40174" w:rsidRDefault="00E40174" w:rsidP="002B0D41">
      <w:pPr>
        <w:pStyle w:val="Heading2"/>
        <w:rPr>
          <w:lang w:val="en-IN"/>
        </w:rPr>
      </w:pPr>
      <w:bookmarkStart w:id="18" w:name="_Toc235636774"/>
      <w:r w:rsidRPr="00E40174">
        <w:rPr>
          <w:lang w:val="en-IN"/>
        </w:rPr>
        <w:t>3.2 Strategies to Improve Liquidity</w:t>
      </w:r>
      <w:bookmarkEnd w:id="18"/>
    </w:p>
    <w:p w14:paraId="3E6F52E0" w14:textId="3F7E4143" w:rsidR="00E40174" w:rsidRPr="00F14F81" w:rsidRDefault="00E40174" w:rsidP="002B0D41">
      <w:pPr>
        <w:rPr>
          <w:lang w:val="en-IN"/>
        </w:rPr>
      </w:pPr>
      <w:r w:rsidRPr="00F14F81">
        <w:rPr>
          <w:lang w:val="en-IN"/>
        </w:rPr>
        <w:t>IHG's declining liquidity ratios and negative working capital position indicate that management should strengthen short-term financial resilience without unnecessarily holding excessive idle cash. The priority should be the improvement of receivables management. With estimated receivables days of approximately 58.59 days in 2025 based on the broader receivables balance, management should strengthen collection procedures, monitor overdue balances and establish appropriate credit limits for counterparties. Greater use of automated invoicing and real-time receivables monitoring across international operations could accelerate cash collection</w:t>
      </w:r>
      <w:r w:rsidR="00AB6058" w:rsidRPr="00F14F81">
        <w:rPr>
          <w:lang w:val="en-IN"/>
        </w:rPr>
        <w:t xml:space="preserve"> (</w:t>
      </w:r>
      <w:r w:rsidR="00AB6058" w:rsidRPr="00F14F81">
        <w:t>Awan, 2023</w:t>
      </w:r>
      <w:r w:rsidR="00AB6058" w:rsidRPr="00F14F81">
        <w:rPr>
          <w:lang w:val="en-IN"/>
        </w:rPr>
        <w:t>)</w:t>
      </w:r>
      <w:r w:rsidRPr="00F14F81">
        <w:rPr>
          <w:lang w:val="en-IN"/>
        </w:rPr>
        <w:t>. The financial benefit would be earlier conversion of revenue into cash and reduced dependence on external short-term financing. However, excessively restrictive credit terms could potentially affect commercial relationships, requiring a balanced approach.</w:t>
      </w:r>
    </w:p>
    <w:p w14:paraId="407ABF86" w14:textId="3101276B" w:rsidR="00E40174" w:rsidRPr="00F14F81" w:rsidRDefault="00E40174" w:rsidP="002B0D41">
      <w:pPr>
        <w:rPr>
          <w:lang w:val="en-IN"/>
        </w:rPr>
      </w:pPr>
      <w:r w:rsidRPr="00F14F81">
        <w:rPr>
          <w:lang w:val="en-IN"/>
        </w:rPr>
        <w:t>IHG should optimise rather than simply extend its payment terms. Effective negotiation with suppliers could preserve cash while maintaining reliable relationships with strategic partners</w:t>
      </w:r>
      <w:r w:rsidR="008D57D5" w:rsidRPr="00F14F81">
        <w:rPr>
          <w:lang w:val="en-IN"/>
        </w:rPr>
        <w:t xml:space="preserve"> (</w:t>
      </w:r>
      <w:r w:rsidR="008D57D5" w:rsidRPr="00F14F81">
        <w:t xml:space="preserve">Olajide </w:t>
      </w:r>
      <w:r w:rsidR="008D57D5" w:rsidRPr="00F14F81">
        <w:rPr>
          <w:i/>
          <w:iCs/>
        </w:rPr>
        <w:t>et al.,</w:t>
      </w:r>
      <w:r w:rsidR="008D57D5" w:rsidRPr="00F14F81">
        <w:t xml:space="preserve"> 2023</w:t>
      </w:r>
      <w:r w:rsidR="008D57D5" w:rsidRPr="00F14F81">
        <w:rPr>
          <w:lang w:val="en-IN"/>
        </w:rPr>
        <w:t>)</w:t>
      </w:r>
      <w:r w:rsidRPr="00F14F81">
        <w:rPr>
          <w:lang w:val="en-IN"/>
        </w:rPr>
        <w:t xml:space="preserve">. However, deliberately delaying payments beyond agreed terms may damage supplier confidence, reduce access to favourable terms and create reputational concerns. IHG could strengthen centralised cash and treasury management across its international operations. Cash surpluses generated in one market could potentially support liquidity requirements elsewhere, subject to taxation, regulatory and foreign exchange restrictions. Centralised treasury oversight can reduce unnecessary borrowing, improve visibility over cash balances and facilitate more efficient allocation of liquidity. </w:t>
      </w:r>
    </w:p>
    <w:p w14:paraId="40125EA2" w14:textId="3908186F" w:rsidR="00E40174" w:rsidRPr="00F14F81" w:rsidRDefault="00E40174" w:rsidP="002B0D41">
      <w:pPr>
        <w:rPr>
          <w:lang w:val="en-IN"/>
        </w:rPr>
      </w:pPr>
      <w:r w:rsidRPr="00F14F81">
        <w:rPr>
          <w:lang w:val="en-IN"/>
        </w:rPr>
        <w:lastRenderedPageBreak/>
        <w:t>A further priority should be enhanced cash-flow forecasting and scenario analysis. The Group should maintain rolling forecasts incorporating hotel demand, economic downturns, interest rates, inflation and geopolitical disruptions. Stress testing would allow management to identify potential liquidity gaps before they materialise and arrange appropriate funding facilities</w:t>
      </w:r>
      <w:r w:rsidR="007C400D" w:rsidRPr="00F14F81">
        <w:rPr>
          <w:lang w:val="en-IN"/>
        </w:rPr>
        <w:t xml:space="preserve"> (</w:t>
      </w:r>
      <w:r w:rsidR="007C400D" w:rsidRPr="00F14F81">
        <w:t xml:space="preserve">Adrian </w:t>
      </w:r>
      <w:r w:rsidR="007C400D" w:rsidRPr="00F14F81">
        <w:rPr>
          <w:i/>
          <w:iCs/>
        </w:rPr>
        <w:t>et al.,</w:t>
      </w:r>
      <w:r w:rsidR="007C400D" w:rsidRPr="00F14F81">
        <w:t xml:space="preserve"> 2020</w:t>
      </w:r>
      <w:r w:rsidR="007C400D" w:rsidRPr="00F14F81">
        <w:rPr>
          <w:lang w:val="en-IN"/>
        </w:rPr>
        <w:t>)</w:t>
      </w:r>
      <w:r w:rsidRPr="00F14F81">
        <w:rPr>
          <w:lang w:val="en-IN"/>
        </w:rPr>
        <w:t>. This is particularly important given IHG's current ratio of 0.98 and its increasing debt exposure.</w:t>
      </w:r>
    </w:p>
    <w:p w14:paraId="1BC5365C" w14:textId="65EA7901" w:rsidR="00E40174" w:rsidRPr="00F14F81" w:rsidRDefault="00E40174" w:rsidP="002B0D41">
      <w:pPr>
        <w:rPr>
          <w:lang w:val="en-IN"/>
        </w:rPr>
      </w:pPr>
      <w:r w:rsidRPr="00F14F81">
        <w:rPr>
          <w:lang w:val="en-IN"/>
        </w:rPr>
        <w:t>IHG should maintain an appropriate liquidity reserve and committed credit capacity. Although excessive cash holdings may reduce capital efficiency, sufficient liquidity pro</w:t>
      </w:r>
      <w:r w:rsidR="0025707B" w:rsidRPr="00F14F81">
        <w:rPr>
          <w:lang w:val="en-IN"/>
        </w:rPr>
        <w:t>tects</w:t>
      </w:r>
      <w:r w:rsidRPr="00F14F81">
        <w:rPr>
          <w:lang w:val="en-IN"/>
        </w:rPr>
        <w:t xml:space="preserve"> against unexpected operating shocks. This strategy is supported by IHG's strong cash-generating capacity: net cash from operating activities reached $898 million in 2025, while adjusted free cash flow was $893 million. A proportion of these internally generated funds could therefore be retained to strengthen liquidity rather than being fully committed to distributions, acquisitions or expansion. </w:t>
      </w:r>
    </w:p>
    <w:p w14:paraId="77C3222A" w14:textId="77777777" w:rsidR="00E40174" w:rsidRPr="00E40174" w:rsidRDefault="00E40174" w:rsidP="002B0D41">
      <w:pPr>
        <w:pStyle w:val="Heading2"/>
        <w:rPr>
          <w:lang w:val="en-IN"/>
        </w:rPr>
      </w:pPr>
      <w:bookmarkStart w:id="19" w:name="_Toc235636775"/>
      <w:r w:rsidRPr="00E40174">
        <w:rPr>
          <w:lang w:val="en-IN"/>
        </w:rPr>
        <w:t>3.3 Short-Term versus Long-Term Financing</w:t>
      </w:r>
      <w:bookmarkEnd w:id="19"/>
    </w:p>
    <w:p w14:paraId="14028EAF" w14:textId="32C896B1" w:rsidR="00E40174" w:rsidRPr="0015135F" w:rsidRDefault="00E40174" w:rsidP="002B0D41">
      <w:pPr>
        <w:rPr>
          <w:lang w:val="en-IN"/>
        </w:rPr>
      </w:pPr>
      <w:r w:rsidRPr="0015135F">
        <w:rPr>
          <w:lang w:val="en-IN"/>
        </w:rPr>
        <w:t>IHG's financing strategy should balance cost, flexibility and financial risk. Short-term financing, including bank overdrafts, short-term borrowings and revolving credit facilities, can provide flexibility for temporary working capital requirements</w:t>
      </w:r>
      <w:r w:rsidR="00D659D1" w:rsidRPr="0015135F">
        <w:rPr>
          <w:lang w:val="en-IN"/>
        </w:rPr>
        <w:t xml:space="preserve"> (</w:t>
      </w:r>
      <w:r w:rsidR="00D659D1" w:rsidRPr="0015135F">
        <w:t>Tiwary and Paul, 2023</w:t>
      </w:r>
      <w:r w:rsidR="00D659D1" w:rsidRPr="0015135F">
        <w:rPr>
          <w:lang w:val="en-IN"/>
        </w:rPr>
        <w:t>)</w:t>
      </w:r>
      <w:r w:rsidRPr="0015135F">
        <w:rPr>
          <w:lang w:val="en-IN"/>
        </w:rPr>
        <w:t>. Such facilities are useful for managing seasonal or unexpected cash-flow mismatches because funds can generally be accessed when required. However, excessive reliance on short-term debt exposes IHG to refinancing risk and changing interest rates. This is particularly relevant because current borrowings increased from $55 million in 2022 to $478 million in 2025, while the Group already has a weak net working capital position.</w:t>
      </w:r>
    </w:p>
    <w:p w14:paraId="412898EE" w14:textId="14A43F56" w:rsidR="00E40174" w:rsidRPr="0015135F" w:rsidRDefault="00E40174" w:rsidP="002B0D41">
      <w:pPr>
        <w:rPr>
          <w:lang w:val="en-IN"/>
        </w:rPr>
      </w:pPr>
      <w:r w:rsidRPr="0015135F">
        <w:rPr>
          <w:lang w:val="en-IN"/>
        </w:rPr>
        <w:t>In contrast, long-term financing, including bonds and other long-term debt, provides greater funding certainty and reduces immediate refinancing pressure</w:t>
      </w:r>
      <w:r w:rsidR="000F5940" w:rsidRPr="0015135F">
        <w:rPr>
          <w:lang w:val="en-IN"/>
        </w:rPr>
        <w:t xml:space="preserve"> (</w:t>
      </w:r>
      <w:r w:rsidR="000F5940" w:rsidRPr="0015135F">
        <w:t xml:space="preserve">Gödecke </w:t>
      </w:r>
      <w:r w:rsidR="000F5940" w:rsidRPr="0015135F">
        <w:rPr>
          <w:i/>
        </w:rPr>
        <w:t>et al.,</w:t>
      </w:r>
      <w:r w:rsidR="000F5940" w:rsidRPr="0015135F">
        <w:t xml:space="preserve"> 2025</w:t>
      </w:r>
      <w:r w:rsidR="000F5940" w:rsidRPr="0015135F">
        <w:rPr>
          <w:lang w:val="en-IN"/>
        </w:rPr>
        <w:t>)</w:t>
      </w:r>
      <w:r w:rsidRPr="0015135F">
        <w:rPr>
          <w:lang w:val="en-IN"/>
        </w:rPr>
        <w:t>. However, increasing long-term borrowing would be problematic given IHG's existing leverage. Non-current borrowings increased from $2,553 million in 2021 to $3,723 million in 2025, while the debt ratio reached approximately 78.60%. Additional debt could therefore increase interest costs and reduce future financial flexibility.</w:t>
      </w:r>
    </w:p>
    <w:p w14:paraId="3767D328" w14:textId="611E7276" w:rsidR="00E40174" w:rsidRPr="0015135F" w:rsidRDefault="00E40174" w:rsidP="002B0D41">
      <w:pPr>
        <w:rPr>
          <w:lang w:val="en-IN"/>
        </w:rPr>
      </w:pPr>
      <w:r w:rsidRPr="0015135F">
        <w:rPr>
          <w:lang w:val="en-IN"/>
        </w:rPr>
        <w:t xml:space="preserve">Equity financing could strengthen the balance sheet and reduce financial risk, but issuing new equity may dilute existing shareholders and may be unattractive depending on market conditions. IHG's negative reported equity position makes </w:t>
      </w:r>
      <w:r w:rsidRPr="0015135F">
        <w:rPr>
          <w:lang w:val="en-IN"/>
        </w:rPr>
        <w:lastRenderedPageBreak/>
        <w:t xml:space="preserve">capital structure management particularly important. Therefore, IHG should adopt a balanced financing strategy. Short-term committed facilities should primarily serve as liquidity buffers rather than permanent sources of finance, while additional long-term borrowing should be approached cautiously given existing leverage. </w:t>
      </w:r>
    </w:p>
    <w:p w14:paraId="2764C321" w14:textId="77777777" w:rsidR="00FB30E2" w:rsidRPr="00FB30E2" w:rsidRDefault="00FB30E2" w:rsidP="002B0D41">
      <w:pPr>
        <w:pStyle w:val="Heading1"/>
      </w:pPr>
      <w:bookmarkStart w:id="20" w:name="_Toc235636776"/>
      <w:r w:rsidRPr="00FB30E2">
        <w:t>4. Strategic Financial Restructuring Plan</w:t>
      </w:r>
      <w:bookmarkEnd w:id="20"/>
    </w:p>
    <w:p w14:paraId="5F9E96D6" w14:textId="77777777" w:rsidR="00FB30E2" w:rsidRPr="00FB30E2" w:rsidRDefault="00FB30E2" w:rsidP="002B0D41">
      <w:pPr>
        <w:pStyle w:val="Heading2"/>
        <w:rPr>
          <w:lang w:val="en-IN"/>
        </w:rPr>
      </w:pPr>
      <w:bookmarkStart w:id="21" w:name="_Toc235636777"/>
      <w:r w:rsidRPr="00FB30E2">
        <w:rPr>
          <w:lang w:val="en-IN"/>
        </w:rPr>
        <w:t>4.1 Need for Financial Restructuring</w:t>
      </w:r>
      <w:bookmarkEnd w:id="21"/>
    </w:p>
    <w:p w14:paraId="620D8561" w14:textId="77777777" w:rsidR="00FB30E2" w:rsidRPr="00DE7EAC" w:rsidRDefault="00FB30E2" w:rsidP="002B0D41">
      <w:pPr>
        <w:rPr>
          <w:lang w:val="en-IN"/>
        </w:rPr>
      </w:pPr>
      <w:r w:rsidRPr="00DE7EAC">
        <w:rPr>
          <w:lang w:val="en-IN"/>
        </w:rPr>
        <w:t>IHG's financial analysis demonstrates a need for strategic restructuring despite its strong operational recovery. Total revenue increased from $2,907 million in 2021 to $5,189 million in 2025, while operating profit reached $1,198 million and adjusted free cash flow increased to $893 million. However, this improvement has been accompanied by increasing balance-sheet risk. Total borrowings rose from $2,845 million in 2021 to $4,201 million in 2025, while the debt ratio reached approximately 78.60%. Furthermore, total equity deteriorated from −$1,474 million to −$2,736 million, indicating a structurally weak equity position. Liquidity has also tightened, with the current ratio declining from 1.27 to 0.98 and net working capital reaching −$51 million in 2025. Therefore, restructuring should not primarily address operational weakness but should use IHG's strong profitability and cash generation to improve balance-sheet resilience, reduce financial risk and preserve capacity for sustainable growth.</w:t>
      </w:r>
    </w:p>
    <w:p w14:paraId="3BC2BAD2" w14:textId="77777777" w:rsidR="00FB30E2" w:rsidRPr="00FB30E2" w:rsidRDefault="00FB30E2" w:rsidP="002B0D41">
      <w:pPr>
        <w:pStyle w:val="Heading2"/>
        <w:rPr>
          <w:lang w:val="en-IN"/>
        </w:rPr>
      </w:pPr>
      <w:bookmarkStart w:id="22" w:name="_Toc235636778"/>
      <w:r w:rsidRPr="00FB30E2">
        <w:rPr>
          <w:lang w:val="en-IN"/>
        </w:rPr>
        <w:t>4.2 Evaluation of Strategic Restructuring Options</w:t>
      </w:r>
      <w:bookmarkEnd w:id="22"/>
    </w:p>
    <w:p w14:paraId="0453EEBE" w14:textId="7AA20C94" w:rsidR="00FB30E2" w:rsidRPr="00111455" w:rsidRDefault="00FB30E2" w:rsidP="002B0D41">
      <w:pPr>
        <w:rPr>
          <w:lang w:val="en-IN"/>
        </w:rPr>
      </w:pPr>
      <w:r w:rsidRPr="00111455">
        <w:rPr>
          <w:lang w:val="en-IN"/>
        </w:rPr>
        <w:t>One potential strategy is debt restructuring and refinancing. IHG could review the maturity profile of its borrowings and refinance selected obligations where longer maturities or more favourable financing conditions are available. Extending debt maturities could reduce short-term refinancing pressure and improve financial flexibility, particularly given the Group's weak liquidity position</w:t>
      </w:r>
      <w:r w:rsidR="00507FF4" w:rsidRPr="00111455">
        <w:rPr>
          <w:lang w:val="en-IN"/>
        </w:rPr>
        <w:t xml:space="preserve"> (</w:t>
      </w:r>
      <w:r w:rsidR="00507FF4" w:rsidRPr="00111455">
        <w:t xml:space="preserve">Chen </w:t>
      </w:r>
      <w:r w:rsidR="00CC3ADB" w:rsidRPr="00111455">
        <w:rPr>
          <w:i/>
          <w:iCs/>
        </w:rPr>
        <w:t>et al.,</w:t>
      </w:r>
      <w:r w:rsidR="00CC3ADB" w:rsidRPr="00111455">
        <w:t xml:space="preserve"> 2026</w:t>
      </w:r>
      <w:r w:rsidR="00507FF4" w:rsidRPr="00111455">
        <w:rPr>
          <w:lang w:val="en-IN"/>
        </w:rPr>
        <w:t>)</w:t>
      </w:r>
      <w:r w:rsidRPr="00111455">
        <w:rPr>
          <w:lang w:val="en-IN"/>
        </w:rPr>
        <w:t xml:space="preserve">. Refinancing may also provide opportunities to manage exposure to variable interest rates through an appropriate combination of fixed and floating-rate borrowing. However, refinancing does not automatically reduce the absolute level of debt. With total borrowings of $4,201 million in 2025, replacing existing debt with new borrowing may simply postpone financial pressure. A second option is selective asset or non-core business divestiture. IHG could review its asset portfolio and dispose of investments or activities that generate insufficient strategic or financial returns. Proceeds could be directed towards debt repayment or liquidity enhancement. This </w:t>
      </w:r>
      <w:r w:rsidRPr="00111455">
        <w:rPr>
          <w:lang w:val="en-IN"/>
        </w:rPr>
        <w:lastRenderedPageBreak/>
        <w:t xml:space="preserve">approach could improve the debt position without diluting existing shareholders and is broadly compatible with an asset-light hospitality strategy. Reducing debt would also lower financing risk and potentially strengthen future borrowing capacity. </w:t>
      </w:r>
    </w:p>
    <w:p w14:paraId="01C9163D" w14:textId="5A51932A" w:rsidR="00FB30E2" w:rsidRPr="00111455" w:rsidRDefault="00FB30E2" w:rsidP="002B0D41">
      <w:pPr>
        <w:rPr>
          <w:lang w:val="en-IN"/>
        </w:rPr>
      </w:pPr>
      <w:r w:rsidRPr="00111455">
        <w:rPr>
          <w:lang w:val="en-IN"/>
        </w:rPr>
        <w:t>A third and potentially more sustainable strategy is retained-cash-led deleveraging, possibly supported by equity financing if required. IHG generated $898 million in net cash from operating activities and $893 million in adjusted free cash flow in 2025, demonstrating considerable internal financing capacity. Retaining a greater proportion of cash and allocating it towards debt reduction could gradually strengthen the balance sheet without creating additional interest obligations. The main trade-off is that greater cash retention may constrain dividends, share buybacks or expansion, potentially disappointing shareholders seeking immediate distributions. An equity injection could accelerate balance-sheet repair but may dilute existing ownership and earnings per share.</w:t>
      </w:r>
      <w:r w:rsidR="0065561B" w:rsidRPr="00111455">
        <w:rPr>
          <w:lang w:val="en-IN"/>
        </w:rPr>
        <w:t xml:space="preserve"> </w:t>
      </w:r>
      <w:r w:rsidRPr="00111455">
        <w:rPr>
          <w:lang w:val="en-IN"/>
        </w:rPr>
        <w:t xml:space="preserve">The most appropriate restructuring approach is therefore likely to be a combination of debt refinancing, selective deleveraging and disciplined use of internally generated cash. IHG should avoid unnecessary increases in borrowing while prioritising repayment of expensive or strategically restrictive debt. </w:t>
      </w:r>
    </w:p>
    <w:p w14:paraId="1A66E11A" w14:textId="77777777" w:rsidR="00FB30E2" w:rsidRPr="00FB30E2" w:rsidRDefault="00FB30E2" w:rsidP="002B0D41">
      <w:pPr>
        <w:pStyle w:val="Heading2"/>
        <w:rPr>
          <w:lang w:val="en-IN"/>
        </w:rPr>
      </w:pPr>
      <w:bookmarkStart w:id="23" w:name="_Toc235636779"/>
      <w:r w:rsidRPr="00FB30E2">
        <w:rPr>
          <w:lang w:val="en-IN"/>
        </w:rPr>
        <w:t>4.3 International Financial Considerations</w:t>
      </w:r>
      <w:bookmarkEnd w:id="23"/>
    </w:p>
    <w:p w14:paraId="77D66C19" w14:textId="3DBC9414" w:rsidR="00FB30E2" w:rsidRPr="000616E4" w:rsidRDefault="00FB30E2" w:rsidP="002B0D41">
      <w:pPr>
        <w:rPr>
          <w:lang w:val="en-IN"/>
        </w:rPr>
      </w:pPr>
      <w:r w:rsidRPr="000616E4">
        <w:rPr>
          <w:lang w:val="en-IN"/>
        </w:rPr>
        <w:t>As an international hospitality group, IHG's restructuring strategy must consider financial risks arising from operations across multiple markets. Foreign exchange movements can affect reported revenue, profits and cash flows when overseas earnings are translated into the Group's reporting currency. Currency volatility can also influence the cost of international investments and debt obligations. Appropriate natural hedging and financial hedging strategies may therefore reduce excessive exposure while recognising that hedging itself involves costs</w:t>
      </w:r>
      <w:r w:rsidR="00307904" w:rsidRPr="000616E4">
        <w:rPr>
          <w:lang w:val="en-IN"/>
        </w:rPr>
        <w:t xml:space="preserve"> (</w:t>
      </w:r>
      <w:r w:rsidR="00307904" w:rsidRPr="000616E4">
        <w:t>Ogundu, 2025</w:t>
      </w:r>
      <w:r w:rsidR="00307904" w:rsidRPr="000616E4">
        <w:rPr>
          <w:lang w:val="en-IN"/>
        </w:rPr>
        <w:t>)</w:t>
      </w:r>
      <w:r w:rsidRPr="000616E4">
        <w:rPr>
          <w:lang w:val="en-IN"/>
        </w:rPr>
        <w:t>.</w:t>
      </w:r>
    </w:p>
    <w:p w14:paraId="77FE0120" w14:textId="0D38DCB1" w:rsidR="00FB30E2" w:rsidRPr="000616E4" w:rsidRDefault="00FB30E2" w:rsidP="002B0D41">
      <w:pPr>
        <w:rPr>
          <w:lang w:val="en-IN"/>
        </w:rPr>
      </w:pPr>
      <w:r w:rsidRPr="000616E4">
        <w:rPr>
          <w:lang w:val="en-IN"/>
        </w:rPr>
        <w:t>Interest-rate risk is equally significant because rising rates can increase the cost of refinancing and servicing variable-rate debt</w:t>
      </w:r>
      <w:r w:rsidR="00CD7124" w:rsidRPr="000616E4">
        <w:rPr>
          <w:lang w:val="en-IN"/>
        </w:rPr>
        <w:t xml:space="preserve"> (</w:t>
      </w:r>
      <w:r w:rsidR="00CD7124" w:rsidRPr="000616E4">
        <w:t>Velandia, 2022</w:t>
      </w:r>
      <w:r w:rsidR="00CD7124" w:rsidRPr="000616E4">
        <w:rPr>
          <w:lang w:val="en-IN"/>
        </w:rPr>
        <w:t>)</w:t>
      </w:r>
      <w:r w:rsidRPr="000616E4">
        <w:rPr>
          <w:lang w:val="en-IN"/>
        </w:rPr>
        <w:t>. Given IHG's increased borrowing, management should carefully assess the balance between fixed and floating-rate obligations when restructuring its debt portfolio.</w:t>
      </w:r>
    </w:p>
    <w:p w14:paraId="667E272D" w14:textId="75580AAE" w:rsidR="00FB30E2" w:rsidRPr="000616E4" w:rsidRDefault="00FB30E2" w:rsidP="002B0D41">
      <w:pPr>
        <w:rPr>
          <w:lang w:val="en-IN"/>
        </w:rPr>
      </w:pPr>
      <w:r w:rsidRPr="000616E4">
        <w:rPr>
          <w:lang w:val="en-IN"/>
        </w:rPr>
        <w:t>Inflation can increase labour, energy, construction and operating costs throughout the hospitality sector</w:t>
      </w:r>
      <w:r w:rsidR="0096322F" w:rsidRPr="000616E4">
        <w:rPr>
          <w:lang w:val="en-IN"/>
        </w:rPr>
        <w:t xml:space="preserve"> (</w:t>
      </w:r>
      <w:r w:rsidR="0096322F" w:rsidRPr="000616E4">
        <w:t>Zientara, 2026</w:t>
      </w:r>
      <w:r w:rsidR="0096322F" w:rsidRPr="000616E4">
        <w:rPr>
          <w:lang w:val="en-IN"/>
        </w:rPr>
        <w:t>)</w:t>
      </w:r>
      <w:r w:rsidRPr="000616E4">
        <w:rPr>
          <w:lang w:val="en-IN"/>
        </w:rPr>
        <w:t>. Although some cost increases may be transferred to customers through higher room rates and fees, excessive price increases could weaken demand, particularly during periods of economic uncertainty.</w:t>
      </w:r>
    </w:p>
    <w:p w14:paraId="10B1E19C" w14:textId="2A3CF9E4" w:rsidR="00FB30E2" w:rsidRPr="000616E4" w:rsidRDefault="00FB30E2" w:rsidP="002B0D41">
      <w:pPr>
        <w:rPr>
          <w:lang w:val="en-IN"/>
        </w:rPr>
      </w:pPr>
      <w:r w:rsidRPr="000616E4">
        <w:rPr>
          <w:lang w:val="en-IN"/>
        </w:rPr>
        <w:lastRenderedPageBreak/>
        <w:t>International restructuring decisions must also consider taxation and regulatory differences across jurisdictions. While efficient international tax planning can protect shareholder value, aggressive arrangements may create regulatory and reputational risks</w:t>
      </w:r>
      <w:r w:rsidR="00AF1B57" w:rsidRPr="000616E4">
        <w:rPr>
          <w:lang w:val="en-IN"/>
        </w:rPr>
        <w:t xml:space="preserve"> (</w:t>
      </w:r>
      <w:r w:rsidR="00AF1B57" w:rsidRPr="000616E4">
        <w:t xml:space="preserve">Elumilade </w:t>
      </w:r>
      <w:r w:rsidR="00AF1B57" w:rsidRPr="000616E4">
        <w:rPr>
          <w:i/>
          <w:iCs/>
        </w:rPr>
        <w:t>et al.,</w:t>
      </w:r>
      <w:r w:rsidR="00AF1B57" w:rsidRPr="000616E4">
        <w:t xml:space="preserve"> 2022</w:t>
      </w:r>
      <w:r w:rsidR="00AF1B57" w:rsidRPr="000616E4">
        <w:rPr>
          <w:lang w:val="en-IN"/>
        </w:rPr>
        <w:t>)</w:t>
      </w:r>
      <w:r w:rsidRPr="000616E4">
        <w:rPr>
          <w:lang w:val="en-IN"/>
        </w:rPr>
        <w:t xml:space="preserve">. Geographic diversification can reduce dependence on a single economy, but it simultaneously exposes IHG to different political, economic and currency risks. </w:t>
      </w:r>
    </w:p>
    <w:p w14:paraId="1328E59B" w14:textId="77777777" w:rsidR="00FB30E2" w:rsidRPr="00FB30E2" w:rsidRDefault="00FB30E2" w:rsidP="002B0D41">
      <w:pPr>
        <w:pStyle w:val="Heading2"/>
        <w:rPr>
          <w:lang w:val="en-IN"/>
        </w:rPr>
      </w:pPr>
      <w:bookmarkStart w:id="24" w:name="_Toc235636780"/>
      <w:r w:rsidRPr="00FB30E2">
        <w:rPr>
          <w:lang w:val="en-IN"/>
        </w:rPr>
        <w:t>4.4 Ethical, CSR and ESG Implications</w:t>
      </w:r>
      <w:bookmarkEnd w:id="24"/>
    </w:p>
    <w:p w14:paraId="22FD2D2C" w14:textId="60B5BE1D" w:rsidR="00FB30E2" w:rsidRPr="000616E4" w:rsidRDefault="00FB30E2" w:rsidP="002B0D41">
      <w:pPr>
        <w:rPr>
          <w:lang w:val="en-IN"/>
        </w:rPr>
      </w:pPr>
      <w:r w:rsidRPr="000616E4">
        <w:rPr>
          <w:lang w:val="en-IN"/>
        </w:rPr>
        <w:t>Financial restructuring should also consider IHG's wider responsibilities to employees, investors, hotel owners, suppliers, customers and local communities. Cost reductions or asset disposals may strengthen short-term financial performance but could create negative consequences if they result in excessive workforce reductions, deteriorating employment conditions or disruption to important stakeholder relationships. Restructuring should therefore focus on long-term efficiency rather than purely short-term cost minimisation</w:t>
      </w:r>
      <w:r w:rsidR="00834B2F" w:rsidRPr="000616E4">
        <w:rPr>
          <w:lang w:val="en-IN"/>
        </w:rPr>
        <w:t xml:space="preserve"> (</w:t>
      </w:r>
      <w:r w:rsidR="00834B2F" w:rsidRPr="000616E4">
        <w:t>Jerab and Mabrouk, 2023</w:t>
      </w:r>
      <w:r w:rsidR="00834B2F" w:rsidRPr="000616E4">
        <w:rPr>
          <w:lang w:val="en-IN"/>
        </w:rPr>
        <w:t>)</w:t>
      </w:r>
      <w:r w:rsidRPr="000616E4">
        <w:rPr>
          <w:lang w:val="en-IN"/>
        </w:rPr>
        <w:t>.</w:t>
      </w:r>
    </w:p>
    <w:p w14:paraId="65BABDDC" w14:textId="315F2962" w:rsidR="00FB30E2" w:rsidRPr="000616E4" w:rsidRDefault="00FB30E2" w:rsidP="002B0D41">
      <w:pPr>
        <w:rPr>
          <w:lang w:val="en-IN"/>
        </w:rPr>
      </w:pPr>
      <w:r w:rsidRPr="000616E4">
        <w:rPr>
          <w:lang w:val="en-IN"/>
        </w:rPr>
        <w:t>IHG should also protect strategically important ESG investments when allocating capital. Reducing debt should not result in underinvestment in energy efficiency, responsible resource consumption or other initiatives that can strengthen long-term competitiveness and reduce environmental risks. Similarly, international tax management should remain transparent and compliant with relevant regulations to minimise reputational and governance concerns</w:t>
      </w:r>
      <w:r w:rsidR="00137623" w:rsidRPr="000616E4">
        <w:rPr>
          <w:lang w:val="en-IN"/>
        </w:rPr>
        <w:t xml:space="preserve"> (</w:t>
      </w:r>
      <w:r w:rsidR="00137623" w:rsidRPr="000616E4">
        <w:t xml:space="preserve">Elumilade </w:t>
      </w:r>
      <w:r w:rsidR="00137623" w:rsidRPr="000616E4">
        <w:rPr>
          <w:i/>
          <w:iCs/>
        </w:rPr>
        <w:t>et al.,</w:t>
      </w:r>
      <w:r w:rsidR="00137623" w:rsidRPr="000616E4">
        <w:t xml:space="preserve"> 2022</w:t>
      </w:r>
      <w:r w:rsidR="00137623" w:rsidRPr="000616E4">
        <w:rPr>
          <w:lang w:val="en-IN"/>
        </w:rPr>
        <w:t>)</w:t>
      </w:r>
      <w:r w:rsidRPr="000616E4">
        <w:rPr>
          <w:lang w:val="en-IN"/>
        </w:rPr>
        <w:t>.</w:t>
      </w:r>
    </w:p>
    <w:p w14:paraId="481288B3" w14:textId="361B4A83" w:rsidR="00FB30E2" w:rsidRPr="000616E4" w:rsidRDefault="003B7BBA" w:rsidP="002B0D41">
      <w:pPr>
        <w:rPr>
          <w:lang w:val="en-IN"/>
        </w:rPr>
      </w:pPr>
      <w:r w:rsidRPr="000616E4">
        <w:rPr>
          <w:lang w:val="en-IN"/>
        </w:rPr>
        <w:t>The</w:t>
      </w:r>
      <w:r w:rsidR="00FB30E2" w:rsidRPr="000616E4">
        <w:rPr>
          <w:lang w:val="en-IN"/>
        </w:rPr>
        <w:t xml:space="preserve"> proposed restructuring strategy should balance shareholder value with broader stakeholder interests. Using strong internally generated cash flows to gradually reduce leverage, refinancing debt where economically beneficial and selectively divesting genuinely non-core assets offers a comparatively balanced approach. Such restructuring would allow IHG to address its rising financial risk while maintaining operational flexibility, supporting responsible investment and protecting its capacity to generate sustainable long-term value.</w:t>
      </w:r>
    </w:p>
    <w:p w14:paraId="345B8A42" w14:textId="77777777" w:rsidR="009C588E" w:rsidRPr="009C588E" w:rsidRDefault="009C588E" w:rsidP="002B0D41">
      <w:pPr>
        <w:pStyle w:val="Heading1"/>
      </w:pPr>
      <w:bookmarkStart w:id="25" w:name="_Toc235636781"/>
      <w:r w:rsidRPr="009C588E">
        <w:t>5. Investment Appraisal and Capital Budgeting</w:t>
      </w:r>
      <w:bookmarkEnd w:id="25"/>
    </w:p>
    <w:p w14:paraId="36D3DC72" w14:textId="44CECB5B" w:rsidR="009C588E" w:rsidRPr="009C588E" w:rsidRDefault="009C588E" w:rsidP="002B0D41">
      <w:pPr>
        <w:rPr>
          <w:lang w:val="en-IN"/>
        </w:rPr>
      </w:pPr>
      <w:r w:rsidRPr="009C588E">
        <w:rPr>
          <w:lang w:val="en-IN"/>
        </w:rPr>
        <w:t>Investment appraisal is essential for supporting long-term capital allocation decisions because investment projects typically involve substantial initial expenditure and uncertain future cash flows</w:t>
      </w:r>
      <w:r w:rsidR="00062562">
        <w:rPr>
          <w:lang w:val="en-IN"/>
        </w:rPr>
        <w:t xml:space="preserve"> (</w:t>
      </w:r>
      <w:r w:rsidR="00062562" w:rsidRPr="00062562">
        <w:t>Jain, 2024</w:t>
      </w:r>
      <w:r w:rsidR="00062562">
        <w:rPr>
          <w:lang w:val="en-IN"/>
        </w:rPr>
        <w:t>)</w:t>
      </w:r>
      <w:r w:rsidRPr="009C588E">
        <w:rPr>
          <w:lang w:val="en-IN"/>
        </w:rPr>
        <w:t xml:space="preserve">. For InterContinental Hotels Group (IHG), effective capital budgeting is particularly important given the contrasting features of its </w:t>
      </w:r>
      <w:r w:rsidRPr="009C588E">
        <w:rPr>
          <w:lang w:val="en-IN"/>
        </w:rPr>
        <w:lastRenderedPageBreak/>
        <w:t xml:space="preserve">current financial position. While the Group generated strong operating cash flows and improved profitability during 2021–2025, it also experienced weaker liquidity and rising financial leverage. Consequently, proposed investments should not only generate adequate financial returns </w:t>
      </w:r>
      <w:r w:rsidRPr="000616E4">
        <w:rPr>
          <w:lang w:val="en-IN"/>
        </w:rPr>
        <w:t>but should also be assessed in relation to their impact on liquidity, debt exposure and overall financial flexibility. The three proposed projects</w:t>
      </w:r>
      <w:r w:rsidR="00AD107C" w:rsidRPr="000616E4">
        <w:rPr>
          <w:lang w:val="en-IN"/>
        </w:rPr>
        <w:t xml:space="preserve">, </w:t>
      </w:r>
      <w:r w:rsidRPr="000616E4">
        <w:rPr>
          <w:lang w:val="en-IN"/>
        </w:rPr>
        <w:t>A, B and C</w:t>
      </w:r>
      <w:r w:rsidR="00316CD9" w:rsidRPr="000616E4">
        <w:rPr>
          <w:lang w:val="en-IN"/>
        </w:rPr>
        <w:t xml:space="preserve">, </w:t>
      </w:r>
      <w:r w:rsidRPr="000616E4">
        <w:rPr>
          <w:lang w:val="en-IN"/>
        </w:rPr>
        <w:t>each require an initial investment of £50 million and have been evaluated over five years using an 8% required rate of return. Five investment appraisal techniques are applied: Payback Period (PBP), Accounting Rate of Return (ARR), Net Present Value (NPV), Profitability Index (PI) and Internal Rate of Return (IRR).</w:t>
      </w:r>
    </w:p>
    <w:p w14:paraId="78BCCC6A" w14:textId="77777777" w:rsidR="009C588E" w:rsidRPr="009C588E" w:rsidRDefault="009C588E" w:rsidP="002B0D41">
      <w:pPr>
        <w:pStyle w:val="Heading2"/>
        <w:rPr>
          <w:lang w:val="en-IN"/>
        </w:rPr>
      </w:pPr>
      <w:bookmarkStart w:id="26" w:name="_Toc235636782"/>
      <w:r w:rsidRPr="009C588E">
        <w:rPr>
          <w:lang w:val="en-IN"/>
        </w:rPr>
        <w:t>5.1 Investment Appraisal Methods</w:t>
      </w:r>
      <w:bookmarkEnd w:id="26"/>
    </w:p>
    <w:p w14:paraId="7DFAF7E3" w14:textId="770BFF29" w:rsidR="009C588E" w:rsidRPr="00C153B1" w:rsidRDefault="009C588E" w:rsidP="002B0D41">
      <w:pPr>
        <w:rPr>
          <w:lang w:val="en-IN"/>
        </w:rPr>
      </w:pPr>
      <w:r w:rsidRPr="00C153B1">
        <w:rPr>
          <w:lang w:val="en-IN"/>
        </w:rPr>
        <w:t>The Payback Period (PBP) measures the time required for cumulative cash inflows to recover the initial investment</w:t>
      </w:r>
      <w:r w:rsidR="00DD01A3" w:rsidRPr="00C153B1">
        <w:rPr>
          <w:lang w:val="en-IN"/>
        </w:rPr>
        <w:t xml:space="preserve"> (</w:t>
      </w:r>
      <w:r w:rsidR="00DD01A3" w:rsidRPr="00C153B1">
        <w:t xml:space="preserve">Sinaga </w:t>
      </w:r>
      <w:r w:rsidR="00DD01A3" w:rsidRPr="00C153B1">
        <w:rPr>
          <w:i/>
          <w:iCs/>
        </w:rPr>
        <w:t>et al.,</w:t>
      </w:r>
      <w:r w:rsidR="00DD01A3" w:rsidRPr="00C153B1">
        <w:t xml:space="preserve"> 2023</w:t>
      </w:r>
      <w:r w:rsidR="00DD01A3" w:rsidRPr="00C153B1">
        <w:rPr>
          <w:lang w:val="en-IN"/>
        </w:rPr>
        <w:t>)</w:t>
      </w:r>
      <w:r w:rsidRPr="00C153B1">
        <w:rPr>
          <w:lang w:val="en-IN"/>
        </w:rPr>
        <w:t>. Its principal advantage is simplicity and its emphasis on liquidity and investment risk. This is relevant to IHG because the Group reported negative net working capital of $51 million in 2025. However, PBP ignores the time value of money and cash flows generated after the payback point, meaning that it should not be used independently to determine shareholder value creation.</w:t>
      </w:r>
    </w:p>
    <w:p w14:paraId="2004C98F" w14:textId="77777777" w:rsidR="009C588E" w:rsidRPr="00C153B1" w:rsidRDefault="009C588E" w:rsidP="002B0D41">
      <w:pPr>
        <w:rPr>
          <w:lang w:val="en-IN"/>
        </w:rPr>
      </w:pPr>
      <w:r w:rsidRPr="00C153B1">
        <w:rPr>
          <w:lang w:val="en-IN"/>
        </w:rPr>
        <w:t>The Accounting Rate of Return (ARR) evaluates average accounting profit relative to average investment:</w:t>
      </w:r>
    </w:p>
    <w:p w14:paraId="72B543CB" w14:textId="77777777" w:rsidR="009C588E" w:rsidRPr="009C588E" w:rsidRDefault="009C588E" w:rsidP="002B0D41">
      <w:pPr>
        <w:rPr>
          <w:lang w:val="en-IN"/>
        </w:rPr>
      </w:pPr>
      <w:r w:rsidRPr="009C588E">
        <w:rPr>
          <w:b/>
          <w:bCs/>
          <w:lang w:val="en-IN"/>
        </w:rPr>
        <w:t>ARR = Average Annual Accounting Profit ÷ Average Investment × 100</w:t>
      </w:r>
    </w:p>
    <w:p w14:paraId="2EF6C293" w14:textId="77777777" w:rsidR="009C588E" w:rsidRPr="009C588E" w:rsidRDefault="009C588E" w:rsidP="002B0D41">
      <w:pPr>
        <w:rPr>
          <w:lang w:val="en-IN"/>
        </w:rPr>
      </w:pPr>
      <w:r w:rsidRPr="009C588E">
        <w:rPr>
          <w:lang w:val="en-IN"/>
        </w:rPr>
        <w:t>ARR is straightforward and uses accounting profitability, but it does not directly consider project cash flows or the time value of money.</w:t>
      </w:r>
    </w:p>
    <w:p w14:paraId="4B9356BF" w14:textId="77777777" w:rsidR="009C588E" w:rsidRPr="00761109" w:rsidRDefault="009C588E" w:rsidP="002B0D41">
      <w:pPr>
        <w:rPr>
          <w:lang w:val="en-IN"/>
        </w:rPr>
      </w:pPr>
      <w:r w:rsidRPr="00761109">
        <w:rPr>
          <w:lang w:val="en-IN"/>
        </w:rPr>
        <w:t>The Net Present Value (NPV) discounts future project cash flows at the required return:</w:t>
      </w:r>
    </w:p>
    <w:p w14:paraId="6E73B2F4" w14:textId="77777777" w:rsidR="009C588E" w:rsidRPr="009C588E" w:rsidRDefault="009C588E" w:rsidP="002B0D41">
      <w:pPr>
        <w:rPr>
          <w:lang w:val="en-IN"/>
        </w:rPr>
      </w:pPr>
      <w:r w:rsidRPr="009C588E">
        <w:rPr>
          <w:b/>
          <w:bCs/>
          <w:lang w:val="en-IN"/>
        </w:rPr>
        <w:t>NPV = Present Value of Future Cash Inflows − Initial Investment</w:t>
      </w:r>
    </w:p>
    <w:p w14:paraId="67A5251D" w14:textId="77777777" w:rsidR="009C588E" w:rsidRPr="009C588E" w:rsidRDefault="009C588E" w:rsidP="002B0D41">
      <w:pPr>
        <w:rPr>
          <w:lang w:val="en-IN"/>
        </w:rPr>
      </w:pPr>
      <w:r w:rsidRPr="009C588E">
        <w:rPr>
          <w:lang w:val="en-IN"/>
        </w:rPr>
        <w:t>A positive NPV indicates expected shareholder value creation. NPV is therefore considered particularly relevant for choosing between mutually competing investments.</w:t>
      </w:r>
    </w:p>
    <w:p w14:paraId="458DA7B8" w14:textId="77777777" w:rsidR="009C588E" w:rsidRPr="008C5D49" w:rsidRDefault="009C588E" w:rsidP="002B0D41">
      <w:pPr>
        <w:rPr>
          <w:lang w:val="en-IN"/>
        </w:rPr>
      </w:pPr>
      <w:r w:rsidRPr="008C5D49">
        <w:rPr>
          <w:lang w:val="en-IN"/>
        </w:rPr>
        <w:t>The Profitability Index (PI) is:</w:t>
      </w:r>
    </w:p>
    <w:p w14:paraId="6668240B" w14:textId="77777777" w:rsidR="009C588E" w:rsidRPr="009C588E" w:rsidRDefault="009C588E" w:rsidP="002B0D41">
      <w:pPr>
        <w:rPr>
          <w:lang w:val="en-IN"/>
        </w:rPr>
      </w:pPr>
      <w:r w:rsidRPr="009C588E">
        <w:rPr>
          <w:b/>
          <w:bCs/>
          <w:lang w:val="en-IN"/>
        </w:rPr>
        <w:t>PI = Present Value of Future Cash Inflows ÷ Initial Investment</w:t>
      </w:r>
    </w:p>
    <w:p w14:paraId="443BB0E8" w14:textId="77777777" w:rsidR="009C588E" w:rsidRPr="009C588E" w:rsidRDefault="009C588E" w:rsidP="002B0D41">
      <w:pPr>
        <w:rPr>
          <w:lang w:val="en-IN"/>
        </w:rPr>
      </w:pPr>
      <w:r w:rsidRPr="009C588E">
        <w:rPr>
          <w:lang w:val="en-IN"/>
        </w:rPr>
        <w:lastRenderedPageBreak/>
        <w:t>A PI above 1 indicates an acceptable investment and is particularly useful where capital is constrained.</w:t>
      </w:r>
    </w:p>
    <w:p w14:paraId="40FE983C" w14:textId="51DEC768" w:rsidR="009C588E" w:rsidRPr="009C588E" w:rsidRDefault="009C588E" w:rsidP="002B0D41">
      <w:pPr>
        <w:rPr>
          <w:lang w:val="en-IN"/>
        </w:rPr>
      </w:pPr>
      <w:r w:rsidRPr="00B35CC7">
        <w:rPr>
          <w:lang w:val="en-IN"/>
        </w:rPr>
        <w:t>IRR represents</w:t>
      </w:r>
      <w:r w:rsidRPr="009C588E">
        <w:rPr>
          <w:lang w:val="en-IN"/>
        </w:rPr>
        <w:t xml:space="preserve"> the discount rate at which NPV equals zero. A project is normally acceptable where its IRR exceeds the required return. However, IRR can sometimes produce misleading rankings for projects with unusual cash-flow patterns. Consequently, the five techniques should be interpreted collectively, with greater emphasis placed on NPV for value-maximising decisions.</w:t>
      </w:r>
    </w:p>
    <w:p w14:paraId="02231B7B" w14:textId="77777777" w:rsidR="009C588E" w:rsidRPr="009C588E" w:rsidRDefault="009C588E" w:rsidP="002B0D41">
      <w:pPr>
        <w:pStyle w:val="Heading2"/>
        <w:rPr>
          <w:lang w:val="en-IN"/>
        </w:rPr>
      </w:pPr>
      <w:bookmarkStart w:id="27" w:name="_Toc235636783"/>
      <w:r w:rsidRPr="009C588E">
        <w:rPr>
          <w:lang w:val="en-IN"/>
        </w:rPr>
        <w:t>5.2 Comparative Project Evaluation</w:t>
      </w:r>
      <w:bookmarkEnd w:id="27"/>
    </w:p>
    <w:p w14:paraId="17E1DD75" w14:textId="77777777" w:rsidR="009C588E" w:rsidRPr="009C588E" w:rsidRDefault="009C588E" w:rsidP="002B0D41">
      <w:pPr>
        <w:rPr>
          <w:lang w:val="en-IN"/>
        </w:rPr>
      </w:pPr>
      <w:r w:rsidRPr="009C588E">
        <w:rPr>
          <w:lang w:val="en-IN"/>
        </w:rPr>
        <w:t>The financial outcomes for Projects A, B and C demonstrate significant differences in their attractiveness.</w:t>
      </w:r>
    </w:p>
    <w:p w14:paraId="0F024542" w14:textId="48D40147" w:rsidR="0017493B" w:rsidRPr="0017493B" w:rsidRDefault="0017493B" w:rsidP="002B0D41">
      <w:pPr>
        <w:pStyle w:val="Caption"/>
        <w:keepNext/>
        <w:spacing w:line="360" w:lineRule="auto"/>
        <w:jc w:val="center"/>
        <w:rPr>
          <w:color w:val="000000" w:themeColor="text1"/>
          <w:sz w:val="24"/>
          <w:szCs w:val="24"/>
        </w:rPr>
      </w:pPr>
      <w:r w:rsidRPr="0017493B">
        <w:rPr>
          <w:color w:val="000000" w:themeColor="text1"/>
          <w:sz w:val="24"/>
          <w:szCs w:val="24"/>
        </w:rPr>
        <w:t xml:space="preserve">Table </w:t>
      </w:r>
      <w:r w:rsidRPr="0017493B">
        <w:rPr>
          <w:color w:val="000000" w:themeColor="text1"/>
          <w:sz w:val="24"/>
          <w:szCs w:val="24"/>
        </w:rPr>
        <w:fldChar w:fldCharType="begin"/>
      </w:r>
      <w:r w:rsidRPr="0017493B">
        <w:rPr>
          <w:color w:val="000000" w:themeColor="text1"/>
          <w:sz w:val="24"/>
          <w:szCs w:val="24"/>
        </w:rPr>
        <w:instrText xml:space="preserve"> SEQ Table \* ARABIC </w:instrText>
      </w:r>
      <w:r w:rsidRPr="0017493B">
        <w:rPr>
          <w:color w:val="000000" w:themeColor="text1"/>
          <w:sz w:val="24"/>
          <w:szCs w:val="24"/>
        </w:rPr>
        <w:fldChar w:fldCharType="separate"/>
      </w:r>
      <w:r>
        <w:rPr>
          <w:noProof/>
          <w:color w:val="000000" w:themeColor="text1"/>
          <w:sz w:val="24"/>
          <w:szCs w:val="24"/>
        </w:rPr>
        <w:t>1</w:t>
      </w:r>
      <w:r w:rsidRPr="0017493B">
        <w:rPr>
          <w:color w:val="000000" w:themeColor="text1"/>
          <w:sz w:val="24"/>
          <w:szCs w:val="24"/>
        </w:rPr>
        <w:fldChar w:fldCharType="end"/>
      </w:r>
      <w:r w:rsidRPr="0017493B">
        <w:rPr>
          <w:color w:val="000000" w:themeColor="text1"/>
          <w:sz w:val="24"/>
          <w:szCs w:val="24"/>
        </w:rPr>
        <w:t>: Investment Appraisal Results</w:t>
      </w:r>
    </w:p>
    <w:tbl>
      <w:tblPr>
        <w:tblStyle w:val="ListTable3-Accent6"/>
        <w:tblW w:w="0" w:type="auto"/>
        <w:jc w:val="center"/>
        <w:tblLook w:val="04A0" w:firstRow="1" w:lastRow="0" w:firstColumn="1" w:lastColumn="0" w:noHBand="0" w:noVBand="1"/>
      </w:tblPr>
      <w:tblGrid>
        <w:gridCol w:w="3723"/>
        <w:gridCol w:w="1203"/>
        <w:gridCol w:w="1203"/>
        <w:gridCol w:w="1203"/>
      </w:tblGrid>
      <w:tr w:rsidR="009C588E" w:rsidRPr="009C588E" w14:paraId="0BB2C2EA" w14:textId="77777777" w:rsidTr="0053665F">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58678D3" w14:textId="77777777" w:rsidR="009C588E" w:rsidRPr="009C588E" w:rsidRDefault="009C588E" w:rsidP="002B0D41">
            <w:pPr>
              <w:pStyle w:val="NoSpacing"/>
              <w:spacing w:line="360" w:lineRule="auto"/>
              <w:rPr>
                <w:lang w:val="en-IN"/>
              </w:rPr>
            </w:pPr>
            <w:r w:rsidRPr="009C588E">
              <w:rPr>
                <w:lang w:val="en-IN"/>
              </w:rPr>
              <w:t>Appraisal Method</w:t>
            </w:r>
          </w:p>
        </w:tc>
        <w:tc>
          <w:tcPr>
            <w:tcW w:w="0" w:type="auto"/>
            <w:hideMark/>
          </w:tcPr>
          <w:p w14:paraId="22D60C5F" w14:textId="77777777" w:rsidR="009C588E" w:rsidRPr="009C588E" w:rsidRDefault="009C588E" w:rsidP="002B0D41">
            <w:pPr>
              <w:pStyle w:val="NoSpacing"/>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9C588E">
              <w:rPr>
                <w:lang w:val="en-IN"/>
              </w:rPr>
              <w:t>Project A</w:t>
            </w:r>
          </w:p>
        </w:tc>
        <w:tc>
          <w:tcPr>
            <w:tcW w:w="0" w:type="auto"/>
            <w:hideMark/>
          </w:tcPr>
          <w:p w14:paraId="08A56A90" w14:textId="77777777" w:rsidR="009C588E" w:rsidRPr="009C588E" w:rsidRDefault="009C588E" w:rsidP="002B0D41">
            <w:pPr>
              <w:pStyle w:val="NoSpacing"/>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9C588E">
              <w:rPr>
                <w:lang w:val="en-IN"/>
              </w:rPr>
              <w:t>Project B</w:t>
            </w:r>
          </w:p>
        </w:tc>
        <w:tc>
          <w:tcPr>
            <w:tcW w:w="0" w:type="auto"/>
            <w:hideMark/>
          </w:tcPr>
          <w:p w14:paraId="4CF5C5D1" w14:textId="77777777" w:rsidR="009C588E" w:rsidRPr="009C588E" w:rsidRDefault="009C588E" w:rsidP="002B0D41">
            <w:pPr>
              <w:pStyle w:val="NoSpacing"/>
              <w:spacing w:line="360" w:lineRule="auto"/>
              <w:cnfStyle w:val="100000000000" w:firstRow="1" w:lastRow="0" w:firstColumn="0" w:lastColumn="0" w:oddVBand="0" w:evenVBand="0" w:oddHBand="0" w:evenHBand="0" w:firstRowFirstColumn="0" w:firstRowLastColumn="0" w:lastRowFirstColumn="0" w:lastRowLastColumn="0"/>
              <w:rPr>
                <w:lang w:val="en-IN"/>
              </w:rPr>
            </w:pPr>
            <w:r w:rsidRPr="009C588E">
              <w:rPr>
                <w:lang w:val="en-IN"/>
              </w:rPr>
              <w:t>Project C</w:t>
            </w:r>
          </w:p>
        </w:tc>
      </w:tr>
      <w:tr w:rsidR="009C588E" w:rsidRPr="009C588E" w14:paraId="3673D487" w14:textId="77777777" w:rsidTr="005366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EC3245" w14:textId="77777777" w:rsidR="009C588E" w:rsidRPr="009C588E" w:rsidRDefault="009C588E" w:rsidP="002B0D41">
            <w:pPr>
              <w:pStyle w:val="NoSpacing"/>
              <w:spacing w:line="360" w:lineRule="auto"/>
              <w:rPr>
                <w:lang w:val="en-IN"/>
              </w:rPr>
            </w:pPr>
            <w:r w:rsidRPr="009C588E">
              <w:rPr>
                <w:lang w:val="en-IN"/>
              </w:rPr>
              <w:t>Payback Period (PBP)</w:t>
            </w:r>
          </w:p>
        </w:tc>
        <w:tc>
          <w:tcPr>
            <w:tcW w:w="0" w:type="auto"/>
            <w:hideMark/>
          </w:tcPr>
          <w:p w14:paraId="775161CC" w14:textId="77777777" w:rsidR="009C588E" w:rsidRPr="009C588E"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9C588E">
              <w:rPr>
                <w:lang w:val="en-IN"/>
              </w:rPr>
              <w:t>4.50 years</w:t>
            </w:r>
          </w:p>
        </w:tc>
        <w:tc>
          <w:tcPr>
            <w:tcW w:w="0" w:type="auto"/>
            <w:hideMark/>
          </w:tcPr>
          <w:p w14:paraId="0821BC0F" w14:textId="77777777" w:rsidR="009C588E" w:rsidRPr="009C588E"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9C588E">
              <w:rPr>
                <w:lang w:val="en-IN"/>
              </w:rPr>
              <w:t>4.55 years</w:t>
            </w:r>
          </w:p>
        </w:tc>
        <w:tc>
          <w:tcPr>
            <w:tcW w:w="0" w:type="auto"/>
            <w:hideMark/>
          </w:tcPr>
          <w:p w14:paraId="11384320" w14:textId="77777777" w:rsidR="009C588E" w:rsidRPr="009C588E"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9C588E">
              <w:rPr>
                <w:lang w:val="en-IN"/>
              </w:rPr>
              <w:t>3.60 years</w:t>
            </w:r>
          </w:p>
        </w:tc>
      </w:tr>
      <w:tr w:rsidR="009C588E" w:rsidRPr="009C588E" w14:paraId="071CC60B" w14:textId="77777777" w:rsidTr="0053665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AD17D6" w14:textId="77777777" w:rsidR="009C588E" w:rsidRPr="009C588E" w:rsidRDefault="009C588E" w:rsidP="002B0D41">
            <w:pPr>
              <w:pStyle w:val="NoSpacing"/>
              <w:spacing w:line="360" w:lineRule="auto"/>
              <w:rPr>
                <w:lang w:val="en-IN"/>
              </w:rPr>
            </w:pPr>
            <w:r w:rsidRPr="009C588E">
              <w:rPr>
                <w:lang w:val="en-IN"/>
              </w:rPr>
              <w:t>Accounting Rate of Return (ARR)</w:t>
            </w:r>
          </w:p>
        </w:tc>
        <w:tc>
          <w:tcPr>
            <w:tcW w:w="0" w:type="auto"/>
            <w:hideMark/>
          </w:tcPr>
          <w:p w14:paraId="4F782995" w14:textId="77777777" w:rsidR="009C588E" w:rsidRPr="009C588E"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9C588E">
              <w:rPr>
                <w:lang w:val="en-IN"/>
              </w:rPr>
              <w:t>3.20%</w:t>
            </w:r>
          </w:p>
        </w:tc>
        <w:tc>
          <w:tcPr>
            <w:tcW w:w="0" w:type="auto"/>
            <w:hideMark/>
          </w:tcPr>
          <w:p w14:paraId="4FE025D9" w14:textId="77777777" w:rsidR="009C588E" w:rsidRPr="009C588E"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9C588E">
              <w:rPr>
                <w:lang w:val="en-IN"/>
              </w:rPr>
              <w:t>4.00%</w:t>
            </w:r>
          </w:p>
        </w:tc>
        <w:tc>
          <w:tcPr>
            <w:tcW w:w="0" w:type="auto"/>
            <w:hideMark/>
          </w:tcPr>
          <w:p w14:paraId="6518E52C" w14:textId="77777777" w:rsidR="009C588E" w:rsidRPr="009C588E"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9C588E">
              <w:rPr>
                <w:lang w:val="en-IN"/>
              </w:rPr>
              <w:t>12.00%</w:t>
            </w:r>
          </w:p>
        </w:tc>
      </w:tr>
      <w:tr w:rsidR="009C588E" w:rsidRPr="009C588E" w14:paraId="12E0E66A" w14:textId="77777777" w:rsidTr="005366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E64D8A" w14:textId="77777777" w:rsidR="009C588E" w:rsidRPr="009C588E" w:rsidRDefault="009C588E" w:rsidP="002B0D41">
            <w:pPr>
              <w:pStyle w:val="NoSpacing"/>
              <w:spacing w:line="360" w:lineRule="auto"/>
              <w:rPr>
                <w:lang w:val="en-IN"/>
              </w:rPr>
            </w:pPr>
            <w:r w:rsidRPr="009C588E">
              <w:rPr>
                <w:lang w:val="en-IN"/>
              </w:rPr>
              <w:t>NPV @ 8%</w:t>
            </w:r>
          </w:p>
        </w:tc>
        <w:tc>
          <w:tcPr>
            <w:tcW w:w="0" w:type="auto"/>
            <w:hideMark/>
          </w:tcPr>
          <w:p w14:paraId="1F399428" w14:textId="77777777" w:rsidR="009C588E" w:rsidRPr="009C588E"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9C588E">
              <w:rPr>
                <w:lang w:val="en-IN"/>
              </w:rPr>
              <w:t>−£6.54m</w:t>
            </w:r>
          </w:p>
        </w:tc>
        <w:tc>
          <w:tcPr>
            <w:tcW w:w="0" w:type="auto"/>
            <w:hideMark/>
          </w:tcPr>
          <w:p w14:paraId="7EF58118" w14:textId="77777777" w:rsidR="009C588E" w:rsidRPr="009C588E"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9C588E">
              <w:rPr>
                <w:lang w:val="en-IN"/>
              </w:rPr>
              <w:t>−£6.08m</w:t>
            </w:r>
          </w:p>
        </w:tc>
        <w:tc>
          <w:tcPr>
            <w:tcW w:w="0" w:type="auto"/>
            <w:hideMark/>
          </w:tcPr>
          <w:p w14:paraId="2B666943" w14:textId="77777777" w:rsidR="009C588E" w:rsidRPr="009C588E"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9C588E">
              <w:rPr>
                <w:lang w:val="en-IN"/>
              </w:rPr>
              <w:t>+£0.86m</w:t>
            </w:r>
          </w:p>
        </w:tc>
      </w:tr>
      <w:tr w:rsidR="009C588E" w:rsidRPr="009C588E" w14:paraId="4C59F800" w14:textId="77777777" w:rsidTr="0053665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F43764" w14:textId="77777777" w:rsidR="009C588E" w:rsidRPr="009C588E" w:rsidRDefault="009C588E" w:rsidP="002B0D41">
            <w:pPr>
              <w:pStyle w:val="NoSpacing"/>
              <w:spacing w:line="360" w:lineRule="auto"/>
              <w:rPr>
                <w:lang w:val="en-IN"/>
              </w:rPr>
            </w:pPr>
            <w:r w:rsidRPr="009C588E">
              <w:rPr>
                <w:lang w:val="en-IN"/>
              </w:rPr>
              <w:t>Profitability Index (PI)</w:t>
            </w:r>
          </w:p>
        </w:tc>
        <w:tc>
          <w:tcPr>
            <w:tcW w:w="0" w:type="auto"/>
            <w:hideMark/>
          </w:tcPr>
          <w:p w14:paraId="2BFDCABA" w14:textId="77777777" w:rsidR="009C588E" w:rsidRPr="009C588E"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9C588E">
              <w:rPr>
                <w:lang w:val="en-IN"/>
              </w:rPr>
              <w:t>0.869</w:t>
            </w:r>
          </w:p>
        </w:tc>
        <w:tc>
          <w:tcPr>
            <w:tcW w:w="0" w:type="auto"/>
            <w:hideMark/>
          </w:tcPr>
          <w:p w14:paraId="4256FB6A" w14:textId="77777777" w:rsidR="009C588E" w:rsidRPr="009C588E"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9C588E">
              <w:rPr>
                <w:lang w:val="en-IN"/>
              </w:rPr>
              <w:t>0.878</w:t>
            </w:r>
          </w:p>
        </w:tc>
        <w:tc>
          <w:tcPr>
            <w:tcW w:w="0" w:type="auto"/>
            <w:hideMark/>
          </w:tcPr>
          <w:p w14:paraId="1DF7F40A" w14:textId="77777777" w:rsidR="009C588E" w:rsidRPr="009C588E"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lang w:val="en-IN"/>
              </w:rPr>
            </w:pPr>
            <w:r w:rsidRPr="009C588E">
              <w:rPr>
                <w:lang w:val="en-IN"/>
              </w:rPr>
              <w:t>1.017</w:t>
            </w:r>
          </w:p>
        </w:tc>
      </w:tr>
      <w:tr w:rsidR="009C588E" w:rsidRPr="009C588E" w14:paraId="7EE565DA" w14:textId="77777777" w:rsidTr="005366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8C0612" w14:textId="77777777" w:rsidR="009C588E" w:rsidRPr="009C588E" w:rsidRDefault="009C588E" w:rsidP="002B0D41">
            <w:pPr>
              <w:pStyle w:val="NoSpacing"/>
              <w:spacing w:line="360" w:lineRule="auto"/>
              <w:rPr>
                <w:lang w:val="en-IN"/>
              </w:rPr>
            </w:pPr>
            <w:r w:rsidRPr="009C588E">
              <w:rPr>
                <w:lang w:val="en-IN"/>
              </w:rPr>
              <w:t>Internal Rate of Return (IRR)</w:t>
            </w:r>
          </w:p>
        </w:tc>
        <w:tc>
          <w:tcPr>
            <w:tcW w:w="0" w:type="auto"/>
            <w:hideMark/>
          </w:tcPr>
          <w:p w14:paraId="40D1B3DC" w14:textId="77777777" w:rsidR="009C588E" w:rsidRPr="009C588E"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9C588E">
              <w:rPr>
                <w:lang w:val="en-IN"/>
              </w:rPr>
              <w:t>2.72%</w:t>
            </w:r>
          </w:p>
        </w:tc>
        <w:tc>
          <w:tcPr>
            <w:tcW w:w="0" w:type="auto"/>
            <w:hideMark/>
          </w:tcPr>
          <w:p w14:paraId="47EDD829" w14:textId="77777777" w:rsidR="009C588E" w:rsidRPr="009C588E"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9C588E">
              <w:rPr>
                <w:lang w:val="en-IN"/>
              </w:rPr>
              <w:t>3.26%</w:t>
            </w:r>
          </w:p>
        </w:tc>
        <w:tc>
          <w:tcPr>
            <w:tcW w:w="0" w:type="auto"/>
            <w:hideMark/>
          </w:tcPr>
          <w:p w14:paraId="0A8A838D" w14:textId="77777777" w:rsidR="009C588E" w:rsidRPr="009C588E"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IN"/>
              </w:rPr>
            </w:pPr>
            <w:r w:rsidRPr="009C588E">
              <w:rPr>
                <w:lang w:val="en-IN"/>
              </w:rPr>
              <w:t>8.59%</w:t>
            </w:r>
          </w:p>
        </w:tc>
      </w:tr>
    </w:tbl>
    <w:p w14:paraId="1891FFF3" w14:textId="77777777" w:rsidR="009C588E" w:rsidRPr="0061657E" w:rsidRDefault="009C588E" w:rsidP="002B0D41">
      <w:pPr>
        <w:rPr>
          <w:lang w:val="en-IN"/>
        </w:rPr>
      </w:pPr>
      <w:r w:rsidRPr="0061657E">
        <w:rPr>
          <w:lang w:val="en-IN"/>
        </w:rPr>
        <w:t>The payback calculation initially favours Project C, which recovers its £50 million investment in approximately 3.60 years. Project A requires approximately 4.50 years, while Project B has the longest payback at approximately 4.55 years. Project C therefore exposes IHG's capital to investment risk for a shorter period. This is particularly valuable given the Group's current liquidity constraints.</w:t>
      </w:r>
    </w:p>
    <w:p w14:paraId="3414BE48" w14:textId="6F311951" w:rsidR="009C588E" w:rsidRPr="009C588E" w:rsidRDefault="009C588E" w:rsidP="002B0D41">
      <w:pPr>
        <w:rPr>
          <w:lang w:val="en-IN"/>
        </w:rPr>
      </w:pPr>
      <w:r w:rsidRPr="009C588E">
        <w:rPr>
          <w:lang w:val="en-IN"/>
        </w:rPr>
        <w:t xml:space="preserve">ARR also strongly favours Project C. As each project has a £50 million initial investment, zero residual value and </w:t>
      </w:r>
      <w:r w:rsidR="0025707B">
        <w:rPr>
          <w:lang w:val="en-IN"/>
        </w:rPr>
        <w:t xml:space="preserve">a </w:t>
      </w:r>
      <w:r w:rsidRPr="009C588E">
        <w:rPr>
          <w:lang w:val="en-IN"/>
        </w:rPr>
        <w:t>five-year life, annual straight-line depreciation is:</w:t>
      </w:r>
    </w:p>
    <w:p w14:paraId="1AD4A20E" w14:textId="77777777" w:rsidR="009C588E" w:rsidRPr="009C588E" w:rsidRDefault="009C588E" w:rsidP="002B0D41">
      <w:pPr>
        <w:rPr>
          <w:lang w:val="en-IN"/>
        </w:rPr>
      </w:pPr>
      <w:r w:rsidRPr="009C588E">
        <w:rPr>
          <w:b/>
          <w:bCs/>
          <w:lang w:val="en-IN"/>
        </w:rPr>
        <w:t>Depreciation = £50m ÷ 5 = £10m per year</w:t>
      </w:r>
    </w:p>
    <w:p w14:paraId="6A59BB04" w14:textId="77777777" w:rsidR="009C588E" w:rsidRPr="009C588E" w:rsidRDefault="009C588E" w:rsidP="002B0D41">
      <w:pPr>
        <w:rPr>
          <w:lang w:val="en-IN"/>
        </w:rPr>
      </w:pPr>
      <w:r w:rsidRPr="009C588E">
        <w:rPr>
          <w:lang w:val="en-IN"/>
        </w:rPr>
        <w:t>Average investment is:</w:t>
      </w:r>
    </w:p>
    <w:p w14:paraId="0F6870AF" w14:textId="77777777" w:rsidR="009C588E" w:rsidRPr="009C588E" w:rsidRDefault="009C588E" w:rsidP="002B0D41">
      <w:pPr>
        <w:rPr>
          <w:lang w:val="en-IN"/>
        </w:rPr>
      </w:pPr>
      <w:r w:rsidRPr="009C588E">
        <w:rPr>
          <w:b/>
          <w:bCs/>
          <w:lang w:val="en-IN"/>
        </w:rPr>
        <w:t>Average Investment = (£50m + £0m) ÷ 2 = £25m</w:t>
      </w:r>
    </w:p>
    <w:p w14:paraId="34B79017" w14:textId="77777777" w:rsidR="009C588E" w:rsidRPr="009C588E" w:rsidRDefault="009C588E" w:rsidP="002B0D41">
      <w:pPr>
        <w:rPr>
          <w:lang w:val="en-IN"/>
        </w:rPr>
      </w:pPr>
      <w:r w:rsidRPr="009C588E">
        <w:rPr>
          <w:lang w:val="en-IN"/>
        </w:rPr>
        <w:t>Project C generates total cash inflows of £65 million. Its average annual cash inflow is £13 million, producing average accounting profit of:</w:t>
      </w:r>
    </w:p>
    <w:p w14:paraId="011F83C6" w14:textId="77777777" w:rsidR="009C588E" w:rsidRPr="009C588E" w:rsidRDefault="009C588E" w:rsidP="002B0D41">
      <w:pPr>
        <w:rPr>
          <w:lang w:val="en-IN"/>
        </w:rPr>
      </w:pPr>
      <w:r w:rsidRPr="009C588E">
        <w:rPr>
          <w:b/>
          <w:bCs/>
          <w:lang w:val="en-IN"/>
        </w:rPr>
        <w:lastRenderedPageBreak/>
        <w:t>£13m − £10m depreciation = £3m</w:t>
      </w:r>
    </w:p>
    <w:p w14:paraId="310EE5FF" w14:textId="77777777" w:rsidR="009C588E" w:rsidRPr="009C588E" w:rsidRDefault="009C588E" w:rsidP="002B0D41">
      <w:pPr>
        <w:rPr>
          <w:lang w:val="en-IN"/>
        </w:rPr>
      </w:pPr>
      <w:r w:rsidRPr="009C588E">
        <w:rPr>
          <w:lang w:val="en-IN"/>
        </w:rPr>
        <w:t>Therefore:</w:t>
      </w:r>
    </w:p>
    <w:p w14:paraId="239A41C7" w14:textId="77777777" w:rsidR="009C588E" w:rsidRPr="009C588E" w:rsidRDefault="009C588E" w:rsidP="002B0D41">
      <w:pPr>
        <w:rPr>
          <w:lang w:val="en-IN"/>
        </w:rPr>
      </w:pPr>
      <w:r w:rsidRPr="009C588E">
        <w:rPr>
          <w:b/>
          <w:bCs/>
          <w:lang w:val="en-IN"/>
        </w:rPr>
        <w:t>ARR = £3m ÷ £25m × 100 = 12.00%</w:t>
      </w:r>
    </w:p>
    <w:p w14:paraId="6FDA41F9" w14:textId="77777777" w:rsidR="009C588E" w:rsidRPr="00EA2FD8" w:rsidRDefault="009C588E" w:rsidP="002B0D41">
      <w:pPr>
        <w:rPr>
          <w:lang w:val="en-IN"/>
        </w:rPr>
      </w:pPr>
      <w:r w:rsidRPr="00EA2FD8">
        <w:rPr>
          <w:lang w:val="en-IN"/>
        </w:rPr>
        <w:t>This is substantially higher than Project A's 3.20% and Project B's 4.00%.</w:t>
      </w:r>
    </w:p>
    <w:p w14:paraId="2321EB60" w14:textId="77777777" w:rsidR="009C588E" w:rsidRPr="00EA2FD8" w:rsidRDefault="009C588E" w:rsidP="002B0D41">
      <w:pPr>
        <w:rPr>
          <w:lang w:val="en-IN"/>
        </w:rPr>
      </w:pPr>
      <w:r w:rsidRPr="00EA2FD8">
        <w:rPr>
          <w:lang w:val="en-IN"/>
        </w:rPr>
        <w:t>NPV provides the strongest evidence supporting Project C because it explicitly incorporates the 8% cost of capital and the timing of cash flows. Project A produces an NPV of approximately −£6.54 million, while Project B generates approximately −£6.08 million. Both projects would therefore be expected to destroy economic value under the stated assumptions. In contrast, Project C produces a positive NPV of approximately £0.86 million, indicating that its discounted future cash inflows exceed its initial investment.</w:t>
      </w:r>
    </w:p>
    <w:p w14:paraId="674F921F" w14:textId="77777777" w:rsidR="009C588E" w:rsidRPr="00EA2FD8" w:rsidRDefault="009C588E" w:rsidP="002B0D41">
      <w:pPr>
        <w:rPr>
          <w:lang w:val="en-IN"/>
        </w:rPr>
      </w:pPr>
      <w:r w:rsidRPr="00EA2FD8">
        <w:rPr>
          <w:lang w:val="en-IN"/>
        </w:rPr>
        <w:t>The PI results reinforce this conclusion. Project A's PI of 0.869 and Project B's PI of 0.878 are below the acceptance threshold of 1. In contrast, Project C achieves 1.017, meaning it generates approximately £1.017 of present value for every £1 invested.</w:t>
      </w:r>
    </w:p>
    <w:p w14:paraId="72A59DB4" w14:textId="77777777" w:rsidR="009C588E" w:rsidRPr="00EA2FD8" w:rsidRDefault="009C588E" w:rsidP="002B0D41">
      <w:pPr>
        <w:rPr>
          <w:lang w:val="en-IN"/>
        </w:rPr>
      </w:pPr>
      <w:r w:rsidRPr="00EA2FD8">
        <w:rPr>
          <w:lang w:val="en-IN"/>
        </w:rPr>
        <w:t>Similarly, the IRRs for Projects A and B are only 2.72% and 3.26%, respectively, significantly below IHG's required 8% return. Project C achieves an IRR of approximately 8.59%, exceeding the hurdle rate. Therefore, all five appraisal techniques consistently identify Project C as the financially superior investment.</w:t>
      </w:r>
    </w:p>
    <w:p w14:paraId="569FF88D" w14:textId="77777777" w:rsidR="009C588E" w:rsidRPr="009C588E" w:rsidRDefault="009C588E" w:rsidP="002B0D41">
      <w:pPr>
        <w:pStyle w:val="Heading2"/>
        <w:rPr>
          <w:lang w:val="en-IN"/>
        </w:rPr>
      </w:pPr>
      <w:bookmarkStart w:id="28" w:name="_Toc235636784"/>
      <w:r w:rsidRPr="009C588E">
        <w:rPr>
          <w:lang w:val="en-IN"/>
        </w:rPr>
        <w:t>5.3 Recommended Investment Project</w:t>
      </w:r>
      <w:bookmarkEnd w:id="28"/>
    </w:p>
    <w:p w14:paraId="520F244B" w14:textId="1F4D3EAD" w:rsidR="009C588E" w:rsidRPr="004C6C68" w:rsidRDefault="009C588E" w:rsidP="002B0D41">
      <w:pPr>
        <w:rPr>
          <w:lang w:val="en-IN"/>
        </w:rPr>
      </w:pPr>
      <w:r w:rsidRPr="004C6C68">
        <w:rPr>
          <w:lang w:val="en-IN"/>
        </w:rPr>
        <w:t xml:space="preserve">Based on the quantitative analysis, IHG should proceed with Project C, subject to further strategic and risk assessment. It is the only project that meets both the NPV and IRR acceptance criteria. Its positive NPV of £0.86 million indicates expected value creation, while its 8.59% IRR exceeds the required 8% return. </w:t>
      </w:r>
      <w:r w:rsidR="0034423F">
        <w:rPr>
          <w:lang w:val="en-IN"/>
        </w:rPr>
        <w:t>The</w:t>
      </w:r>
      <w:r w:rsidRPr="004C6C68">
        <w:rPr>
          <w:lang w:val="en-IN"/>
        </w:rPr>
        <w:t xml:space="preserve"> PI of 1.017 confirms that the present value generated exceeds the required capital commitment. Project C also offers the shortest payback period of 3.60 years and the highest ARR of 12%, providing consistent support across all five appraisal methods.</w:t>
      </w:r>
    </w:p>
    <w:p w14:paraId="29F040BE" w14:textId="77777777" w:rsidR="009C588E" w:rsidRPr="009C588E" w:rsidRDefault="009C588E" w:rsidP="002B0D41">
      <w:pPr>
        <w:rPr>
          <w:lang w:val="en-IN"/>
        </w:rPr>
      </w:pPr>
      <w:r w:rsidRPr="009C588E">
        <w:rPr>
          <w:lang w:val="en-IN"/>
        </w:rPr>
        <w:t>However, the relatively modest margin between Project C's IRR of 8.59% and the 8% required return indicates that the investment may be sensitive to adverse changes in assumptions. Cost overruns, delays or lower-than-expected cash inflows could eliminate its positive NPV. Therefore, sensitivity and scenario analysis would strengthen the final decision before capital is committed.</w:t>
      </w:r>
    </w:p>
    <w:p w14:paraId="00F0774B" w14:textId="49A51F3A" w:rsidR="009C588E" w:rsidRPr="005C4D10" w:rsidRDefault="009C588E" w:rsidP="002B0D41">
      <w:pPr>
        <w:rPr>
          <w:lang w:val="en-IN"/>
        </w:rPr>
      </w:pPr>
      <w:r w:rsidRPr="005C4D10">
        <w:rPr>
          <w:lang w:val="en-IN"/>
        </w:rPr>
        <w:lastRenderedPageBreak/>
        <w:t>The recommendation must also be considered against IHG's wider financial position. The Group generated $898 million in net cash from operating activities and $893 million in adjusted free cash flow in 2025, providing substantial internal cash-generation capacity. This supports its ability to finance strategically valuable investment</w:t>
      </w:r>
      <w:r w:rsidR="0025707B" w:rsidRPr="005C4D10">
        <w:rPr>
          <w:lang w:val="en-IN"/>
        </w:rPr>
        <w:t>s</w:t>
      </w:r>
      <w:r w:rsidRPr="005C4D10">
        <w:rPr>
          <w:lang w:val="en-IN"/>
        </w:rPr>
        <w:t xml:space="preserve">. Conversely, the current ratio was only 0.98, net working capital was −$51 million, and the debt ratio had increased to approximately 78.60%. Therefore, financing Project C through significant additional borrowing could intensify financial risk. </w:t>
      </w:r>
    </w:p>
    <w:p w14:paraId="241D298D" w14:textId="49F36962" w:rsidR="009C588E" w:rsidRPr="005C4D10" w:rsidRDefault="009C588E" w:rsidP="002B0D41">
      <w:pPr>
        <w:rPr>
          <w:lang w:val="en-IN"/>
        </w:rPr>
      </w:pPr>
      <w:r w:rsidRPr="005C4D10">
        <w:rPr>
          <w:lang w:val="en-IN"/>
        </w:rPr>
        <w:t>Non-financial risks must also influence the decision. Political and geopolitical instability could affect tourism flows and operating conditions. Foreign exchange movements could alter returns where project cash flows are generated internationally. Customer loyalty and market demand are equally important because financial forecasts depend on sustained demand and competitive positioning. ESG and reputational considerations should also be assessed to ensure that the project aligns with IHG's wider sustainability commitments. Finally, execution risks</w:t>
      </w:r>
      <w:r w:rsidR="009874D5">
        <w:rPr>
          <w:lang w:val="en-IN"/>
        </w:rPr>
        <w:t xml:space="preserve"> </w:t>
      </w:r>
      <w:r w:rsidRPr="005C4D10">
        <w:rPr>
          <w:lang w:val="en-IN"/>
        </w:rPr>
        <w:t>including construction delays, implementation problems and cost escalation</w:t>
      </w:r>
      <w:r w:rsidR="006D3BF2">
        <w:rPr>
          <w:lang w:val="en-IN"/>
        </w:rPr>
        <w:t xml:space="preserve"> that </w:t>
      </w:r>
      <w:r w:rsidRPr="005C4D10">
        <w:rPr>
          <w:lang w:val="en-IN"/>
        </w:rPr>
        <w:t>should be incorporated into project monitoring. Project C is therefore financially preferable, but its positive value depends on disciplined risk management.</w:t>
      </w:r>
    </w:p>
    <w:p w14:paraId="0DCFCDA2" w14:textId="77777777" w:rsidR="009C588E" w:rsidRPr="009C588E" w:rsidRDefault="009C588E" w:rsidP="002B0D41">
      <w:pPr>
        <w:pStyle w:val="Heading2"/>
        <w:rPr>
          <w:lang w:val="en-IN"/>
        </w:rPr>
      </w:pPr>
      <w:bookmarkStart w:id="29" w:name="_Toc235636785"/>
      <w:r w:rsidRPr="009C588E">
        <w:rPr>
          <w:lang w:val="en-IN"/>
        </w:rPr>
        <w:t>5.4 Capital Rationing under the £100 Million Constraint</w:t>
      </w:r>
      <w:bookmarkEnd w:id="29"/>
    </w:p>
    <w:p w14:paraId="781082CC" w14:textId="77777777" w:rsidR="009C588E" w:rsidRPr="00D4403F" w:rsidRDefault="009C588E" w:rsidP="002B0D41">
      <w:pPr>
        <w:rPr>
          <w:lang w:val="en-IN"/>
        </w:rPr>
      </w:pPr>
      <w:r w:rsidRPr="00D4403F">
        <w:rPr>
          <w:lang w:val="en-IN"/>
        </w:rPr>
        <w:t>The capital rationing decision requires IHG to identify the most appropriate allocation of a maximum £100 million investment budget. Since each project requires £50 million, IHG could theoretically undertake two projects simultaneously.</w:t>
      </w:r>
    </w:p>
    <w:p w14:paraId="6278FF0F" w14:textId="5621B200" w:rsidR="0017493B" w:rsidRPr="0017493B" w:rsidRDefault="0017493B" w:rsidP="002B0D41">
      <w:pPr>
        <w:pStyle w:val="Caption"/>
        <w:keepNext/>
        <w:spacing w:line="360" w:lineRule="auto"/>
        <w:jc w:val="center"/>
        <w:rPr>
          <w:color w:val="000000" w:themeColor="text1"/>
          <w:sz w:val="24"/>
          <w:szCs w:val="24"/>
        </w:rPr>
      </w:pPr>
      <w:r w:rsidRPr="0017493B">
        <w:rPr>
          <w:color w:val="000000" w:themeColor="text1"/>
          <w:sz w:val="24"/>
          <w:szCs w:val="24"/>
        </w:rPr>
        <w:t xml:space="preserve">Table </w:t>
      </w:r>
      <w:r w:rsidRPr="0017493B">
        <w:rPr>
          <w:color w:val="000000" w:themeColor="text1"/>
          <w:sz w:val="24"/>
          <w:szCs w:val="24"/>
        </w:rPr>
        <w:fldChar w:fldCharType="begin"/>
      </w:r>
      <w:r w:rsidRPr="0017493B">
        <w:rPr>
          <w:color w:val="000000" w:themeColor="text1"/>
          <w:sz w:val="24"/>
          <w:szCs w:val="24"/>
        </w:rPr>
        <w:instrText xml:space="preserve"> SEQ Table \* ARABIC </w:instrText>
      </w:r>
      <w:r w:rsidRPr="0017493B">
        <w:rPr>
          <w:color w:val="000000" w:themeColor="text1"/>
          <w:sz w:val="24"/>
          <w:szCs w:val="24"/>
        </w:rPr>
        <w:fldChar w:fldCharType="separate"/>
      </w:r>
      <w:r w:rsidRPr="0017493B">
        <w:rPr>
          <w:noProof/>
          <w:color w:val="000000" w:themeColor="text1"/>
          <w:sz w:val="24"/>
          <w:szCs w:val="24"/>
        </w:rPr>
        <w:t>2</w:t>
      </w:r>
      <w:r w:rsidRPr="0017493B">
        <w:rPr>
          <w:color w:val="000000" w:themeColor="text1"/>
          <w:sz w:val="24"/>
          <w:szCs w:val="24"/>
        </w:rPr>
        <w:fldChar w:fldCharType="end"/>
      </w:r>
      <w:r w:rsidRPr="0017493B">
        <w:rPr>
          <w:color w:val="000000" w:themeColor="text1"/>
          <w:sz w:val="24"/>
          <w:szCs w:val="24"/>
        </w:rPr>
        <w:t>: Capital Rationing Analysis</w:t>
      </w:r>
    </w:p>
    <w:tbl>
      <w:tblPr>
        <w:tblStyle w:val="ListTable3-Accent6"/>
        <w:tblW w:w="0" w:type="auto"/>
        <w:tblLook w:val="04A0" w:firstRow="1" w:lastRow="0" w:firstColumn="1" w:lastColumn="0" w:noHBand="0" w:noVBand="1"/>
      </w:tblPr>
      <w:tblGrid>
        <w:gridCol w:w="1914"/>
        <w:gridCol w:w="1811"/>
        <w:gridCol w:w="1677"/>
        <w:gridCol w:w="3614"/>
      </w:tblGrid>
      <w:tr w:rsidR="009C588E" w:rsidRPr="00B06C35" w14:paraId="6FF7AE44" w14:textId="77777777" w:rsidTr="0017493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35C885C" w14:textId="77777777" w:rsidR="009C588E" w:rsidRPr="00B06C35" w:rsidRDefault="009C588E" w:rsidP="002B0D41">
            <w:pPr>
              <w:pStyle w:val="NoSpacing"/>
              <w:spacing w:line="360" w:lineRule="auto"/>
              <w:rPr>
                <w:rFonts w:ascii="Arial" w:hAnsi="Arial" w:cs="Arial"/>
                <w:lang w:val="en-IN"/>
              </w:rPr>
            </w:pPr>
            <w:r w:rsidRPr="00B06C35">
              <w:rPr>
                <w:rFonts w:ascii="Arial" w:hAnsi="Arial" w:cs="Arial"/>
                <w:lang w:val="en-IN"/>
              </w:rPr>
              <w:t>Investment Option</w:t>
            </w:r>
          </w:p>
        </w:tc>
        <w:tc>
          <w:tcPr>
            <w:tcW w:w="0" w:type="auto"/>
            <w:hideMark/>
          </w:tcPr>
          <w:p w14:paraId="6FE81DEA" w14:textId="77777777" w:rsidR="009C588E" w:rsidRPr="00B06C35" w:rsidRDefault="009C588E" w:rsidP="002B0D41">
            <w:pPr>
              <w:pStyle w:val="NoSpacing"/>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Total Investment</w:t>
            </w:r>
          </w:p>
        </w:tc>
        <w:tc>
          <w:tcPr>
            <w:tcW w:w="0" w:type="auto"/>
            <w:hideMark/>
          </w:tcPr>
          <w:p w14:paraId="36D09ACF" w14:textId="77777777" w:rsidR="009C588E" w:rsidRPr="00B06C35" w:rsidRDefault="009C588E" w:rsidP="002B0D41">
            <w:pPr>
              <w:pStyle w:val="NoSpacing"/>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Combined NPV</w:t>
            </w:r>
          </w:p>
        </w:tc>
        <w:tc>
          <w:tcPr>
            <w:tcW w:w="0" w:type="auto"/>
            <w:hideMark/>
          </w:tcPr>
          <w:p w14:paraId="7BCFDA53" w14:textId="77777777" w:rsidR="009C588E" w:rsidRPr="00B06C35" w:rsidRDefault="009C588E" w:rsidP="002B0D41">
            <w:pPr>
              <w:pStyle w:val="NoSpacing"/>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Assessment</w:t>
            </w:r>
          </w:p>
        </w:tc>
      </w:tr>
      <w:tr w:rsidR="009C588E" w:rsidRPr="00B06C35" w14:paraId="5DC96421" w14:textId="77777777" w:rsidTr="00174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E55A52" w14:textId="77777777" w:rsidR="009C588E" w:rsidRPr="00B06C35" w:rsidRDefault="009C588E" w:rsidP="002B0D41">
            <w:pPr>
              <w:pStyle w:val="NoSpacing"/>
              <w:spacing w:line="360" w:lineRule="auto"/>
              <w:rPr>
                <w:rFonts w:ascii="Arial" w:hAnsi="Arial" w:cs="Arial"/>
                <w:lang w:val="en-IN"/>
              </w:rPr>
            </w:pPr>
            <w:r w:rsidRPr="00B06C35">
              <w:rPr>
                <w:rFonts w:ascii="Arial" w:hAnsi="Arial" w:cs="Arial"/>
                <w:lang w:val="en-IN"/>
              </w:rPr>
              <w:t>Project A only</w:t>
            </w:r>
          </w:p>
        </w:tc>
        <w:tc>
          <w:tcPr>
            <w:tcW w:w="0" w:type="auto"/>
            <w:hideMark/>
          </w:tcPr>
          <w:p w14:paraId="78C6B9C0" w14:textId="77777777" w:rsidR="009C588E" w:rsidRPr="00B06C35"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B06C35">
              <w:rPr>
                <w:rFonts w:ascii="Arial" w:hAnsi="Arial" w:cs="Arial"/>
                <w:lang w:val="en-IN"/>
              </w:rPr>
              <w:t>£50m</w:t>
            </w:r>
          </w:p>
        </w:tc>
        <w:tc>
          <w:tcPr>
            <w:tcW w:w="0" w:type="auto"/>
            <w:hideMark/>
          </w:tcPr>
          <w:p w14:paraId="7AD10344" w14:textId="77777777" w:rsidR="009C588E" w:rsidRPr="00B06C35"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B06C35">
              <w:rPr>
                <w:rFonts w:ascii="Arial" w:hAnsi="Arial" w:cs="Arial"/>
                <w:lang w:val="en-IN"/>
              </w:rPr>
              <w:t>−£6.54m</w:t>
            </w:r>
          </w:p>
        </w:tc>
        <w:tc>
          <w:tcPr>
            <w:tcW w:w="0" w:type="auto"/>
            <w:hideMark/>
          </w:tcPr>
          <w:p w14:paraId="3F77461C" w14:textId="77777777" w:rsidR="009C588E" w:rsidRPr="00B06C35"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B06C35">
              <w:rPr>
                <w:rFonts w:ascii="Arial" w:hAnsi="Arial" w:cs="Arial"/>
                <w:lang w:val="en-IN"/>
              </w:rPr>
              <w:t>Reject</w:t>
            </w:r>
          </w:p>
        </w:tc>
      </w:tr>
      <w:tr w:rsidR="009C588E" w:rsidRPr="00B06C35" w14:paraId="42E1CD1A" w14:textId="77777777" w:rsidTr="0017493B">
        <w:tc>
          <w:tcPr>
            <w:cnfStyle w:val="001000000000" w:firstRow="0" w:lastRow="0" w:firstColumn="1" w:lastColumn="0" w:oddVBand="0" w:evenVBand="0" w:oddHBand="0" w:evenHBand="0" w:firstRowFirstColumn="0" w:firstRowLastColumn="0" w:lastRowFirstColumn="0" w:lastRowLastColumn="0"/>
            <w:tcW w:w="0" w:type="auto"/>
            <w:hideMark/>
          </w:tcPr>
          <w:p w14:paraId="12133C87" w14:textId="77777777" w:rsidR="009C588E" w:rsidRPr="00B06C35" w:rsidRDefault="009C588E" w:rsidP="002B0D41">
            <w:pPr>
              <w:pStyle w:val="NoSpacing"/>
              <w:spacing w:line="360" w:lineRule="auto"/>
              <w:rPr>
                <w:rFonts w:ascii="Arial" w:hAnsi="Arial" w:cs="Arial"/>
                <w:lang w:val="en-IN"/>
              </w:rPr>
            </w:pPr>
            <w:r w:rsidRPr="00B06C35">
              <w:rPr>
                <w:rFonts w:ascii="Arial" w:hAnsi="Arial" w:cs="Arial"/>
                <w:lang w:val="en-IN"/>
              </w:rPr>
              <w:t>Project B only</w:t>
            </w:r>
          </w:p>
        </w:tc>
        <w:tc>
          <w:tcPr>
            <w:tcW w:w="0" w:type="auto"/>
            <w:hideMark/>
          </w:tcPr>
          <w:p w14:paraId="0705C829" w14:textId="77777777" w:rsidR="009C588E" w:rsidRPr="00B06C35"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£50m</w:t>
            </w:r>
          </w:p>
        </w:tc>
        <w:tc>
          <w:tcPr>
            <w:tcW w:w="0" w:type="auto"/>
            <w:hideMark/>
          </w:tcPr>
          <w:p w14:paraId="03DC7A74" w14:textId="77777777" w:rsidR="009C588E" w:rsidRPr="00B06C35"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−£6.08m</w:t>
            </w:r>
          </w:p>
        </w:tc>
        <w:tc>
          <w:tcPr>
            <w:tcW w:w="0" w:type="auto"/>
            <w:hideMark/>
          </w:tcPr>
          <w:p w14:paraId="3C527867" w14:textId="77777777" w:rsidR="009C588E" w:rsidRPr="00B06C35"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Reject</w:t>
            </w:r>
          </w:p>
        </w:tc>
      </w:tr>
      <w:tr w:rsidR="009C588E" w:rsidRPr="00B06C35" w14:paraId="734DA945" w14:textId="77777777" w:rsidTr="00174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86356F" w14:textId="77777777" w:rsidR="009C588E" w:rsidRPr="00B06C35" w:rsidRDefault="009C588E" w:rsidP="002B0D41">
            <w:pPr>
              <w:pStyle w:val="NoSpacing"/>
              <w:spacing w:line="360" w:lineRule="auto"/>
              <w:rPr>
                <w:rFonts w:ascii="Arial" w:hAnsi="Arial" w:cs="Arial"/>
                <w:lang w:val="en-IN"/>
              </w:rPr>
            </w:pPr>
            <w:r w:rsidRPr="00B06C35">
              <w:rPr>
                <w:rFonts w:ascii="Arial" w:hAnsi="Arial" w:cs="Arial"/>
                <w:lang w:val="en-IN"/>
              </w:rPr>
              <w:t>Project C only</w:t>
            </w:r>
          </w:p>
        </w:tc>
        <w:tc>
          <w:tcPr>
            <w:tcW w:w="0" w:type="auto"/>
            <w:hideMark/>
          </w:tcPr>
          <w:p w14:paraId="16BCDF1C" w14:textId="77777777" w:rsidR="009C588E" w:rsidRPr="00B06C35"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B06C35">
              <w:rPr>
                <w:rFonts w:ascii="Arial" w:hAnsi="Arial" w:cs="Arial"/>
                <w:lang w:val="en-IN"/>
              </w:rPr>
              <w:t>£50m</w:t>
            </w:r>
          </w:p>
        </w:tc>
        <w:tc>
          <w:tcPr>
            <w:tcW w:w="0" w:type="auto"/>
            <w:hideMark/>
          </w:tcPr>
          <w:p w14:paraId="66C7EB58" w14:textId="77777777" w:rsidR="009C588E" w:rsidRPr="00B06C35"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B06C35">
              <w:rPr>
                <w:rFonts w:ascii="Arial" w:hAnsi="Arial" w:cs="Arial"/>
                <w:lang w:val="en-IN"/>
              </w:rPr>
              <w:t>+£0.86m</w:t>
            </w:r>
          </w:p>
        </w:tc>
        <w:tc>
          <w:tcPr>
            <w:tcW w:w="0" w:type="auto"/>
            <w:hideMark/>
          </w:tcPr>
          <w:p w14:paraId="1E9C7553" w14:textId="77777777" w:rsidR="009C588E" w:rsidRPr="00B06C35"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B06C35">
              <w:rPr>
                <w:rFonts w:ascii="Arial" w:hAnsi="Arial" w:cs="Arial"/>
                <w:lang w:val="en-IN"/>
              </w:rPr>
              <w:t>Recommended</w:t>
            </w:r>
          </w:p>
        </w:tc>
      </w:tr>
      <w:tr w:rsidR="009C588E" w:rsidRPr="00B06C35" w14:paraId="7055CE41" w14:textId="77777777" w:rsidTr="0017493B">
        <w:tc>
          <w:tcPr>
            <w:cnfStyle w:val="001000000000" w:firstRow="0" w:lastRow="0" w:firstColumn="1" w:lastColumn="0" w:oddVBand="0" w:evenVBand="0" w:oddHBand="0" w:evenHBand="0" w:firstRowFirstColumn="0" w:firstRowLastColumn="0" w:lastRowFirstColumn="0" w:lastRowLastColumn="0"/>
            <w:tcW w:w="0" w:type="auto"/>
            <w:hideMark/>
          </w:tcPr>
          <w:p w14:paraId="0563BE25" w14:textId="77777777" w:rsidR="009C588E" w:rsidRPr="00B06C35" w:rsidRDefault="009C588E" w:rsidP="002B0D41">
            <w:pPr>
              <w:pStyle w:val="NoSpacing"/>
              <w:spacing w:line="360" w:lineRule="auto"/>
              <w:rPr>
                <w:rFonts w:ascii="Arial" w:hAnsi="Arial" w:cs="Arial"/>
                <w:lang w:val="en-IN"/>
              </w:rPr>
            </w:pPr>
            <w:r w:rsidRPr="00B06C35">
              <w:rPr>
                <w:rFonts w:ascii="Arial" w:hAnsi="Arial" w:cs="Arial"/>
                <w:lang w:val="en-IN"/>
              </w:rPr>
              <w:t>Project A + B</w:t>
            </w:r>
          </w:p>
        </w:tc>
        <w:tc>
          <w:tcPr>
            <w:tcW w:w="0" w:type="auto"/>
            <w:hideMark/>
          </w:tcPr>
          <w:p w14:paraId="5E825181" w14:textId="77777777" w:rsidR="009C588E" w:rsidRPr="00B06C35"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£100m</w:t>
            </w:r>
          </w:p>
        </w:tc>
        <w:tc>
          <w:tcPr>
            <w:tcW w:w="0" w:type="auto"/>
            <w:hideMark/>
          </w:tcPr>
          <w:p w14:paraId="487DA751" w14:textId="77777777" w:rsidR="009C588E" w:rsidRPr="00B06C35"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−£12.62m</w:t>
            </w:r>
          </w:p>
        </w:tc>
        <w:tc>
          <w:tcPr>
            <w:tcW w:w="0" w:type="auto"/>
            <w:hideMark/>
          </w:tcPr>
          <w:p w14:paraId="1788A605" w14:textId="77777777" w:rsidR="009C588E" w:rsidRPr="00B06C35"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Reject</w:t>
            </w:r>
          </w:p>
        </w:tc>
      </w:tr>
      <w:tr w:rsidR="009C588E" w:rsidRPr="00B06C35" w14:paraId="33148275" w14:textId="77777777" w:rsidTr="001749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D6758C" w14:textId="77777777" w:rsidR="009C588E" w:rsidRPr="00B06C35" w:rsidRDefault="009C588E" w:rsidP="002B0D41">
            <w:pPr>
              <w:pStyle w:val="NoSpacing"/>
              <w:spacing w:line="360" w:lineRule="auto"/>
              <w:rPr>
                <w:rFonts w:ascii="Arial" w:hAnsi="Arial" w:cs="Arial"/>
                <w:lang w:val="en-IN"/>
              </w:rPr>
            </w:pPr>
            <w:r w:rsidRPr="00B06C35">
              <w:rPr>
                <w:rFonts w:ascii="Arial" w:hAnsi="Arial" w:cs="Arial"/>
                <w:lang w:val="en-IN"/>
              </w:rPr>
              <w:t>Project A + C</w:t>
            </w:r>
          </w:p>
        </w:tc>
        <w:tc>
          <w:tcPr>
            <w:tcW w:w="0" w:type="auto"/>
            <w:hideMark/>
          </w:tcPr>
          <w:p w14:paraId="0C683EEC" w14:textId="77777777" w:rsidR="009C588E" w:rsidRPr="00B06C35"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B06C35">
              <w:rPr>
                <w:rFonts w:ascii="Arial" w:hAnsi="Arial" w:cs="Arial"/>
                <w:lang w:val="en-IN"/>
              </w:rPr>
              <w:t>£100m</w:t>
            </w:r>
          </w:p>
        </w:tc>
        <w:tc>
          <w:tcPr>
            <w:tcW w:w="0" w:type="auto"/>
            <w:hideMark/>
          </w:tcPr>
          <w:p w14:paraId="1642AD04" w14:textId="77777777" w:rsidR="009C588E" w:rsidRPr="00B06C35"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B06C35">
              <w:rPr>
                <w:rFonts w:ascii="Arial" w:hAnsi="Arial" w:cs="Arial"/>
                <w:lang w:val="en-IN"/>
              </w:rPr>
              <w:t>−£5.68m</w:t>
            </w:r>
          </w:p>
        </w:tc>
        <w:tc>
          <w:tcPr>
            <w:tcW w:w="0" w:type="auto"/>
            <w:hideMark/>
          </w:tcPr>
          <w:p w14:paraId="16F43EA8" w14:textId="77777777" w:rsidR="009C588E" w:rsidRPr="00B06C35" w:rsidRDefault="009C588E" w:rsidP="002B0D41">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IN"/>
              </w:rPr>
            </w:pPr>
            <w:r w:rsidRPr="00B06C35">
              <w:rPr>
                <w:rFonts w:ascii="Arial" w:hAnsi="Arial" w:cs="Arial"/>
                <w:lang w:val="en-IN"/>
              </w:rPr>
              <w:t>Reject</w:t>
            </w:r>
          </w:p>
        </w:tc>
      </w:tr>
      <w:tr w:rsidR="009C588E" w:rsidRPr="00B06C35" w14:paraId="4DE1CF75" w14:textId="77777777" w:rsidTr="0017493B">
        <w:tc>
          <w:tcPr>
            <w:cnfStyle w:val="001000000000" w:firstRow="0" w:lastRow="0" w:firstColumn="1" w:lastColumn="0" w:oddVBand="0" w:evenVBand="0" w:oddHBand="0" w:evenHBand="0" w:firstRowFirstColumn="0" w:firstRowLastColumn="0" w:lastRowFirstColumn="0" w:lastRowLastColumn="0"/>
            <w:tcW w:w="0" w:type="auto"/>
            <w:hideMark/>
          </w:tcPr>
          <w:p w14:paraId="34DD8AA9" w14:textId="77777777" w:rsidR="009C588E" w:rsidRPr="00B06C35" w:rsidRDefault="009C588E" w:rsidP="002B0D41">
            <w:pPr>
              <w:pStyle w:val="NoSpacing"/>
              <w:spacing w:line="360" w:lineRule="auto"/>
              <w:rPr>
                <w:rFonts w:ascii="Arial" w:hAnsi="Arial" w:cs="Arial"/>
                <w:lang w:val="en-IN"/>
              </w:rPr>
            </w:pPr>
            <w:r w:rsidRPr="00B06C35">
              <w:rPr>
                <w:rFonts w:ascii="Arial" w:hAnsi="Arial" w:cs="Arial"/>
                <w:lang w:val="en-IN"/>
              </w:rPr>
              <w:lastRenderedPageBreak/>
              <w:t>Project B + C</w:t>
            </w:r>
          </w:p>
        </w:tc>
        <w:tc>
          <w:tcPr>
            <w:tcW w:w="0" w:type="auto"/>
            <w:hideMark/>
          </w:tcPr>
          <w:p w14:paraId="321D4C2A" w14:textId="77777777" w:rsidR="009C588E" w:rsidRPr="00B06C35"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£100m</w:t>
            </w:r>
          </w:p>
        </w:tc>
        <w:tc>
          <w:tcPr>
            <w:tcW w:w="0" w:type="auto"/>
            <w:hideMark/>
          </w:tcPr>
          <w:p w14:paraId="28FFA7C6" w14:textId="77777777" w:rsidR="009C588E" w:rsidRPr="00B06C35"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−£5.22m</w:t>
            </w:r>
          </w:p>
        </w:tc>
        <w:tc>
          <w:tcPr>
            <w:tcW w:w="0" w:type="auto"/>
            <w:hideMark/>
          </w:tcPr>
          <w:p w14:paraId="72D41977" w14:textId="77777777" w:rsidR="009C588E" w:rsidRPr="00B06C35" w:rsidRDefault="009C588E" w:rsidP="002B0D41">
            <w:pPr>
              <w:pStyle w:val="NoSpacing"/>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IN"/>
              </w:rPr>
            </w:pPr>
            <w:r w:rsidRPr="00B06C35">
              <w:rPr>
                <w:rFonts w:ascii="Arial" w:hAnsi="Arial" w:cs="Arial"/>
                <w:lang w:val="en-IN"/>
              </w:rPr>
              <w:t>Best two-project combination, but negative NPV</w:t>
            </w:r>
          </w:p>
        </w:tc>
      </w:tr>
    </w:tbl>
    <w:p w14:paraId="47188842" w14:textId="77777777" w:rsidR="009C588E" w:rsidRPr="00F360E9" w:rsidRDefault="009C588E" w:rsidP="002B0D41">
      <w:pPr>
        <w:rPr>
          <w:lang w:val="en-IN"/>
        </w:rPr>
      </w:pPr>
      <w:r w:rsidRPr="00F360E9">
        <w:rPr>
          <w:lang w:val="en-IN"/>
        </w:rPr>
        <w:t>From a shareholder-value perspective, Project C alone represents the optimal capital allocation. Combining Project C with either Project A or B would transform a positive investment outcome into a negative combined NPV. For example:</w:t>
      </w:r>
    </w:p>
    <w:p w14:paraId="133028D1" w14:textId="77777777" w:rsidR="009C588E" w:rsidRPr="009C588E" w:rsidRDefault="009C588E" w:rsidP="002B0D41">
      <w:pPr>
        <w:rPr>
          <w:lang w:val="en-IN"/>
        </w:rPr>
      </w:pPr>
      <w:r w:rsidRPr="009C588E">
        <w:rPr>
          <w:b/>
          <w:bCs/>
          <w:lang w:val="en-IN"/>
        </w:rPr>
        <w:t>Project B + Project C NPV = −£6.08m + £0.86m = −£5.22m</w:t>
      </w:r>
    </w:p>
    <w:p w14:paraId="399A8F6D" w14:textId="77777777" w:rsidR="009C588E" w:rsidRPr="009C588E" w:rsidRDefault="009C588E" w:rsidP="002B0D41">
      <w:pPr>
        <w:rPr>
          <w:lang w:val="en-IN"/>
        </w:rPr>
      </w:pPr>
      <w:r w:rsidRPr="009C588E">
        <w:rPr>
          <w:lang w:val="en-IN"/>
        </w:rPr>
        <w:t>Although B+C is the highest-ranked two-project combination, it still destroys approximately £5.22 million in value based on the 8% required return.</w:t>
      </w:r>
    </w:p>
    <w:p w14:paraId="797D1698" w14:textId="77777777" w:rsidR="009C588E" w:rsidRPr="00DC288A" w:rsidRDefault="009C588E" w:rsidP="002B0D41">
      <w:pPr>
        <w:rPr>
          <w:lang w:val="en-IN"/>
        </w:rPr>
      </w:pPr>
      <w:r w:rsidRPr="00DC288A">
        <w:rPr>
          <w:lang w:val="en-IN"/>
        </w:rPr>
        <w:t>The £100 million constraint should therefore be interpreted as a maximum available investment budget rather than an obligation to spend the entire amount. Capital rationing should focus on maximising value, not maximising expenditure. Consequently, committing £50 million to Project C and retaining the remaining £50 million for future positive-NPV opportunities is financially preferable to investing in a negative-NPV project merely to exhaust the budget.</w:t>
      </w:r>
    </w:p>
    <w:p w14:paraId="4ED8C8CB" w14:textId="77777777" w:rsidR="009C588E" w:rsidRPr="009C588E" w:rsidRDefault="009C588E" w:rsidP="002B0D41">
      <w:pPr>
        <w:rPr>
          <w:lang w:val="en-IN"/>
        </w:rPr>
      </w:pPr>
      <w:r w:rsidRPr="009C588E">
        <w:rPr>
          <w:lang w:val="en-IN"/>
        </w:rPr>
        <w:t>If management were explicitly required to select two projects, B+C would be preferable to A+C or A+B because it produces the least negative combined NPV. Nevertheless, such a decision would conflict with the objective of shareholder wealth maximisation. This distinction demonstrates why NPV should remain central to the capital-rationing decision.</w:t>
      </w:r>
    </w:p>
    <w:p w14:paraId="6D9BEC16" w14:textId="77777777" w:rsidR="009C588E" w:rsidRPr="009C588E" w:rsidRDefault="009C588E" w:rsidP="002B0D41">
      <w:pPr>
        <w:pStyle w:val="Heading2"/>
        <w:rPr>
          <w:lang w:val="en-IN"/>
        </w:rPr>
      </w:pPr>
      <w:bookmarkStart w:id="30" w:name="_Toc235636786"/>
      <w:r w:rsidRPr="009C588E">
        <w:rPr>
          <w:lang w:val="en-IN"/>
        </w:rPr>
        <w:t>5.5 Final Investment Decision</w:t>
      </w:r>
      <w:bookmarkEnd w:id="30"/>
    </w:p>
    <w:p w14:paraId="11BCE7C1" w14:textId="77777777" w:rsidR="009C588E" w:rsidRPr="007516B6" w:rsidRDefault="009C588E" w:rsidP="002B0D41">
      <w:pPr>
        <w:rPr>
          <w:lang w:val="en-IN"/>
        </w:rPr>
      </w:pPr>
      <w:r w:rsidRPr="007516B6">
        <w:rPr>
          <w:lang w:val="en-IN"/>
        </w:rPr>
        <w:t>The recommended investment decision is for IHG to proceed with Project C and reject Projects A and B under the current financial assumptions. Project C is the only alternative generating a positive NPV (£0.86 million), a PI above 1 (1.017) and an IRR (8.59%) exceeding the 8% required return. It also provides the shortest payback period and highest ARR.</w:t>
      </w:r>
    </w:p>
    <w:p w14:paraId="17138FFD" w14:textId="7B31B4CD" w:rsidR="009C588E" w:rsidRPr="009C588E" w:rsidRDefault="009C588E" w:rsidP="002B0D41">
      <w:pPr>
        <w:rPr>
          <w:lang w:val="en-IN"/>
        </w:rPr>
      </w:pPr>
      <w:r w:rsidRPr="009C588E">
        <w:rPr>
          <w:lang w:val="en-IN"/>
        </w:rPr>
        <w:t xml:space="preserve">However, because Project C's financial advantage is relatively narrow, management should conduct sensitivity and scenario analysis before final approval and establish controls for cost escalation, currency exposure, political risk and implementation delays. Given IHG's high leverage and weak short-term liquidity, substantial additional debt financing should also be avoided where possible. </w:t>
      </w:r>
      <w:r w:rsidR="003D1084" w:rsidRPr="00CB2DA4">
        <w:rPr>
          <w:lang w:val="en-IN"/>
        </w:rPr>
        <w:t>I</w:t>
      </w:r>
      <w:r w:rsidRPr="00CB2DA4">
        <w:rPr>
          <w:lang w:val="en-IN"/>
        </w:rPr>
        <w:t xml:space="preserve">nvesting £50 million in Project C while retaining the remaining available capital provides the strongest combination </w:t>
      </w:r>
      <w:r w:rsidRPr="00CB2DA4">
        <w:rPr>
          <w:lang w:val="en-IN"/>
        </w:rPr>
        <w:lastRenderedPageBreak/>
        <w:t>of shareholder value creation, liquidity protection and financial flexibility. Projects A and B should only be reconsidered if their expected cash flows improve materially, investment costs decline, or the required rate of return changes.</w:t>
      </w:r>
    </w:p>
    <w:p w14:paraId="297DFA1D" w14:textId="77777777" w:rsidR="0017493B" w:rsidRPr="0017493B" w:rsidRDefault="0017493B" w:rsidP="002B0D41">
      <w:pPr>
        <w:pStyle w:val="Heading1"/>
      </w:pPr>
      <w:bookmarkStart w:id="31" w:name="_Toc235636787"/>
      <w:r w:rsidRPr="0017493B">
        <w:t>6. Conclusion</w:t>
      </w:r>
      <w:bookmarkEnd w:id="31"/>
    </w:p>
    <w:p w14:paraId="60F0EF64" w14:textId="77777777" w:rsidR="0017493B" w:rsidRPr="00332720" w:rsidRDefault="0017493B" w:rsidP="002B0D41">
      <w:pPr>
        <w:rPr>
          <w:lang w:val="en-IN"/>
        </w:rPr>
      </w:pPr>
      <w:r w:rsidRPr="00332720">
        <w:rPr>
          <w:lang w:val="en-IN"/>
        </w:rPr>
        <w:t xml:space="preserve">The financial analysis of IHG between 2021 and 2025 demonstrates a strong operational recovery alongside increasing financial risks. Revenue, operating profitability and cash generation improved considerably, with the operating profit margin reaching 23.09%, ROA reaching 14.20%, and adjusted free cash flow increasing to $893 million in 2025. However, the Group's financial position remains exposed to significant balance-sheet pressures. The current ratio declined to 0.98, net working capital remained negative at $51 million, and the debt ratio increased substantially to 78.60%, alongside an increasingly negative equity position. </w:t>
      </w:r>
    </w:p>
    <w:p w14:paraId="161CCCC3" w14:textId="77777777" w:rsidR="0017493B" w:rsidRPr="00332720" w:rsidRDefault="0017493B" w:rsidP="002B0D41">
      <w:pPr>
        <w:rPr>
          <w:lang w:val="en-IN"/>
        </w:rPr>
      </w:pPr>
      <w:r w:rsidRPr="00332720">
        <w:rPr>
          <w:lang w:val="en-IN"/>
        </w:rPr>
        <w:t>Consequently, IHG should prioritise disciplined working capital management, effective cash-flow forecasting and a restructuring strategy combining selective debt refinancing with internally funded deleveraging. This would strengthen financial resilience while maintaining flexibility for future growth. Regarding capital investment, Project C is the preferred option, as it is the only project generating a positive NPV of £0.86 million, a PI above 1 and an IRR exceeding the 8% required return. Overall, IHG should pursue profitable growth cautiously, using its strong cash-generating capacity to strengthen liquidity and reduce leverage while investing selectively in projects that create sustainable long-term shareholder value.</w:t>
      </w:r>
    </w:p>
    <w:p w14:paraId="7D493370" w14:textId="77777777" w:rsidR="00D50E1E" w:rsidRDefault="00D50E1E" w:rsidP="002B0D41"/>
    <w:p w14:paraId="5466CB9A" w14:textId="069DB422" w:rsidR="0017493B" w:rsidRDefault="0017493B" w:rsidP="002B0D41">
      <w:pPr>
        <w:spacing w:before="0" w:after="160"/>
        <w:jc w:val="left"/>
      </w:pPr>
      <w:r>
        <w:br w:type="page"/>
      </w:r>
    </w:p>
    <w:p w14:paraId="6B142004" w14:textId="4B40E53A" w:rsidR="0017493B" w:rsidRDefault="0017493B" w:rsidP="002B0D41">
      <w:pPr>
        <w:pStyle w:val="Heading1"/>
      </w:pPr>
      <w:bookmarkStart w:id="32" w:name="_Toc235636788"/>
      <w:r>
        <w:lastRenderedPageBreak/>
        <w:t>7. References</w:t>
      </w:r>
      <w:bookmarkEnd w:id="32"/>
    </w:p>
    <w:p w14:paraId="1F546C91" w14:textId="77777777" w:rsidR="009F2653" w:rsidRDefault="009F2653" w:rsidP="00A02F3D">
      <w:r w:rsidRPr="007C400D">
        <w:t>Adrian, M.T., Morsink, M.J. and Schumacher, M.B., 2020. </w:t>
      </w:r>
      <w:r w:rsidRPr="007C400D">
        <w:rPr>
          <w:i/>
          <w:iCs/>
        </w:rPr>
        <w:t>Stress Testing at the IMF</w:t>
      </w:r>
      <w:r w:rsidRPr="007C400D">
        <w:t>. International Monetary Fund.</w:t>
      </w:r>
    </w:p>
    <w:p w14:paraId="04D5ACDA" w14:textId="77777777" w:rsidR="009F2653" w:rsidRDefault="009F2653" w:rsidP="00E8312A">
      <w:pPr>
        <w:rPr>
          <w:lang w:val="en-IN"/>
        </w:rPr>
      </w:pPr>
      <w:r w:rsidRPr="00AB6058">
        <w:t>Awan, U.A., 2023. Impact of electronic invoicing on cost saving and operational efficiency in logistics.</w:t>
      </w:r>
    </w:p>
    <w:p w14:paraId="1454E730" w14:textId="77777777" w:rsidR="009F2653" w:rsidRDefault="009F2653" w:rsidP="002B0D41">
      <w:r w:rsidRPr="00507FF4">
        <w:t>Chen, L., Mahdzan, N.S. and Shen, J., 2026. Debt pressure and flexibility trade-offs: short-term debt and financial flexibility as a transmission channel between digital financial inclusion and firms’ financial vulnerability. </w:t>
      </w:r>
      <w:r w:rsidRPr="00507FF4">
        <w:rPr>
          <w:i/>
          <w:iCs/>
        </w:rPr>
        <w:t>Cogent Economics &amp; Finance</w:t>
      </w:r>
      <w:r w:rsidRPr="00507FF4">
        <w:t>, </w:t>
      </w:r>
      <w:r w:rsidRPr="00507FF4">
        <w:rPr>
          <w:i/>
          <w:iCs/>
        </w:rPr>
        <w:t>14</w:t>
      </w:r>
      <w:r w:rsidRPr="00507FF4">
        <w:t>(1), p.2678718.</w:t>
      </w:r>
    </w:p>
    <w:p w14:paraId="1835D490" w14:textId="77777777" w:rsidR="009F2653" w:rsidRDefault="009F2653" w:rsidP="002B0D41">
      <w:r w:rsidRPr="00AF1B57">
        <w:t>Elumilade, O.O., Ogundeji, I.A., Achumie, G.O., Omokhoa, H.E. and Omowole, B.M., 2022. Optimizing corporate tax strategies and transfer pricing policies to improve financial efficiency and compliance. </w:t>
      </w:r>
      <w:r w:rsidRPr="00AF1B57">
        <w:rPr>
          <w:i/>
          <w:iCs/>
        </w:rPr>
        <w:t>Journal of Advance Multidisciplinary Research</w:t>
      </w:r>
      <w:r w:rsidRPr="00AF1B57">
        <w:t>, </w:t>
      </w:r>
      <w:r w:rsidRPr="00AF1B57">
        <w:rPr>
          <w:i/>
          <w:iCs/>
        </w:rPr>
        <w:t>1</w:t>
      </w:r>
      <w:r w:rsidRPr="00AF1B57">
        <w:t>(2), pp.28-38.</w:t>
      </w:r>
    </w:p>
    <w:p w14:paraId="64284DA9" w14:textId="77777777" w:rsidR="009F2653" w:rsidRDefault="009F2653" w:rsidP="002B0D41">
      <w:r w:rsidRPr="00137623">
        <w:t>Elumilade, O.O., Ogundeji, I.A., Achumie, G.O., Omokhoa, H.E. and Omowole, B.M., 2022. Optimizing corporate tax strategies and transfer pricing policies to improve financial efficiency and compliance. </w:t>
      </w:r>
      <w:r w:rsidRPr="00137623">
        <w:rPr>
          <w:i/>
          <w:iCs/>
        </w:rPr>
        <w:t>Journal of Advance Multidisciplinary Research</w:t>
      </w:r>
      <w:r w:rsidRPr="00137623">
        <w:t>, </w:t>
      </w:r>
      <w:r w:rsidRPr="00137623">
        <w:rPr>
          <w:i/>
          <w:iCs/>
        </w:rPr>
        <w:t>1</w:t>
      </w:r>
      <w:r w:rsidRPr="00137623">
        <w:t>(2), pp.28-38.</w:t>
      </w:r>
    </w:p>
    <w:p w14:paraId="793832D1" w14:textId="77777777" w:rsidR="009F2653" w:rsidRPr="00A02F3D" w:rsidRDefault="009F2653" w:rsidP="00A02F3D">
      <w:pPr>
        <w:rPr>
          <w:lang w:val="en-IN"/>
        </w:rPr>
      </w:pPr>
      <w:r w:rsidRPr="009D0D8E">
        <w:t>Gödecke, T., Kiesel, F. and Schiereck, D., 2025. Ownership Concentration and the Aversion to Dilution: Evidence from Acquisition Financing.</w:t>
      </w:r>
    </w:p>
    <w:p w14:paraId="7C0287BD" w14:textId="77777777" w:rsidR="009F2653" w:rsidRDefault="009F2653" w:rsidP="00A02F3D">
      <w:pPr>
        <w:rPr>
          <w:lang w:val="en-IN"/>
        </w:rPr>
      </w:pPr>
      <w:r>
        <w:t xml:space="preserve">IHG, 2022. </w:t>
      </w:r>
      <w:r w:rsidRPr="00A02F3D">
        <w:rPr>
          <w:i/>
          <w:iCs/>
          <w:lang w:val="en-IN"/>
        </w:rPr>
        <w:t>Annual Report and Form 20-F 2021.</w:t>
      </w:r>
      <w:r>
        <w:rPr>
          <w:lang w:val="en-IN"/>
        </w:rPr>
        <w:t xml:space="preserve"> [online] available at </w:t>
      </w:r>
      <w:hyperlink r:id="rId14" w:history="1">
        <w:r w:rsidRPr="00300F99">
          <w:rPr>
            <w:rStyle w:val="Hyperlink"/>
            <w:lang w:val="en-IN"/>
          </w:rPr>
          <w:t>https://www.ihgplc.com/en/investors/2021-annual-report</w:t>
        </w:r>
      </w:hyperlink>
    </w:p>
    <w:p w14:paraId="081E5BC5" w14:textId="77777777" w:rsidR="009F2653" w:rsidRDefault="009F2653" w:rsidP="00A02F3D">
      <w:pPr>
        <w:rPr>
          <w:lang w:val="en-IN"/>
        </w:rPr>
      </w:pPr>
      <w:r>
        <w:t xml:space="preserve">IHG, 2023. </w:t>
      </w:r>
      <w:r w:rsidRPr="00A02F3D">
        <w:rPr>
          <w:i/>
          <w:iCs/>
          <w:lang w:val="en-IN"/>
        </w:rPr>
        <w:t>Annual Report</w:t>
      </w:r>
      <w:r>
        <w:rPr>
          <w:i/>
          <w:iCs/>
          <w:lang w:val="en-IN"/>
        </w:rPr>
        <w:t xml:space="preserve"> </w:t>
      </w:r>
      <w:r w:rsidRPr="00A02F3D">
        <w:rPr>
          <w:i/>
          <w:iCs/>
          <w:lang w:val="en-IN"/>
        </w:rPr>
        <w:t>202</w:t>
      </w:r>
      <w:r>
        <w:rPr>
          <w:i/>
          <w:iCs/>
          <w:lang w:val="en-IN"/>
        </w:rPr>
        <w:t>2</w:t>
      </w:r>
      <w:r w:rsidRPr="00A02F3D">
        <w:rPr>
          <w:i/>
          <w:iCs/>
          <w:lang w:val="en-IN"/>
        </w:rPr>
        <w:t>.</w:t>
      </w:r>
      <w:r>
        <w:rPr>
          <w:lang w:val="en-IN"/>
        </w:rPr>
        <w:t xml:space="preserve"> [online] available at </w:t>
      </w:r>
      <w:hyperlink r:id="rId15" w:history="1">
        <w:r w:rsidRPr="00300F99">
          <w:rPr>
            <w:rStyle w:val="Hyperlink"/>
            <w:lang w:val="en-IN"/>
          </w:rPr>
          <w:t>https://www.ihgplc.com/~/media/Files/I/Ihg-Plc/investors/annual-report/annual-report-2022.pdf</w:t>
        </w:r>
      </w:hyperlink>
    </w:p>
    <w:p w14:paraId="0FB33CA8" w14:textId="77777777" w:rsidR="009F2653" w:rsidRDefault="009F2653" w:rsidP="00A02F3D">
      <w:pPr>
        <w:rPr>
          <w:lang w:val="en-IN"/>
        </w:rPr>
      </w:pPr>
      <w:r>
        <w:t xml:space="preserve">IHG, 2024. </w:t>
      </w:r>
      <w:r w:rsidRPr="00A02F3D">
        <w:rPr>
          <w:i/>
          <w:iCs/>
          <w:lang w:val="en-IN"/>
        </w:rPr>
        <w:t>Annual Report 202</w:t>
      </w:r>
      <w:r>
        <w:rPr>
          <w:i/>
          <w:iCs/>
          <w:lang w:val="en-IN"/>
        </w:rPr>
        <w:t>3</w:t>
      </w:r>
      <w:r w:rsidRPr="00A02F3D">
        <w:rPr>
          <w:i/>
          <w:iCs/>
          <w:lang w:val="en-IN"/>
        </w:rPr>
        <w:t>.</w:t>
      </w:r>
      <w:r>
        <w:rPr>
          <w:lang w:val="en-IN"/>
        </w:rPr>
        <w:t xml:space="preserve"> [online] available at </w:t>
      </w:r>
      <w:hyperlink r:id="rId16" w:history="1">
        <w:r w:rsidRPr="00300F99">
          <w:rPr>
            <w:rStyle w:val="Hyperlink"/>
            <w:lang w:val="en-IN"/>
          </w:rPr>
          <w:t>https://www.ihgplc.com/~/media/Files/I/Ihg-Plc/investors/annual-report/2023/annual-report-2023.pdf</w:t>
        </w:r>
      </w:hyperlink>
    </w:p>
    <w:p w14:paraId="6A2AB353" w14:textId="77777777" w:rsidR="009F2653" w:rsidRDefault="009F2653" w:rsidP="00A02F3D">
      <w:pPr>
        <w:rPr>
          <w:lang w:val="en-IN"/>
        </w:rPr>
      </w:pPr>
      <w:r>
        <w:t xml:space="preserve">IHG, 2025. </w:t>
      </w:r>
      <w:r w:rsidRPr="00A02F3D">
        <w:rPr>
          <w:i/>
          <w:iCs/>
          <w:lang w:val="en-IN"/>
        </w:rPr>
        <w:t>Annual Report 202</w:t>
      </w:r>
      <w:r>
        <w:rPr>
          <w:i/>
          <w:iCs/>
          <w:lang w:val="en-IN"/>
        </w:rPr>
        <w:t>4</w:t>
      </w:r>
      <w:r w:rsidRPr="00A02F3D">
        <w:rPr>
          <w:i/>
          <w:iCs/>
          <w:lang w:val="en-IN"/>
        </w:rPr>
        <w:t>.</w:t>
      </w:r>
      <w:r>
        <w:rPr>
          <w:lang w:val="en-IN"/>
        </w:rPr>
        <w:t xml:space="preserve"> [online] available at </w:t>
      </w:r>
      <w:hyperlink r:id="rId17" w:history="1">
        <w:r w:rsidRPr="00300F99">
          <w:rPr>
            <w:rStyle w:val="Hyperlink"/>
            <w:lang w:val="en-IN"/>
          </w:rPr>
          <w:t>https://www.ihgplc.com/~/media/Files/I/Ihg-Plc/investors/annual-report/2024/ihg-ar-2024.pdf</w:t>
        </w:r>
      </w:hyperlink>
    </w:p>
    <w:p w14:paraId="032E5D22" w14:textId="77777777" w:rsidR="009F2653" w:rsidRDefault="009F2653" w:rsidP="00A02F3D">
      <w:pPr>
        <w:rPr>
          <w:lang w:val="en-IN"/>
        </w:rPr>
      </w:pPr>
      <w:r>
        <w:lastRenderedPageBreak/>
        <w:t xml:space="preserve">IHG, 2026. </w:t>
      </w:r>
      <w:r w:rsidRPr="00A02F3D">
        <w:rPr>
          <w:i/>
          <w:iCs/>
          <w:lang w:val="en-IN"/>
        </w:rPr>
        <w:t>Annual Report and Form 20-F 202</w:t>
      </w:r>
      <w:r>
        <w:rPr>
          <w:i/>
          <w:iCs/>
          <w:lang w:val="en-IN"/>
        </w:rPr>
        <w:t>5</w:t>
      </w:r>
      <w:r w:rsidRPr="00A02F3D">
        <w:rPr>
          <w:i/>
          <w:iCs/>
          <w:lang w:val="en-IN"/>
        </w:rPr>
        <w:t>.</w:t>
      </w:r>
      <w:r>
        <w:rPr>
          <w:lang w:val="en-IN"/>
        </w:rPr>
        <w:t xml:space="preserve"> [online] available at </w:t>
      </w:r>
      <w:hyperlink r:id="rId18" w:history="1">
        <w:r w:rsidRPr="00300F99">
          <w:rPr>
            <w:rStyle w:val="Hyperlink"/>
            <w:lang w:val="en-IN"/>
          </w:rPr>
          <w:t>https://www.ihgplc.com/~/media/Files/I/Ihg-Plc/investors/annual-report/2025/ihg-ar25-interactive.pdf</w:t>
        </w:r>
      </w:hyperlink>
    </w:p>
    <w:p w14:paraId="24B79CFF" w14:textId="77777777" w:rsidR="009F2653" w:rsidRDefault="009F2653" w:rsidP="00E8312A">
      <w:pPr>
        <w:rPr>
          <w:lang w:val="en-IN"/>
        </w:rPr>
      </w:pPr>
      <w:r>
        <w:t xml:space="preserve">IHG, 2026a. </w:t>
      </w:r>
      <w:r>
        <w:rPr>
          <w:i/>
          <w:iCs/>
          <w:lang w:val="en-IN"/>
        </w:rPr>
        <w:t>About us</w:t>
      </w:r>
      <w:r w:rsidRPr="00A02F3D">
        <w:rPr>
          <w:i/>
          <w:iCs/>
          <w:lang w:val="en-IN"/>
        </w:rPr>
        <w:t>.</w:t>
      </w:r>
      <w:r>
        <w:rPr>
          <w:lang w:val="en-IN"/>
        </w:rPr>
        <w:t xml:space="preserve"> [online] available at </w:t>
      </w:r>
      <w:hyperlink r:id="rId19" w:history="1">
        <w:r w:rsidRPr="00300F99">
          <w:rPr>
            <w:rStyle w:val="Hyperlink"/>
            <w:lang w:val="en-IN"/>
          </w:rPr>
          <w:t>https://www.ihgplc.com/about-us</w:t>
        </w:r>
      </w:hyperlink>
    </w:p>
    <w:p w14:paraId="330EAC98" w14:textId="77777777" w:rsidR="009F2653" w:rsidRDefault="009F2653" w:rsidP="002B0D41">
      <w:r w:rsidRPr="00062562">
        <w:t>Jain, Y.K., 2024. </w:t>
      </w:r>
      <w:r w:rsidRPr="00062562">
        <w:rPr>
          <w:i/>
          <w:iCs/>
        </w:rPr>
        <w:t>Financial management and market dynamics</w:t>
      </w:r>
      <w:r w:rsidRPr="00062562">
        <w:t>. Xoffencerpublication.</w:t>
      </w:r>
    </w:p>
    <w:p w14:paraId="55001869" w14:textId="77777777" w:rsidR="009F2653" w:rsidRDefault="009F2653" w:rsidP="002B0D41">
      <w:r w:rsidRPr="00834B2F">
        <w:t>Jerab, D. and Mabrouk, T., 2023. Strategies for effective organizational restructuring: A comprehensive guide. </w:t>
      </w:r>
      <w:r w:rsidRPr="00834B2F">
        <w:rPr>
          <w:i/>
          <w:iCs/>
        </w:rPr>
        <w:t>Available at SSRN 4584665</w:t>
      </w:r>
      <w:r w:rsidRPr="00834B2F">
        <w:t>.</w:t>
      </w:r>
    </w:p>
    <w:p w14:paraId="7FB56223" w14:textId="77777777" w:rsidR="009F2653" w:rsidRDefault="009F2653" w:rsidP="002B0D41">
      <w:r w:rsidRPr="00307904">
        <w:t>Ogundu, P.G., 2025. The strategic implications of financial derivatives in hedging corporate exposure to global economic volatility. </w:t>
      </w:r>
      <w:r w:rsidRPr="00307904">
        <w:rPr>
          <w:i/>
          <w:iCs/>
        </w:rPr>
        <w:t>World J. Adv. Res. Rev</w:t>
      </w:r>
      <w:r w:rsidRPr="00307904">
        <w:t>, </w:t>
      </w:r>
      <w:r w:rsidRPr="00307904">
        <w:rPr>
          <w:i/>
          <w:iCs/>
        </w:rPr>
        <w:t>25</w:t>
      </w:r>
      <w:r w:rsidRPr="00307904">
        <w:t>, pp.1218-1234.</w:t>
      </w:r>
    </w:p>
    <w:p w14:paraId="6C82CB6D" w14:textId="77777777" w:rsidR="009F2653" w:rsidRDefault="009F2653" w:rsidP="00A02F3D">
      <w:pPr>
        <w:rPr>
          <w:lang w:val="en-IN"/>
        </w:rPr>
      </w:pPr>
      <w:r w:rsidRPr="00E4034F">
        <w:t>Olajide, J.O., Otokiti, B.O., Nwani, S., Ogunmokun, A.S., Adekunle, B.I. and Fiemotongha, J.E., 2023. Building a working capital optimization model for vendor and distributor relationship management. </w:t>
      </w:r>
      <w:r w:rsidRPr="00E4034F">
        <w:rPr>
          <w:i/>
          <w:iCs/>
        </w:rPr>
        <w:t>International Journal of Scientific Research in Civil Engineering</w:t>
      </w:r>
      <w:r w:rsidRPr="00E4034F">
        <w:t>, </w:t>
      </w:r>
      <w:r w:rsidRPr="00E4034F">
        <w:rPr>
          <w:i/>
          <w:iCs/>
        </w:rPr>
        <w:t>7</w:t>
      </w:r>
      <w:r w:rsidRPr="00E4034F">
        <w:t>(6), pp.55-66.</w:t>
      </w:r>
    </w:p>
    <w:p w14:paraId="70C31865" w14:textId="77777777" w:rsidR="009F2653" w:rsidRDefault="009F2653" w:rsidP="002B0D41">
      <w:r w:rsidRPr="00DD01A3">
        <w:t>Sinaga, A.S., Sari, M.M., Hutasuhut, A.A., Zahara, S.T., Amanda, A., Fitri, A. and Caesario, M.A., 2023. Comparison of capital budgeting methods: NPV, IRR, PAYBACK PERIOD. </w:t>
      </w:r>
      <w:r w:rsidRPr="00DD01A3">
        <w:rPr>
          <w:i/>
          <w:iCs/>
        </w:rPr>
        <w:t>World Journal of Advanced Research and Reviews</w:t>
      </w:r>
      <w:r w:rsidRPr="00DD01A3">
        <w:t>, </w:t>
      </w:r>
      <w:r w:rsidRPr="00DD01A3">
        <w:rPr>
          <w:i/>
          <w:iCs/>
        </w:rPr>
        <w:t>19</w:t>
      </w:r>
      <w:r w:rsidRPr="00DD01A3">
        <w:t>(2), pp.1078-1081.</w:t>
      </w:r>
    </w:p>
    <w:p w14:paraId="078BC804" w14:textId="77777777" w:rsidR="009F2653" w:rsidRDefault="009F2653" w:rsidP="00A02F3D">
      <w:r w:rsidRPr="00D659D1">
        <w:t>Tiwary, D. and Paul, S., 2023. Role of bank credit and external commercial borrowings in working capital financing: evidence from Indian manufacturing firms. </w:t>
      </w:r>
      <w:r w:rsidRPr="00D659D1">
        <w:rPr>
          <w:i/>
          <w:iCs/>
        </w:rPr>
        <w:t>Journal of Risk and Financial Management</w:t>
      </w:r>
      <w:r w:rsidRPr="00D659D1">
        <w:t>, </w:t>
      </w:r>
      <w:r w:rsidRPr="00D659D1">
        <w:rPr>
          <w:i/>
          <w:iCs/>
        </w:rPr>
        <w:t>16</w:t>
      </w:r>
      <w:r w:rsidRPr="00D659D1">
        <w:t>(11), p.468.</w:t>
      </w:r>
    </w:p>
    <w:p w14:paraId="1884F588" w14:textId="77777777" w:rsidR="009F2653" w:rsidRDefault="009F2653" w:rsidP="002B0D41">
      <w:r w:rsidRPr="001D799D">
        <w:t>Velandia, A., 2022. Formulating a Debt Management Strategy. </w:t>
      </w:r>
      <w:r w:rsidRPr="001D799D">
        <w:rPr>
          <w:i/>
          <w:iCs/>
        </w:rPr>
        <w:t>SUSTAINABLE FINANCING OF DEVELOPMENT AND INFRASTRUCTURE</w:t>
      </w:r>
      <w:r w:rsidRPr="001D799D">
        <w:t>, p.106.</w:t>
      </w:r>
    </w:p>
    <w:p w14:paraId="3FCC1F19" w14:textId="77777777" w:rsidR="009F2653" w:rsidRDefault="009F2653" w:rsidP="002B0D41">
      <w:r w:rsidRPr="0096322F">
        <w:t>Zientara, P., 2026. Who pays for affordable tourism? Tourism’s hidden labor subsidy in times of crisis. </w:t>
      </w:r>
      <w:r w:rsidRPr="0096322F">
        <w:rPr>
          <w:i/>
          <w:iCs/>
        </w:rPr>
        <w:t>Journal of Sustainable Tourism</w:t>
      </w:r>
      <w:r w:rsidRPr="0096322F">
        <w:t>, pp.1-5.</w:t>
      </w:r>
    </w:p>
    <w:p w14:paraId="2BA8D712" w14:textId="77777777" w:rsidR="00DD01A3" w:rsidRDefault="00DD01A3" w:rsidP="002B0D41"/>
    <w:p w14:paraId="117C97F6" w14:textId="77777777" w:rsidR="00DD01A3" w:rsidRDefault="00DD01A3" w:rsidP="002B0D41"/>
    <w:p w14:paraId="689791DB" w14:textId="19C3624A" w:rsidR="0017493B" w:rsidRDefault="0017493B" w:rsidP="002B0D41">
      <w:pPr>
        <w:spacing w:before="0" w:after="160"/>
        <w:jc w:val="left"/>
      </w:pPr>
      <w:r>
        <w:br w:type="page"/>
      </w:r>
    </w:p>
    <w:p w14:paraId="779E81A7" w14:textId="484EE4C3" w:rsidR="0017493B" w:rsidRDefault="0017493B" w:rsidP="002B0D41">
      <w:pPr>
        <w:pStyle w:val="Heading1"/>
      </w:pPr>
      <w:bookmarkStart w:id="33" w:name="_Toc235636789"/>
      <w:r>
        <w:lastRenderedPageBreak/>
        <w:t>8. Appendix</w:t>
      </w:r>
      <w:bookmarkEnd w:id="33"/>
    </w:p>
    <w:p w14:paraId="19330187" w14:textId="4D3EC9AE" w:rsidR="00485B85" w:rsidRDefault="00485B85" w:rsidP="002B0D41">
      <w:pPr>
        <w:pStyle w:val="Heading2"/>
      </w:pPr>
      <w:bookmarkStart w:id="34" w:name="_Toc235636790"/>
      <w:r>
        <w:t>Appendix A – Financial Data of 5 years</w:t>
      </w:r>
      <w:bookmarkEnd w:id="34"/>
      <w:r>
        <w:t xml:space="preserve"> </w:t>
      </w:r>
    </w:p>
    <w:tbl>
      <w:tblPr>
        <w:tblW w:w="8880" w:type="dxa"/>
        <w:tblLook w:val="04A0" w:firstRow="1" w:lastRow="0" w:firstColumn="1" w:lastColumn="0" w:noHBand="0" w:noVBand="1"/>
      </w:tblPr>
      <w:tblGrid>
        <w:gridCol w:w="3820"/>
        <w:gridCol w:w="1020"/>
        <w:gridCol w:w="1020"/>
        <w:gridCol w:w="1020"/>
        <w:gridCol w:w="980"/>
        <w:gridCol w:w="1020"/>
      </w:tblGrid>
      <w:tr w:rsidR="00044448" w:rsidRPr="00044448" w14:paraId="196E3A53" w14:textId="77777777" w:rsidTr="00044448">
        <w:trPr>
          <w:trHeight w:val="276"/>
        </w:trPr>
        <w:tc>
          <w:tcPr>
            <w:tcW w:w="3820" w:type="dxa"/>
            <w:tcBorders>
              <w:top w:val="single" w:sz="4" w:space="0" w:color="auto"/>
              <w:left w:val="single" w:sz="4" w:space="0" w:color="auto"/>
              <w:bottom w:val="single" w:sz="4" w:space="0" w:color="auto"/>
              <w:right w:val="single" w:sz="4" w:space="0" w:color="auto"/>
            </w:tcBorders>
            <w:vAlign w:val="center"/>
            <w:hideMark/>
          </w:tcPr>
          <w:p w14:paraId="2FFB97A2" w14:textId="77777777" w:rsidR="00044448" w:rsidRPr="00044448" w:rsidRDefault="00044448" w:rsidP="002B0D41">
            <w:pPr>
              <w:spacing w:before="0" w:after="0"/>
              <w:jc w:val="center"/>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Data in $m</w:t>
            </w:r>
          </w:p>
        </w:tc>
        <w:tc>
          <w:tcPr>
            <w:tcW w:w="1020" w:type="dxa"/>
            <w:tcBorders>
              <w:top w:val="single" w:sz="4" w:space="0" w:color="auto"/>
              <w:left w:val="nil"/>
              <w:bottom w:val="single" w:sz="4" w:space="0" w:color="auto"/>
              <w:right w:val="single" w:sz="4" w:space="0" w:color="auto"/>
            </w:tcBorders>
            <w:vAlign w:val="center"/>
            <w:hideMark/>
          </w:tcPr>
          <w:p w14:paraId="61F4E9B5"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2021</w:t>
            </w:r>
          </w:p>
        </w:tc>
        <w:tc>
          <w:tcPr>
            <w:tcW w:w="1020" w:type="dxa"/>
            <w:tcBorders>
              <w:top w:val="single" w:sz="4" w:space="0" w:color="auto"/>
              <w:left w:val="nil"/>
              <w:bottom w:val="single" w:sz="4" w:space="0" w:color="auto"/>
              <w:right w:val="single" w:sz="4" w:space="0" w:color="auto"/>
            </w:tcBorders>
            <w:vAlign w:val="center"/>
            <w:hideMark/>
          </w:tcPr>
          <w:p w14:paraId="0BB6A604"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2022</w:t>
            </w:r>
          </w:p>
        </w:tc>
        <w:tc>
          <w:tcPr>
            <w:tcW w:w="1020" w:type="dxa"/>
            <w:tcBorders>
              <w:top w:val="single" w:sz="4" w:space="0" w:color="auto"/>
              <w:left w:val="nil"/>
              <w:bottom w:val="single" w:sz="4" w:space="0" w:color="auto"/>
              <w:right w:val="single" w:sz="4" w:space="0" w:color="auto"/>
            </w:tcBorders>
            <w:vAlign w:val="center"/>
            <w:hideMark/>
          </w:tcPr>
          <w:p w14:paraId="790B9216"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2023</w:t>
            </w:r>
          </w:p>
        </w:tc>
        <w:tc>
          <w:tcPr>
            <w:tcW w:w="980" w:type="dxa"/>
            <w:tcBorders>
              <w:top w:val="single" w:sz="4" w:space="0" w:color="auto"/>
              <w:left w:val="nil"/>
              <w:bottom w:val="single" w:sz="4" w:space="0" w:color="auto"/>
              <w:right w:val="single" w:sz="4" w:space="0" w:color="auto"/>
            </w:tcBorders>
            <w:vAlign w:val="center"/>
            <w:hideMark/>
          </w:tcPr>
          <w:p w14:paraId="4BF03D65"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2024</w:t>
            </w:r>
          </w:p>
        </w:tc>
        <w:tc>
          <w:tcPr>
            <w:tcW w:w="1020" w:type="dxa"/>
            <w:tcBorders>
              <w:top w:val="single" w:sz="4" w:space="0" w:color="auto"/>
              <w:left w:val="nil"/>
              <w:bottom w:val="single" w:sz="4" w:space="0" w:color="auto"/>
              <w:right w:val="single" w:sz="4" w:space="0" w:color="auto"/>
            </w:tcBorders>
            <w:vAlign w:val="center"/>
            <w:hideMark/>
          </w:tcPr>
          <w:p w14:paraId="5A7018A4"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2025</w:t>
            </w:r>
          </w:p>
        </w:tc>
      </w:tr>
      <w:tr w:rsidR="00044448" w:rsidRPr="00044448" w14:paraId="4F825461" w14:textId="77777777" w:rsidTr="00664782">
        <w:trPr>
          <w:trHeight w:val="276"/>
        </w:trPr>
        <w:tc>
          <w:tcPr>
            <w:tcW w:w="8880" w:type="dxa"/>
            <w:gridSpan w:val="6"/>
            <w:tcBorders>
              <w:top w:val="single" w:sz="4" w:space="0" w:color="auto"/>
              <w:left w:val="single" w:sz="4" w:space="0" w:color="auto"/>
              <w:bottom w:val="single" w:sz="4" w:space="0" w:color="auto"/>
              <w:right w:val="single" w:sz="4" w:space="0" w:color="auto"/>
            </w:tcBorders>
            <w:shd w:val="clear" w:color="auto" w:fill="3A7C22" w:themeFill="accent6" w:themeFillShade="BF"/>
            <w:vAlign w:val="center"/>
            <w:hideMark/>
          </w:tcPr>
          <w:p w14:paraId="34C04776" w14:textId="77777777" w:rsidR="00044448" w:rsidRPr="00044448" w:rsidRDefault="00044448" w:rsidP="002B0D41">
            <w:pPr>
              <w:spacing w:before="0" w:after="0"/>
              <w:jc w:val="center"/>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INCOME STATEMENT</w:t>
            </w:r>
          </w:p>
        </w:tc>
      </w:tr>
      <w:tr w:rsidR="00044448" w:rsidRPr="00044448" w14:paraId="1285DA6F"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55EBF743"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Total Revenue</w:t>
            </w:r>
          </w:p>
        </w:tc>
        <w:tc>
          <w:tcPr>
            <w:tcW w:w="1020" w:type="dxa"/>
            <w:tcBorders>
              <w:top w:val="nil"/>
              <w:left w:val="nil"/>
              <w:bottom w:val="single" w:sz="4" w:space="0" w:color="auto"/>
              <w:right w:val="single" w:sz="4" w:space="0" w:color="auto"/>
            </w:tcBorders>
            <w:vAlign w:val="center"/>
            <w:hideMark/>
          </w:tcPr>
          <w:p w14:paraId="5879A00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2,907</w:t>
            </w:r>
          </w:p>
        </w:tc>
        <w:tc>
          <w:tcPr>
            <w:tcW w:w="1020" w:type="dxa"/>
            <w:tcBorders>
              <w:top w:val="nil"/>
              <w:left w:val="nil"/>
              <w:bottom w:val="single" w:sz="4" w:space="0" w:color="auto"/>
              <w:right w:val="single" w:sz="4" w:space="0" w:color="auto"/>
            </w:tcBorders>
            <w:vAlign w:val="center"/>
            <w:hideMark/>
          </w:tcPr>
          <w:p w14:paraId="4CFC17F6"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3,892</w:t>
            </w:r>
          </w:p>
        </w:tc>
        <w:tc>
          <w:tcPr>
            <w:tcW w:w="1020" w:type="dxa"/>
            <w:tcBorders>
              <w:top w:val="nil"/>
              <w:left w:val="nil"/>
              <w:bottom w:val="single" w:sz="4" w:space="0" w:color="auto"/>
              <w:right w:val="single" w:sz="4" w:space="0" w:color="auto"/>
            </w:tcBorders>
            <w:vAlign w:val="center"/>
            <w:hideMark/>
          </w:tcPr>
          <w:p w14:paraId="7E300AC9"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4,624</w:t>
            </w:r>
          </w:p>
        </w:tc>
        <w:tc>
          <w:tcPr>
            <w:tcW w:w="980" w:type="dxa"/>
            <w:tcBorders>
              <w:top w:val="nil"/>
              <w:left w:val="nil"/>
              <w:bottom w:val="single" w:sz="4" w:space="0" w:color="auto"/>
              <w:right w:val="single" w:sz="4" w:space="0" w:color="auto"/>
            </w:tcBorders>
            <w:vAlign w:val="center"/>
            <w:hideMark/>
          </w:tcPr>
          <w:p w14:paraId="141AB9BB"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4,923</w:t>
            </w:r>
          </w:p>
        </w:tc>
        <w:tc>
          <w:tcPr>
            <w:tcW w:w="1020" w:type="dxa"/>
            <w:tcBorders>
              <w:top w:val="nil"/>
              <w:left w:val="nil"/>
              <w:bottom w:val="single" w:sz="4" w:space="0" w:color="auto"/>
              <w:right w:val="single" w:sz="4" w:space="0" w:color="auto"/>
            </w:tcBorders>
            <w:vAlign w:val="center"/>
            <w:hideMark/>
          </w:tcPr>
          <w:p w14:paraId="60540662"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5,189</w:t>
            </w:r>
          </w:p>
        </w:tc>
      </w:tr>
      <w:tr w:rsidR="00044448" w:rsidRPr="00044448" w14:paraId="619C8BC3"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34199F54"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Revenue from Reportable Segments</w:t>
            </w:r>
          </w:p>
        </w:tc>
        <w:tc>
          <w:tcPr>
            <w:tcW w:w="1020" w:type="dxa"/>
            <w:tcBorders>
              <w:top w:val="nil"/>
              <w:left w:val="nil"/>
              <w:bottom w:val="single" w:sz="4" w:space="0" w:color="auto"/>
              <w:right w:val="single" w:sz="4" w:space="0" w:color="auto"/>
            </w:tcBorders>
            <w:vAlign w:val="center"/>
            <w:hideMark/>
          </w:tcPr>
          <w:p w14:paraId="56022C89"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1,390</w:t>
            </w:r>
          </w:p>
        </w:tc>
        <w:tc>
          <w:tcPr>
            <w:tcW w:w="1020" w:type="dxa"/>
            <w:tcBorders>
              <w:top w:val="nil"/>
              <w:left w:val="nil"/>
              <w:bottom w:val="single" w:sz="4" w:space="0" w:color="auto"/>
              <w:right w:val="single" w:sz="4" w:space="0" w:color="auto"/>
            </w:tcBorders>
            <w:vAlign w:val="center"/>
            <w:hideMark/>
          </w:tcPr>
          <w:p w14:paraId="2C73678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1,843</w:t>
            </w:r>
          </w:p>
        </w:tc>
        <w:tc>
          <w:tcPr>
            <w:tcW w:w="1020" w:type="dxa"/>
            <w:tcBorders>
              <w:top w:val="nil"/>
              <w:left w:val="nil"/>
              <w:bottom w:val="single" w:sz="4" w:space="0" w:color="auto"/>
              <w:right w:val="single" w:sz="4" w:space="0" w:color="auto"/>
            </w:tcBorders>
            <w:vAlign w:val="center"/>
            <w:hideMark/>
          </w:tcPr>
          <w:p w14:paraId="62566A45"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2,164</w:t>
            </w:r>
          </w:p>
        </w:tc>
        <w:tc>
          <w:tcPr>
            <w:tcW w:w="980" w:type="dxa"/>
            <w:tcBorders>
              <w:top w:val="nil"/>
              <w:left w:val="nil"/>
              <w:bottom w:val="single" w:sz="4" w:space="0" w:color="auto"/>
              <w:right w:val="single" w:sz="4" w:space="0" w:color="auto"/>
            </w:tcBorders>
            <w:vAlign w:val="center"/>
            <w:hideMark/>
          </w:tcPr>
          <w:p w14:paraId="2837D1ED"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2,312</w:t>
            </w:r>
          </w:p>
        </w:tc>
        <w:tc>
          <w:tcPr>
            <w:tcW w:w="1020" w:type="dxa"/>
            <w:tcBorders>
              <w:top w:val="nil"/>
              <w:left w:val="nil"/>
              <w:bottom w:val="single" w:sz="4" w:space="0" w:color="auto"/>
              <w:right w:val="single" w:sz="4" w:space="0" w:color="auto"/>
            </w:tcBorders>
            <w:vAlign w:val="center"/>
            <w:hideMark/>
          </w:tcPr>
          <w:p w14:paraId="007D4A6B"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2,468</w:t>
            </w:r>
          </w:p>
        </w:tc>
      </w:tr>
      <w:tr w:rsidR="00044448" w:rsidRPr="00044448" w14:paraId="2C151977"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4DAAAE14"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Cost of Sales</w:t>
            </w:r>
          </w:p>
        </w:tc>
        <w:tc>
          <w:tcPr>
            <w:tcW w:w="1020" w:type="dxa"/>
            <w:tcBorders>
              <w:top w:val="nil"/>
              <w:left w:val="nil"/>
              <w:bottom w:val="single" w:sz="4" w:space="0" w:color="auto"/>
              <w:right w:val="single" w:sz="4" w:space="0" w:color="auto"/>
            </w:tcBorders>
            <w:vAlign w:val="center"/>
            <w:hideMark/>
          </w:tcPr>
          <w:p w14:paraId="27E50C56"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486</w:t>
            </w:r>
          </w:p>
        </w:tc>
        <w:tc>
          <w:tcPr>
            <w:tcW w:w="1020" w:type="dxa"/>
            <w:tcBorders>
              <w:top w:val="nil"/>
              <w:left w:val="nil"/>
              <w:bottom w:val="single" w:sz="4" w:space="0" w:color="auto"/>
              <w:right w:val="single" w:sz="4" w:space="0" w:color="auto"/>
            </w:tcBorders>
            <w:vAlign w:val="center"/>
            <w:hideMark/>
          </w:tcPr>
          <w:p w14:paraId="1916F545"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648</w:t>
            </w:r>
          </w:p>
        </w:tc>
        <w:tc>
          <w:tcPr>
            <w:tcW w:w="1020" w:type="dxa"/>
            <w:tcBorders>
              <w:top w:val="nil"/>
              <w:left w:val="nil"/>
              <w:bottom w:val="single" w:sz="4" w:space="0" w:color="auto"/>
              <w:right w:val="single" w:sz="4" w:space="0" w:color="auto"/>
            </w:tcBorders>
            <w:vAlign w:val="center"/>
            <w:hideMark/>
          </w:tcPr>
          <w:p w14:paraId="20CC0A1F"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742</w:t>
            </w:r>
          </w:p>
        </w:tc>
        <w:tc>
          <w:tcPr>
            <w:tcW w:w="980" w:type="dxa"/>
            <w:tcBorders>
              <w:top w:val="nil"/>
              <w:left w:val="nil"/>
              <w:bottom w:val="single" w:sz="4" w:space="0" w:color="auto"/>
              <w:right w:val="single" w:sz="4" w:space="0" w:color="auto"/>
            </w:tcBorders>
            <w:vAlign w:val="center"/>
            <w:hideMark/>
          </w:tcPr>
          <w:p w14:paraId="4EAD07A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745</w:t>
            </w:r>
          </w:p>
        </w:tc>
        <w:tc>
          <w:tcPr>
            <w:tcW w:w="1020" w:type="dxa"/>
            <w:tcBorders>
              <w:top w:val="nil"/>
              <w:left w:val="nil"/>
              <w:bottom w:val="single" w:sz="4" w:space="0" w:color="auto"/>
              <w:right w:val="single" w:sz="4" w:space="0" w:color="auto"/>
            </w:tcBorders>
            <w:vAlign w:val="center"/>
            <w:hideMark/>
          </w:tcPr>
          <w:p w14:paraId="5F0A6016"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764</w:t>
            </w:r>
          </w:p>
        </w:tc>
      </w:tr>
      <w:tr w:rsidR="00044448" w:rsidRPr="00044448" w14:paraId="4E015CBB"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407EAC2B"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Operating Profit</w:t>
            </w:r>
          </w:p>
        </w:tc>
        <w:tc>
          <w:tcPr>
            <w:tcW w:w="1020" w:type="dxa"/>
            <w:tcBorders>
              <w:top w:val="nil"/>
              <w:left w:val="nil"/>
              <w:bottom w:val="single" w:sz="4" w:space="0" w:color="auto"/>
              <w:right w:val="single" w:sz="4" w:space="0" w:color="auto"/>
            </w:tcBorders>
            <w:vAlign w:val="center"/>
            <w:hideMark/>
          </w:tcPr>
          <w:p w14:paraId="569FC177"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494</w:t>
            </w:r>
          </w:p>
        </w:tc>
        <w:tc>
          <w:tcPr>
            <w:tcW w:w="1020" w:type="dxa"/>
            <w:tcBorders>
              <w:top w:val="nil"/>
              <w:left w:val="nil"/>
              <w:bottom w:val="single" w:sz="4" w:space="0" w:color="auto"/>
              <w:right w:val="single" w:sz="4" w:space="0" w:color="auto"/>
            </w:tcBorders>
            <w:vAlign w:val="center"/>
            <w:hideMark/>
          </w:tcPr>
          <w:p w14:paraId="49CDD5E3"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628</w:t>
            </w:r>
          </w:p>
        </w:tc>
        <w:tc>
          <w:tcPr>
            <w:tcW w:w="1020" w:type="dxa"/>
            <w:tcBorders>
              <w:top w:val="nil"/>
              <w:left w:val="nil"/>
              <w:bottom w:val="single" w:sz="4" w:space="0" w:color="auto"/>
              <w:right w:val="single" w:sz="4" w:space="0" w:color="auto"/>
            </w:tcBorders>
            <w:vAlign w:val="center"/>
            <w:hideMark/>
          </w:tcPr>
          <w:p w14:paraId="78932F44"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1,066</w:t>
            </w:r>
          </w:p>
        </w:tc>
        <w:tc>
          <w:tcPr>
            <w:tcW w:w="980" w:type="dxa"/>
            <w:tcBorders>
              <w:top w:val="nil"/>
              <w:left w:val="nil"/>
              <w:bottom w:val="single" w:sz="4" w:space="0" w:color="auto"/>
              <w:right w:val="single" w:sz="4" w:space="0" w:color="auto"/>
            </w:tcBorders>
            <w:vAlign w:val="center"/>
            <w:hideMark/>
          </w:tcPr>
          <w:p w14:paraId="418940AF"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1,041</w:t>
            </w:r>
          </w:p>
        </w:tc>
        <w:tc>
          <w:tcPr>
            <w:tcW w:w="1020" w:type="dxa"/>
            <w:tcBorders>
              <w:top w:val="nil"/>
              <w:left w:val="nil"/>
              <w:bottom w:val="single" w:sz="4" w:space="0" w:color="auto"/>
              <w:right w:val="single" w:sz="4" w:space="0" w:color="auto"/>
            </w:tcBorders>
            <w:vAlign w:val="center"/>
            <w:hideMark/>
          </w:tcPr>
          <w:p w14:paraId="49835284"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1,198</w:t>
            </w:r>
          </w:p>
        </w:tc>
      </w:tr>
      <w:tr w:rsidR="00044448" w:rsidRPr="00044448" w14:paraId="2CCF34B8"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254F566A"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Financial Income</w:t>
            </w:r>
          </w:p>
        </w:tc>
        <w:tc>
          <w:tcPr>
            <w:tcW w:w="1020" w:type="dxa"/>
            <w:tcBorders>
              <w:top w:val="nil"/>
              <w:left w:val="nil"/>
              <w:bottom w:val="single" w:sz="4" w:space="0" w:color="auto"/>
              <w:right w:val="single" w:sz="4" w:space="0" w:color="auto"/>
            </w:tcBorders>
            <w:vAlign w:val="center"/>
            <w:hideMark/>
          </w:tcPr>
          <w:p w14:paraId="6FB2EA3C"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8</w:t>
            </w:r>
          </w:p>
        </w:tc>
        <w:tc>
          <w:tcPr>
            <w:tcW w:w="1020" w:type="dxa"/>
            <w:tcBorders>
              <w:top w:val="nil"/>
              <w:left w:val="nil"/>
              <w:bottom w:val="single" w:sz="4" w:space="0" w:color="auto"/>
              <w:right w:val="single" w:sz="4" w:space="0" w:color="auto"/>
            </w:tcBorders>
            <w:vAlign w:val="center"/>
            <w:hideMark/>
          </w:tcPr>
          <w:p w14:paraId="3DD0F5CF"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22</w:t>
            </w:r>
          </w:p>
        </w:tc>
        <w:tc>
          <w:tcPr>
            <w:tcW w:w="1020" w:type="dxa"/>
            <w:tcBorders>
              <w:top w:val="nil"/>
              <w:left w:val="nil"/>
              <w:bottom w:val="single" w:sz="4" w:space="0" w:color="auto"/>
              <w:right w:val="single" w:sz="4" w:space="0" w:color="auto"/>
            </w:tcBorders>
            <w:vAlign w:val="center"/>
            <w:hideMark/>
          </w:tcPr>
          <w:p w14:paraId="1472E357"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39</w:t>
            </w:r>
          </w:p>
        </w:tc>
        <w:tc>
          <w:tcPr>
            <w:tcW w:w="980" w:type="dxa"/>
            <w:tcBorders>
              <w:top w:val="nil"/>
              <w:left w:val="nil"/>
              <w:bottom w:val="single" w:sz="4" w:space="0" w:color="auto"/>
              <w:right w:val="single" w:sz="4" w:space="0" w:color="auto"/>
            </w:tcBorders>
            <w:vAlign w:val="center"/>
            <w:hideMark/>
          </w:tcPr>
          <w:p w14:paraId="16882B9E"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63</w:t>
            </w:r>
          </w:p>
        </w:tc>
        <w:tc>
          <w:tcPr>
            <w:tcW w:w="1020" w:type="dxa"/>
            <w:tcBorders>
              <w:top w:val="nil"/>
              <w:left w:val="nil"/>
              <w:bottom w:val="single" w:sz="4" w:space="0" w:color="auto"/>
              <w:right w:val="single" w:sz="4" w:space="0" w:color="auto"/>
            </w:tcBorders>
            <w:vAlign w:val="center"/>
            <w:hideMark/>
          </w:tcPr>
          <w:p w14:paraId="00FE09EB"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49</w:t>
            </w:r>
          </w:p>
        </w:tc>
      </w:tr>
      <w:tr w:rsidR="00044448" w:rsidRPr="00044448" w14:paraId="5E253F72"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2426411A"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Financial Expenses</w:t>
            </w:r>
          </w:p>
        </w:tc>
        <w:tc>
          <w:tcPr>
            <w:tcW w:w="1020" w:type="dxa"/>
            <w:tcBorders>
              <w:top w:val="nil"/>
              <w:left w:val="nil"/>
              <w:bottom w:val="single" w:sz="4" w:space="0" w:color="auto"/>
              <w:right w:val="single" w:sz="4" w:space="0" w:color="auto"/>
            </w:tcBorders>
            <w:vAlign w:val="center"/>
            <w:hideMark/>
          </w:tcPr>
          <w:p w14:paraId="6A9C41A5"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147</w:t>
            </w:r>
          </w:p>
        </w:tc>
        <w:tc>
          <w:tcPr>
            <w:tcW w:w="1020" w:type="dxa"/>
            <w:tcBorders>
              <w:top w:val="nil"/>
              <w:left w:val="nil"/>
              <w:bottom w:val="single" w:sz="4" w:space="0" w:color="auto"/>
              <w:right w:val="single" w:sz="4" w:space="0" w:color="auto"/>
            </w:tcBorders>
            <w:vAlign w:val="center"/>
            <w:hideMark/>
          </w:tcPr>
          <w:p w14:paraId="078F4C2C"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118</w:t>
            </w:r>
          </w:p>
        </w:tc>
        <w:tc>
          <w:tcPr>
            <w:tcW w:w="1020" w:type="dxa"/>
            <w:tcBorders>
              <w:top w:val="nil"/>
              <w:left w:val="nil"/>
              <w:bottom w:val="single" w:sz="4" w:space="0" w:color="auto"/>
              <w:right w:val="single" w:sz="4" w:space="0" w:color="auto"/>
            </w:tcBorders>
            <w:vAlign w:val="center"/>
            <w:hideMark/>
          </w:tcPr>
          <w:p w14:paraId="1F69DB19"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126</w:t>
            </w:r>
          </w:p>
        </w:tc>
        <w:tc>
          <w:tcPr>
            <w:tcW w:w="980" w:type="dxa"/>
            <w:tcBorders>
              <w:top w:val="nil"/>
              <w:left w:val="nil"/>
              <w:bottom w:val="single" w:sz="4" w:space="0" w:color="auto"/>
              <w:right w:val="single" w:sz="4" w:space="0" w:color="auto"/>
            </w:tcBorders>
            <w:vAlign w:val="center"/>
            <w:hideMark/>
          </w:tcPr>
          <w:p w14:paraId="3B0720E1"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178</w:t>
            </w:r>
          </w:p>
        </w:tc>
        <w:tc>
          <w:tcPr>
            <w:tcW w:w="1020" w:type="dxa"/>
            <w:tcBorders>
              <w:top w:val="nil"/>
              <w:left w:val="nil"/>
              <w:bottom w:val="single" w:sz="4" w:space="0" w:color="auto"/>
              <w:right w:val="single" w:sz="4" w:space="0" w:color="auto"/>
            </w:tcBorders>
            <w:vAlign w:val="center"/>
            <w:hideMark/>
          </w:tcPr>
          <w:p w14:paraId="1B852691"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202</w:t>
            </w:r>
          </w:p>
        </w:tc>
      </w:tr>
      <w:tr w:rsidR="00044448" w:rsidRPr="00044448" w14:paraId="49BFDE39"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55FFF026"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Profit Before Tax</w:t>
            </w:r>
          </w:p>
        </w:tc>
        <w:tc>
          <w:tcPr>
            <w:tcW w:w="1020" w:type="dxa"/>
            <w:tcBorders>
              <w:top w:val="nil"/>
              <w:left w:val="nil"/>
              <w:bottom w:val="single" w:sz="4" w:space="0" w:color="auto"/>
              <w:right w:val="single" w:sz="4" w:space="0" w:color="auto"/>
            </w:tcBorders>
            <w:vAlign w:val="center"/>
            <w:hideMark/>
          </w:tcPr>
          <w:p w14:paraId="56ACC5AF"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361</w:t>
            </w:r>
          </w:p>
        </w:tc>
        <w:tc>
          <w:tcPr>
            <w:tcW w:w="1020" w:type="dxa"/>
            <w:tcBorders>
              <w:top w:val="nil"/>
              <w:left w:val="nil"/>
              <w:bottom w:val="single" w:sz="4" w:space="0" w:color="auto"/>
              <w:right w:val="single" w:sz="4" w:space="0" w:color="auto"/>
            </w:tcBorders>
            <w:vAlign w:val="center"/>
            <w:hideMark/>
          </w:tcPr>
          <w:p w14:paraId="3D28A949"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540</w:t>
            </w:r>
          </w:p>
        </w:tc>
        <w:tc>
          <w:tcPr>
            <w:tcW w:w="1020" w:type="dxa"/>
            <w:tcBorders>
              <w:top w:val="nil"/>
              <w:left w:val="nil"/>
              <w:bottom w:val="single" w:sz="4" w:space="0" w:color="auto"/>
              <w:right w:val="single" w:sz="4" w:space="0" w:color="auto"/>
            </w:tcBorders>
            <w:vAlign w:val="center"/>
            <w:hideMark/>
          </w:tcPr>
          <w:p w14:paraId="5BF31FC6"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1,010</w:t>
            </w:r>
          </w:p>
        </w:tc>
        <w:tc>
          <w:tcPr>
            <w:tcW w:w="980" w:type="dxa"/>
            <w:tcBorders>
              <w:top w:val="nil"/>
              <w:left w:val="nil"/>
              <w:bottom w:val="single" w:sz="4" w:space="0" w:color="auto"/>
              <w:right w:val="single" w:sz="4" w:space="0" w:color="auto"/>
            </w:tcBorders>
            <w:vAlign w:val="center"/>
            <w:hideMark/>
          </w:tcPr>
          <w:p w14:paraId="1916C8FF"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897</w:t>
            </w:r>
          </w:p>
        </w:tc>
        <w:tc>
          <w:tcPr>
            <w:tcW w:w="1020" w:type="dxa"/>
            <w:tcBorders>
              <w:top w:val="nil"/>
              <w:left w:val="nil"/>
              <w:bottom w:val="single" w:sz="4" w:space="0" w:color="auto"/>
              <w:right w:val="single" w:sz="4" w:space="0" w:color="auto"/>
            </w:tcBorders>
            <w:vAlign w:val="center"/>
            <w:hideMark/>
          </w:tcPr>
          <w:p w14:paraId="1A299EDA"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1,074</w:t>
            </w:r>
          </w:p>
        </w:tc>
      </w:tr>
      <w:tr w:rsidR="00044448" w:rsidRPr="00044448" w14:paraId="723DBA4A"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60BD000E"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Tax Expense</w:t>
            </w:r>
          </w:p>
        </w:tc>
        <w:tc>
          <w:tcPr>
            <w:tcW w:w="1020" w:type="dxa"/>
            <w:tcBorders>
              <w:top w:val="nil"/>
              <w:left w:val="nil"/>
              <w:bottom w:val="single" w:sz="4" w:space="0" w:color="auto"/>
              <w:right w:val="single" w:sz="4" w:space="0" w:color="auto"/>
            </w:tcBorders>
            <w:vAlign w:val="center"/>
            <w:hideMark/>
          </w:tcPr>
          <w:p w14:paraId="4DB800A3"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96</w:t>
            </w:r>
          </w:p>
        </w:tc>
        <w:tc>
          <w:tcPr>
            <w:tcW w:w="1020" w:type="dxa"/>
            <w:tcBorders>
              <w:top w:val="nil"/>
              <w:left w:val="nil"/>
              <w:bottom w:val="single" w:sz="4" w:space="0" w:color="auto"/>
              <w:right w:val="single" w:sz="4" w:space="0" w:color="auto"/>
            </w:tcBorders>
            <w:vAlign w:val="center"/>
            <w:hideMark/>
          </w:tcPr>
          <w:p w14:paraId="26FD481B"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164</w:t>
            </w:r>
          </w:p>
        </w:tc>
        <w:tc>
          <w:tcPr>
            <w:tcW w:w="1020" w:type="dxa"/>
            <w:tcBorders>
              <w:top w:val="nil"/>
              <w:left w:val="nil"/>
              <w:bottom w:val="single" w:sz="4" w:space="0" w:color="auto"/>
              <w:right w:val="single" w:sz="4" w:space="0" w:color="auto"/>
            </w:tcBorders>
            <w:vAlign w:val="center"/>
            <w:hideMark/>
          </w:tcPr>
          <w:p w14:paraId="5DC3F3F2"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260</w:t>
            </w:r>
          </w:p>
        </w:tc>
        <w:tc>
          <w:tcPr>
            <w:tcW w:w="980" w:type="dxa"/>
            <w:tcBorders>
              <w:top w:val="nil"/>
              <w:left w:val="nil"/>
              <w:bottom w:val="single" w:sz="4" w:space="0" w:color="auto"/>
              <w:right w:val="single" w:sz="4" w:space="0" w:color="auto"/>
            </w:tcBorders>
            <w:vAlign w:val="center"/>
            <w:hideMark/>
          </w:tcPr>
          <w:p w14:paraId="41727756"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269</w:t>
            </w:r>
          </w:p>
        </w:tc>
        <w:tc>
          <w:tcPr>
            <w:tcW w:w="1020" w:type="dxa"/>
            <w:tcBorders>
              <w:top w:val="nil"/>
              <w:left w:val="nil"/>
              <w:bottom w:val="single" w:sz="4" w:space="0" w:color="auto"/>
              <w:right w:val="single" w:sz="4" w:space="0" w:color="auto"/>
            </w:tcBorders>
            <w:vAlign w:val="center"/>
            <w:hideMark/>
          </w:tcPr>
          <w:p w14:paraId="5F58F1B6"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315</w:t>
            </w:r>
          </w:p>
        </w:tc>
      </w:tr>
      <w:tr w:rsidR="00044448" w:rsidRPr="00044448" w14:paraId="29C534D1"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4520ADA8"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Profit for the Year</w:t>
            </w:r>
          </w:p>
        </w:tc>
        <w:tc>
          <w:tcPr>
            <w:tcW w:w="1020" w:type="dxa"/>
            <w:tcBorders>
              <w:top w:val="nil"/>
              <w:left w:val="nil"/>
              <w:bottom w:val="single" w:sz="4" w:space="0" w:color="auto"/>
              <w:right w:val="single" w:sz="4" w:space="0" w:color="auto"/>
            </w:tcBorders>
            <w:vAlign w:val="center"/>
            <w:hideMark/>
          </w:tcPr>
          <w:p w14:paraId="11B2DAC7"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265</w:t>
            </w:r>
          </w:p>
        </w:tc>
        <w:tc>
          <w:tcPr>
            <w:tcW w:w="1020" w:type="dxa"/>
            <w:tcBorders>
              <w:top w:val="nil"/>
              <w:left w:val="nil"/>
              <w:bottom w:val="single" w:sz="4" w:space="0" w:color="auto"/>
              <w:right w:val="single" w:sz="4" w:space="0" w:color="auto"/>
            </w:tcBorders>
            <w:vAlign w:val="center"/>
            <w:hideMark/>
          </w:tcPr>
          <w:p w14:paraId="157FC87B"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376</w:t>
            </w:r>
          </w:p>
        </w:tc>
        <w:tc>
          <w:tcPr>
            <w:tcW w:w="1020" w:type="dxa"/>
            <w:tcBorders>
              <w:top w:val="nil"/>
              <w:left w:val="nil"/>
              <w:bottom w:val="single" w:sz="4" w:space="0" w:color="auto"/>
              <w:right w:val="single" w:sz="4" w:space="0" w:color="auto"/>
            </w:tcBorders>
            <w:vAlign w:val="center"/>
            <w:hideMark/>
          </w:tcPr>
          <w:p w14:paraId="623AD566"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750</w:t>
            </w:r>
          </w:p>
        </w:tc>
        <w:tc>
          <w:tcPr>
            <w:tcW w:w="980" w:type="dxa"/>
            <w:tcBorders>
              <w:top w:val="nil"/>
              <w:left w:val="nil"/>
              <w:bottom w:val="single" w:sz="4" w:space="0" w:color="auto"/>
              <w:right w:val="single" w:sz="4" w:space="0" w:color="auto"/>
            </w:tcBorders>
            <w:vAlign w:val="center"/>
            <w:hideMark/>
          </w:tcPr>
          <w:p w14:paraId="0619852C"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628</w:t>
            </w:r>
          </w:p>
        </w:tc>
        <w:tc>
          <w:tcPr>
            <w:tcW w:w="1020" w:type="dxa"/>
            <w:tcBorders>
              <w:top w:val="nil"/>
              <w:left w:val="nil"/>
              <w:bottom w:val="single" w:sz="4" w:space="0" w:color="auto"/>
              <w:right w:val="single" w:sz="4" w:space="0" w:color="auto"/>
            </w:tcBorders>
            <w:vAlign w:val="center"/>
            <w:hideMark/>
          </w:tcPr>
          <w:p w14:paraId="1C1697AB"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759</w:t>
            </w:r>
          </w:p>
        </w:tc>
      </w:tr>
      <w:tr w:rsidR="00044448" w:rsidRPr="00044448" w14:paraId="44134793"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0D880A86"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Profit attributable to IHG shareholders</w:t>
            </w:r>
          </w:p>
        </w:tc>
        <w:tc>
          <w:tcPr>
            <w:tcW w:w="1020" w:type="dxa"/>
            <w:tcBorders>
              <w:top w:val="nil"/>
              <w:left w:val="nil"/>
              <w:bottom w:val="single" w:sz="4" w:space="0" w:color="auto"/>
              <w:right w:val="single" w:sz="4" w:space="0" w:color="auto"/>
            </w:tcBorders>
            <w:vAlign w:val="center"/>
            <w:hideMark/>
          </w:tcPr>
          <w:p w14:paraId="37086CEE"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266</w:t>
            </w:r>
          </w:p>
        </w:tc>
        <w:tc>
          <w:tcPr>
            <w:tcW w:w="1020" w:type="dxa"/>
            <w:tcBorders>
              <w:top w:val="nil"/>
              <w:left w:val="nil"/>
              <w:bottom w:val="single" w:sz="4" w:space="0" w:color="auto"/>
              <w:right w:val="single" w:sz="4" w:space="0" w:color="auto"/>
            </w:tcBorders>
            <w:vAlign w:val="center"/>
            <w:hideMark/>
          </w:tcPr>
          <w:p w14:paraId="5947AD6B"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375</w:t>
            </w:r>
          </w:p>
        </w:tc>
        <w:tc>
          <w:tcPr>
            <w:tcW w:w="1020" w:type="dxa"/>
            <w:tcBorders>
              <w:top w:val="nil"/>
              <w:left w:val="nil"/>
              <w:bottom w:val="single" w:sz="4" w:space="0" w:color="auto"/>
              <w:right w:val="single" w:sz="4" w:space="0" w:color="auto"/>
            </w:tcBorders>
            <w:vAlign w:val="center"/>
            <w:hideMark/>
          </w:tcPr>
          <w:p w14:paraId="2DD4BC3C"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750</w:t>
            </w:r>
          </w:p>
        </w:tc>
        <w:tc>
          <w:tcPr>
            <w:tcW w:w="980" w:type="dxa"/>
            <w:tcBorders>
              <w:top w:val="nil"/>
              <w:left w:val="nil"/>
              <w:bottom w:val="single" w:sz="4" w:space="0" w:color="auto"/>
              <w:right w:val="single" w:sz="4" w:space="0" w:color="auto"/>
            </w:tcBorders>
            <w:vAlign w:val="center"/>
            <w:hideMark/>
          </w:tcPr>
          <w:p w14:paraId="554625E2"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628</w:t>
            </w:r>
          </w:p>
        </w:tc>
        <w:tc>
          <w:tcPr>
            <w:tcW w:w="1020" w:type="dxa"/>
            <w:tcBorders>
              <w:top w:val="nil"/>
              <w:left w:val="nil"/>
              <w:bottom w:val="single" w:sz="4" w:space="0" w:color="auto"/>
              <w:right w:val="single" w:sz="4" w:space="0" w:color="auto"/>
            </w:tcBorders>
            <w:vAlign w:val="center"/>
            <w:hideMark/>
          </w:tcPr>
          <w:p w14:paraId="7F283201"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758</w:t>
            </w:r>
          </w:p>
        </w:tc>
      </w:tr>
      <w:tr w:rsidR="00044448" w:rsidRPr="00044448" w14:paraId="329E39AF"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32ADABF1"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Basic EPS (cents)</w:t>
            </w:r>
          </w:p>
        </w:tc>
        <w:tc>
          <w:tcPr>
            <w:tcW w:w="1020" w:type="dxa"/>
            <w:tcBorders>
              <w:top w:val="nil"/>
              <w:left w:val="nil"/>
              <w:bottom w:val="single" w:sz="4" w:space="0" w:color="auto"/>
              <w:right w:val="single" w:sz="4" w:space="0" w:color="auto"/>
            </w:tcBorders>
            <w:vAlign w:val="center"/>
            <w:hideMark/>
          </w:tcPr>
          <w:p w14:paraId="4BAA18B6"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145.4</w:t>
            </w:r>
          </w:p>
        </w:tc>
        <w:tc>
          <w:tcPr>
            <w:tcW w:w="1020" w:type="dxa"/>
            <w:tcBorders>
              <w:top w:val="nil"/>
              <w:left w:val="nil"/>
              <w:bottom w:val="single" w:sz="4" w:space="0" w:color="auto"/>
              <w:right w:val="single" w:sz="4" w:space="0" w:color="auto"/>
            </w:tcBorders>
            <w:vAlign w:val="center"/>
            <w:hideMark/>
          </w:tcPr>
          <w:p w14:paraId="5782E7FD"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207.2</w:t>
            </w:r>
          </w:p>
        </w:tc>
        <w:tc>
          <w:tcPr>
            <w:tcW w:w="1020" w:type="dxa"/>
            <w:tcBorders>
              <w:top w:val="nil"/>
              <w:left w:val="nil"/>
              <w:bottom w:val="single" w:sz="4" w:space="0" w:color="auto"/>
              <w:right w:val="single" w:sz="4" w:space="0" w:color="auto"/>
            </w:tcBorders>
            <w:vAlign w:val="center"/>
            <w:hideMark/>
          </w:tcPr>
          <w:p w14:paraId="540AC80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443.8</w:t>
            </w:r>
          </w:p>
        </w:tc>
        <w:tc>
          <w:tcPr>
            <w:tcW w:w="980" w:type="dxa"/>
            <w:tcBorders>
              <w:top w:val="nil"/>
              <w:left w:val="nil"/>
              <w:bottom w:val="single" w:sz="4" w:space="0" w:color="auto"/>
              <w:right w:val="single" w:sz="4" w:space="0" w:color="auto"/>
            </w:tcBorders>
            <w:vAlign w:val="center"/>
            <w:hideMark/>
          </w:tcPr>
          <w:p w14:paraId="3CA781D7"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389.6</w:t>
            </w:r>
          </w:p>
        </w:tc>
        <w:tc>
          <w:tcPr>
            <w:tcW w:w="1020" w:type="dxa"/>
            <w:tcBorders>
              <w:top w:val="nil"/>
              <w:left w:val="nil"/>
              <w:bottom w:val="single" w:sz="4" w:space="0" w:color="auto"/>
              <w:right w:val="single" w:sz="4" w:space="0" w:color="auto"/>
            </w:tcBorders>
            <w:vAlign w:val="center"/>
            <w:hideMark/>
          </w:tcPr>
          <w:p w14:paraId="012CE6C8"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490.9</w:t>
            </w:r>
          </w:p>
        </w:tc>
      </w:tr>
      <w:tr w:rsidR="00044448" w:rsidRPr="00044448" w14:paraId="58B2DBBA" w14:textId="77777777" w:rsidTr="00664782">
        <w:trPr>
          <w:trHeight w:val="276"/>
        </w:trPr>
        <w:tc>
          <w:tcPr>
            <w:tcW w:w="8880" w:type="dxa"/>
            <w:gridSpan w:val="6"/>
            <w:tcBorders>
              <w:top w:val="single" w:sz="4" w:space="0" w:color="auto"/>
              <w:left w:val="single" w:sz="4" w:space="0" w:color="auto"/>
              <w:bottom w:val="single" w:sz="4" w:space="0" w:color="auto"/>
              <w:right w:val="single" w:sz="4" w:space="0" w:color="000000"/>
            </w:tcBorders>
            <w:shd w:val="clear" w:color="auto" w:fill="3A7C22" w:themeFill="accent6" w:themeFillShade="BF"/>
            <w:vAlign w:val="center"/>
            <w:hideMark/>
          </w:tcPr>
          <w:p w14:paraId="7B17BCCC" w14:textId="77777777" w:rsidR="00044448" w:rsidRPr="00044448" w:rsidRDefault="00044448" w:rsidP="002B0D41">
            <w:pPr>
              <w:spacing w:before="0" w:after="0"/>
              <w:jc w:val="center"/>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BALANCE SHEET</w:t>
            </w:r>
          </w:p>
        </w:tc>
      </w:tr>
      <w:tr w:rsidR="00044448" w:rsidRPr="00044448" w14:paraId="26396C5B" w14:textId="77777777" w:rsidTr="00044448">
        <w:trPr>
          <w:trHeight w:val="552"/>
        </w:trPr>
        <w:tc>
          <w:tcPr>
            <w:tcW w:w="3820" w:type="dxa"/>
            <w:tcBorders>
              <w:top w:val="nil"/>
              <w:left w:val="single" w:sz="4" w:space="0" w:color="auto"/>
              <w:bottom w:val="single" w:sz="4" w:space="0" w:color="auto"/>
              <w:right w:val="single" w:sz="4" w:space="0" w:color="auto"/>
            </w:tcBorders>
            <w:vAlign w:val="center"/>
            <w:hideMark/>
          </w:tcPr>
          <w:p w14:paraId="60A4494F"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Cash &amp; Cash Equivalents — Balance Sheet</w:t>
            </w:r>
          </w:p>
        </w:tc>
        <w:tc>
          <w:tcPr>
            <w:tcW w:w="1020" w:type="dxa"/>
            <w:tcBorders>
              <w:top w:val="nil"/>
              <w:left w:val="nil"/>
              <w:bottom w:val="single" w:sz="4" w:space="0" w:color="auto"/>
              <w:right w:val="single" w:sz="4" w:space="0" w:color="auto"/>
            </w:tcBorders>
            <w:vAlign w:val="center"/>
            <w:hideMark/>
          </w:tcPr>
          <w:p w14:paraId="199D3444"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1,450</w:t>
            </w:r>
          </w:p>
        </w:tc>
        <w:tc>
          <w:tcPr>
            <w:tcW w:w="1020" w:type="dxa"/>
            <w:tcBorders>
              <w:top w:val="nil"/>
              <w:left w:val="nil"/>
              <w:bottom w:val="single" w:sz="4" w:space="0" w:color="auto"/>
              <w:right w:val="single" w:sz="4" w:space="0" w:color="auto"/>
            </w:tcBorders>
            <w:vAlign w:val="center"/>
            <w:hideMark/>
          </w:tcPr>
          <w:p w14:paraId="3EEAE301"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976</w:t>
            </w:r>
          </w:p>
        </w:tc>
        <w:tc>
          <w:tcPr>
            <w:tcW w:w="1020" w:type="dxa"/>
            <w:tcBorders>
              <w:top w:val="nil"/>
              <w:left w:val="nil"/>
              <w:bottom w:val="single" w:sz="4" w:space="0" w:color="auto"/>
              <w:right w:val="single" w:sz="4" w:space="0" w:color="auto"/>
            </w:tcBorders>
            <w:vAlign w:val="center"/>
            <w:hideMark/>
          </w:tcPr>
          <w:p w14:paraId="54137015"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1,322</w:t>
            </w:r>
          </w:p>
        </w:tc>
        <w:tc>
          <w:tcPr>
            <w:tcW w:w="980" w:type="dxa"/>
            <w:tcBorders>
              <w:top w:val="nil"/>
              <w:left w:val="nil"/>
              <w:bottom w:val="single" w:sz="4" w:space="0" w:color="auto"/>
              <w:right w:val="single" w:sz="4" w:space="0" w:color="auto"/>
            </w:tcBorders>
            <w:vAlign w:val="center"/>
            <w:hideMark/>
          </w:tcPr>
          <w:p w14:paraId="08BFC3DA"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1,008</w:t>
            </w:r>
          </w:p>
        </w:tc>
        <w:tc>
          <w:tcPr>
            <w:tcW w:w="1020" w:type="dxa"/>
            <w:tcBorders>
              <w:top w:val="nil"/>
              <w:left w:val="nil"/>
              <w:bottom w:val="single" w:sz="4" w:space="0" w:color="auto"/>
              <w:right w:val="single" w:sz="4" w:space="0" w:color="auto"/>
            </w:tcBorders>
            <w:vAlign w:val="center"/>
            <w:hideMark/>
          </w:tcPr>
          <w:p w14:paraId="3FC93D17"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1,129</w:t>
            </w:r>
          </w:p>
        </w:tc>
      </w:tr>
      <w:tr w:rsidR="00044448" w:rsidRPr="00044448" w14:paraId="399783A8"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03FEA01A"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Inventories</w:t>
            </w:r>
          </w:p>
        </w:tc>
        <w:tc>
          <w:tcPr>
            <w:tcW w:w="1020" w:type="dxa"/>
            <w:tcBorders>
              <w:top w:val="nil"/>
              <w:left w:val="nil"/>
              <w:bottom w:val="single" w:sz="4" w:space="0" w:color="auto"/>
              <w:right w:val="single" w:sz="4" w:space="0" w:color="auto"/>
            </w:tcBorders>
            <w:vAlign w:val="center"/>
            <w:hideMark/>
          </w:tcPr>
          <w:p w14:paraId="5A50AC08"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w:t>
            </w:r>
          </w:p>
        </w:tc>
        <w:tc>
          <w:tcPr>
            <w:tcW w:w="1020" w:type="dxa"/>
            <w:tcBorders>
              <w:top w:val="nil"/>
              <w:left w:val="nil"/>
              <w:bottom w:val="single" w:sz="4" w:space="0" w:color="auto"/>
              <w:right w:val="single" w:sz="4" w:space="0" w:color="auto"/>
            </w:tcBorders>
            <w:vAlign w:val="center"/>
            <w:hideMark/>
          </w:tcPr>
          <w:p w14:paraId="63E49DA6"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w:t>
            </w:r>
          </w:p>
        </w:tc>
        <w:tc>
          <w:tcPr>
            <w:tcW w:w="1020" w:type="dxa"/>
            <w:tcBorders>
              <w:top w:val="nil"/>
              <w:left w:val="nil"/>
              <w:bottom w:val="single" w:sz="4" w:space="0" w:color="auto"/>
              <w:right w:val="single" w:sz="4" w:space="0" w:color="auto"/>
            </w:tcBorders>
            <w:vAlign w:val="center"/>
            <w:hideMark/>
          </w:tcPr>
          <w:p w14:paraId="5480D4FA"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5</w:t>
            </w:r>
          </w:p>
        </w:tc>
        <w:tc>
          <w:tcPr>
            <w:tcW w:w="980" w:type="dxa"/>
            <w:tcBorders>
              <w:top w:val="nil"/>
              <w:left w:val="nil"/>
              <w:bottom w:val="single" w:sz="4" w:space="0" w:color="auto"/>
              <w:right w:val="single" w:sz="4" w:space="0" w:color="auto"/>
            </w:tcBorders>
            <w:vAlign w:val="center"/>
            <w:hideMark/>
          </w:tcPr>
          <w:p w14:paraId="6D775555"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w:t>
            </w:r>
          </w:p>
        </w:tc>
        <w:tc>
          <w:tcPr>
            <w:tcW w:w="1020" w:type="dxa"/>
            <w:tcBorders>
              <w:top w:val="nil"/>
              <w:left w:val="nil"/>
              <w:bottom w:val="single" w:sz="4" w:space="0" w:color="auto"/>
              <w:right w:val="single" w:sz="4" w:space="0" w:color="auto"/>
            </w:tcBorders>
            <w:vAlign w:val="center"/>
            <w:hideMark/>
          </w:tcPr>
          <w:p w14:paraId="161187E8"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5</w:t>
            </w:r>
          </w:p>
        </w:tc>
      </w:tr>
      <w:tr w:rsidR="00044448" w:rsidRPr="00044448" w14:paraId="4C73E079"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04A29C9A"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Trade &amp; Other Receivables</w:t>
            </w:r>
          </w:p>
        </w:tc>
        <w:tc>
          <w:tcPr>
            <w:tcW w:w="1020" w:type="dxa"/>
            <w:tcBorders>
              <w:top w:val="nil"/>
              <w:left w:val="nil"/>
              <w:bottom w:val="single" w:sz="4" w:space="0" w:color="auto"/>
              <w:right w:val="single" w:sz="4" w:space="0" w:color="auto"/>
            </w:tcBorders>
            <w:vAlign w:val="center"/>
            <w:hideMark/>
          </w:tcPr>
          <w:p w14:paraId="6D5E67E1"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574</w:t>
            </w:r>
          </w:p>
        </w:tc>
        <w:tc>
          <w:tcPr>
            <w:tcW w:w="1020" w:type="dxa"/>
            <w:tcBorders>
              <w:top w:val="nil"/>
              <w:left w:val="nil"/>
              <w:bottom w:val="single" w:sz="4" w:space="0" w:color="auto"/>
              <w:right w:val="single" w:sz="4" w:space="0" w:color="auto"/>
            </w:tcBorders>
            <w:vAlign w:val="center"/>
            <w:hideMark/>
          </w:tcPr>
          <w:p w14:paraId="59C41BD2"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646</w:t>
            </w:r>
          </w:p>
        </w:tc>
        <w:tc>
          <w:tcPr>
            <w:tcW w:w="1020" w:type="dxa"/>
            <w:tcBorders>
              <w:top w:val="nil"/>
              <w:left w:val="nil"/>
              <w:bottom w:val="single" w:sz="4" w:space="0" w:color="auto"/>
              <w:right w:val="single" w:sz="4" w:space="0" w:color="auto"/>
            </w:tcBorders>
            <w:vAlign w:val="center"/>
            <w:hideMark/>
          </w:tcPr>
          <w:p w14:paraId="536C3582"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740</w:t>
            </w:r>
          </w:p>
        </w:tc>
        <w:tc>
          <w:tcPr>
            <w:tcW w:w="980" w:type="dxa"/>
            <w:tcBorders>
              <w:top w:val="nil"/>
              <w:left w:val="nil"/>
              <w:bottom w:val="single" w:sz="4" w:space="0" w:color="auto"/>
              <w:right w:val="single" w:sz="4" w:space="0" w:color="auto"/>
            </w:tcBorders>
            <w:vAlign w:val="center"/>
            <w:hideMark/>
          </w:tcPr>
          <w:p w14:paraId="794D9D7B"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785</w:t>
            </w:r>
          </w:p>
        </w:tc>
        <w:tc>
          <w:tcPr>
            <w:tcW w:w="1020" w:type="dxa"/>
            <w:tcBorders>
              <w:top w:val="nil"/>
              <w:left w:val="nil"/>
              <w:bottom w:val="single" w:sz="4" w:space="0" w:color="auto"/>
              <w:right w:val="single" w:sz="4" w:space="0" w:color="auto"/>
            </w:tcBorders>
            <w:vAlign w:val="center"/>
            <w:hideMark/>
          </w:tcPr>
          <w:p w14:paraId="319F6F0C"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833</w:t>
            </w:r>
          </w:p>
        </w:tc>
      </w:tr>
      <w:tr w:rsidR="00044448" w:rsidRPr="00044448" w14:paraId="59EBDCDB"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147755E1"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Current Assets</w:t>
            </w:r>
          </w:p>
        </w:tc>
        <w:tc>
          <w:tcPr>
            <w:tcW w:w="1020" w:type="dxa"/>
            <w:tcBorders>
              <w:top w:val="nil"/>
              <w:left w:val="nil"/>
              <w:bottom w:val="single" w:sz="4" w:space="0" w:color="auto"/>
              <w:right w:val="single" w:sz="4" w:space="0" w:color="auto"/>
            </w:tcBorders>
            <w:vAlign w:val="center"/>
            <w:hideMark/>
          </w:tcPr>
          <w:p w14:paraId="41265D0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2,066</w:t>
            </w:r>
          </w:p>
        </w:tc>
        <w:tc>
          <w:tcPr>
            <w:tcW w:w="1020" w:type="dxa"/>
            <w:tcBorders>
              <w:top w:val="nil"/>
              <w:left w:val="nil"/>
              <w:bottom w:val="single" w:sz="4" w:space="0" w:color="auto"/>
              <w:right w:val="single" w:sz="4" w:space="0" w:color="auto"/>
            </w:tcBorders>
            <w:vAlign w:val="center"/>
            <w:hideMark/>
          </w:tcPr>
          <w:p w14:paraId="77CA8EAE"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1,678</w:t>
            </w:r>
          </w:p>
        </w:tc>
        <w:tc>
          <w:tcPr>
            <w:tcW w:w="1020" w:type="dxa"/>
            <w:tcBorders>
              <w:top w:val="nil"/>
              <w:left w:val="nil"/>
              <w:bottom w:val="single" w:sz="4" w:space="0" w:color="auto"/>
              <w:right w:val="single" w:sz="4" w:space="0" w:color="auto"/>
            </w:tcBorders>
            <w:vAlign w:val="center"/>
            <w:hideMark/>
          </w:tcPr>
          <w:p w14:paraId="30D0A691"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2,129</w:t>
            </w:r>
          </w:p>
        </w:tc>
        <w:tc>
          <w:tcPr>
            <w:tcW w:w="980" w:type="dxa"/>
            <w:tcBorders>
              <w:top w:val="nil"/>
              <w:left w:val="nil"/>
              <w:bottom w:val="single" w:sz="4" w:space="0" w:color="auto"/>
              <w:right w:val="single" w:sz="4" w:space="0" w:color="auto"/>
            </w:tcBorders>
            <w:vAlign w:val="center"/>
            <w:hideMark/>
          </w:tcPr>
          <w:p w14:paraId="4F92DE2B"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1,869</w:t>
            </w:r>
          </w:p>
        </w:tc>
        <w:tc>
          <w:tcPr>
            <w:tcW w:w="1020" w:type="dxa"/>
            <w:tcBorders>
              <w:top w:val="nil"/>
              <w:left w:val="nil"/>
              <w:bottom w:val="single" w:sz="4" w:space="0" w:color="auto"/>
              <w:right w:val="single" w:sz="4" w:space="0" w:color="auto"/>
            </w:tcBorders>
            <w:vAlign w:val="center"/>
            <w:hideMark/>
          </w:tcPr>
          <w:p w14:paraId="5061FB20"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2,049</w:t>
            </w:r>
          </w:p>
        </w:tc>
      </w:tr>
      <w:tr w:rsidR="00044448" w:rsidRPr="00044448" w14:paraId="107B6573"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48849C6B"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Property, Plant &amp; Equipment</w:t>
            </w:r>
          </w:p>
        </w:tc>
        <w:tc>
          <w:tcPr>
            <w:tcW w:w="1020" w:type="dxa"/>
            <w:tcBorders>
              <w:top w:val="nil"/>
              <w:left w:val="nil"/>
              <w:bottom w:val="single" w:sz="4" w:space="0" w:color="auto"/>
              <w:right w:val="single" w:sz="4" w:space="0" w:color="auto"/>
            </w:tcBorders>
            <w:vAlign w:val="center"/>
            <w:hideMark/>
          </w:tcPr>
          <w:p w14:paraId="22718D1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137</w:t>
            </w:r>
          </w:p>
        </w:tc>
        <w:tc>
          <w:tcPr>
            <w:tcW w:w="1020" w:type="dxa"/>
            <w:tcBorders>
              <w:top w:val="nil"/>
              <w:left w:val="nil"/>
              <w:bottom w:val="single" w:sz="4" w:space="0" w:color="auto"/>
              <w:right w:val="single" w:sz="4" w:space="0" w:color="auto"/>
            </w:tcBorders>
            <w:vAlign w:val="center"/>
            <w:hideMark/>
          </w:tcPr>
          <w:p w14:paraId="793D70A2"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157</w:t>
            </w:r>
          </w:p>
        </w:tc>
        <w:tc>
          <w:tcPr>
            <w:tcW w:w="1020" w:type="dxa"/>
            <w:tcBorders>
              <w:top w:val="nil"/>
              <w:left w:val="nil"/>
              <w:bottom w:val="single" w:sz="4" w:space="0" w:color="auto"/>
              <w:right w:val="single" w:sz="4" w:space="0" w:color="auto"/>
            </w:tcBorders>
            <w:vAlign w:val="center"/>
            <w:hideMark/>
          </w:tcPr>
          <w:p w14:paraId="4516DE2D"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153</w:t>
            </w:r>
          </w:p>
        </w:tc>
        <w:tc>
          <w:tcPr>
            <w:tcW w:w="980" w:type="dxa"/>
            <w:tcBorders>
              <w:top w:val="nil"/>
              <w:left w:val="nil"/>
              <w:bottom w:val="single" w:sz="4" w:space="0" w:color="auto"/>
              <w:right w:val="single" w:sz="4" w:space="0" w:color="auto"/>
            </w:tcBorders>
            <w:vAlign w:val="center"/>
            <w:hideMark/>
          </w:tcPr>
          <w:p w14:paraId="195650C6"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146</w:t>
            </w:r>
          </w:p>
        </w:tc>
        <w:tc>
          <w:tcPr>
            <w:tcW w:w="1020" w:type="dxa"/>
            <w:tcBorders>
              <w:top w:val="nil"/>
              <w:left w:val="nil"/>
              <w:bottom w:val="single" w:sz="4" w:space="0" w:color="auto"/>
              <w:right w:val="single" w:sz="4" w:space="0" w:color="auto"/>
            </w:tcBorders>
            <w:vAlign w:val="center"/>
            <w:hideMark/>
          </w:tcPr>
          <w:p w14:paraId="1F65690A"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148</w:t>
            </w:r>
          </w:p>
        </w:tc>
      </w:tr>
      <w:tr w:rsidR="00044448" w:rsidRPr="00044448" w14:paraId="7F255F01"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68EFA4D2"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Total Assets</w:t>
            </w:r>
          </w:p>
        </w:tc>
        <w:tc>
          <w:tcPr>
            <w:tcW w:w="1020" w:type="dxa"/>
            <w:tcBorders>
              <w:top w:val="nil"/>
              <w:left w:val="nil"/>
              <w:bottom w:val="single" w:sz="4" w:space="0" w:color="auto"/>
              <w:right w:val="single" w:sz="4" w:space="0" w:color="auto"/>
            </w:tcBorders>
            <w:vAlign w:val="center"/>
            <w:hideMark/>
          </w:tcPr>
          <w:p w14:paraId="4C930765"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4,716</w:t>
            </w:r>
          </w:p>
        </w:tc>
        <w:tc>
          <w:tcPr>
            <w:tcW w:w="1020" w:type="dxa"/>
            <w:tcBorders>
              <w:top w:val="nil"/>
              <w:left w:val="nil"/>
              <w:bottom w:val="single" w:sz="4" w:space="0" w:color="auto"/>
              <w:right w:val="single" w:sz="4" w:space="0" w:color="auto"/>
            </w:tcBorders>
            <w:vAlign w:val="center"/>
            <w:hideMark/>
          </w:tcPr>
          <w:p w14:paraId="3F8F983D"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4,216</w:t>
            </w:r>
          </w:p>
        </w:tc>
        <w:tc>
          <w:tcPr>
            <w:tcW w:w="1020" w:type="dxa"/>
            <w:tcBorders>
              <w:top w:val="nil"/>
              <w:left w:val="nil"/>
              <w:bottom w:val="single" w:sz="4" w:space="0" w:color="auto"/>
              <w:right w:val="single" w:sz="4" w:space="0" w:color="auto"/>
            </w:tcBorders>
            <w:vAlign w:val="center"/>
            <w:hideMark/>
          </w:tcPr>
          <w:p w14:paraId="02D0413E"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4,813</w:t>
            </w:r>
          </w:p>
        </w:tc>
        <w:tc>
          <w:tcPr>
            <w:tcW w:w="980" w:type="dxa"/>
            <w:tcBorders>
              <w:top w:val="nil"/>
              <w:left w:val="nil"/>
              <w:bottom w:val="single" w:sz="4" w:space="0" w:color="auto"/>
              <w:right w:val="single" w:sz="4" w:space="0" w:color="auto"/>
            </w:tcBorders>
            <w:vAlign w:val="center"/>
            <w:hideMark/>
          </w:tcPr>
          <w:p w14:paraId="0A639C47"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4,748</w:t>
            </w:r>
          </w:p>
        </w:tc>
        <w:tc>
          <w:tcPr>
            <w:tcW w:w="1020" w:type="dxa"/>
            <w:tcBorders>
              <w:top w:val="nil"/>
              <w:left w:val="nil"/>
              <w:bottom w:val="single" w:sz="4" w:space="0" w:color="auto"/>
              <w:right w:val="single" w:sz="4" w:space="0" w:color="auto"/>
            </w:tcBorders>
            <w:vAlign w:val="center"/>
            <w:hideMark/>
          </w:tcPr>
          <w:p w14:paraId="2A6EFE7A"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5,345</w:t>
            </w:r>
          </w:p>
        </w:tc>
      </w:tr>
      <w:tr w:rsidR="00044448" w:rsidRPr="00044448" w14:paraId="640E67CE"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57BAB25E"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Current Trade &amp; Other Payables</w:t>
            </w:r>
          </w:p>
        </w:tc>
        <w:tc>
          <w:tcPr>
            <w:tcW w:w="1020" w:type="dxa"/>
            <w:tcBorders>
              <w:top w:val="nil"/>
              <w:left w:val="nil"/>
              <w:bottom w:val="single" w:sz="4" w:space="0" w:color="auto"/>
              <w:right w:val="single" w:sz="4" w:space="0" w:color="auto"/>
            </w:tcBorders>
            <w:vAlign w:val="center"/>
            <w:hideMark/>
          </w:tcPr>
          <w:p w14:paraId="3059B244"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579</w:t>
            </w:r>
          </w:p>
        </w:tc>
        <w:tc>
          <w:tcPr>
            <w:tcW w:w="1020" w:type="dxa"/>
            <w:tcBorders>
              <w:top w:val="nil"/>
              <w:left w:val="nil"/>
              <w:bottom w:val="single" w:sz="4" w:space="0" w:color="auto"/>
              <w:right w:val="single" w:sz="4" w:space="0" w:color="auto"/>
            </w:tcBorders>
            <w:vAlign w:val="center"/>
            <w:hideMark/>
          </w:tcPr>
          <w:p w14:paraId="7C18A6AD"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697</w:t>
            </w:r>
          </w:p>
        </w:tc>
        <w:tc>
          <w:tcPr>
            <w:tcW w:w="1020" w:type="dxa"/>
            <w:tcBorders>
              <w:top w:val="nil"/>
              <w:left w:val="nil"/>
              <w:bottom w:val="single" w:sz="4" w:space="0" w:color="auto"/>
              <w:right w:val="single" w:sz="4" w:space="0" w:color="auto"/>
            </w:tcBorders>
            <w:vAlign w:val="center"/>
            <w:hideMark/>
          </w:tcPr>
          <w:p w14:paraId="58BF4218"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711</w:t>
            </w:r>
          </w:p>
        </w:tc>
        <w:tc>
          <w:tcPr>
            <w:tcW w:w="980" w:type="dxa"/>
            <w:tcBorders>
              <w:top w:val="nil"/>
              <w:left w:val="nil"/>
              <w:bottom w:val="single" w:sz="4" w:space="0" w:color="auto"/>
              <w:right w:val="single" w:sz="4" w:space="0" w:color="auto"/>
            </w:tcBorders>
            <w:vAlign w:val="center"/>
            <w:hideMark/>
          </w:tcPr>
          <w:p w14:paraId="3C57675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650</w:t>
            </w:r>
          </w:p>
        </w:tc>
        <w:tc>
          <w:tcPr>
            <w:tcW w:w="1020" w:type="dxa"/>
            <w:tcBorders>
              <w:top w:val="nil"/>
              <w:left w:val="nil"/>
              <w:bottom w:val="single" w:sz="4" w:space="0" w:color="auto"/>
              <w:right w:val="single" w:sz="4" w:space="0" w:color="auto"/>
            </w:tcBorders>
            <w:vAlign w:val="center"/>
            <w:hideMark/>
          </w:tcPr>
          <w:p w14:paraId="002344AE"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676</w:t>
            </w:r>
          </w:p>
        </w:tc>
      </w:tr>
      <w:tr w:rsidR="00044448" w:rsidRPr="00044448" w14:paraId="36B45F90"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17B12434"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Total Current Liabilities</w:t>
            </w:r>
          </w:p>
        </w:tc>
        <w:tc>
          <w:tcPr>
            <w:tcW w:w="1020" w:type="dxa"/>
            <w:tcBorders>
              <w:top w:val="nil"/>
              <w:left w:val="nil"/>
              <w:bottom w:val="single" w:sz="4" w:space="0" w:color="auto"/>
              <w:right w:val="single" w:sz="4" w:space="0" w:color="auto"/>
            </w:tcBorders>
            <w:vAlign w:val="center"/>
            <w:hideMark/>
          </w:tcPr>
          <w:p w14:paraId="01C6A301"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1,624</w:t>
            </w:r>
          </w:p>
        </w:tc>
        <w:tc>
          <w:tcPr>
            <w:tcW w:w="1020" w:type="dxa"/>
            <w:tcBorders>
              <w:top w:val="nil"/>
              <w:left w:val="nil"/>
              <w:bottom w:val="single" w:sz="4" w:space="0" w:color="auto"/>
              <w:right w:val="single" w:sz="4" w:space="0" w:color="auto"/>
            </w:tcBorders>
            <w:vAlign w:val="center"/>
            <w:hideMark/>
          </w:tcPr>
          <w:p w14:paraId="3C68151C"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1,544</w:t>
            </w:r>
          </w:p>
        </w:tc>
        <w:tc>
          <w:tcPr>
            <w:tcW w:w="1020" w:type="dxa"/>
            <w:tcBorders>
              <w:top w:val="nil"/>
              <w:left w:val="nil"/>
              <w:bottom w:val="single" w:sz="4" w:space="0" w:color="auto"/>
              <w:right w:val="single" w:sz="4" w:space="0" w:color="auto"/>
            </w:tcBorders>
            <w:vAlign w:val="center"/>
            <w:hideMark/>
          </w:tcPr>
          <w:p w14:paraId="7FFEB268"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2,190</w:t>
            </w:r>
          </w:p>
        </w:tc>
        <w:tc>
          <w:tcPr>
            <w:tcW w:w="980" w:type="dxa"/>
            <w:tcBorders>
              <w:top w:val="nil"/>
              <w:left w:val="nil"/>
              <w:bottom w:val="single" w:sz="4" w:space="0" w:color="auto"/>
              <w:right w:val="single" w:sz="4" w:space="0" w:color="auto"/>
            </w:tcBorders>
            <w:vAlign w:val="center"/>
            <w:hideMark/>
          </w:tcPr>
          <w:p w14:paraId="690F2B73"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1,928</w:t>
            </w:r>
          </w:p>
        </w:tc>
        <w:tc>
          <w:tcPr>
            <w:tcW w:w="1020" w:type="dxa"/>
            <w:tcBorders>
              <w:top w:val="nil"/>
              <w:left w:val="nil"/>
              <w:bottom w:val="single" w:sz="4" w:space="0" w:color="auto"/>
              <w:right w:val="single" w:sz="4" w:space="0" w:color="auto"/>
            </w:tcBorders>
            <w:vAlign w:val="center"/>
            <w:hideMark/>
          </w:tcPr>
          <w:p w14:paraId="0602DBBC"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2,100</w:t>
            </w:r>
          </w:p>
        </w:tc>
      </w:tr>
      <w:tr w:rsidR="00044448" w:rsidRPr="00044448" w14:paraId="18811E22"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40C2EDDB"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Current Borrowings</w:t>
            </w:r>
          </w:p>
        </w:tc>
        <w:tc>
          <w:tcPr>
            <w:tcW w:w="1020" w:type="dxa"/>
            <w:tcBorders>
              <w:top w:val="nil"/>
              <w:left w:val="nil"/>
              <w:bottom w:val="single" w:sz="4" w:space="0" w:color="auto"/>
              <w:right w:val="single" w:sz="4" w:space="0" w:color="auto"/>
            </w:tcBorders>
            <w:vAlign w:val="center"/>
            <w:hideMark/>
          </w:tcPr>
          <w:p w14:paraId="112BBC89"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292</w:t>
            </w:r>
          </w:p>
        </w:tc>
        <w:tc>
          <w:tcPr>
            <w:tcW w:w="1020" w:type="dxa"/>
            <w:tcBorders>
              <w:top w:val="nil"/>
              <w:left w:val="nil"/>
              <w:bottom w:val="single" w:sz="4" w:space="0" w:color="auto"/>
              <w:right w:val="single" w:sz="4" w:space="0" w:color="auto"/>
            </w:tcBorders>
            <w:vAlign w:val="center"/>
            <w:hideMark/>
          </w:tcPr>
          <w:p w14:paraId="55EC7C4E"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55</w:t>
            </w:r>
          </w:p>
        </w:tc>
        <w:tc>
          <w:tcPr>
            <w:tcW w:w="1020" w:type="dxa"/>
            <w:tcBorders>
              <w:top w:val="nil"/>
              <w:left w:val="nil"/>
              <w:bottom w:val="single" w:sz="4" w:space="0" w:color="auto"/>
              <w:right w:val="single" w:sz="4" w:space="0" w:color="auto"/>
            </w:tcBorders>
            <w:vAlign w:val="center"/>
            <w:hideMark/>
          </w:tcPr>
          <w:p w14:paraId="6C69A07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599</w:t>
            </w:r>
          </w:p>
        </w:tc>
        <w:tc>
          <w:tcPr>
            <w:tcW w:w="980" w:type="dxa"/>
            <w:tcBorders>
              <w:top w:val="nil"/>
              <w:left w:val="nil"/>
              <w:bottom w:val="single" w:sz="4" w:space="0" w:color="auto"/>
              <w:right w:val="single" w:sz="4" w:space="0" w:color="auto"/>
            </w:tcBorders>
            <w:vAlign w:val="center"/>
            <w:hideMark/>
          </w:tcPr>
          <w:p w14:paraId="2B3CDC4E"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398</w:t>
            </w:r>
          </w:p>
        </w:tc>
        <w:tc>
          <w:tcPr>
            <w:tcW w:w="1020" w:type="dxa"/>
            <w:tcBorders>
              <w:top w:val="nil"/>
              <w:left w:val="nil"/>
              <w:bottom w:val="single" w:sz="4" w:space="0" w:color="auto"/>
              <w:right w:val="single" w:sz="4" w:space="0" w:color="auto"/>
            </w:tcBorders>
            <w:vAlign w:val="center"/>
            <w:hideMark/>
          </w:tcPr>
          <w:p w14:paraId="58DC5A4D"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478</w:t>
            </w:r>
          </w:p>
        </w:tc>
      </w:tr>
      <w:tr w:rsidR="00044448" w:rsidRPr="00044448" w14:paraId="760E21EE"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2C6DAFE1"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Non-current Borrowings</w:t>
            </w:r>
          </w:p>
        </w:tc>
        <w:tc>
          <w:tcPr>
            <w:tcW w:w="1020" w:type="dxa"/>
            <w:tcBorders>
              <w:top w:val="nil"/>
              <w:left w:val="nil"/>
              <w:bottom w:val="single" w:sz="4" w:space="0" w:color="auto"/>
              <w:right w:val="single" w:sz="4" w:space="0" w:color="auto"/>
            </w:tcBorders>
            <w:vAlign w:val="center"/>
            <w:hideMark/>
          </w:tcPr>
          <w:p w14:paraId="0701270E"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2,553</w:t>
            </w:r>
          </w:p>
        </w:tc>
        <w:tc>
          <w:tcPr>
            <w:tcW w:w="1020" w:type="dxa"/>
            <w:tcBorders>
              <w:top w:val="nil"/>
              <w:left w:val="nil"/>
              <w:bottom w:val="single" w:sz="4" w:space="0" w:color="auto"/>
              <w:right w:val="single" w:sz="4" w:space="0" w:color="auto"/>
            </w:tcBorders>
            <w:vAlign w:val="center"/>
            <w:hideMark/>
          </w:tcPr>
          <w:p w14:paraId="5243EF2B"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2,341</w:t>
            </w:r>
          </w:p>
        </w:tc>
        <w:tc>
          <w:tcPr>
            <w:tcW w:w="1020" w:type="dxa"/>
            <w:tcBorders>
              <w:top w:val="nil"/>
              <w:left w:val="nil"/>
              <w:bottom w:val="single" w:sz="4" w:space="0" w:color="auto"/>
              <w:right w:val="single" w:sz="4" w:space="0" w:color="auto"/>
            </w:tcBorders>
            <w:vAlign w:val="center"/>
            <w:hideMark/>
          </w:tcPr>
          <w:p w14:paraId="133B2F79"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2,567</w:t>
            </w:r>
          </w:p>
        </w:tc>
        <w:tc>
          <w:tcPr>
            <w:tcW w:w="980" w:type="dxa"/>
            <w:tcBorders>
              <w:top w:val="nil"/>
              <w:left w:val="nil"/>
              <w:bottom w:val="single" w:sz="4" w:space="0" w:color="auto"/>
              <w:right w:val="single" w:sz="4" w:space="0" w:color="auto"/>
            </w:tcBorders>
            <w:vAlign w:val="center"/>
            <w:hideMark/>
          </w:tcPr>
          <w:p w14:paraId="6098E92E"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2,876</w:t>
            </w:r>
          </w:p>
        </w:tc>
        <w:tc>
          <w:tcPr>
            <w:tcW w:w="1020" w:type="dxa"/>
            <w:tcBorders>
              <w:top w:val="nil"/>
              <w:left w:val="nil"/>
              <w:bottom w:val="single" w:sz="4" w:space="0" w:color="auto"/>
              <w:right w:val="single" w:sz="4" w:space="0" w:color="auto"/>
            </w:tcBorders>
            <w:vAlign w:val="center"/>
            <w:hideMark/>
          </w:tcPr>
          <w:p w14:paraId="65367AB3"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3,723</w:t>
            </w:r>
          </w:p>
        </w:tc>
      </w:tr>
      <w:tr w:rsidR="00044448" w:rsidRPr="00044448" w14:paraId="27C9DDD9"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17389FCC"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Total Borrowings</w:t>
            </w:r>
          </w:p>
        </w:tc>
        <w:tc>
          <w:tcPr>
            <w:tcW w:w="1020" w:type="dxa"/>
            <w:tcBorders>
              <w:top w:val="nil"/>
              <w:left w:val="nil"/>
              <w:bottom w:val="single" w:sz="4" w:space="0" w:color="auto"/>
              <w:right w:val="single" w:sz="4" w:space="0" w:color="auto"/>
            </w:tcBorders>
            <w:vAlign w:val="center"/>
            <w:hideMark/>
          </w:tcPr>
          <w:p w14:paraId="72572428"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2,845</w:t>
            </w:r>
          </w:p>
        </w:tc>
        <w:tc>
          <w:tcPr>
            <w:tcW w:w="1020" w:type="dxa"/>
            <w:tcBorders>
              <w:top w:val="nil"/>
              <w:left w:val="nil"/>
              <w:bottom w:val="single" w:sz="4" w:space="0" w:color="auto"/>
              <w:right w:val="single" w:sz="4" w:space="0" w:color="auto"/>
            </w:tcBorders>
            <w:vAlign w:val="center"/>
            <w:hideMark/>
          </w:tcPr>
          <w:p w14:paraId="14130493"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2,396</w:t>
            </w:r>
          </w:p>
        </w:tc>
        <w:tc>
          <w:tcPr>
            <w:tcW w:w="1020" w:type="dxa"/>
            <w:tcBorders>
              <w:top w:val="nil"/>
              <w:left w:val="nil"/>
              <w:bottom w:val="single" w:sz="4" w:space="0" w:color="auto"/>
              <w:right w:val="single" w:sz="4" w:space="0" w:color="auto"/>
            </w:tcBorders>
            <w:vAlign w:val="center"/>
            <w:hideMark/>
          </w:tcPr>
          <w:p w14:paraId="38A3409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3,166</w:t>
            </w:r>
          </w:p>
        </w:tc>
        <w:tc>
          <w:tcPr>
            <w:tcW w:w="980" w:type="dxa"/>
            <w:tcBorders>
              <w:top w:val="nil"/>
              <w:left w:val="nil"/>
              <w:bottom w:val="single" w:sz="4" w:space="0" w:color="auto"/>
              <w:right w:val="single" w:sz="4" w:space="0" w:color="auto"/>
            </w:tcBorders>
            <w:vAlign w:val="center"/>
            <w:hideMark/>
          </w:tcPr>
          <w:p w14:paraId="69F0A0E3"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3,274</w:t>
            </w:r>
          </w:p>
        </w:tc>
        <w:tc>
          <w:tcPr>
            <w:tcW w:w="1020" w:type="dxa"/>
            <w:tcBorders>
              <w:top w:val="nil"/>
              <w:left w:val="nil"/>
              <w:bottom w:val="single" w:sz="4" w:space="0" w:color="auto"/>
              <w:right w:val="single" w:sz="4" w:space="0" w:color="auto"/>
            </w:tcBorders>
            <w:vAlign w:val="center"/>
            <w:hideMark/>
          </w:tcPr>
          <w:p w14:paraId="4F5916BB"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4,201</w:t>
            </w:r>
          </w:p>
        </w:tc>
      </w:tr>
      <w:tr w:rsidR="00044448" w:rsidRPr="00044448" w14:paraId="4CFF2592"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0650A67A"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Total Liabilities</w:t>
            </w:r>
          </w:p>
        </w:tc>
        <w:tc>
          <w:tcPr>
            <w:tcW w:w="1020" w:type="dxa"/>
            <w:tcBorders>
              <w:top w:val="nil"/>
              <w:left w:val="nil"/>
              <w:bottom w:val="single" w:sz="4" w:space="0" w:color="auto"/>
              <w:right w:val="single" w:sz="4" w:space="0" w:color="auto"/>
            </w:tcBorders>
            <w:vAlign w:val="center"/>
            <w:hideMark/>
          </w:tcPr>
          <w:p w14:paraId="5F0F4539"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6,190</w:t>
            </w:r>
          </w:p>
        </w:tc>
        <w:tc>
          <w:tcPr>
            <w:tcW w:w="1020" w:type="dxa"/>
            <w:tcBorders>
              <w:top w:val="nil"/>
              <w:left w:val="nil"/>
              <w:bottom w:val="single" w:sz="4" w:space="0" w:color="auto"/>
              <w:right w:val="single" w:sz="4" w:space="0" w:color="auto"/>
            </w:tcBorders>
            <w:vAlign w:val="center"/>
            <w:hideMark/>
          </w:tcPr>
          <w:p w14:paraId="67DF90AB"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5,824</w:t>
            </w:r>
          </w:p>
        </w:tc>
        <w:tc>
          <w:tcPr>
            <w:tcW w:w="1020" w:type="dxa"/>
            <w:tcBorders>
              <w:top w:val="nil"/>
              <w:left w:val="nil"/>
              <w:bottom w:val="single" w:sz="4" w:space="0" w:color="auto"/>
              <w:right w:val="single" w:sz="4" w:space="0" w:color="auto"/>
            </w:tcBorders>
            <w:vAlign w:val="center"/>
            <w:hideMark/>
          </w:tcPr>
          <w:p w14:paraId="06BDDEB8"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6,759</w:t>
            </w:r>
          </w:p>
        </w:tc>
        <w:tc>
          <w:tcPr>
            <w:tcW w:w="980" w:type="dxa"/>
            <w:tcBorders>
              <w:top w:val="nil"/>
              <w:left w:val="nil"/>
              <w:bottom w:val="single" w:sz="4" w:space="0" w:color="auto"/>
              <w:right w:val="single" w:sz="4" w:space="0" w:color="auto"/>
            </w:tcBorders>
            <w:vAlign w:val="center"/>
            <w:hideMark/>
          </w:tcPr>
          <w:p w14:paraId="3D15F037"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7,056</w:t>
            </w:r>
          </w:p>
        </w:tc>
        <w:tc>
          <w:tcPr>
            <w:tcW w:w="1020" w:type="dxa"/>
            <w:tcBorders>
              <w:top w:val="nil"/>
              <w:left w:val="nil"/>
              <w:bottom w:val="single" w:sz="4" w:space="0" w:color="auto"/>
              <w:right w:val="single" w:sz="4" w:space="0" w:color="auto"/>
            </w:tcBorders>
            <w:vAlign w:val="center"/>
            <w:hideMark/>
          </w:tcPr>
          <w:p w14:paraId="0DAD50BD"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8,081</w:t>
            </w:r>
          </w:p>
        </w:tc>
      </w:tr>
      <w:tr w:rsidR="00044448" w:rsidRPr="00044448" w14:paraId="7C6FC8CD"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735133BE"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Total Equity</w:t>
            </w:r>
          </w:p>
        </w:tc>
        <w:tc>
          <w:tcPr>
            <w:tcW w:w="1020" w:type="dxa"/>
            <w:tcBorders>
              <w:top w:val="nil"/>
              <w:left w:val="nil"/>
              <w:bottom w:val="single" w:sz="4" w:space="0" w:color="auto"/>
              <w:right w:val="single" w:sz="4" w:space="0" w:color="auto"/>
            </w:tcBorders>
            <w:vAlign w:val="center"/>
            <w:hideMark/>
          </w:tcPr>
          <w:p w14:paraId="0D3AFAD6"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-1,474</w:t>
            </w:r>
          </w:p>
        </w:tc>
        <w:tc>
          <w:tcPr>
            <w:tcW w:w="1020" w:type="dxa"/>
            <w:tcBorders>
              <w:top w:val="nil"/>
              <w:left w:val="nil"/>
              <w:bottom w:val="single" w:sz="4" w:space="0" w:color="auto"/>
              <w:right w:val="single" w:sz="4" w:space="0" w:color="auto"/>
            </w:tcBorders>
            <w:vAlign w:val="center"/>
            <w:hideMark/>
          </w:tcPr>
          <w:p w14:paraId="2AB58C21"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-1,608</w:t>
            </w:r>
          </w:p>
        </w:tc>
        <w:tc>
          <w:tcPr>
            <w:tcW w:w="1020" w:type="dxa"/>
            <w:tcBorders>
              <w:top w:val="nil"/>
              <w:left w:val="nil"/>
              <w:bottom w:val="single" w:sz="4" w:space="0" w:color="auto"/>
              <w:right w:val="single" w:sz="4" w:space="0" w:color="auto"/>
            </w:tcBorders>
            <w:vAlign w:val="center"/>
            <w:hideMark/>
          </w:tcPr>
          <w:p w14:paraId="11CDA429"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-1,946</w:t>
            </w:r>
          </w:p>
        </w:tc>
        <w:tc>
          <w:tcPr>
            <w:tcW w:w="980" w:type="dxa"/>
            <w:tcBorders>
              <w:top w:val="nil"/>
              <w:left w:val="nil"/>
              <w:bottom w:val="single" w:sz="4" w:space="0" w:color="auto"/>
              <w:right w:val="single" w:sz="4" w:space="0" w:color="auto"/>
            </w:tcBorders>
            <w:vAlign w:val="center"/>
            <w:hideMark/>
          </w:tcPr>
          <w:p w14:paraId="191F6807"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-2,308</w:t>
            </w:r>
          </w:p>
        </w:tc>
        <w:tc>
          <w:tcPr>
            <w:tcW w:w="1020" w:type="dxa"/>
            <w:tcBorders>
              <w:top w:val="nil"/>
              <w:left w:val="nil"/>
              <w:bottom w:val="single" w:sz="4" w:space="0" w:color="auto"/>
              <w:right w:val="single" w:sz="4" w:space="0" w:color="auto"/>
            </w:tcBorders>
            <w:vAlign w:val="center"/>
            <w:hideMark/>
          </w:tcPr>
          <w:p w14:paraId="64E691AF"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-2,736</w:t>
            </w:r>
          </w:p>
        </w:tc>
      </w:tr>
      <w:tr w:rsidR="00044448" w:rsidRPr="00044448" w14:paraId="6A853601" w14:textId="77777777" w:rsidTr="00664782">
        <w:trPr>
          <w:trHeight w:val="276"/>
        </w:trPr>
        <w:tc>
          <w:tcPr>
            <w:tcW w:w="8880" w:type="dxa"/>
            <w:gridSpan w:val="6"/>
            <w:tcBorders>
              <w:top w:val="single" w:sz="4" w:space="0" w:color="auto"/>
              <w:left w:val="single" w:sz="4" w:space="0" w:color="auto"/>
              <w:bottom w:val="single" w:sz="4" w:space="0" w:color="auto"/>
              <w:right w:val="single" w:sz="4" w:space="0" w:color="000000"/>
            </w:tcBorders>
            <w:shd w:val="clear" w:color="auto" w:fill="3A7C22" w:themeFill="accent6" w:themeFillShade="BF"/>
            <w:vAlign w:val="center"/>
            <w:hideMark/>
          </w:tcPr>
          <w:p w14:paraId="677765B1" w14:textId="77777777" w:rsidR="00044448" w:rsidRPr="00044448" w:rsidRDefault="00044448" w:rsidP="002B0D41">
            <w:pPr>
              <w:spacing w:before="0" w:after="0"/>
              <w:jc w:val="center"/>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CASH FLOW DATA</w:t>
            </w:r>
          </w:p>
        </w:tc>
      </w:tr>
      <w:tr w:rsidR="00044448" w:rsidRPr="00044448" w14:paraId="3F4AC744"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1375A420"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Cash Flow from Operations</w:t>
            </w:r>
          </w:p>
        </w:tc>
        <w:tc>
          <w:tcPr>
            <w:tcW w:w="1020" w:type="dxa"/>
            <w:tcBorders>
              <w:top w:val="nil"/>
              <w:left w:val="nil"/>
              <w:bottom w:val="single" w:sz="4" w:space="0" w:color="auto"/>
              <w:right w:val="single" w:sz="4" w:space="0" w:color="auto"/>
            </w:tcBorders>
            <w:vAlign w:val="center"/>
            <w:hideMark/>
          </w:tcPr>
          <w:p w14:paraId="23261859"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848</w:t>
            </w:r>
          </w:p>
        </w:tc>
        <w:tc>
          <w:tcPr>
            <w:tcW w:w="1020" w:type="dxa"/>
            <w:tcBorders>
              <w:top w:val="nil"/>
              <w:left w:val="nil"/>
              <w:bottom w:val="single" w:sz="4" w:space="0" w:color="auto"/>
              <w:right w:val="single" w:sz="4" w:space="0" w:color="auto"/>
            </w:tcBorders>
            <w:vAlign w:val="center"/>
            <w:hideMark/>
          </w:tcPr>
          <w:p w14:paraId="0780D511"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961</w:t>
            </w:r>
          </w:p>
        </w:tc>
        <w:tc>
          <w:tcPr>
            <w:tcW w:w="1020" w:type="dxa"/>
            <w:tcBorders>
              <w:top w:val="nil"/>
              <w:left w:val="nil"/>
              <w:bottom w:val="single" w:sz="4" w:space="0" w:color="auto"/>
              <w:right w:val="single" w:sz="4" w:space="0" w:color="auto"/>
            </w:tcBorders>
            <w:vAlign w:val="center"/>
            <w:hideMark/>
          </w:tcPr>
          <w:p w14:paraId="747AB2A2"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1,219</w:t>
            </w:r>
          </w:p>
        </w:tc>
        <w:tc>
          <w:tcPr>
            <w:tcW w:w="980" w:type="dxa"/>
            <w:tcBorders>
              <w:top w:val="nil"/>
              <w:left w:val="nil"/>
              <w:bottom w:val="single" w:sz="4" w:space="0" w:color="auto"/>
              <w:right w:val="single" w:sz="4" w:space="0" w:color="auto"/>
            </w:tcBorders>
            <w:vAlign w:val="center"/>
            <w:hideMark/>
          </w:tcPr>
          <w:p w14:paraId="2223D94E"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1,149</w:t>
            </w:r>
          </w:p>
        </w:tc>
        <w:tc>
          <w:tcPr>
            <w:tcW w:w="1020" w:type="dxa"/>
            <w:tcBorders>
              <w:top w:val="nil"/>
              <w:left w:val="nil"/>
              <w:bottom w:val="single" w:sz="4" w:space="0" w:color="auto"/>
              <w:right w:val="single" w:sz="4" w:space="0" w:color="auto"/>
            </w:tcBorders>
            <w:vAlign w:val="center"/>
            <w:hideMark/>
          </w:tcPr>
          <w:p w14:paraId="545440E7"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1,361</w:t>
            </w:r>
          </w:p>
        </w:tc>
      </w:tr>
      <w:tr w:rsidR="00044448" w:rsidRPr="00044448" w14:paraId="3E72F167"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32CB6461"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Net Cash from Operating Activities</w:t>
            </w:r>
          </w:p>
        </w:tc>
        <w:tc>
          <w:tcPr>
            <w:tcW w:w="1020" w:type="dxa"/>
            <w:tcBorders>
              <w:top w:val="nil"/>
              <w:left w:val="nil"/>
              <w:bottom w:val="single" w:sz="4" w:space="0" w:color="auto"/>
              <w:right w:val="single" w:sz="4" w:space="0" w:color="auto"/>
            </w:tcBorders>
            <w:vAlign w:val="center"/>
            <w:hideMark/>
          </w:tcPr>
          <w:p w14:paraId="3FD6AD9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636</w:t>
            </w:r>
          </w:p>
        </w:tc>
        <w:tc>
          <w:tcPr>
            <w:tcW w:w="1020" w:type="dxa"/>
            <w:tcBorders>
              <w:top w:val="nil"/>
              <w:left w:val="nil"/>
              <w:bottom w:val="single" w:sz="4" w:space="0" w:color="auto"/>
              <w:right w:val="single" w:sz="4" w:space="0" w:color="auto"/>
            </w:tcBorders>
            <w:vAlign w:val="center"/>
            <w:hideMark/>
          </w:tcPr>
          <w:p w14:paraId="29CD3C5D"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646</w:t>
            </w:r>
          </w:p>
        </w:tc>
        <w:tc>
          <w:tcPr>
            <w:tcW w:w="1020" w:type="dxa"/>
            <w:tcBorders>
              <w:top w:val="nil"/>
              <w:left w:val="nil"/>
              <w:bottom w:val="single" w:sz="4" w:space="0" w:color="auto"/>
              <w:right w:val="single" w:sz="4" w:space="0" w:color="auto"/>
            </w:tcBorders>
            <w:vAlign w:val="center"/>
            <w:hideMark/>
          </w:tcPr>
          <w:p w14:paraId="41918777"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893</w:t>
            </w:r>
          </w:p>
        </w:tc>
        <w:tc>
          <w:tcPr>
            <w:tcW w:w="980" w:type="dxa"/>
            <w:tcBorders>
              <w:top w:val="nil"/>
              <w:left w:val="nil"/>
              <w:bottom w:val="single" w:sz="4" w:space="0" w:color="auto"/>
              <w:right w:val="single" w:sz="4" w:space="0" w:color="auto"/>
            </w:tcBorders>
            <w:vAlign w:val="center"/>
            <w:hideMark/>
          </w:tcPr>
          <w:p w14:paraId="0706A53E"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724</w:t>
            </w:r>
          </w:p>
        </w:tc>
        <w:tc>
          <w:tcPr>
            <w:tcW w:w="1020" w:type="dxa"/>
            <w:tcBorders>
              <w:top w:val="nil"/>
              <w:left w:val="nil"/>
              <w:bottom w:val="single" w:sz="4" w:space="0" w:color="auto"/>
              <w:right w:val="single" w:sz="4" w:space="0" w:color="auto"/>
            </w:tcBorders>
            <w:vAlign w:val="center"/>
            <w:hideMark/>
          </w:tcPr>
          <w:p w14:paraId="24FDFA2A"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898</w:t>
            </w:r>
          </w:p>
        </w:tc>
      </w:tr>
      <w:tr w:rsidR="00044448" w:rsidRPr="00044448" w14:paraId="3877D34D"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5AA3D595"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Purchase of PP&amp;E</w:t>
            </w:r>
          </w:p>
        </w:tc>
        <w:tc>
          <w:tcPr>
            <w:tcW w:w="1020" w:type="dxa"/>
            <w:tcBorders>
              <w:top w:val="nil"/>
              <w:left w:val="nil"/>
              <w:bottom w:val="single" w:sz="4" w:space="0" w:color="auto"/>
              <w:right w:val="single" w:sz="4" w:space="0" w:color="auto"/>
            </w:tcBorders>
            <w:vAlign w:val="center"/>
            <w:hideMark/>
          </w:tcPr>
          <w:p w14:paraId="5A4594D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17</w:t>
            </w:r>
          </w:p>
        </w:tc>
        <w:tc>
          <w:tcPr>
            <w:tcW w:w="1020" w:type="dxa"/>
            <w:tcBorders>
              <w:top w:val="nil"/>
              <w:left w:val="nil"/>
              <w:bottom w:val="single" w:sz="4" w:space="0" w:color="auto"/>
              <w:right w:val="single" w:sz="4" w:space="0" w:color="auto"/>
            </w:tcBorders>
            <w:vAlign w:val="center"/>
            <w:hideMark/>
          </w:tcPr>
          <w:p w14:paraId="3A6AC7AE"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54</w:t>
            </w:r>
          </w:p>
        </w:tc>
        <w:tc>
          <w:tcPr>
            <w:tcW w:w="1020" w:type="dxa"/>
            <w:tcBorders>
              <w:top w:val="nil"/>
              <w:left w:val="nil"/>
              <w:bottom w:val="single" w:sz="4" w:space="0" w:color="auto"/>
              <w:right w:val="single" w:sz="4" w:space="0" w:color="auto"/>
            </w:tcBorders>
            <w:vAlign w:val="center"/>
            <w:hideMark/>
          </w:tcPr>
          <w:p w14:paraId="2D7B2911"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28</w:t>
            </w:r>
          </w:p>
        </w:tc>
        <w:tc>
          <w:tcPr>
            <w:tcW w:w="980" w:type="dxa"/>
            <w:tcBorders>
              <w:top w:val="nil"/>
              <w:left w:val="nil"/>
              <w:bottom w:val="single" w:sz="4" w:space="0" w:color="auto"/>
              <w:right w:val="single" w:sz="4" w:space="0" w:color="auto"/>
            </w:tcBorders>
            <w:vAlign w:val="center"/>
            <w:hideMark/>
          </w:tcPr>
          <w:p w14:paraId="68E33642"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29</w:t>
            </w:r>
          </w:p>
        </w:tc>
        <w:tc>
          <w:tcPr>
            <w:tcW w:w="1020" w:type="dxa"/>
            <w:tcBorders>
              <w:top w:val="nil"/>
              <w:left w:val="nil"/>
              <w:bottom w:val="single" w:sz="4" w:space="0" w:color="auto"/>
              <w:right w:val="single" w:sz="4" w:space="0" w:color="auto"/>
            </w:tcBorders>
            <w:vAlign w:val="center"/>
            <w:hideMark/>
          </w:tcPr>
          <w:p w14:paraId="6FA56DF2"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28</w:t>
            </w:r>
          </w:p>
        </w:tc>
      </w:tr>
      <w:tr w:rsidR="00044448" w:rsidRPr="00044448" w14:paraId="6CFC15F0"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67F20A83"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lastRenderedPageBreak/>
              <w:t>Interest Paid</w:t>
            </w:r>
          </w:p>
        </w:tc>
        <w:tc>
          <w:tcPr>
            <w:tcW w:w="1020" w:type="dxa"/>
            <w:tcBorders>
              <w:top w:val="nil"/>
              <w:left w:val="nil"/>
              <w:bottom w:val="single" w:sz="4" w:space="0" w:color="auto"/>
              <w:right w:val="single" w:sz="4" w:space="0" w:color="auto"/>
            </w:tcBorders>
            <w:vAlign w:val="center"/>
            <w:hideMark/>
          </w:tcPr>
          <w:p w14:paraId="4B8A1FC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134</w:t>
            </w:r>
          </w:p>
        </w:tc>
        <w:tc>
          <w:tcPr>
            <w:tcW w:w="1020" w:type="dxa"/>
            <w:tcBorders>
              <w:top w:val="nil"/>
              <w:left w:val="nil"/>
              <w:bottom w:val="single" w:sz="4" w:space="0" w:color="auto"/>
              <w:right w:val="single" w:sz="4" w:space="0" w:color="auto"/>
            </w:tcBorders>
            <w:vAlign w:val="center"/>
            <w:hideMark/>
          </w:tcPr>
          <w:p w14:paraId="0CF0F2A1"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126</w:t>
            </w:r>
          </w:p>
        </w:tc>
        <w:tc>
          <w:tcPr>
            <w:tcW w:w="1020" w:type="dxa"/>
            <w:tcBorders>
              <w:top w:val="nil"/>
              <w:left w:val="nil"/>
              <w:bottom w:val="single" w:sz="4" w:space="0" w:color="auto"/>
              <w:right w:val="single" w:sz="4" w:space="0" w:color="auto"/>
            </w:tcBorders>
            <w:vAlign w:val="center"/>
            <w:hideMark/>
          </w:tcPr>
          <w:p w14:paraId="1298B0DB"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119</w:t>
            </w:r>
          </w:p>
        </w:tc>
        <w:tc>
          <w:tcPr>
            <w:tcW w:w="980" w:type="dxa"/>
            <w:tcBorders>
              <w:top w:val="nil"/>
              <w:left w:val="nil"/>
              <w:bottom w:val="single" w:sz="4" w:space="0" w:color="auto"/>
              <w:right w:val="single" w:sz="4" w:space="0" w:color="auto"/>
            </w:tcBorders>
            <w:vAlign w:val="center"/>
            <w:hideMark/>
          </w:tcPr>
          <w:p w14:paraId="06C5750A"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170</w:t>
            </w:r>
          </w:p>
        </w:tc>
        <w:tc>
          <w:tcPr>
            <w:tcW w:w="1020" w:type="dxa"/>
            <w:tcBorders>
              <w:top w:val="nil"/>
              <w:left w:val="nil"/>
              <w:bottom w:val="single" w:sz="4" w:space="0" w:color="auto"/>
              <w:right w:val="single" w:sz="4" w:space="0" w:color="auto"/>
            </w:tcBorders>
            <w:vAlign w:val="center"/>
            <w:hideMark/>
          </w:tcPr>
          <w:p w14:paraId="6027ABF1"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202</w:t>
            </w:r>
          </w:p>
        </w:tc>
      </w:tr>
      <w:tr w:rsidR="00044448" w:rsidRPr="00044448" w14:paraId="776F3BF5"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1DE28CC7"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Interest Received</w:t>
            </w:r>
          </w:p>
        </w:tc>
        <w:tc>
          <w:tcPr>
            <w:tcW w:w="1020" w:type="dxa"/>
            <w:tcBorders>
              <w:top w:val="nil"/>
              <w:left w:val="nil"/>
              <w:bottom w:val="single" w:sz="4" w:space="0" w:color="auto"/>
              <w:right w:val="single" w:sz="4" w:space="0" w:color="auto"/>
            </w:tcBorders>
            <w:vAlign w:val="center"/>
            <w:hideMark/>
          </w:tcPr>
          <w:p w14:paraId="173F7A0C"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8</w:t>
            </w:r>
          </w:p>
        </w:tc>
        <w:tc>
          <w:tcPr>
            <w:tcW w:w="1020" w:type="dxa"/>
            <w:tcBorders>
              <w:top w:val="nil"/>
              <w:left w:val="nil"/>
              <w:bottom w:val="single" w:sz="4" w:space="0" w:color="auto"/>
              <w:right w:val="single" w:sz="4" w:space="0" w:color="auto"/>
            </w:tcBorders>
            <w:vAlign w:val="center"/>
            <w:hideMark/>
          </w:tcPr>
          <w:p w14:paraId="7939EA55"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22</w:t>
            </w:r>
          </w:p>
        </w:tc>
        <w:tc>
          <w:tcPr>
            <w:tcW w:w="1020" w:type="dxa"/>
            <w:tcBorders>
              <w:top w:val="nil"/>
              <w:left w:val="nil"/>
              <w:bottom w:val="single" w:sz="4" w:space="0" w:color="auto"/>
              <w:right w:val="single" w:sz="4" w:space="0" w:color="auto"/>
            </w:tcBorders>
            <w:vAlign w:val="center"/>
            <w:hideMark/>
          </w:tcPr>
          <w:p w14:paraId="3DDFC620"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36</w:t>
            </w:r>
          </w:p>
        </w:tc>
        <w:tc>
          <w:tcPr>
            <w:tcW w:w="980" w:type="dxa"/>
            <w:tcBorders>
              <w:top w:val="nil"/>
              <w:left w:val="nil"/>
              <w:bottom w:val="single" w:sz="4" w:space="0" w:color="auto"/>
              <w:right w:val="single" w:sz="4" w:space="0" w:color="auto"/>
            </w:tcBorders>
            <w:vAlign w:val="center"/>
            <w:hideMark/>
          </w:tcPr>
          <w:p w14:paraId="4CC08E38"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57</w:t>
            </w:r>
          </w:p>
        </w:tc>
        <w:tc>
          <w:tcPr>
            <w:tcW w:w="1020" w:type="dxa"/>
            <w:tcBorders>
              <w:top w:val="nil"/>
              <w:left w:val="nil"/>
              <w:bottom w:val="single" w:sz="4" w:space="0" w:color="auto"/>
              <w:right w:val="single" w:sz="4" w:space="0" w:color="auto"/>
            </w:tcBorders>
            <w:vAlign w:val="center"/>
            <w:hideMark/>
          </w:tcPr>
          <w:p w14:paraId="121CD6F5"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46</w:t>
            </w:r>
          </w:p>
        </w:tc>
      </w:tr>
      <w:tr w:rsidR="00044448" w:rsidRPr="00044448" w14:paraId="05ED5D20"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015C26BC"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Dividends Paid to Shareholders</w:t>
            </w:r>
          </w:p>
        </w:tc>
        <w:tc>
          <w:tcPr>
            <w:tcW w:w="1020" w:type="dxa"/>
            <w:tcBorders>
              <w:top w:val="nil"/>
              <w:left w:val="nil"/>
              <w:bottom w:val="single" w:sz="4" w:space="0" w:color="auto"/>
              <w:right w:val="single" w:sz="4" w:space="0" w:color="auto"/>
            </w:tcBorders>
            <w:vAlign w:val="center"/>
            <w:hideMark/>
          </w:tcPr>
          <w:p w14:paraId="4746B02C"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0</w:t>
            </w:r>
          </w:p>
        </w:tc>
        <w:tc>
          <w:tcPr>
            <w:tcW w:w="1020" w:type="dxa"/>
            <w:tcBorders>
              <w:top w:val="nil"/>
              <w:left w:val="nil"/>
              <w:bottom w:val="single" w:sz="4" w:space="0" w:color="auto"/>
              <w:right w:val="single" w:sz="4" w:space="0" w:color="auto"/>
            </w:tcBorders>
            <w:vAlign w:val="center"/>
            <w:hideMark/>
          </w:tcPr>
          <w:p w14:paraId="7DE15276"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233</w:t>
            </w:r>
          </w:p>
        </w:tc>
        <w:tc>
          <w:tcPr>
            <w:tcW w:w="1020" w:type="dxa"/>
            <w:tcBorders>
              <w:top w:val="nil"/>
              <w:left w:val="nil"/>
              <w:bottom w:val="single" w:sz="4" w:space="0" w:color="auto"/>
              <w:right w:val="single" w:sz="4" w:space="0" w:color="auto"/>
            </w:tcBorders>
            <w:vAlign w:val="center"/>
            <w:hideMark/>
          </w:tcPr>
          <w:p w14:paraId="4825734D"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245</w:t>
            </w:r>
          </w:p>
        </w:tc>
        <w:tc>
          <w:tcPr>
            <w:tcW w:w="980" w:type="dxa"/>
            <w:tcBorders>
              <w:top w:val="nil"/>
              <w:left w:val="nil"/>
              <w:bottom w:val="single" w:sz="4" w:space="0" w:color="auto"/>
              <w:right w:val="single" w:sz="4" w:space="0" w:color="auto"/>
            </w:tcBorders>
            <w:vAlign w:val="center"/>
            <w:hideMark/>
          </w:tcPr>
          <w:p w14:paraId="5FC52351" w14:textId="77777777" w:rsidR="00044448" w:rsidRPr="00044448" w:rsidRDefault="00044448" w:rsidP="002B0D41">
            <w:pPr>
              <w:spacing w:before="0" w:after="0"/>
              <w:jc w:val="right"/>
              <w:rPr>
                <w:rFonts w:eastAsia="Times New Roman" w:cs="Times New Roman"/>
                <w:color w:val="000000"/>
                <w:sz w:val="22"/>
                <w:lang w:val="en-IN" w:eastAsia="en-IN"/>
              </w:rPr>
            </w:pPr>
            <w:r w:rsidRPr="00044448">
              <w:rPr>
                <w:rFonts w:eastAsia="Times New Roman" w:cs="Times New Roman"/>
                <w:color w:val="000000"/>
                <w:sz w:val="22"/>
                <w:lang w:val="en-IN" w:eastAsia="en-IN"/>
              </w:rPr>
              <w:t>259</w:t>
            </w:r>
          </w:p>
        </w:tc>
        <w:tc>
          <w:tcPr>
            <w:tcW w:w="1020" w:type="dxa"/>
            <w:tcBorders>
              <w:top w:val="nil"/>
              <w:left w:val="nil"/>
              <w:bottom w:val="single" w:sz="4" w:space="0" w:color="auto"/>
              <w:right w:val="single" w:sz="4" w:space="0" w:color="auto"/>
            </w:tcBorders>
            <w:vAlign w:val="center"/>
            <w:hideMark/>
          </w:tcPr>
          <w:p w14:paraId="28E8CC2B"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270</w:t>
            </w:r>
          </w:p>
        </w:tc>
      </w:tr>
      <w:tr w:rsidR="00044448" w:rsidRPr="00044448" w14:paraId="271187D9" w14:textId="77777777" w:rsidTr="00044448">
        <w:trPr>
          <w:trHeight w:val="276"/>
        </w:trPr>
        <w:tc>
          <w:tcPr>
            <w:tcW w:w="3820" w:type="dxa"/>
            <w:tcBorders>
              <w:top w:val="nil"/>
              <w:left w:val="single" w:sz="4" w:space="0" w:color="auto"/>
              <w:bottom w:val="single" w:sz="4" w:space="0" w:color="auto"/>
              <w:right w:val="single" w:sz="4" w:space="0" w:color="auto"/>
            </w:tcBorders>
            <w:vAlign w:val="center"/>
            <w:hideMark/>
          </w:tcPr>
          <w:p w14:paraId="7E1A3D62" w14:textId="77777777" w:rsidR="00044448" w:rsidRPr="00044448" w:rsidRDefault="00044448" w:rsidP="002B0D41">
            <w:pPr>
              <w:spacing w:before="0" w:after="0"/>
              <w:jc w:val="left"/>
              <w:rPr>
                <w:rFonts w:eastAsia="Times New Roman" w:cs="Times New Roman"/>
                <w:color w:val="000000"/>
                <w:sz w:val="22"/>
                <w:lang w:val="en-IN" w:eastAsia="en-IN"/>
              </w:rPr>
            </w:pPr>
            <w:r w:rsidRPr="00044448">
              <w:rPr>
                <w:rFonts w:eastAsia="Times New Roman" w:cs="Times New Roman"/>
                <w:color w:val="000000"/>
                <w:sz w:val="22"/>
                <w:lang w:val="en-IN" w:eastAsia="en-IN"/>
              </w:rPr>
              <w:t>Adjusted Free Cash Flow</w:t>
            </w:r>
          </w:p>
        </w:tc>
        <w:tc>
          <w:tcPr>
            <w:tcW w:w="1020" w:type="dxa"/>
            <w:tcBorders>
              <w:top w:val="nil"/>
              <w:left w:val="nil"/>
              <w:bottom w:val="single" w:sz="4" w:space="0" w:color="auto"/>
              <w:right w:val="single" w:sz="4" w:space="0" w:color="auto"/>
            </w:tcBorders>
            <w:vAlign w:val="center"/>
            <w:hideMark/>
          </w:tcPr>
          <w:p w14:paraId="4FB1D19C"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589</w:t>
            </w:r>
          </w:p>
        </w:tc>
        <w:tc>
          <w:tcPr>
            <w:tcW w:w="1020" w:type="dxa"/>
            <w:tcBorders>
              <w:top w:val="nil"/>
              <w:left w:val="nil"/>
              <w:bottom w:val="single" w:sz="4" w:space="0" w:color="auto"/>
              <w:right w:val="single" w:sz="4" w:space="0" w:color="auto"/>
            </w:tcBorders>
            <w:vAlign w:val="center"/>
            <w:hideMark/>
          </w:tcPr>
          <w:p w14:paraId="73C334FF"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615</w:t>
            </w:r>
          </w:p>
        </w:tc>
        <w:tc>
          <w:tcPr>
            <w:tcW w:w="1020" w:type="dxa"/>
            <w:tcBorders>
              <w:top w:val="nil"/>
              <w:left w:val="nil"/>
              <w:bottom w:val="single" w:sz="4" w:space="0" w:color="auto"/>
              <w:right w:val="single" w:sz="4" w:space="0" w:color="auto"/>
            </w:tcBorders>
            <w:vAlign w:val="center"/>
            <w:hideMark/>
          </w:tcPr>
          <w:p w14:paraId="22D506FC"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837</w:t>
            </w:r>
          </w:p>
        </w:tc>
        <w:tc>
          <w:tcPr>
            <w:tcW w:w="980" w:type="dxa"/>
            <w:tcBorders>
              <w:top w:val="nil"/>
              <w:left w:val="nil"/>
              <w:bottom w:val="single" w:sz="4" w:space="0" w:color="auto"/>
              <w:right w:val="single" w:sz="4" w:space="0" w:color="auto"/>
            </w:tcBorders>
            <w:vAlign w:val="center"/>
            <w:hideMark/>
          </w:tcPr>
          <w:p w14:paraId="6179BE32"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655</w:t>
            </w:r>
          </w:p>
        </w:tc>
        <w:tc>
          <w:tcPr>
            <w:tcW w:w="1020" w:type="dxa"/>
            <w:tcBorders>
              <w:top w:val="nil"/>
              <w:left w:val="nil"/>
              <w:bottom w:val="single" w:sz="4" w:space="0" w:color="auto"/>
              <w:right w:val="single" w:sz="4" w:space="0" w:color="auto"/>
            </w:tcBorders>
            <w:vAlign w:val="center"/>
            <w:hideMark/>
          </w:tcPr>
          <w:p w14:paraId="16827D67" w14:textId="77777777" w:rsidR="00044448" w:rsidRPr="00044448" w:rsidRDefault="00044448" w:rsidP="002B0D41">
            <w:pPr>
              <w:spacing w:before="0" w:after="0"/>
              <w:jc w:val="right"/>
              <w:rPr>
                <w:rFonts w:eastAsia="Times New Roman" w:cs="Times New Roman"/>
                <w:b/>
                <w:bCs/>
                <w:color w:val="000000"/>
                <w:sz w:val="22"/>
                <w:lang w:val="en-IN" w:eastAsia="en-IN"/>
              </w:rPr>
            </w:pPr>
            <w:r w:rsidRPr="00044448">
              <w:rPr>
                <w:rFonts w:eastAsia="Times New Roman" w:cs="Times New Roman"/>
                <w:b/>
                <w:bCs/>
                <w:color w:val="000000"/>
                <w:sz w:val="22"/>
                <w:lang w:val="en-IN" w:eastAsia="en-IN"/>
              </w:rPr>
              <w:t>893</w:t>
            </w:r>
          </w:p>
        </w:tc>
      </w:tr>
    </w:tbl>
    <w:p w14:paraId="35963F77" w14:textId="3AFB0838" w:rsidR="00485B85" w:rsidRDefault="00044448" w:rsidP="002B0D41">
      <w:pPr>
        <w:pStyle w:val="Heading2"/>
      </w:pPr>
      <w:bookmarkStart w:id="35" w:name="_Toc235636791"/>
      <w:r>
        <w:t xml:space="preserve">Appendix </w:t>
      </w:r>
      <w:r w:rsidR="00717148">
        <w:t>B</w:t>
      </w:r>
      <w:r>
        <w:t xml:space="preserve"> – Ratio calculations</w:t>
      </w:r>
      <w:bookmarkEnd w:id="35"/>
    </w:p>
    <w:tbl>
      <w:tblPr>
        <w:tblStyle w:val="ListTable3-Accent6"/>
        <w:tblW w:w="6380" w:type="dxa"/>
        <w:jc w:val="center"/>
        <w:tblLook w:val="04A0" w:firstRow="1" w:lastRow="0" w:firstColumn="1" w:lastColumn="0" w:noHBand="0" w:noVBand="1"/>
      </w:tblPr>
      <w:tblGrid>
        <w:gridCol w:w="1565"/>
        <w:gridCol w:w="963"/>
        <w:gridCol w:w="963"/>
        <w:gridCol w:w="963"/>
        <w:gridCol w:w="963"/>
        <w:gridCol w:w="963"/>
      </w:tblGrid>
      <w:tr w:rsidR="00664782" w:rsidRPr="00664782" w14:paraId="1EB2FA94" w14:textId="77777777" w:rsidTr="009A093A">
        <w:trPr>
          <w:cnfStyle w:val="100000000000" w:firstRow="1" w:lastRow="0" w:firstColumn="0" w:lastColumn="0" w:oddVBand="0" w:evenVBand="0" w:oddHBand="0" w:evenHBand="0" w:firstRowFirstColumn="0" w:firstRowLastColumn="0" w:lastRowFirstColumn="0" w:lastRowLastColumn="0"/>
          <w:trHeight w:val="276"/>
          <w:jc w:val="center"/>
        </w:trPr>
        <w:tc>
          <w:tcPr>
            <w:cnfStyle w:val="001000000100" w:firstRow="0" w:lastRow="0" w:firstColumn="1" w:lastColumn="0" w:oddVBand="0" w:evenVBand="0" w:oddHBand="0" w:evenHBand="0" w:firstRowFirstColumn="1" w:firstRowLastColumn="0" w:lastRowFirstColumn="0" w:lastRowLastColumn="0"/>
            <w:tcW w:w="2480" w:type="dxa"/>
            <w:hideMark/>
          </w:tcPr>
          <w:p w14:paraId="02555BC1" w14:textId="77777777" w:rsidR="00664782" w:rsidRPr="00664782" w:rsidRDefault="00664782" w:rsidP="002B0D41">
            <w:pPr>
              <w:spacing w:before="0" w:after="0"/>
              <w:jc w:val="center"/>
              <w:rPr>
                <w:rFonts w:eastAsia="Times New Roman" w:cs="Times New Roman"/>
                <w:color w:val="000000"/>
                <w:sz w:val="22"/>
                <w:lang w:val="en-IN" w:eastAsia="en-IN"/>
              </w:rPr>
            </w:pPr>
            <w:r w:rsidRPr="00664782">
              <w:rPr>
                <w:rFonts w:eastAsia="Times New Roman" w:cs="Times New Roman"/>
                <w:color w:val="000000"/>
                <w:sz w:val="22"/>
                <w:lang w:val="en-IN" w:eastAsia="en-IN"/>
              </w:rPr>
              <w:t>Ratio</w:t>
            </w:r>
          </w:p>
        </w:tc>
        <w:tc>
          <w:tcPr>
            <w:tcW w:w="780" w:type="dxa"/>
            <w:hideMark/>
          </w:tcPr>
          <w:p w14:paraId="1FADB0B0" w14:textId="77777777" w:rsidR="00664782" w:rsidRPr="00664782" w:rsidRDefault="00664782" w:rsidP="002B0D41">
            <w:pPr>
              <w:spacing w:before="0" w:after="0"/>
              <w:jc w:val="righ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2021</w:t>
            </w:r>
          </w:p>
        </w:tc>
        <w:tc>
          <w:tcPr>
            <w:tcW w:w="780" w:type="dxa"/>
            <w:hideMark/>
          </w:tcPr>
          <w:p w14:paraId="656024E8" w14:textId="77777777" w:rsidR="00664782" w:rsidRPr="00664782" w:rsidRDefault="00664782" w:rsidP="002B0D41">
            <w:pPr>
              <w:spacing w:before="0" w:after="0"/>
              <w:jc w:val="righ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2022</w:t>
            </w:r>
          </w:p>
        </w:tc>
        <w:tc>
          <w:tcPr>
            <w:tcW w:w="780" w:type="dxa"/>
            <w:hideMark/>
          </w:tcPr>
          <w:p w14:paraId="3474C860" w14:textId="77777777" w:rsidR="00664782" w:rsidRPr="00664782" w:rsidRDefault="00664782" w:rsidP="002B0D41">
            <w:pPr>
              <w:spacing w:before="0" w:after="0"/>
              <w:jc w:val="righ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2023</w:t>
            </w:r>
          </w:p>
        </w:tc>
        <w:tc>
          <w:tcPr>
            <w:tcW w:w="780" w:type="dxa"/>
            <w:hideMark/>
          </w:tcPr>
          <w:p w14:paraId="7F37DA85" w14:textId="77777777" w:rsidR="00664782" w:rsidRPr="00664782" w:rsidRDefault="00664782" w:rsidP="002B0D41">
            <w:pPr>
              <w:spacing w:before="0" w:after="0"/>
              <w:jc w:val="righ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2024</w:t>
            </w:r>
          </w:p>
        </w:tc>
        <w:tc>
          <w:tcPr>
            <w:tcW w:w="780" w:type="dxa"/>
            <w:hideMark/>
          </w:tcPr>
          <w:p w14:paraId="1CC723BE" w14:textId="77777777" w:rsidR="00664782" w:rsidRPr="00664782" w:rsidRDefault="00664782" w:rsidP="002B0D41">
            <w:pPr>
              <w:spacing w:before="0" w:after="0"/>
              <w:jc w:val="right"/>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2025</w:t>
            </w:r>
          </w:p>
        </w:tc>
      </w:tr>
      <w:tr w:rsidR="00664782" w:rsidRPr="00664782" w14:paraId="21AD6339" w14:textId="77777777" w:rsidTr="009A093A">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2480" w:type="dxa"/>
            <w:hideMark/>
          </w:tcPr>
          <w:p w14:paraId="5343CF57" w14:textId="77777777" w:rsidR="00664782" w:rsidRPr="00664782" w:rsidRDefault="00664782" w:rsidP="002B0D41">
            <w:pPr>
              <w:spacing w:before="0" w:after="0"/>
              <w:jc w:val="left"/>
              <w:rPr>
                <w:rFonts w:eastAsia="Times New Roman" w:cs="Times New Roman"/>
                <w:color w:val="000000"/>
                <w:sz w:val="22"/>
                <w:lang w:val="en-IN" w:eastAsia="en-IN"/>
              </w:rPr>
            </w:pPr>
            <w:r w:rsidRPr="00664782">
              <w:rPr>
                <w:rFonts w:eastAsia="Times New Roman" w:cs="Times New Roman"/>
                <w:color w:val="000000"/>
                <w:sz w:val="22"/>
                <w:lang w:val="en-IN" w:eastAsia="en-IN"/>
              </w:rPr>
              <w:t>Operating Profit Margin</w:t>
            </w:r>
          </w:p>
        </w:tc>
        <w:tc>
          <w:tcPr>
            <w:tcW w:w="780" w:type="dxa"/>
            <w:hideMark/>
          </w:tcPr>
          <w:p w14:paraId="6B7612B2"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16.99%</w:t>
            </w:r>
          </w:p>
        </w:tc>
        <w:tc>
          <w:tcPr>
            <w:tcW w:w="780" w:type="dxa"/>
            <w:hideMark/>
          </w:tcPr>
          <w:p w14:paraId="2BB82B8E"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16.14%</w:t>
            </w:r>
          </w:p>
        </w:tc>
        <w:tc>
          <w:tcPr>
            <w:tcW w:w="780" w:type="dxa"/>
            <w:hideMark/>
          </w:tcPr>
          <w:p w14:paraId="536BA7D9"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23.05%</w:t>
            </w:r>
          </w:p>
        </w:tc>
        <w:tc>
          <w:tcPr>
            <w:tcW w:w="780" w:type="dxa"/>
            <w:hideMark/>
          </w:tcPr>
          <w:p w14:paraId="641311B0"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21.15%</w:t>
            </w:r>
          </w:p>
        </w:tc>
        <w:tc>
          <w:tcPr>
            <w:tcW w:w="780" w:type="dxa"/>
            <w:hideMark/>
          </w:tcPr>
          <w:p w14:paraId="4A9A6F51"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23.09%</w:t>
            </w:r>
          </w:p>
        </w:tc>
      </w:tr>
      <w:tr w:rsidR="00664782" w:rsidRPr="00664782" w14:paraId="3F003E7E" w14:textId="77777777" w:rsidTr="009A093A">
        <w:trPr>
          <w:trHeight w:val="276"/>
          <w:jc w:val="center"/>
        </w:trPr>
        <w:tc>
          <w:tcPr>
            <w:cnfStyle w:val="001000000000" w:firstRow="0" w:lastRow="0" w:firstColumn="1" w:lastColumn="0" w:oddVBand="0" w:evenVBand="0" w:oddHBand="0" w:evenHBand="0" w:firstRowFirstColumn="0" w:firstRowLastColumn="0" w:lastRowFirstColumn="0" w:lastRowLastColumn="0"/>
            <w:tcW w:w="2480" w:type="dxa"/>
            <w:hideMark/>
          </w:tcPr>
          <w:p w14:paraId="13C451A9" w14:textId="77777777" w:rsidR="00664782" w:rsidRPr="00664782" w:rsidRDefault="00664782" w:rsidP="002B0D41">
            <w:pPr>
              <w:spacing w:before="0" w:after="0"/>
              <w:jc w:val="left"/>
              <w:rPr>
                <w:rFonts w:eastAsia="Times New Roman" w:cs="Times New Roman"/>
                <w:color w:val="000000"/>
                <w:sz w:val="22"/>
                <w:lang w:val="en-IN" w:eastAsia="en-IN"/>
              </w:rPr>
            </w:pPr>
            <w:r w:rsidRPr="00664782">
              <w:rPr>
                <w:rFonts w:eastAsia="Times New Roman" w:cs="Times New Roman"/>
                <w:color w:val="000000"/>
                <w:sz w:val="22"/>
                <w:lang w:val="en-IN" w:eastAsia="en-IN"/>
              </w:rPr>
              <w:t>Net Profit Margin</w:t>
            </w:r>
          </w:p>
        </w:tc>
        <w:tc>
          <w:tcPr>
            <w:tcW w:w="780" w:type="dxa"/>
            <w:hideMark/>
          </w:tcPr>
          <w:p w14:paraId="6D7D6C9A"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9.12%</w:t>
            </w:r>
          </w:p>
        </w:tc>
        <w:tc>
          <w:tcPr>
            <w:tcW w:w="780" w:type="dxa"/>
            <w:hideMark/>
          </w:tcPr>
          <w:p w14:paraId="7FBC303A"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9.66%</w:t>
            </w:r>
          </w:p>
        </w:tc>
        <w:tc>
          <w:tcPr>
            <w:tcW w:w="780" w:type="dxa"/>
            <w:hideMark/>
          </w:tcPr>
          <w:p w14:paraId="71930AA4"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16.22%</w:t>
            </w:r>
          </w:p>
        </w:tc>
        <w:tc>
          <w:tcPr>
            <w:tcW w:w="780" w:type="dxa"/>
            <w:hideMark/>
          </w:tcPr>
          <w:p w14:paraId="310C333C"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12.76%</w:t>
            </w:r>
          </w:p>
        </w:tc>
        <w:tc>
          <w:tcPr>
            <w:tcW w:w="780" w:type="dxa"/>
            <w:hideMark/>
          </w:tcPr>
          <w:p w14:paraId="3C164FCD"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14.63%</w:t>
            </w:r>
          </w:p>
        </w:tc>
      </w:tr>
      <w:tr w:rsidR="00664782" w:rsidRPr="00664782" w14:paraId="63C714F7" w14:textId="77777777" w:rsidTr="009A093A">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2480" w:type="dxa"/>
            <w:hideMark/>
          </w:tcPr>
          <w:p w14:paraId="076A4B82" w14:textId="77777777" w:rsidR="00664782" w:rsidRPr="00664782" w:rsidRDefault="00664782" w:rsidP="002B0D41">
            <w:pPr>
              <w:spacing w:before="0" w:after="0"/>
              <w:jc w:val="left"/>
              <w:rPr>
                <w:rFonts w:eastAsia="Times New Roman" w:cs="Times New Roman"/>
                <w:color w:val="000000"/>
                <w:sz w:val="22"/>
                <w:lang w:val="en-IN" w:eastAsia="en-IN"/>
              </w:rPr>
            </w:pPr>
            <w:r w:rsidRPr="00664782">
              <w:rPr>
                <w:rFonts w:eastAsia="Times New Roman" w:cs="Times New Roman"/>
                <w:color w:val="000000"/>
                <w:sz w:val="22"/>
                <w:lang w:val="en-IN" w:eastAsia="en-IN"/>
              </w:rPr>
              <w:t>ROA</w:t>
            </w:r>
          </w:p>
        </w:tc>
        <w:tc>
          <w:tcPr>
            <w:tcW w:w="780" w:type="dxa"/>
            <w:hideMark/>
          </w:tcPr>
          <w:p w14:paraId="13DF64A4"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5.62%</w:t>
            </w:r>
          </w:p>
        </w:tc>
        <w:tc>
          <w:tcPr>
            <w:tcW w:w="780" w:type="dxa"/>
            <w:hideMark/>
          </w:tcPr>
          <w:p w14:paraId="7C2493B5"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8.92%</w:t>
            </w:r>
          </w:p>
        </w:tc>
        <w:tc>
          <w:tcPr>
            <w:tcW w:w="780" w:type="dxa"/>
            <w:hideMark/>
          </w:tcPr>
          <w:p w14:paraId="2243866F"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15.58%</w:t>
            </w:r>
          </w:p>
        </w:tc>
        <w:tc>
          <w:tcPr>
            <w:tcW w:w="780" w:type="dxa"/>
            <w:hideMark/>
          </w:tcPr>
          <w:p w14:paraId="13891796"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13.23%</w:t>
            </w:r>
          </w:p>
        </w:tc>
        <w:tc>
          <w:tcPr>
            <w:tcW w:w="780" w:type="dxa"/>
            <w:hideMark/>
          </w:tcPr>
          <w:p w14:paraId="0D5A7F02"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14.20%</w:t>
            </w:r>
          </w:p>
        </w:tc>
      </w:tr>
      <w:tr w:rsidR="00664782" w:rsidRPr="00664782" w14:paraId="3580C548" w14:textId="77777777" w:rsidTr="009A093A">
        <w:trPr>
          <w:trHeight w:val="276"/>
          <w:jc w:val="center"/>
        </w:trPr>
        <w:tc>
          <w:tcPr>
            <w:cnfStyle w:val="001000000000" w:firstRow="0" w:lastRow="0" w:firstColumn="1" w:lastColumn="0" w:oddVBand="0" w:evenVBand="0" w:oddHBand="0" w:evenHBand="0" w:firstRowFirstColumn="0" w:firstRowLastColumn="0" w:lastRowFirstColumn="0" w:lastRowLastColumn="0"/>
            <w:tcW w:w="2480" w:type="dxa"/>
            <w:hideMark/>
          </w:tcPr>
          <w:p w14:paraId="677C2C22" w14:textId="77777777" w:rsidR="00664782" w:rsidRPr="00664782" w:rsidRDefault="00664782" w:rsidP="002B0D41">
            <w:pPr>
              <w:spacing w:before="0" w:after="0"/>
              <w:jc w:val="left"/>
              <w:rPr>
                <w:rFonts w:eastAsia="Times New Roman" w:cs="Times New Roman"/>
                <w:color w:val="000000"/>
                <w:sz w:val="22"/>
                <w:lang w:val="en-IN" w:eastAsia="en-IN"/>
              </w:rPr>
            </w:pPr>
            <w:r w:rsidRPr="00664782">
              <w:rPr>
                <w:rFonts w:eastAsia="Times New Roman" w:cs="Times New Roman"/>
                <w:color w:val="000000"/>
                <w:sz w:val="22"/>
                <w:lang w:val="en-IN" w:eastAsia="en-IN"/>
              </w:rPr>
              <w:t>Current Ratio</w:t>
            </w:r>
          </w:p>
        </w:tc>
        <w:tc>
          <w:tcPr>
            <w:tcW w:w="780" w:type="dxa"/>
            <w:hideMark/>
          </w:tcPr>
          <w:p w14:paraId="21B5FD7A"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1.27</w:t>
            </w:r>
          </w:p>
        </w:tc>
        <w:tc>
          <w:tcPr>
            <w:tcW w:w="780" w:type="dxa"/>
            <w:hideMark/>
          </w:tcPr>
          <w:p w14:paraId="5DCA0517"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1.09</w:t>
            </w:r>
          </w:p>
        </w:tc>
        <w:tc>
          <w:tcPr>
            <w:tcW w:w="780" w:type="dxa"/>
            <w:hideMark/>
          </w:tcPr>
          <w:p w14:paraId="2A32200B"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0.97</w:t>
            </w:r>
          </w:p>
        </w:tc>
        <w:tc>
          <w:tcPr>
            <w:tcW w:w="780" w:type="dxa"/>
            <w:hideMark/>
          </w:tcPr>
          <w:p w14:paraId="600413EB"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0.97</w:t>
            </w:r>
          </w:p>
        </w:tc>
        <w:tc>
          <w:tcPr>
            <w:tcW w:w="780" w:type="dxa"/>
            <w:hideMark/>
          </w:tcPr>
          <w:p w14:paraId="177D1AFB"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0.98</w:t>
            </w:r>
          </w:p>
        </w:tc>
      </w:tr>
      <w:tr w:rsidR="00664782" w:rsidRPr="00664782" w14:paraId="2236F094" w14:textId="77777777" w:rsidTr="009A093A">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2480" w:type="dxa"/>
            <w:hideMark/>
          </w:tcPr>
          <w:p w14:paraId="281D3A8B" w14:textId="77777777" w:rsidR="00664782" w:rsidRPr="00664782" w:rsidRDefault="00664782" w:rsidP="002B0D41">
            <w:pPr>
              <w:spacing w:before="0" w:after="0"/>
              <w:jc w:val="left"/>
              <w:rPr>
                <w:rFonts w:eastAsia="Times New Roman" w:cs="Times New Roman"/>
                <w:color w:val="000000"/>
                <w:sz w:val="22"/>
                <w:lang w:val="en-IN" w:eastAsia="en-IN"/>
              </w:rPr>
            </w:pPr>
            <w:r w:rsidRPr="00664782">
              <w:rPr>
                <w:rFonts w:eastAsia="Times New Roman" w:cs="Times New Roman"/>
                <w:color w:val="000000"/>
                <w:sz w:val="22"/>
                <w:lang w:val="en-IN" w:eastAsia="en-IN"/>
              </w:rPr>
              <w:t>Quick Ratio</w:t>
            </w:r>
          </w:p>
        </w:tc>
        <w:tc>
          <w:tcPr>
            <w:tcW w:w="780" w:type="dxa"/>
            <w:hideMark/>
          </w:tcPr>
          <w:p w14:paraId="045BA2BE"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1.27</w:t>
            </w:r>
          </w:p>
        </w:tc>
        <w:tc>
          <w:tcPr>
            <w:tcW w:w="780" w:type="dxa"/>
            <w:hideMark/>
          </w:tcPr>
          <w:p w14:paraId="4A7F07FF"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1.08</w:t>
            </w:r>
          </w:p>
        </w:tc>
        <w:tc>
          <w:tcPr>
            <w:tcW w:w="780" w:type="dxa"/>
            <w:hideMark/>
          </w:tcPr>
          <w:p w14:paraId="0662AB97"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0.97</w:t>
            </w:r>
          </w:p>
        </w:tc>
        <w:tc>
          <w:tcPr>
            <w:tcW w:w="780" w:type="dxa"/>
            <w:hideMark/>
          </w:tcPr>
          <w:p w14:paraId="125D6D31"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0.97</w:t>
            </w:r>
          </w:p>
        </w:tc>
        <w:tc>
          <w:tcPr>
            <w:tcW w:w="780" w:type="dxa"/>
            <w:hideMark/>
          </w:tcPr>
          <w:p w14:paraId="2532A028"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0.97</w:t>
            </w:r>
          </w:p>
        </w:tc>
      </w:tr>
      <w:tr w:rsidR="00664782" w:rsidRPr="00664782" w14:paraId="07399E46" w14:textId="77777777" w:rsidTr="009A093A">
        <w:trPr>
          <w:trHeight w:val="276"/>
          <w:jc w:val="center"/>
        </w:trPr>
        <w:tc>
          <w:tcPr>
            <w:cnfStyle w:val="001000000000" w:firstRow="0" w:lastRow="0" w:firstColumn="1" w:lastColumn="0" w:oddVBand="0" w:evenVBand="0" w:oddHBand="0" w:evenHBand="0" w:firstRowFirstColumn="0" w:firstRowLastColumn="0" w:lastRowFirstColumn="0" w:lastRowLastColumn="0"/>
            <w:tcW w:w="2480" w:type="dxa"/>
            <w:hideMark/>
          </w:tcPr>
          <w:p w14:paraId="30B833A2" w14:textId="77777777" w:rsidR="00664782" w:rsidRPr="00664782" w:rsidRDefault="00664782" w:rsidP="002B0D41">
            <w:pPr>
              <w:spacing w:before="0" w:after="0"/>
              <w:jc w:val="left"/>
              <w:rPr>
                <w:rFonts w:eastAsia="Times New Roman" w:cs="Times New Roman"/>
                <w:color w:val="000000"/>
                <w:sz w:val="22"/>
                <w:lang w:val="en-IN" w:eastAsia="en-IN"/>
              </w:rPr>
            </w:pPr>
            <w:r w:rsidRPr="00664782">
              <w:rPr>
                <w:rFonts w:eastAsia="Times New Roman" w:cs="Times New Roman"/>
                <w:color w:val="000000"/>
                <w:sz w:val="22"/>
                <w:lang w:val="en-IN" w:eastAsia="en-IN"/>
              </w:rPr>
              <w:t>Asset Turnover</w:t>
            </w:r>
          </w:p>
        </w:tc>
        <w:tc>
          <w:tcPr>
            <w:tcW w:w="780" w:type="dxa"/>
            <w:hideMark/>
          </w:tcPr>
          <w:p w14:paraId="25A1ADD6"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0.62</w:t>
            </w:r>
          </w:p>
        </w:tc>
        <w:tc>
          <w:tcPr>
            <w:tcW w:w="780" w:type="dxa"/>
            <w:hideMark/>
          </w:tcPr>
          <w:p w14:paraId="4696B85E"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0.92</w:t>
            </w:r>
          </w:p>
        </w:tc>
        <w:tc>
          <w:tcPr>
            <w:tcW w:w="780" w:type="dxa"/>
            <w:hideMark/>
          </w:tcPr>
          <w:p w14:paraId="1F2BCEE2"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0.96</w:t>
            </w:r>
          </w:p>
        </w:tc>
        <w:tc>
          <w:tcPr>
            <w:tcW w:w="780" w:type="dxa"/>
            <w:hideMark/>
          </w:tcPr>
          <w:p w14:paraId="6EAC7AAE"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1.04</w:t>
            </w:r>
          </w:p>
        </w:tc>
        <w:tc>
          <w:tcPr>
            <w:tcW w:w="780" w:type="dxa"/>
            <w:hideMark/>
          </w:tcPr>
          <w:p w14:paraId="69EB6975"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0.97</w:t>
            </w:r>
          </w:p>
        </w:tc>
      </w:tr>
      <w:tr w:rsidR="00664782" w:rsidRPr="00664782" w14:paraId="35C7823E" w14:textId="77777777" w:rsidTr="009A093A">
        <w:trPr>
          <w:cnfStyle w:val="000000100000" w:firstRow="0" w:lastRow="0" w:firstColumn="0" w:lastColumn="0" w:oddVBand="0" w:evenVBand="0" w:oddHBand="1"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2480" w:type="dxa"/>
            <w:hideMark/>
          </w:tcPr>
          <w:p w14:paraId="4879A511" w14:textId="77777777" w:rsidR="00664782" w:rsidRPr="00664782" w:rsidRDefault="00664782" w:rsidP="002B0D41">
            <w:pPr>
              <w:spacing w:before="0" w:after="0"/>
              <w:jc w:val="left"/>
              <w:rPr>
                <w:rFonts w:eastAsia="Times New Roman" w:cs="Times New Roman"/>
                <w:color w:val="000000"/>
                <w:sz w:val="22"/>
                <w:lang w:val="en-IN" w:eastAsia="en-IN"/>
              </w:rPr>
            </w:pPr>
            <w:r w:rsidRPr="00664782">
              <w:rPr>
                <w:rFonts w:eastAsia="Times New Roman" w:cs="Times New Roman"/>
                <w:color w:val="000000"/>
                <w:sz w:val="22"/>
                <w:lang w:val="en-IN" w:eastAsia="en-IN"/>
              </w:rPr>
              <w:t>Debt Ratio</w:t>
            </w:r>
          </w:p>
        </w:tc>
        <w:tc>
          <w:tcPr>
            <w:tcW w:w="780" w:type="dxa"/>
            <w:hideMark/>
          </w:tcPr>
          <w:p w14:paraId="7DBE5B82"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60.33%</w:t>
            </w:r>
          </w:p>
        </w:tc>
        <w:tc>
          <w:tcPr>
            <w:tcW w:w="780" w:type="dxa"/>
            <w:hideMark/>
          </w:tcPr>
          <w:p w14:paraId="0AC97E5E"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56.83%</w:t>
            </w:r>
          </w:p>
        </w:tc>
        <w:tc>
          <w:tcPr>
            <w:tcW w:w="780" w:type="dxa"/>
            <w:hideMark/>
          </w:tcPr>
          <w:p w14:paraId="6F01A49A"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65.78%</w:t>
            </w:r>
          </w:p>
        </w:tc>
        <w:tc>
          <w:tcPr>
            <w:tcW w:w="780" w:type="dxa"/>
            <w:hideMark/>
          </w:tcPr>
          <w:p w14:paraId="2D149A96"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68.96%</w:t>
            </w:r>
          </w:p>
        </w:tc>
        <w:tc>
          <w:tcPr>
            <w:tcW w:w="780" w:type="dxa"/>
            <w:hideMark/>
          </w:tcPr>
          <w:p w14:paraId="0A7B430A"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78.60%</w:t>
            </w:r>
          </w:p>
        </w:tc>
      </w:tr>
      <w:tr w:rsidR="00664782" w:rsidRPr="00664782" w14:paraId="177F38C8" w14:textId="77777777" w:rsidTr="009A093A">
        <w:trPr>
          <w:trHeight w:val="276"/>
          <w:jc w:val="center"/>
        </w:trPr>
        <w:tc>
          <w:tcPr>
            <w:cnfStyle w:val="001000000000" w:firstRow="0" w:lastRow="0" w:firstColumn="1" w:lastColumn="0" w:oddVBand="0" w:evenVBand="0" w:oddHBand="0" w:evenHBand="0" w:firstRowFirstColumn="0" w:firstRowLastColumn="0" w:lastRowFirstColumn="0" w:lastRowLastColumn="0"/>
            <w:tcW w:w="2480" w:type="dxa"/>
            <w:hideMark/>
          </w:tcPr>
          <w:p w14:paraId="41DC536C" w14:textId="77777777" w:rsidR="00664782" w:rsidRPr="00664782" w:rsidRDefault="00664782" w:rsidP="002B0D41">
            <w:pPr>
              <w:spacing w:before="0" w:after="0"/>
              <w:jc w:val="left"/>
              <w:rPr>
                <w:rFonts w:eastAsia="Times New Roman" w:cs="Times New Roman"/>
                <w:color w:val="000000"/>
                <w:sz w:val="22"/>
                <w:lang w:val="en-IN" w:eastAsia="en-IN"/>
              </w:rPr>
            </w:pPr>
            <w:r w:rsidRPr="00664782">
              <w:rPr>
                <w:rFonts w:eastAsia="Times New Roman" w:cs="Times New Roman"/>
                <w:color w:val="000000"/>
                <w:sz w:val="22"/>
                <w:lang w:val="en-IN" w:eastAsia="en-IN"/>
              </w:rPr>
              <w:t>Debt-to-Equity</w:t>
            </w:r>
          </w:p>
        </w:tc>
        <w:tc>
          <w:tcPr>
            <w:tcW w:w="780" w:type="dxa"/>
            <w:hideMark/>
          </w:tcPr>
          <w:p w14:paraId="3C793A57"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-1.93</w:t>
            </w:r>
          </w:p>
        </w:tc>
        <w:tc>
          <w:tcPr>
            <w:tcW w:w="780" w:type="dxa"/>
            <w:hideMark/>
          </w:tcPr>
          <w:p w14:paraId="11BFE8DC"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-1.49</w:t>
            </w:r>
          </w:p>
        </w:tc>
        <w:tc>
          <w:tcPr>
            <w:tcW w:w="780" w:type="dxa"/>
            <w:hideMark/>
          </w:tcPr>
          <w:p w14:paraId="0A54FDD1"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-1.63</w:t>
            </w:r>
          </w:p>
        </w:tc>
        <w:tc>
          <w:tcPr>
            <w:tcW w:w="780" w:type="dxa"/>
            <w:hideMark/>
          </w:tcPr>
          <w:p w14:paraId="7999EFBF"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-1.42</w:t>
            </w:r>
          </w:p>
        </w:tc>
        <w:tc>
          <w:tcPr>
            <w:tcW w:w="780" w:type="dxa"/>
            <w:hideMark/>
          </w:tcPr>
          <w:p w14:paraId="218F74C4" w14:textId="77777777" w:rsidR="00664782" w:rsidRPr="00664782" w:rsidRDefault="00664782" w:rsidP="002B0D41">
            <w:pPr>
              <w:spacing w:before="0" w:after="0"/>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-1.54</w:t>
            </w:r>
          </w:p>
        </w:tc>
      </w:tr>
      <w:tr w:rsidR="00664782" w:rsidRPr="00664782" w14:paraId="73F64586" w14:textId="77777777" w:rsidTr="009A093A">
        <w:trPr>
          <w:cnfStyle w:val="000000100000" w:firstRow="0" w:lastRow="0" w:firstColumn="0" w:lastColumn="0" w:oddVBand="0" w:evenVBand="0" w:oddHBand="1" w:evenHBand="0" w:firstRowFirstColumn="0" w:firstRowLastColumn="0" w:lastRowFirstColumn="0" w:lastRowLastColumn="0"/>
          <w:trHeight w:val="552"/>
          <w:jc w:val="center"/>
        </w:trPr>
        <w:tc>
          <w:tcPr>
            <w:cnfStyle w:val="001000000000" w:firstRow="0" w:lastRow="0" w:firstColumn="1" w:lastColumn="0" w:oddVBand="0" w:evenVBand="0" w:oddHBand="0" w:evenHBand="0" w:firstRowFirstColumn="0" w:firstRowLastColumn="0" w:lastRowFirstColumn="0" w:lastRowLastColumn="0"/>
            <w:tcW w:w="2480" w:type="dxa"/>
            <w:hideMark/>
          </w:tcPr>
          <w:p w14:paraId="06B1FF44" w14:textId="77777777" w:rsidR="00664782" w:rsidRPr="00664782" w:rsidRDefault="00664782" w:rsidP="002B0D41">
            <w:pPr>
              <w:spacing w:before="0" w:after="0"/>
              <w:jc w:val="left"/>
              <w:rPr>
                <w:rFonts w:eastAsia="Times New Roman" w:cs="Times New Roman"/>
                <w:color w:val="000000"/>
                <w:sz w:val="22"/>
                <w:lang w:val="en-IN" w:eastAsia="en-IN"/>
              </w:rPr>
            </w:pPr>
            <w:r w:rsidRPr="00664782">
              <w:rPr>
                <w:rFonts w:eastAsia="Times New Roman" w:cs="Times New Roman"/>
                <w:color w:val="000000"/>
                <w:sz w:val="22"/>
                <w:lang w:val="en-IN" w:eastAsia="en-IN"/>
              </w:rPr>
              <w:t>Operating Cash Flow Ratio</w:t>
            </w:r>
          </w:p>
        </w:tc>
        <w:tc>
          <w:tcPr>
            <w:tcW w:w="780" w:type="dxa"/>
            <w:hideMark/>
          </w:tcPr>
          <w:p w14:paraId="759A866D"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0.39</w:t>
            </w:r>
          </w:p>
        </w:tc>
        <w:tc>
          <w:tcPr>
            <w:tcW w:w="780" w:type="dxa"/>
            <w:hideMark/>
          </w:tcPr>
          <w:p w14:paraId="442402AD"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0.42</w:t>
            </w:r>
          </w:p>
        </w:tc>
        <w:tc>
          <w:tcPr>
            <w:tcW w:w="780" w:type="dxa"/>
            <w:hideMark/>
          </w:tcPr>
          <w:p w14:paraId="34878316"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0.41</w:t>
            </w:r>
          </w:p>
        </w:tc>
        <w:tc>
          <w:tcPr>
            <w:tcW w:w="780" w:type="dxa"/>
            <w:hideMark/>
          </w:tcPr>
          <w:p w14:paraId="4DBCAD78"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0.38</w:t>
            </w:r>
          </w:p>
        </w:tc>
        <w:tc>
          <w:tcPr>
            <w:tcW w:w="780" w:type="dxa"/>
            <w:hideMark/>
          </w:tcPr>
          <w:p w14:paraId="5A57C390" w14:textId="77777777" w:rsidR="00664782" w:rsidRPr="00664782" w:rsidRDefault="00664782" w:rsidP="002B0D41">
            <w:pPr>
              <w:spacing w:before="0" w:after="0"/>
              <w:jc w:val="righ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 w:val="22"/>
                <w:lang w:val="en-IN" w:eastAsia="en-IN"/>
              </w:rPr>
            </w:pPr>
            <w:r w:rsidRPr="00664782">
              <w:rPr>
                <w:rFonts w:eastAsia="Times New Roman" w:cs="Times New Roman"/>
                <w:color w:val="000000"/>
                <w:sz w:val="22"/>
                <w:lang w:val="en-IN" w:eastAsia="en-IN"/>
              </w:rPr>
              <w:t>0.43</w:t>
            </w:r>
          </w:p>
        </w:tc>
      </w:tr>
    </w:tbl>
    <w:p w14:paraId="43A4DB2D" w14:textId="33BBD95C" w:rsidR="00044448" w:rsidRDefault="009A093A" w:rsidP="002B0D41">
      <w:pPr>
        <w:pStyle w:val="Heading2"/>
      </w:pPr>
      <w:bookmarkStart w:id="36" w:name="_Toc235636792"/>
      <w:r>
        <w:t xml:space="preserve">Appendix </w:t>
      </w:r>
      <w:r w:rsidR="00717148">
        <w:t>C</w:t>
      </w:r>
      <w:r>
        <w:t xml:space="preserve"> - </w:t>
      </w:r>
      <w:r w:rsidRPr="009A093A">
        <w:t>Working Capital &amp; Cash Operatin</w:t>
      </w:r>
      <w:r>
        <w:t>g</w:t>
      </w:r>
      <w:bookmarkEnd w:id="36"/>
    </w:p>
    <w:tbl>
      <w:tblPr>
        <w:tblW w:w="6780" w:type="dxa"/>
        <w:jc w:val="center"/>
        <w:tblLook w:val="04A0" w:firstRow="1" w:lastRow="0" w:firstColumn="1" w:lastColumn="0" w:noHBand="0" w:noVBand="1"/>
      </w:tblPr>
      <w:tblGrid>
        <w:gridCol w:w="2860"/>
        <w:gridCol w:w="889"/>
        <w:gridCol w:w="800"/>
        <w:gridCol w:w="889"/>
        <w:gridCol w:w="767"/>
        <w:gridCol w:w="889"/>
      </w:tblGrid>
      <w:tr w:rsidR="00512BB5" w:rsidRPr="00512BB5" w14:paraId="521928D2" w14:textId="77777777" w:rsidTr="00512BB5">
        <w:trPr>
          <w:trHeight w:val="276"/>
          <w:jc w:val="center"/>
        </w:trPr>
        <w:tc>
          <w:tcPr>
            <w:tcW w:w="6780" w:type="dxa"/>
            <w:gridSpan w:val="6"/>
            <w:tcBorders>
              <w:top w:val="single" w:sz="4" w:space="0" w:color="auto"/>
              <w:left w:val="single" w:sz="4" w:space="0" w:color="auto"/>
              <w:bottom w:val="single" w:sz="4" w:space="0" w:color="auto"/>
              <w:right w:val="single" w:sz="4" w:space="0" w:color="auto"/>
            </w:tcBorders>
            <w:shd w:val="clear" w:color="auto" w:fill="4EA72E" w:themeFill="accent6"/>
            <w:noWrap/>
            <w:vAlign w:val="bottom"/>
            <w:hideMark/>
          </w:tcPr>
          <w:p w14:paraId="402B2437" w14:textId="77777777" w:rsidR="00512BB5" w:rsidRPr="00512BB5" w:rsidRDefault="00512BB5" w:rsidP="002B0D41">
            <w:pPr>
              <w:spacing w:before="0" w:after="0"/>
              <w:jc w:val="center"/>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Working Capital Calculation</w:t>
            </w:r>
          </w:p>
        </w:tc>
      </w:tr>
      <w:tr w:rsidR="00512BB5" w:rsidRPr="00512BB5" w14:paraId="2B138EB6" w14:textId="77777777" w:rsidTr="00512BB5">
        <w:trPr>
          <w:trHeight w:val="276"/>
          <w:jc w:val="center"/>
        </w:trPr>
        <w:tc>
          <w:tcPr>
            <w:tcW w:w="2860" w:type="dxa"/>
            <w:tcBorders>
              <w:top w:val="nil"/>
              <w:left w:val="single" w:sz="4" w:space="0" w:color="auto"/>
              <w:bottom w:val="single" w:sz="4" w:space="0" w:color="auto"/>
              <w:right w:val="single" w:sz="4" w:space="0" w:color="auto"/>
            </w:tcBorders>
            <w:vAlign w:val="center"/>
            <w:hideMark/>
          </w:tcPr>
          <w:p w14:paraId="2A3FEE23" w14:textId="77777777" w:rsidR="00512BB5" w:rsidRPr="00512BB5" w:rsidRDefault="00512BB5" w:rsidP="002B0D41">
            <w:pPr>
              <w:spacing w:before="0" w:after="0"/>
              <w:jc w:val="center"/>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 </w:t>
            </w:r>
          </w:p>
        </w:tc>
        <w:tc>
          <w:tcPr>
            <w:tcW w:w="800" w:type="dxa"/>
            <w:tcBorders>
              <w:top w:val="nil"/>
              <w:left w:val="nil"/>
              <w:bottom w:val="single" w:sz="4" w:space="0" w:color="auto"/>
              <w:right w:val="single" w:sz="4" w:space="0" w:color="auto"/>
            </w:tcBorders>
            <w:vAlign w:val="center"/>
            <w:hideMark/>
          </w:tcPr>
          <w:p w14:paraId="719F7321" w14:textId="77777777" w:rsidR="00512BB5" w:rsidRPr="00512BB5" w:rsidRDefault="00512BB5" w:rsidP="002B0D41">
            <w:pPr>
              <w:spacing w:before="0" w:after="0"/>
              <w:jc w:val="righ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2021</w:t>
            </w:r>
          </w:p>
        </w:tc>
        <w:tc>
          <w:tcPr>
            <w:tcW w:w="800" w:type="dxa"/>
            <w:tcBorders>
              <w:top w:val="nil"/>
              <w:left w:val="nil"/>
              <w:bottom w:val="single" w:sz="4" w:space="0" w:color="auto"/>
              <w:right w:val="single" w:sz="4" w:space="0" w:color="auto"/>
            </w:tcBorders>
            <w:vAlign w:val="center"/>
            <w:hideMark/>
          </w:tcPr>
          <w:p w14:paraId="0D109E98" w14:textId="77777777" w:rsidR="00512BB5" w:rsidRPr="00512BB5" w:rsidRDefault="00512BB5" w:rsidP="002B0D41">
            <w:pPr>
              <w:spacing w:before="0" w:after="0"/>
              <w:jc w:val="righ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2022</w:t>
            </w:r>
          </w:p>
        </w:tc>
        <w:tc>
          <w:tcPr>
            <w:tcW w:w="800" w:type="dxa"/>
            <w:tcBorders>
              <w:top w:val="nil"/>
              <w:left w:val="nil"/>
              <w:bottom w:val="single" w:sz="4" w:space="0" w:color="auto"/>
              <w:right w:val="single" w:sz="4" w:space="0" w:color="auto"/>
            </w:tcBorders>
            <w:vAlign w:val="center"/>
            <w:hideMark/>
          </w:tcPr>
          <w:p w14:paraId="51A0EC62" w14:textId="77777777" w:rsidR="00512BB5" w:rsidRPr="00512BB5" w:rsidRDefault="00512BB5" w:rsidP="002B0D41">
            <w:pPr>
              <w:spacing w:before="0" w:after="0"/>
              <w:jc w:val="righ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2023</w:t>
            </w:r>
          </w:p>
        </w:tc>
        <w:tc>
          <w:tcPr>
            <w:tcW w:w="720" w:type="dxa"/>
            <w:tcBorders>
              <w:top w:val="nil"/>
              <w:left w:val="nil"/>
              <w:bottom w:val="single" w:sz="4" w:space="0" w:color="auto"/>
              <w:right w:val="single" w:sz="4" w:space="0" w:color="auto"/>
            </w:tcBorders>
            <w:vAlign w:val="center"/>
            <w:hideMark/>
          </w:tcPr>
          <w:p w14:paraId="25994A2A" w14:textId="77777777" w:rsidR="00512BB5" w:rsidRPr="00512BB5" w:rsidRDefault="00512BB5" w:rsidP="002B0D41">
            <w:pPr>
              <w:spacing w:before="0" w:after="0"/>
              <w:jc w:val="righ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2024</w:t>
            </w:r>
          </w:p>
        </w:tc>
        <w:tc>
          <w:tcPr>
            <w:tcW w:w="800" w:type="dxa"/>
            <w:tcBorders>
              <w:top w:val="nil"/>
              <w:left w:val="nil"/>
              <w:bottom w:val="single" w:sz="4" w:space="0" w:color="auto"/>
              <w:right w:val="single" w:sz="4" w:space="0" w:color="auto"/>
            </w:tcBorders>
            <w:vAlign w:val="center"/>
            <w:hideMark/>
          </w:tcPr>
          <w:p w14:paraId="04BEE994" w14:textId="77777777" w:rsidR="00512BB5" w:rsidRPr="00512BB5" w:rsidRDefault="00512BB5" w:rsidP="002B0D41">
            <w:pPr>
              <w:spacing w:before="0" w:after="0"/>
              <w:jc w:val="righ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2025</w:t>
            </w:r>
          </w:p>
        </w:tc>
      </w:tr>
      <w:tr w:rsidR="00512BB5" w:rsidRPr="00512BB5" w14:paraId="17E2A6CE" w14:textId="77777777" w:rsidTr="00512BB5">
        <w:trPr>
          <w:trHeight w:val="276"/>
          <w:jc w:val="center"/>
        </w:trPr>
        <w:tc>
          <w:tcPr>
            <w:tcW w:w="2860" w:type="dxa"/>
            <w:tcBorders>
              <w:top w:val="nil"/>
              <w:left w:val="single" w:sz="4" w:space="0" w:color="auto"/>
              <w:bottom w:val="single" w:sz="4" w:space="0" w:color="auto"/>
              <w:right w:val="single" w:sz="4" w:space="0" w:color="auto"/>
            </w:tcBorders>
            <w:vAlign w:val="center"/>
            <w:hideMark/>
          </w:tcPr>
          <w:p w14:paraId="28569B95" w14:textId="77777777" w:rsidR="00512BB5" w:rsidRPr="00512BB5" w:rsidRDefault="00512BB5" w:rsidP="002B0D41">
            <w:pPr>
              <w:spacing w:before="0" w:after="0"/>
              <w:jc w:val="lef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Net Working Capital ($m)</w:t>
            </w:r>
          </w:p>
        </w:tc>
        <w:tc>
          <w:tcPr>
            <w:tcW w:w="800" w:type="dxa"/>
            <w:tcBorders>
              <w:top w:val="nil"/>
              <w:left w:val="nil"/>
              <w:bottom w:val="single" w:sz="4" w:space="0" w:color="auto"/>
              <w:right w:val="single" w:sz="4" w:space="0" w:color="auto"/>
            </w:tcBorders>
            <w:vAlign w:val="center"/>
            <w:hideMark/>
          </w:tcPr>
          <w:p w14:paraId="1D9B7733"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442</w:t>
            </w:r>
          </w:p>
        </w:tc>
        <w:tc>
          <w:tcPr>
            <w:tcW w:w="800" w:type="dxa"/>
            <w:tcBorders>
              <w:top w:val="nil"/>
              <w:left w:val="nil"/>
              <w:bottom w:val="single" w:sz="4" w:space="0" w:color="auto"/>
              <w:right w:val="single" w:sz="4" w:space="0" w:color="auto"/>
            </w:tcBorders>
            <w:vAlign w:val="center"/>
            <w:hideMark/>
          </w:tcPr>
          <w:p w14:paraId="7038B1B9"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134</w:t>
            </w:r>
          </w:p>
        </w:tc>
        <w:tc>
          <w:tcPr>
            <w:tcW w:w="800" w:type="dxa"/>
            <w:tcBorders>
              <w:top w:val="nil"/>
              <w:left w:val="nil"/>
              <w:bottom w:val="single" w:sz="4" w:space="0" w:color="auto"/>
              <w:right w:val="single" w:sz="4" w:space="0" w:color="auto"/>
            </w:tcBorders>
            <w:vAlign w:val="center"/>
            <w:hideMark/>
          </w:tcPr>
          <w:p w14:paraId="4A06EA03"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-61</w:t>
            </w:r>
          </w:p>
        </w:tc>
        <w:tc>
          <w:tcPr>
            <w:tcW w:w="720" w:type="dxa"/>
            <w:tcBorders>
              <w:top w:val="nil"/>
              <w:left w:val="nil"/>
              <w:bottom w:val="single" w:sz="4" w:space="0" w:color="auto"/>
              <w:right w:val="single" w:sz="4" w:space="0" w:color="auto"/>
            </w:tcBorders>
            <w:vAlign w:val="center"/>
            <w:hideMark/>
          </w:tcPr>
          <w:p w14:paraId="064C4CD6"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-59</w:t>
            </w:r>
          </w:p>
        </w:tc>
        <w:tc>
          <w:tcPr>
            <w:tcW w:w="800" w:type="dxa"/>
            <w:tcBorders>
              <w:top w:val="nil"/>
              <w:left w:val="nil"/>
              <w:bottom w:val="single" w:sz="4" w:space="0" w:color="auto"/>
              <w:right w:val="single" w:sz="4" w:space="0" w:color="auto"/>
            </w:tcBorders>
            <w:vAlign w:val="center"/>
            <w:hideMark/>
          </w:tcPr>
          <w:p w14:paraId="382C55C1"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-51</w:t>
            </w:r>
          </w:p>
        </w:tc>
      </w:tr>
      <w:tr w:rsidR="00512BB5" w:rsidRPr="00512BB5" w14:paraId="3F9188D1" w14:textId="77777777" w:rsidTr="00512BB5">
        <w:trPr>
          <w:trHeight w:val="276"/>
          <w:jc w:val="center"/>
        </w:trPr>
        <w:tc>
          <w:tcPr>
            <w:tcW w:w="2860" w:type="dxa"/>
            <w:tcBorders>
              <w:top w:val="nil"/>
              <w:left w:val="single" w:sz="4" w:space="0" w:color="auto"/>
              <w:bottom w:val="single" w:sz="4" w:space="0" w:color="auto"/>
              <w:right w:val="single" w:sz="4" w:space="0" w:color="auto"/>
            </w:tcBorders>
            <w:vAlign w:val="center"/>
            <w:hideMark/>
          </w:tcPr>
          <w:p w14:paraId="6D25F092" w14:textId="77777777" w:rsidR="00512BB5" w:rsidRPr="00512BB5" w:rsidRDefault="00512BB5" w:rsidP="002B0D41">
            <w:pPr>
              <w:spacing w:before="0" w:after="0"/>
              <w:jc w:val="lef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Current Ratio</w:t>
            </w:r>
          </w:p>
        </w:tc>
        <w:tc>
          <w:tcPr>
            <w:tcW w:w="800" w:type="dxa"/>
            <w:tcBorders>
              <w:top w:val="nil"/>
              <w:left w:val="nil"/>
              <w:bottom w:val="single" w:sz="4" w:space="0" w:color="auto"/>
              <w:right w:val="single" w:sz="4" w:space="0" w:color="auto"/>
            </w:tcBorders>
            <w:vAlign w:val="center"/>
            <w:hideMark/>
          </w:tcPr>
          <w:p w14:paraId="638AF2AB"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1.27</w:t>
            </w:r>
          </w:p>
        </w:tc>
        <w:tc>
          <w:tcPr>
            <w:tcW w:w="800" w:type="dxa"/>
            <w:tcBorders>
              <w:top w:val="nil"/>
              <w:left w:val="nil"/>
              <w:bottom w:val="single" w:sz="4" w:space="0" w:color="auto"/>
              <w:right w:val="single" w:sz="4" w:space="0" w:color="auto"/>
            </w:tcBorders>
            <w:vAlign w:val="center"/>
            <w:hideMark/>
          </w:tcPr>
          <w:p w14:paraId="648C7E09"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1.09</w:t>
            </w:r>
          </w:p>
        </w:tc>
        <w:tc>
          <w:tcPr>
            <w:tcW w:w="800" w:type="dxa"/>
            <w:tcBorders>
              <w:top w:val="nil"/>
              <w:left w:val="nil"/>
              <w:bottom w:val="single" w:sz="4" w:space="0" w:color="auto"/>
              <w:right w:val="single" w:sz="4" w:space="0" w:color="auto"/>
            </w:tcBorders>
            <w:vAlign w:val="center"/>
            <w:hideMark/>
          </w:tcPr>
          <w:p w14:paraId="7CCBF908"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0.97</w:t>
            </w:r>
          </w:p>
        </w:tc>
        <w:tc>
          <w:tcPr>
            <w:tcW w:w="720" w:type="dxa"/>
            <w:tcBorders>
              <w:top w:val="nil"/>
              <w:left w:val="nil"/>
              <w:bottom w:val="single" w:sz="4" w:space="0" w:color="auto"/>
              <w:right w:val="single" w:sz="4" w:space="0" w:color="auto"/>
            </w:tcBorders>
            <w:vAlign w:val="center"/>
            <w:hideMark/>
          </w:tcPr>
          <w:p w14:paraId="381D98F9"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0.97</w:t>
            </w:r>
          </w:p>
        </w:tc>
        <w:tc>
          <w:tcPr>
            <w:tcW w:w="800" w:type="dxa"/>
            <w:tcBorders>
              <w:top w:val="nil"/>
              <w:left w:val="nil"/>
              <w:bottom w:val="single" w:sz="4" w:space="0" w:color="auto"/>
              <w:right w:val="single" w:sz="4" w:space="0" w:color="auto"/>
            </w:tcBorders>
            <w:vAlign w:val="center"/>
            <w:hideMark/>
          </w:tcPr>
          <w:p w14:paraId="6282660A"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0.98</w:t>
            </w:r>
          </w:p>
        </w:tc>
      </w:tr>
      <w:tr w:rsidR="00512BB5" w:rsidRPr="00512BB5" w14:paraId="078B981E" w14:textId="77777777" w:rsidTr="00512BB5">
        <w:trPr>
          <w:trHeight w:val="276"/>
          <w:jc w:val="center"/>
        </w:trPr>
        <w:tc>
          <w:tcPr>
            <w:tcW w:w="2860" w:type="dxa"/>
            <w:tcBorders>
              <w:top w:val="nil"/>
              <w:left w:val="single" w:sz="4" w:space="0" w:color="auto"/>
              <w:bottom w:val="single" w:sz="4" w:space="0" w:color="auto"/>
              <w:right w:val="single" w:sz="4" w:space="0" w:color="auto"/>
            </w:tcBorders>
            <w:vAlign w:val="center"/>
            <w:hideMark/>
          </w:tcPr>
          <w:p w14:paraId="4D3A8514" w14:textId="77777777" w:rsidR="00512BB5" w:rsidRPr="00512BB5" w:rsidRDefault="00512BB5" w:rsidP="002B0D41">
            <w:pPr>
              <w:spacing w:before="0" w:after="0"/>
              <w:jc w:val="lef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Quick Ratio</w:t>
            </w:r>
          </w:p>
        </w:tc>
        <w:tc>
          <w:tcPr>
            <w:tcW w:w="800" w:type="dxa"/>
            <w:tcBorders>
              <w:top w:val="nil"/>
              <w:left w:val="nil"/>
              <w:bottom w:val="single" w:sz="4" w:space="0" w:color="auto"/>
              <w:right w:val="single" w:sz="4" w:space="0" w:color="auto"/>
            </w:tcBorders>
            <w:vAlign w:val="center"/>
            <w:hideMark/>
          </w:tcPr>
          <w:p w14:paraId="59103139"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1.27</w:t>
            </w:r>
          </w:p>
        </w:tc>
        <w:tc>
          <w:tcPr>
            <w:tcW w:w="800" w:type="dxa"/>
            <w:tcBorders>
              <w:top w:val="nil"/>
              <w:left w:val="nil"/>
              <w:bottom w:val="single" w:sz="4" w:space="0" w:color="auto"/>
              <w:right w:val="single" w:sz="4" w:space="0" w:color="auto"/>
            </w:tcBorders>
            <w:vAlign w:val="center"/>
            <w:hideMark/>
          </w:tcPr>
          <w:p w14:paraId="5D3D3331"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1.08</w:t>
            </w:r>
          </w:p>
        </w:tc>
        <w:tc>
          <w:tcPr>
            <w:tcW w:w="800" w:type="dxa"/>
            <w:tcBorders>
              <w:top w:val="nil"/>
              <w:left w:val="nil"/>
              <w:bottom w:val="single" w:sz="4" w:space="0" w:color="auto"/>
              <w:right w:val="single" w:sz="4" w:space="0" w:color="auto"/>
            </w:tcBorders>
            <w:vAlign w:val="center"/>
            <w:hideMark/>
          </w:tcPr>
          <w:p w14:paraId="0FE1D6B0"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0.97</w:t>
            </w:r>
          </w:p>
        </w:tc>
        <w:tc>
          <w:tcPr>
            <w:tcW w:w="720" w:type="dxa"/>
            <w:tcBorders>
              <w:top w:val="nil"/>
              <w:left w:val="nil"/>
              <w:bottom w:val="single" w:sz="4" w:space="0" w:color="auto"/>
              <w:right w:val="single" w:sz="4" w:space="0" w:color="auto"/>
            </w:tcBorders>
            <w:vAlign w:val="center"/>
            <w:hideMark/>
          </w:tcPr>
          <w:p w14:paraId="65F5E963"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0.97</w:t>
            </w:r>
          </w:p>
        </w:tc>
        <w:tc>
          <w:tcPr>
            <w:tcW w:w="800" w:type="dxa"/>
            <w:tcBorders>
              <w:top w:val="nil"/>
              <w:left w:val="nil"/>
              <w:bottom w:val="single" w:sz="4" w:space="0" w:color="auto"/>
              <w:right w:val="single" w:sz="4" w:space="0" w:color="auto"/>
            </w:tcBorders>
            <w:vAlign w:val="center"/>
            <w:hideMark/>
          </w:tcPr>
          <w:p w14:paraId="260777CC"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0.97</w:t>
            </w:r>
          </w:p>
        </w:tc>
      </w:tr>
      <w:tr w:rsidR="00512BB5" w:rsidRPr="00512BB5" w14:paraId="674A1D90" w14:textId="77777777" w:rsidTr="00512BB5">
        <w:trPr>
          <w:trHeight w:val="276"/>
          <w:jc w:val="center"/>
        </w:trPr>
        <w:tc>
          <w:tcPr>
            <w:tcW w:w="2860" w:type="dxa"/>
            <w:tcBorders>
              <w:top w:val="nil"/>
              <w:left w:val="single" w:sz="4" w:space="0" w:color="auto"/>
              <w:bottom w:val="single" w:sz="4" w:space="0" w:color="auto"/>
              <w:right w:val="single" w:sz="4" w:space="0" w:color="auto"/>
            </w:tcBorders>
            <w:noWrap/>
            <w:vAlign w:val="bottom"/>
            <w:hideMark/>
          </w:tcPr>
          <w:p w14:paraId="1157638F"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c>
          <w:tcPr>
            <w:tcW w:w="800" w:type="dxa"/>
            <w:tcBorders>
              <w:top w:val="nil"/>
              <w:left w:val="nil"/>
              <w:bottom w:val="single" w:sz="4" w:space="0" w:color="auto"/>
              <w:right w:val="single" w:sz="4" w:space="0" w:color="auto"/>
            </w:tcBorders>
            <w:noWrap/>
            <w:vAlign w:val="bottom"/>
            <w:hideMark/>
          </w:tcPr>
          <w:p w14:paraId="60932250"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c>
          <w:tcPr>
            <w:tcW w:w="800" w:type="dxa"/>
            <w:tcBorders>
              <w:top w:val="nil"/>
              <w:left w:val="nil"/>
              <w:bottom w:val="single" w:sz="4" w:space="0" w:color="auto"/>
              <w:right w:val="single" w:sz="4" w:space="0" w:color="auto"/>
            </w:tcBorders>
            <w:noWrap/>
            <w:vAlign w:val="bottom"/>
            <w:hideMark/>
          </w:tcPr>
          <w:p w14:paraId="07984E34"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c>
          <w:tcPr>
            <w:tcW w:w="800" w:type="dxa"/>
            <w:tcBorders>
              <w:top w:val="nil"/>
              <w:left w:val="nil"/>
              <w:bottom w:val="single" w:sz="4" w:space="0" w:color="auto"/>
              <w:right w:val="single" w:sz="4" w:space="0" w:color="auto"/>
            </w:tcBorders>
            <w:noWrap/>
            <w:vAlign w:val="bottom"/>
            <w:hideMark/>
          </w:tcPr>
          <w:p w14:paraId="78FCCD05"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c>
          <w:tcPr>
            <w:tcW w:w="720" w:type="dxa"/>
            <w:tcBorders>
              <w:top w:val="nil"/>
              <w:left w:val="nil"/>
              <w:bottom w:val="single" w:sz="4" w:space="0" w:color="auto"/>
              <w:right w:val="single" w:sz="4" w:space="0" w:color="auto"/>
            </w:tcBorders>
            <w:noWrap/>
            <w:vAlign w:val="bottom"/>
            <w:hideMark/>
          </w:tcPr>
          <w:p w14:paraId="1552387F"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c>
          <w:tcPr>
            <w:tcW w:w="800" w:type="dxa"/>
            <w:tcBorders>
              <w:top w:val="nil"/>
              <w:left w:val="nil"/>
              <w:bottom w:val="single" w:sz="4" w:space="0" w:color="auto"/>
              <w:right w:val="single" w:sz="4" w:space="0" w:color="auto"/>
            </w:tcBorders>
            <w:noWrap/>
            <w:vAlign w:val="bottom"/>
            <w:hideMark/>
          </w:tcPr>
          <w:p w14:paraId="0E4E2766"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r>
      <w:tr w:rsidR="00512BB5" w:rsidRPr="00512BB5" w14:paraId="42138CCA" w14:textId="77777777" w:rsidTr="00512BB5">
        <w:trPr>
          <w:trHeight w:val="276"/>
          <w:jc w:val="center"/>
        </w:trPr>
        <w:tc>
          <w:tcPr>
            <w:tcW w:w="2860" w:type="dxa"/>
            <w:tcBorders>
              <w:top w:val="nil"/>
              <w:left w:val="single" w:sz="4" w:space="0" w:color="auto"/>
              <w:bottom w:val="single" w:sz="4" w:space="0" w:color="auto"/>
              <w:right w:val="single" w:sz="4" w:space="0" w:color="auto"/>
            </w:tcBorders>
            <w:noWrap/>
            <w:vAlign w:val="bottom"/>
            <w:hideMark/>
          </w:tcPr>
          <w:p w14:paraId="215D0F48"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c>
          <w:tcPr>
            <w:tcW w:w="800" w:type="dxa"/>
            <w:tcBorders>
              <w:top w:val="nil"/>
              <w:left w:val="nil"/>
              <w:bottom w:val="single" w:sz="4" w:space="0" w:color="auto"/>
              <w:right w:val="single" w:sz="4" w:space="0" w:color="auto"/>
            </w:tcBorders>
            <w:noWrap/>
            <w:vAlign w:val="bottom"/>
            <w:hideMark/>
          </w:tcPr>
          <w:p w14:paraId="0A1FFB33"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c>
          <w:tcPr>
            <w:tcW w:w="800" w:type="dxa"/>
            <w:tcBorders>
              <w:top w:val="nil"/>
              <w:left w:val="nil"/>
              <w:bottom w:val="single" w:sz="4" w:space="0" w:color="auto"/>
              <w:right w:val="single" w:sz="4" w:space="0" w:color="auto"/>
            </w:tcBorders>
            <w:noWrap/>
            <w:vAlign w:val="bottom"/>
            <w:hideMark/>
          </w:tcPr>
          <w:p w14:paraId="07F4964B"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c>
          <w:tcPr>
            <w:tcW w:w="800" w:type="dxa"/>
            <w:tcBorders>
              <w:top w:val="nil"/>
              <w:left w:val="nil"/>
              <w:bottom w:val="single" w:sz="4" w:space="0" w:color="auto"/>
              <w:right w:val="single" w:sz="4" w:space="0" w:color="auto"/>
            </w:tcBorders>
            <w:noWrap/>
            <w:vAlign w:val="bottom"/>
            <w:hideMark/>
          </w:tcPr>
          <w:p w14:paraId="4D3668A7"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c>
          <w:tcPr>
            <w:tcW w:w="720" w:type="dxa"/>
            <w:tcBorders>
              <w:top w:val="nil"/>
              <w:left w:val="nil"/>
              <w:bottom w:val="single" w:sz="4" w:space="0" w:color="auto"/>
              <w:right w:val="single" w:sz="4" w:space="0" w:color="auto"/>
            </w:tcBorders>
            <w:noWrap/>
            <w:vAlign w:val="bottom"/>
            <w:hideMark/>
          </w:tcPr>
          <w:p w14:paraId="3B59AB5B"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c>
          <w:tcPr>
            <w:tcW w:w="800" w:type="dxa"/>
            <w:tcBorders>
              <w:top w:val="nil"/>
              <w:left w:val="nil"/>
              <w:bottom w:val="single" w:sz="4" w:space="0" w:color="auto"/>
              <w:right w:val="single" w:sz="4" w:space="0" w:color="auto"/>
            </w:tcBorders>
            <w:noWrap/>
            <w:vAlign w:val="bottom"/>
            <w:hideMark/>
          </w:tcPr>
          <w:p w14:paraId="7A0F8FFB"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 </w:t>
            </w:r>
          </w:p>
        </w:tc>
      </w:tr>
      <w:tr w:rsidR="00512BB5" w:rsidRPr="00512BB5" w14:paraId="247606BA" w14:textId="77777777" w:rsidTr="00512BB5">
        <w:trPr>
          <w:trHeight w:val="276"/>
          <w:jc w:val="center"/>
        </w:trPr>
        <w:tc>
          <w:tcPr>
            <w:tcW w:w="6780" w:type="dxa"/>
            <w:gridSpan w:val="6"/>
            <w:tcBorders>
              <w:top w:val="single" w:sz="4" w:space="0" w:color="auto"/>
              <w:left w:val="single" w:sz="4" w:space="0" w:color="auto"/>
              <w:bottom w:val="single" w:sz="4" w:space="0" w:color="auto"/>
              <w:right w:val="single" w:sz="4" w:space="0" w:color="auto"/>
            </w:tcBorders>
            <w:shd w:val="clear" w:color="auto" w:fill="4EA72E" w:themeFill="accent6"/>
            <w:vAlign w:val="center"/>
            <w:hideMark/>
          </w:tcPr>
          <w:p w14:paraId="030CFDEC" w14:textId="77777777" w:rsidR="00512BB5" w:rsidRPr="00512BB5" w:rsidRDefault="00512BB5" w:rsidP="002B0D41">
            <w:pPr>
              <w:spacing w:before="0" w:after="0"/>
              <w:jc w:val="center"/>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Cash Operating Cycle Measure</w:t>
            </w:r>
          </w:p>
        </w:tc>
      </w:tr>
      <w:tr w:rsidR="00512BB5" w:rsidRPr="00512BB5" w14:paraId="4AB06845" w14:textId="77777777" w:rsidTr="00512BB5">
        <w:trPr>
          <w:trHeight w:val="276"/>
          <w:jc w:val="center"/>
        </w:trPr>
        <w:tc>
          <w:tcPr>
            <w:tcW w:w="2860" w:type="dxa"/>
            <w:tcBorders>
              <w:top w:val="nil"/>
              <w:left w:val="single" w:sz="4" w:space="0" w:color="auto"/>
              <w:bottom w:val="single" w:sz="4" w:space="0" w:color="auto"/>
              <w:right w:val="single" w:sz="4" w:space="0" w:color="auto"/>
            </w:tcBorders>
            <w:noWrap/>
            <w:vAlign w:val="bottom"/>
            <w:hideMark/>
          </w:tcPr>
          <w:p w14:paraId="5EECC5B1" w14:textId="77777777" w:rsidR="00512BB5" w:rsidRPr="00512BB5" w:rsidRDefault="00512BB5" w:rsidP="002B0D41">
            <w:pPr>
              <w:spacing w:before="0" w:after="0"/>
              <w:jc w:val="left"/>
              <w:rPr>
                <w:rFonts w:eastAsia="Times New Roman" w:cs="Times New Roman"/>
                <w:color w:val="000000"/>
                <w:sz w:val="22"/>
                <w:lang w:val="en-IN" w:eastAsia="en-IN"/>
              </w:rPr>
            </w:pPr>
            <w:r w:rsidRPr="00512BB5">
              <w:rPr>
                <w:rFonts w:eastAsia="Times New Roman" w:cs="Times New Roman"/>
                <w:color w:val="000000"/>
                <w:sz w:val="22"/>
                <w:lang w:val="en-IN" w:eastAsia="en-IN"/>
              </w:rPr>
              <w:t>Cash Operating Cycle Measure</w:t>
            </w:r>
          </w:p>
        </w:tc>
        <w:tc>
          <w:tcPr>
            <w:tcW w:w="800" w:type="dxa"/>
            <w:tcBorders>
              <w:top w:val="nil"/>
              <w:left w:val="nil"/>
              <w:bottom w:val="single" w:sz="4" w:space="0" w:color="auto"/>
              <w:right w:val="single" w:sz="4" w:space="0" w:color="auto"/>
            </w:tcBorders>
            <w:vAlign w:val="center"/>
            <w:hideMark/>
          </w:tcPr>
          <w:p w14:paraId="3C690A04" w14:textId="77777777" w:rsidR="00512BB5" w:rsidRPr="00512BB5" w:rsidRDefault="00512BB5" w:rsidP="002B0D41">
            <w:pPr>
              <w:spacing w:before="0" w:after="0"/>
              <w:jc w:val="righ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2021</w:t>
            </w:r>
          </w:p>
        </w:tc>
        <w:tc>
          <w:tcPr>
            <w:tcW w:w="800" w:type="dxa"/>
            <w:tcBorders>
              <w:top w:val="nil"/>
              <w:left w:val="nil"/>
              <w:bottom w:val="single" w:sz="4" w:space="0" w:color="auto"/>
              <w:right w:val="single" w:sz="4" w:space="0" w:color="auto"/>
            </w:tcBorders>
            <w:vAlign w:val="center"/>
            <w:hideMark/>
          </w:tcPr>
          <w:p w14:paraId="24B218D1" w14:textId="77777777" w:rsidR="00512BB5" w:rsidRPr="00512BB5" w:rsidRDefault="00512BB5" w:rsidP="002B0D41">
            <w:pPr>
              <w:spacing w:before="0" w:after="0"/>
              <w:jc w:val="righ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2022</w:t>
            </w:r>
          </w:p>
        </w:tc>
        <w:tc>
          <w:tcPr>
            <w:tcW w:w="800" w:type="dxa"/>
            <w:tcBorders>
              <w:top w:val="nil"/>
              <w:left w:val="nil"/>
              <w:bottom w:val="single" w:sz="4" w:space="0" w:color="auto"/>
              <w:right w:val="single" w:sz="4" w:space="0" w:color="auto"/>
            </w:tcBorders>
            <w:vAlign w:val="center"/>
            <w:hideMark/>
          </w:tcPr>
          <w:p w14:paraId="5F6EC9D7" w14:textId="77777777" w:rsidR="00512BB5" w:rsidRPr="00512BB5" w:rsidRDefault="00512BB5" w:rsidP="002B0D41">
            <w:pPr>
              <w:spacing w:before="0" w:after="0"/>
              <w:jc w:val="righ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2023</w:t>
            </w:r>
          </w:p>
        </w:tc>
        <w:tc>
          <w:tcPr>
            <w:tcW w:w="720" w:type="dxa"/>
            <w:tcBorders>
              <w:top w:val="nil"/>
              <w:left w:val="nil"/>
              <w:bottom w:val="single" w:sz="4" w:space="0" w:color="auto"/>
              <w:right w:val="single" w:sz="4" w:space="0" w:color="auto"/>
            </w:tcBorders>
            <w:vAlign w:val="center"/>
            <w:hideMark/>
          </w:tcPr>
          <w:p w14:paraId="3842149F" w14:textId="77777777" w:rsidR="00512BB5" w:rsidRPr="00512BB5" w:rsidRDefault="00512BB5" w:rsidP="002B0D41">
            <w:pPr>
              <w:spacing w:before="0" w:after="0"/>
              <w:jc w:val="righ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2024</w:t>
            </w:r>
          </w:p>
        </w:tc>
        <w:tc>
          <w:tcPr>
            <w:tcW w:w="800" w:type="dxa"/>
            <w:tcBorders>
              <w:top w:val="nil"/>
              <w:left w:val="nil"/>
              <w:bottom w:val="single" w:sz="4" w:space="0" w:color="auto"/>
              <w:right w:val="single" w:sz="4" w:space="0" w:color="auto"/>
            </w:tcBorders>
            <w:vAlign w:val="center"/>
            <w:hideMark/>
          </w:tcPr>
          <w:p w14:paraId="5A1DF798" w14:textId="77777777" w:rsidR="00512BB5" w:rsidRPr="00512BB5" w:rsidRDefault="00512BB5" w:rsidP="002B0D41">
            <w:pPr>
              <w:spacing w:before="0" w:after="0"/>
              <w:jc w:val="righ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2025</w:t>
            </w:r>
          </w:p>
        </w:tc>
      </w:tr>
      <w:tr w:rsidR="00512BB5" w:rsidRPr="00512BB5" w14:paraId="204B761B" w14:textId="77777777" w:rsidTr="00512BB5">
        <w:trPr>
          <w:trHeight w:val="276"/>
          <w:jc w:val="center"/>
        </w:trPr>
        <w:tc>
          <w:tcPr>
            <w:tcW w:w="2860" w:type="dxa"/>
            <w:tcBorders>
              <w:top w:val="nil"/>
              <w:left w:val="single" w:sz="4" w:space="0" w:color="auto"/>
              <w:bottom w:val="single" w:sz="4" w:space="0" w:color="auto"/>
              <w:right w:val="single" w:sz="4" w:space="0" w:color="auto"/>
            </w:tcBorders>
            <w:vAlign w:val="center"/>
            <w:hideMark/>
          </w:tcPr>
          <w:p w14:paraId="6C9D080A" w14:textId="77777777" w:rsidR="00512BB5" w:rsidRPr="00512BB5" w:rsidRDefault="00512BB5" w:rsidP="002B0D41">
            <w:pPr>
              <w:spacing w:before="0" w:after="0"/>
              <w:jc w:val="lef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lastRenderedPageBreak/>
              <w:t>Inventory Days</w:t>
            </w:r>
          </w:p>
        </w:tc>
        <w:tc>
          <w:tcPr>
            <w:tcW w:w="800" w:type="dxa"/>
            <w:tcBorders>
              <w:top w:val="nil"/>
              <w:left w:val="nil"/>
              <w:bottom w:val="single" w:sz="4" w:space="0" w:color="auto"/>
              <w:right w:val="single" w:sz="4" w:space="0" w:color="auto"/>
            </w:tcBorders>
            <w:vAlign w:val="center"/>
            <w:hideMark/>
          </w:tcPr>
          <w:p w14:paraId="5F4A53D4"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3</w:t>
            </w:r>
          </w:p>
        </w:tc>
        <w:tc>
          <w:tcPr>
            <w:tcW w:w="800" w:type="dxa"/>
            <w:tcBorders>
              <w:top w:val="nil"/>
              <w:left w:val="nil"/>
              <w:bottom w:val="single" w:sz="4" w:space="0" w:color="auto"/>
              <w:right w:val="single" w:sz="4" w:space="0" w:color="auto"/>
            </w:tcBorders>
            <w:vAlign w:val="center"/>
            <w:hideMark/>
          </w:tcPr>
          <w:p w14:paraId="417ED0F2"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2.25</w:t>
            </w:r>
          </w:p>
        </w:tc>
        <w:tc>
          <w:tcPr>
            <w:tcW w:w="800" w:type="dxa"/>
            <w:tcBorders>
              <w:top w:val="nil"/>
              <w:left w:val="nil"/>
              <w:bottom w:val="single" w:sz="4" w:space="0" w:color="auto"/>
              <w:right w:val="single" w:sz="4" w:space="0" w:color="auto"/>
            </w:tcBorders>
            <w:vAlign w:val="center"/>
            <w:hideMark/>
          </w:tcPr>
          <w:p w14:paraId="3922A117"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2.46</w:t>
            </w:r>
          </w:p>
        </w:tc>
        <w:tc>
          <w:tcPr>
            <w:tcW w:w="720" w:type="dxa"/>
            <w:tcBorders>
              <w:top w:val="nil"/>
              <w:left w:val="nil"/>
              <w:bottom w:val="single" w:sz="4" w:space="0" w:color="auto"/>
              <w:right w:val="single" w:sz="4" w:space="0" w:color="auto"/>
            </w:tcBorders>
            <w:vAlign w:val="center"/>
            <w:hideMark/>
          </w:tcPr>
          <w:p w14:paraId="008ACCA5"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1.96</w:t>
            </w:r>
          </w:p>
        </w:tc>
        <w:tc>
          <w:tcPr>
            <w:tcW w:w="800" w:type="dxa"/>
            <w:tcBorders>
              <w:top w:val="nil"/>
              <w:left w:val="nil"/>
              <w:bottom w:val="single" w:sz="4" w:space="0" w:color="auto"/>
              <w:right w:val="single" w:sz="4" w:space="0" w:color="auto"/>
            </w:tcBorders>
            <w:vAlign w:val="center"/>
            <w:hideMark/>
          </w:tcPr>
          <w:p w14:paraId="67D98EE3"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2.39</w:t>
            </w:r>
          </w:p>
        </w:tc>
      </w:tr>
      <w:tr w:rsidR="00512BB5" w:rsidRPr="00512BB5" w14:paraId="06E6B777" w14:textId="77777777" w:rsidTr="00512BB5">
        <w:trPr>
          <w:trHeight w:val="276"/>
          <w:jc w:val="center"/>
        </w:trPr>
        <w:tc>
          <w:tcPr>
            <w:tcW w:w="2860" w:type="dxa"/>
            <w:tcBorders>
              <w:top w:val="nil"/>
              <w:left w:val="single" w:sz="4" w:space="0" w:color="auto"/>
              <w:bottom w:val="single" w:sz="4" w:space="0" w:color="auto"/>
              <w:right w:val="single" w:sz="4" w:space="0" w:color="auto"/>
            </w:tcBorders>
            <w:vAlign w:val="center"/>
            <w:hideMark/>
          </w:tcPr>
          <w:p w14:paraId="09FEAE5F" w14:textId="77777777" w:rsidR="00512BB5" w:rsidRPr="00512BB5" w:rsidRDefault="00512BB5" w:rsidP="002B0D41">
            <w:pPr>
              <w:spacing w:before="0" w:after="0"/>
              <w:jc w:val="lef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Receivables Days</w:t>
            </w:r>
          </w:p>
        </w:tc>
        <w:tc>
          <w:tcPr>
            <w:tcW w:w="800" w:type="dxa"/>
            <w:tcBorders>
              <w:top w:val="nil"/>
              <w:left w:val="nil"/>
              <w:bottom w:val="single" w:sz="4" w:space="0" w:color="auto"/>
              <w:right w:val="single" w:sz="4" w:space="0" w:color="auto"/>
            </w:tcBorders>
            <w:vAlign w:val="center"/>
            <w:hideMark/>
          </w:tcPr>
          <w:p w14:paraId="0A742DB5"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72.07</w:t>
            </w:r>
          </w:p>
        </w:tc>
        <w:tc>
          <w:tcPr>
            <w:tcW w:w="800" w:type="dxa"/>
            <w:tcBorders>
              <w:top w:val="nil"/>
              <w:left w:val="nil"/>
              <w:bottom w:val="single" w:sz="4" w:space="0" w:color="auto"/>
              <w:right w:val="single" w:sz="4" w:space="0" w:color="auto"/>
            </w:tcBorders>
            <w:vAlign w:val="center"/>
            <w:hideMark/>
          </w:tcPr>
          <w:p w14:paraId="260A3F43"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60.58</w:t>
            </w:r>
          </w:p>
        </w:tc>
        <w:tc>
          <w:tcPr>
            <w:tcW w:w="800" w:type="dxa"/>
            <w:tcBorders>
              <w:top w:val="nil"/>
              <w:left w:val="nil"/>
              <w:bottom w:val="single" w:sz="4" w:space="0" w:color="auto"/>
              <w:right w:val="single" w:sz="4" w:space="0" w:color="auto"/>
            </w:tcBorders>
            <w:vAlign w:val="center"/>
            <w:hideMark/>
          </w:tcPr>
          <w:p w14:paraId="7229C441"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58.41</w:t>
            </w:r>
          </w:p>
        </w:tc>
        <w:tc>
          <w:tcPr>
            <w:tcW w:w="720" w:type="dxa"/>
            <w:tcBorders>
              <w:top w:val="nil"/>
              <w:left w:val="nil"/>
              <w:bottom w:val="single" w:sz="4" w:space="0" w:color="auto"/>
              <w:right w:val="single" w:sz="4" w:space="0" w:color="auto"/>
            </w:tcBorders>
            <w:vAlign w:val="center"/>
            <w:hideMark/>
          </w:tcPr>
          <w:p w14:paraId="475AE66D"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58.2</w:t>
            </w:r>
          </w:p>
        </w:tc>
        <w:tc>
          <w:tcPr>
            <w:tcW w:w="800" w:type="dxa"/>
            <w:tcBorders>
              <w:top w:val="nil"/>
              <w:left w:val="nil"/>
              <w:bottom w:val="single" w:sz="4" w:space="0" w:color="auto"/>
              <w:right w:val="single" w:sz="4" w:space="0" w:color="auto"/>
            </w:tcBorders>
            <w:vAlign w:val="center"/>
            <w:hideMark/>
          </w:tcPr>
          <w:p w14:paraId="0546C456"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58.59</w:t>
            </w:r>
          </w:p>
        </w:tc>
      </w:tr>
      <w:tr w:rsidR="00512BB5" w:rsidRPr="00512BB5" w14:paraId="1CB0FD44" w14:textId="77777777" w:rsidTr="00512BB5">
        <w:trPr>
          <w:trHeight w:val="276"/>
          <w:jc w:val="center"/>
        </w:trPr>
        <w:tc>
          <w:tcPr>
            <w:tcW w:w="2860" w:type="dxa"/>
            <w:tcBorders>
              <w:top w:val="nil"/>
              <w:left w:val="single" w:sz="4" w:space="0" w:color="auto"/>
              <w:bottom w:val="single" w:sz="4" w:space="0" w:color="auto"/>
              <w:right w:val="single" w:sz="4" w:space="0" w:color="auto"/>
            </w:tcBorders>
            <w:vAlign w:val="center"/>
            <w:hideMark/>
          </w:tcPr>
          <w:p w14:paraId="5C1907C0" w14:textId="77777777" w:rsidR="00512BB5" w:rsidRPr="00512BB5" w:rsidRDefault="00512BB5" w:rsidP="002B0D41">
            <w:pPr>
              <w:spacing w:before="0" w:after="0"/>
              <w:jc w:val="lef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Payables Days</w:t>
            </w:r>
          </w:p>
        </w:tc>
        <w:tc>
          <w:tcPr>
            <w:tcW w:w="800" w:type="dxa"/>
            <w:tcBorders>
              <w:top w:val="nil"/>
              <w:left w:val="nil"/>
              <w:bottom w:val="single" w:sz="4" w:space="0" w:color="auto"/>
              <w:right w:val="single" w:sz="4" w:space="0" w:color="auto"/>
            </w:tcBorders>
            <w:vAlign w:val="center"/>
            <w:hideMark/>
          </w:tcPr>
          <w:p w14:paraId="474B4171"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434.85</w:t>
            </w:r>
          </w:p>
        </w:tc>
        <w:tc>
          <w:tcPr>
            <w:tcW w:w="800" w:type="dxa"/>
            <w:tcBorders>
              <w:top w:val="nil"/>
              <w:left w:val="nil"/>
              <w:bottom w:val="single" w:sz="4" w:space="0" w:color="auto"/>
              <w:right w:val="single" w:sz="4" w:space="0" w:color="auto"/>
            </w:tcBorders>
            <w:vAlign w:val="center"/>
            <w:hideMark/>
          </w:tcPr>
          <w:p w14:paraId="2D1A6D16"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392.6</w:t>
            </w:r>
          </w:p>
        </w:tc>
        <w:tc>
          <w:tcPr>
            <w:tcW w:w="800" w:type="dxa"/>
            <w:tcBorders>
              <w:top w:val="nil"/>
              <w:left w:val="nil"/>
              <w:bottom w:val="single" w:sz="4" w:space="0" w:color="auto"/>
              <w:right w:val="single" w:sz="4" w:space="0" w:color="auto"/>
            </w:tcBorders>
            <w:vAlign w:val="center"/>
            <w:hideMark/>
          </w:tcPr>
          <w:p w14:paraId="69D7A115"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349.75</w:t>
            </w:r>
          </w:p>
        </w:tc>
        <w:tc>
          <w:tcPr>
            <w:tcW w:w="720" w:type="dxa"/>
            <w:tcBorders>
              <w:top w:val="nil"/>
              <w:left w:val="nil"/>
              <w:bottom w:val="single" w:sz="4" w:space="0" w:color="auto"/>
              <w:right w:val="single" w:sz="4" w:space="0" w:color="auto"/>
            </w:tcBorders>
            <w:vAlign w:val="center"/>
            <w:hideMark/>
          </w:tcPr>
          <w:p w14:paraId="104B9665"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318.5</w:t>
            </w:r>
          </w:p>
        </w:tc>
        <w:tc>
          <w:tcPr>
            <w:tcW w:w="800" w:type="dxa"/>
            <w:tcBorders>
              <w:top w:val="nil"/>
              <w:left w:val="nil"/>
              <w:bottom w:val="single" w:sz="4" w:space="0" w:color="auto"/>
              <w:right w:val="single" w:sz="4" w:space="0" w:color="auto"/>
            </w:tcBorders>
            <w:vAlign w:val="center"/>
            <w:hideMark/>
          </w:tcPr>
          <w:p w14:paraId="3ED56C85"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322.96</w:t>
            </w:r>
          </w:p>
        </w:tc>
      </w:tr>
      <w:tr w:rsidR="00512BB5" w:rsidRPr="00512BB5" w14:paraId="571BB7C3" w14:textId="77777777" w:rsidTr="00512BB5">
        <w:trPr>
          <w:trHeight w:val="276"/>
          <w:jc w:val="center"/>
        </w:trPr>
        <w:tc>
          <w:tcPr>
            <w:tcW w:w="2860" w:type="dxa"/>
            <w:tcBorders>
              <w:top w:val="nil"/>
              <w:left w:val="single" w:sz="4" w:space="0" w:color="auto"/>
              <w:bottom w:val="single" w:sz="4" w:space="0" w:color="auto"/>
              <w:right w:val="single" w:sz="4" w:space="0" w:color="auto"/>
            </w:tcBorders>
            <w:vAlign w:val="center"/>
            <w:hideMark/>
          </w:tcPr>
          <w:p w14:paraId="4CF0D01A" w14:textId="77777777" w:rsidR="00512BB5" w:rsidRPr="00512BB5" w:rsidRDefault="00512BB5" w:rsidP="002B0D41">
            <w:pPr>
              <w:spacing w:before="0" w:after="0"/>
              <w:jc w:val="left"/>
              <w:rPr>
                <w:rFonts w:eastAsia="Times New Roman" w:cs="Times New Roman"/>
                <w:b/>
                <w:bCs/>
                <w:color w:val="000000"/>
                <w:sz w:val="22"/>
                <w:lang w:val="en-IN" w:eastAsia="en-IN"/>
              </w:rPr>
            </w:pPr>
            <w:r w:rsidRPr="00512BB5">
              <w:rPr>
                <w:rFonts w:eastAsia="Times New Roman" w:cs="Times New Roman"/>
                <w:b/>
                <w:bCs/>
                <w:color w:val="000000"/>
                <w:sz w:val="22"/>
                <w:lang w:val="en-IN" w:eastAsia="en-IN"/>
              </w:rPr>
              <w:t>Cash Operating Cycle (Days)</w:t>
            </w:r>
          </w:p>
        </w:tc>
        <w:tc>
          <w:tcPr>
            <w:tcW w:w="800" w:type="dxa"/>
            <w:tcBorders>
              <w:top w:val="nil"/>
              <w:left w:val="nil"/>
              <w:bottom w:val="single" w:sz="4" w:space="0" w:color="auto"/>
              <w:right w:val="single" w:sz="4" w:space="0" w:color="auto"/>
            </w:tcBorders>
            <w:vAlign w:val="center"/>
            <w:hideMark/>
          </w:tcPr>
          <w:p w14:paraId="4D6C4A57"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-359.8</w:t>
            </w:r>
          </w:p>
        </w:tc>
        <w:tc>
          <w:tcPr>
            <w:tcW w:w="800" w:type="dxa"/>
            <w:tcBorders>
              <w:top w:val="nil"/>
              <w:left w:val="nil"/>
              <w:bottom w:val="single" w:sz="4" w:space="0" w:color="auto"/>
              <w:right w:val="single" w:sz="4" w:space="0" w:color="auto"/>
            </w:tcBorders>
            <w:vAlign w:val="center"/>
            <w:hideMark/>
          </w:tcPr>
          <w:p w14:paraId="4E6CBDBA"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-329.8</w:t>
            </w:r>
          </w:p>
        </w:tc>
        <w:tc>
          <w:tcPr>
            <w:tcW w:w="800" w:type="dxa"/>
            <w:tcBorders>
              <w:top w:val="nil"/>
              <w:left w:val="nil"/>
              <w:bottom w:val="single" w:sz="4" w:space="0" w:color="auto"/>
              <w:right w:val="single" w:sz="4" w:space="0" w:color="auto"/>
            </w:tcBorders>
            <w:vAlign w:val="center"/>
            <w:hideMark/>
          </w:tcPr>
          <w:p w14:paraId="3CB76568"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-288.9</w:t>
            </w:r>
          </w:p>
        </w:tc>
        <w:tc>
          <w:tcPr>
            <w:tcW w:w="720" w:type="dxa"/>
            <w:tcBorders>
              <w:top w:val="nil"/>
              <w:left w:val="nil"/>
              <w:bottom w:val="single" w:sz="4" w:space="0" w:color="auto"/>
              <w:right w:val="single" w:sz="4" w:space="0" w:color="auto"/>
            </w:tcBorders>
            <w:vAlign w:val="center"/>
            <w:hideMark/>
          </w:tcPr>
          <w:p w14:paraId="62BA22A4"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-258.3</w:t>
            </w:r>
          </w:p>
        </w:tc>
        <w:tc>
          <w:tcPr>
            <w:tcW w:w="800" w:type="dxa"/>
            <w:tcBorders>
              <w:top w:val="nil"/>
              <w:left w:val="nil"/>
              <w:bottom w:val="single" w:sz="4" w:space="0" w:color="auto"/>
              <w:right w:val="single" w:sz="4" w:space="0" w:color="auto"/>
            </w:tcBorders>
            <w:vAlign w:val="center"/>
            <w:hideMark/>
          </w:tcPr>
          <w:p w14:paraId="19CFE1F2" w14:textId="77777777" w:rsidR="00512BB5" w:rsidRPr="00512BB5" w:rsidRDefault="00512BB5" w:rsidP="002B0D41">
            <w:pPr>
              <w:spacing w:before="0" w:after="0"/>
              <w:jc w:val="right"/>
              <w:rPr>
                <w:rFonts w:eastAsia="Times New Roman" w:cs="Times New Roman"/>
                <w:color w:val="000000"/>
                <w:sz w:val="22"/>
                <w:lang w:val="en-IN" w:eastAsia="en-IN"/>
              </w:rPr>
            </w:pPr>
            <w:r w:rsidRPr="00512BB5">
              <w:rPr>
                <w:rFonts w:eastAsia="Times New Roman" w:cs="Times New Roman"/>
                <w:color w:val="000000"/>
                <w:sz w:val="22"/>
                <w:lang w:val="en-IN" w:eastAsia="en-IN"/>
              </w:rPr>
              <w:t>-262</w:t>
            </w:r>
          </w:p>
        </w:tc>
      </w:tr>
    </w:tbl>
    <w:p w14:paraId="6F181CD1" w14:textId="3C45A2A3" w:rsidR="009A093A" w:rsidRDefault="00512BB5" w:rsidP="002B0D41">
      <w:pPr>
        <w:pStyle w:val="Heading2"/>
      </w:pPr>
      <w:bookmarkStart w:id="37" w:name="_Toc235636793"/>
      <w:r>
        <w:t xml:space="preserve">Appendix </w:t>
      </w:r>
      <w:r w:rsidR="00E42D89">
        <w:t xml:space="preserve">D - </w:t>
      </w:r>
      <w:r w:rsidR="00E42D89" w:rsidRPr="00E42D89">
        <w:t>Investment Appraisal</w:t>
      </w:r>
      <w:bookmarkEnd w:id="37"/>
    </w:p>
    <w:tbl>
      <w:tblPr>
        <w:tblW w:w="9000" w:type="dxa"/>
        <w:tblLook w:val="04A0" w:firstRow="1" w:lastRow="0" w:firstColumn="1" w:lastColumn="0" w:noHBand="0" w:noVBand="1"/>
      </w:tblPr>
      <w:tblGrid>
        <w:gridCol w:w="2260"/>
        <w:gridCol w:w="1500"/>
        <w:gridCol w:w="1480"/>
        <w:gridCol w:w="1500"/>
        <w:gridCol w:w="2260"/>
      </w:tblGrid>
      <w:tr w:rsidR="00E42D89" w:rsidRPr="00E42D89" w14:paraId="05C52588" w14:textId="77777777" w:rsidTr="00E42D89">
        <w:trPr>
          <w:trHeight w:val="276"/>
        </w:trPr>
        <w:tc>
          <w:tcPr>
            <w:tcW w:w="2260" w:type="dxa"/>
            <w:tcBorders>
              <w:top w:val="single" w:sz="8" w:space="0" w:color="auto"/>
              <w:left w:val="single" w:sz="8" w:space="0" w:color="auto"/>
              <w:bottom w:val="single" w:sz="4" w:space="0" w:color="auto"/>
              <w:right w:val="single" w:sz="4" w:space="0" w:color="auto"/>
            </w:tcBorders>
            <w:vAlign w:val="center"/>
            <w:hideMark/>
          </w:tcPr>
          <w:p w14:paraId="61FAEF23" w14:textId="77777777" w:rsidR="00E42D89" w:rsidRPr="00E42D89" w:rsidRDefault="00E42D89" w:rsidP="002B0D41">
            <w:pPr>
              <w:spacing w:before="0" w:after="0"/>
              <w:jc w:val="center"/>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Year</w:t>
            </w:r>
          </w:p>
        </w:tc>
        <w:tc>
          <w:tcPr>
            <w:tcW w:w="1500" w:type="dxa"/>
            <w:tcBorders>
              <w:top w:val="single" w:sz="8" w:space="0" w:color="auto"/>
              <w:left w:val="nil"/>
              <w:bottom w:val="single" w:sz="4" w:space="0" w:color="auto"/>
              <w:right w:val="single" w:sz="4" w:space="0" w:color="auto"/>
            </w:tcBorders>
            <w:vAlign w:val="center"/>
            <w:hideMark/>
          </w:tcPr>
          <w:p w14:paraId="72B4ECFA"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Project A (£m)</w:t>
            </w:r>
          </w:p>
        </w:tc>
        <w:tc>
          <w:tcPr>
            <w:tcW w:w="1480" w:type="dxa"/>
            <w:tcBorders>
              <w:top w:val="single" w:sz="8" w:space="0" w:color="auto"/>
              <w:left w:val="nil"/>
              <w:bottom w:val="single" w:sz="4" w:space="0" w:color="auto"/>
              <w:right w:val="single" w:sz="4" w:space="0" w:color="auto"/>
            </w:tcBorders>
            <w:vAlign w:val="center"/>
            <w:hideMark/>
          </w:tcPr>
          <w:p w14:paraId="21F415CE"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Project B (£m)</w:t>
            </w:r>
          </w:p>
        </w:tc>
        <w:tc>
          <w:tcPr>
            <w:tcW w:w="1500" w:type="dxa"/>
            <w:tcBorders>
              <w:top w:val="single" w:sz="8" w:space="0" w:color="auto"/>
              <w:left w:val="nil"/>
              <w:bottom w:val="single" w:sz="4" w:space="0" w:color="auto"/>
              <w:right w:val="single" w:sz="4" w:space="0" w:color="auto"/>
            </w:tcBorders>
            <w:vAlign w:val="center"/>
            <w:hideMark/>
          </w:tcPr>
          <w:p w14:paraId="2BF5315D"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Project C (£m)</w:t>
            </w:r>
          </w:p>
        </w:tc>
        <w:tc>
          <w:tcPr>
            <w:tcW w:w="2260" w:type="dxa"/>
            <w:tcBorders>
              <w:top w:val="single" w:sz="8" w:space="0" w:color="auto"/>
              <w:left w:val="nil"/>
              <w:bottom w:val="single" w:sz="4" w:space="0" w:color="auto"/>
              <w:right w:val="single" w:sz="8" w:space="0" w:color="auto"/>
            </w:tcBorders>
            <w:vAlign w:val="center"/>
            <w:hideMark/>
          </w:tcPr>
          <w:p w14:paraId="78739918"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Discount Factor @ 8%</w:t>
            </w:r>
          </w:p>
        </w:tc>
      </w:tr>
      <w:tr w:rsidR="00E42D89" w:rsidRPr="00E42D89" w14:paraId="52EB164E"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773D96F6"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0</w:t>
            </w:r>
          </w:p>
        </w:tc>
        <w:tc>
          <w:tcPr>
            <w:tcW w:w="1500" w:type="dxa"/>
            <w:tcBorders>
              <w:top w:val="nil"/>
              <w:left w:val="nil"/>
              <w:bottom w:val="single" w:sz="4" w:space="0" w:color="auto"/>
              <w:right w:val="single" w:sz="4" w:space="0" w:color="auto"/>
            </w:tcBorders>
            <w:vAlign w:val="center"/>
            <w:hideMark/>
          </w:tcPr>
          <w:p w14:paraId="10D5634A"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-50</w:t>
            </w:r>
          </w:p>
        </w:tc>
        <w:tc>
          <w:tcPr>
            <w:tcW w:w="1480" w:type="dxa"/>
            <w:tcBorders>
              <w:top w:val="nil"/>
              <w:left w:val="nil"/>
              <w:bottom w:val="single" w:sz="4" w:space="0" w:color="auto"/>
              <w:right w:val="single" w:sz="4" w:space="0" w:color="auto"/>
            </w:tcBorders>
            <w:vAlign w:val="center"/>
            <w:hideMark/>
          </w:tcPr>
          <w:p w14:paraId="654ED48A"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-50</w:t>
            </w:r>
          </w:p>
        </w:tc>
        <w:tc>
          <w:tcPr>
            <w:tcW w:w="1500" w:type="dxa"/>
            <w:tcBorders>
              <w:top w:val="nil"/>
              <w:left w:val="nil"/>
              <w:bottom w:val="single" w:sz="4" w:space="0" w:color="auto"/>
              <w:right w:val="single" w:sz="4" w:space="0" w:color="auto"/>
            </w:tcBorders>
            <w:vAlign w:val="center"/>
            <w:hideMark/>
          </w:tcPr>
          <w:p w14:paraId="1C3C96FD"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-50</w:t>
            </w:r>
          </w:p>
        </w:tc>
        <w:tc>
          <w:tcPr>
            <w:tcW w:w="2260" w:type="dxa"/>
            <w:tcBorders>
              <w:top w:val="nil"/>
              <w:left w:val="nil"/>
              <w:bottom w:val="single" w:sz="4" w:space="0" w:color="auto"/>
              <w:right w:val="single" w:sz="8" w:space="0" w:color="auto"/>
            </w:tcBorders>
            <w:vAlign w:val="center"/>
            <w:hideMark/>
          </w:tcPr>
          <w:p w14:paraId="5B792E1E"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w:t>
            </w:r>
          </w:p>
        </w:tc>
      </w:tr>
      <w:tr w:rsidR="00E42D89" w:rsidRPr="00E42D89" w14:paraId="1421D861"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1FC38D46"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w:t>
            </w:r>
          </w:p>
        </w:tc>
        <w:tc>
          <w:tcPr>
            <w:tcW w:w="1500" w:type="dxa"/>
            <w:tcBorders>
              <w:top w:val="nil"/>
              <w:left w:val="nil"/>
              <w:bottom w:val="single" w:sz="4" w:space="0" w:color="auto"/>
              <w:right w:val="single" w:sz="4" w:space="0" w:color="auto"/>
            </w:tcBorders>
            <w:vAlign w:val="center"/>
            <w:hideMark/>
          </w:tcPr>
          <w:p w14:paraId="2C0F6F3A"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10</w:t>
            </w:r>
          </w:p>
        </w:tc>
        <w:tc>
          <w:tcPr>
            <w:tcW w:w="1480" w:type="dxa"/>
            <w:tcBorders>
              <w:top w:val="nil"/>
              <w:left w:val="nil"/>
              <w:bottom w:val="single" w:sz="4" w:space="0" w:color="auto"/>
              <w:right w:val="single" w:sz="4" w:space="0" w:color="auto"/>
            </w:tcBorders>
            <w:vAlign w:val="center"/>
            <w:hideMark/>
          </w:tcPr>
          <w:p w14:paraId="672AD1C5"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11</w:t>
            </w:r>
          </w:p>
        </w:tc>
        <w:tc>
          <w:tcPr>
            <w:tcW w:w="1500" w:type="dxa"/>
            <w:tcBorders>
              <w:top w:val="nil"/>
              <w:left w:val="nil"/>
              <w:bottom w:val="single" w:sz="4" w:space="0" w:color="auto"/>
              <w:right w:val="single" w:sz="4" w:space="0" w:color="auto"/>
            </w:tcBorders>
            <w:vAlign w:val="center"/>
            <w:hideMark/>
          </w:tcPr>
          <w:p w14:paraId="70BE5A44"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5</w:t>
            </w:r>
          </w:p>
        </w:tc>
        <w:tc>
          <w:tcPr>
            <w:tcW w:w="2260" w:type="dxa"/>
            <w:tcBorders>
              <w:top w:val="nil"/>
              <w:left w:val="nil"/>
              <w:bottom w:val="single" w:sz="4" w:space="0" w:color="auto"/>
              <w:right w:val="single" w:sz="8" w:space="0" w:color="auto"/>
            </w:tcBorders>
            <w:vAlign w:val="center"/>
            <w:hideMark/>
          </w:tcPr>
          <w:p w14:paraId="5199CB87"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0.9259</w:t>
            </w:r>
          </w:p>
        </w:tc>
      </w:tr>
      <w:tr w:rsidR="00E42D89" w:rsidRPr="00E42D89" w14:paraId="16221CAE"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7176CF03"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2</w:t>
            </w:r>
          </w:p>
        </w:tc>
        <w:tc>
          <w:tcPr>
            <w:tcW w:w="1500" w:type="dxa"/>
            <w:tcBorders>
              <w:top w:val="nil"/>
              <w:left w:val="nil"/>
              <w:bottom w:val="single" w:sz="4" w:space="0" w:color="auto"/>
              <w:right w:val="single" w:sz="4" w:space="0" w:color="auto"/>
            </w:tcBorders>
            <w:vAlign w:val="center"/>
            <w:hideMark/>
          </w:tcPr>
          <w:p w14:paraId="75F094C2"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12</w:t>
            </w:r>
          </w:p>
        </w:tc>
        <w:tc>
          <w:tcPr>
            <w:tcW w:w="1480" w:type="dxa"/>
            <w:tcBorders>
              <w:top w:val="nil"/>
              <w:left w:val="nil"/>
              <w:bottom w:val="single" w:sz="4" w:space="0" w:color="auto"/>
              <w:right w:val="single" w:sz="4" w:space="0" w:color="auto"/>
            </w:tcBorders>
            <w:vAlign w:val="center"/>
            <w:hideMark/>
          </w:tcPr>
          <w:p w14:paraId="2987BB42"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11</w:t>
            </w:r>
          </w:p>
        </w:tc>
        <w:tc>
          <w:tcPr>
            <w:tcW w:w="1500" w:type="dxa"/>
            <w:tcBorders>
              <w:top w:val="nil"/>
              <w:left w:val="nil"/>
              <w:bottom w:val="single" w:sz="4" w:space="0" w:color="auto"/>
              <w:right w:val="single" w:sz="4" w:space="0" w:color="auto"/>
            </w:tcBorders>
            <w:vAlign w:val="center"/>
            <w:hideMark/>
          </w:tcPr>
          <w:p w14:paraId="5727924A"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10</w:t>
            </w:r>
          </w:p>
        </w:tc>
        <w:tc>
          <w:tcPr>
            <w:tcW w:w="2260" w:type="dxa"/>
            <w:tcBorders>
              <w:top w:val="nil"/>
              <w:left w:val="nil"/>
              <w:bottom w:val="single" w:sz="4" w:space="0" w:color="auto"/>
              <w:right w:val="single" w:sz="8" w:space="0" w:color="auto"/>
            </w:tcBorders>
            <w:vAlign w:val="center"/>
            <w:hideMark/>
          </w:tcPr>
          <w:p w14:paraId="24240D62"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0.8573</w:t>
            </w:r>
          </w:p>
        </w:tc>
      </w:tr>
      <w:tr w:rsidR="00E42D89" w:rsidRPr="00E42D89" w14:paraId="6B02076F"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35B2FBE7"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3</w:t>
            </w:r>
          </w:p>
        </w:tc>
        <w:tc>
          <w:tcPr>
            <w:tcW w:w="1500" w:type="dxa"/>
            <w:tcBorders>
              <w:top w:val="nil"/>
              <w:left w:val="nil"/>
              <w:bottom w:val="single" w:sz="4" w:space="0" w:color="auto"/>
              <w:right w:val="single" w:sz="4" w:space="0" w:color="auto"/>
            </w:tcBorders>
            <w:vAlign w:val="center"/>
            <w:hideMark/>
          </w:tcPr>
          <w:p w14:paraId="2E76ABB4"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14</w:t>
            </w:r>
          </w:p>
        </w:tc>
        <w:tc>
          <w:tcPr>
            <w:tcW w:w="1480" w:type="dxa"/>
            <w:tcBorders>
              <w:top w:val="nil"/>
              <w:left w:val="nil"/>
              <w:bottom w:val="single" w:sz="4" w:space="0" w:color="auto"/>
              <w:right w:val="single" w:sz="4" w:space="0" w:color="auto"/>
            </w:tcBorders>
            <w:vAlign w:val="center"/>
            <w:hideMark/>
          </w:tcPr>
          <w:p w14:paraId="19A5E99E"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11</w:t>
            </w:r>
          </w:p>
        </w:tc>
        <w:tc>
          <w:tcPr>
            <w:tcW w:w="1500" w:type="dxa"/>
            <w:tcBorders>
              <w:top w:val="nil"/>
              <w:left w:val="nil"/>
              <w:bottom w:val="single" w:sz="4" w:space="0" w:color="auto"/>
              <w:right w:val="single" w:sz="4" w:space="0" w:color="auto"/>
            </w:tcBorders>
            <w:vAlign w:val="center"/>
            <w:hideMark/>
          </w:tcPr>
          <w:p w14:paraId="0D0001FB"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20</w:t>
            </w:r>
          </w:p>
        </w:tc>
        <w:tc>
          <w:tcPr>
            <w:tcW w:w="2260" w:type="dxa"/>
            <w:tcBorders>
              <w:top w:val="nil"/>
              <w:left w:val="nil"/>
              <w:bottom w:val="single" w:sz="4" w:space="0" w:color="auto"/>
              <w:right w:val="single" w:sz="8" w:space="0" w:color="auto"/>
            </w:tcBorders>
            <w:vAlign w:val="center"/>
            <w:hideMark/>
          </w:tcPr>
          <w:p w14:paraId="5458BAC5"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0.7938</w:t>
            </w:r>
          </w:p>
        </w:tc>
      </w:tr>
      <w:tr w:rsidR="00E42D89" w:rsidRPr="00E42D89" w14:paraId="5804C8D0"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47E40E6E"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4</w:t>
            </w:r>
          </w:p>
        </w:tc>
        <w:tc>
          <w:tcPr>
            <w:tcW w:w="1500" w:type="dxa"/>
            <w:tcBorders>
              <w:top w:val="nil"/>
              <w:left w:val="nil"/>
              <w:bottom w:val="single" w:sz="4" w:space="0" w:color="auto"/>
              <w:right w:val="single" w:sz="4" w:space="0" w:color="auto"/>
            </w:tcBorders>
            <w:vAlign w:val="center"/>
            <w:hideMark/>
          </w:tcPr>
          <w:p w14:paraId="130A7B63"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10</w:t>
            </w:r>
          </w:p>
        </w:tc>
        <w:tc>
          <w:tcPr>
            <w:tcW w:w="1480" w:type="dxa"/>
            <w:tcBorders>
              <w:top w:val="nil"/>
              <w:left w:val="nil"/>
              <w:bottom w:val="single" w:sz="4" w:space="0" w:color="auto"/>
              <w:right w:val="single" w:sz="4" w:space="0" w:color="auto"/>
            </w:tcBorders>
            <w:vAlign w:val="center"/>
            <w:hideMark/>
          </w:tcPr>
          <w:p w14:paraId="142C4E3F"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11</w:t>
            </w:r>
          </w:p>
        </w:tc>
        <w:tc>
          <w:tcPr>
            <w:tcW w:w="1500" w:type="dxa"/>
            <w:tcBorders>
              <w:top w:val="nil"/>
              <w:left w:val="nil"/>
              <w:bottom w:val="single" w:sz="4" w:space="0" w:color="auto"/>
              <w:right w:val="single" w:sz="4" w:space="0" w:color="auto"/>
            </w:tcBorders>
            <w:vAlign w:val="center"/>
            <w:hideMark/>
          </w:tcPr>
          <w:p w14:paraId="02C29318"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25</w:t>
            </w:r>
          </w:p>
        </w:tc>
        <w:tc>
          <w:tcPr>
            <w:tcW w:w="2260" w:type="dxa"/>
            <w:tcBorders>
              <w:top w:val="nil"/>
              <w:left w:val="nil"/>
              <w:bottom w:val="single" w:sz="4" w:space="0" w:color="auto"/>
              <w:right w:val="single" w:sz="8" w:space="0" w:color="auto"/>
            </w:tcBorders>
            <w:vAlign w:val="center"/>
            <w:hideMark/>
          </w:tcPr>
          <w:p w14:paraId="7D91A8C7"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0.735</w:t>
            </w:r>
          </w:p>
        </w:tc>
      </w:tr>
      <w:tr w:rsidR="00E42D89" w:rsidRPr="00E42D89" w14:paraId="494FA679"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4A98C155"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5</w:t>
            </w:r>
          </w:p>
        </w:tc>
        <w:tc>
          <w:tcPr>
            <w:tcW w:w="1500" w:type="dxa"/>
            <w:tcBorders>
              <w:top w:val="nil"/>
              <w:left w:val="nil"/>
              <w:bottom w:val="single" w:sz="4" w:space="0" w:color="auto"/>
              <w:right w:val="single" w:sz="4" w:space="0" w:color="auto"/>
            </w:tcBorders>
            <w:vAlign w:val="center"/>
            <w:hideMark/>
          </w:tcPr>
          <w:p w14:paraId="613DB7B0"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8</w:t>
            </w:r>
          </w:p>
        </w:tc>
        <w:tc>
          <w:tcPr>
            <w:tcW w:w="1480" w:type="dxa"/>
            <w:tcBorders>
              <w:top w:val="nil"/>
              <w:left w:val="nil"/>
              <w:bottom w:val="single" w:sz="4" w:space="0" w:color="auto"/>
              <w:right w:val="single" w:sz="4" w:space="0" w:color="auto"/>
            </w:tcBorders>
            <w:vAlign w:val="center"/>
            <w:hideMark/>
          </w:tcPr>
          <w:p w14:paraId="17BCC4AA"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11</w:t>
            </w:r>
          </w:p>
        </w:tc>
        <w:tc>
          <w:tcPr>
            <w:tcW w:w="1500" w:type="dxa"/>
            <w:tcBorders>
              <w:top w:val="nil"/>
              <w:left w:val="nil"/>
              <w:bottom w:val="single" w:sz="4" w:space="0" w:color="auto"/>
              <w:right w:val="single" w:sz="4" w:space="0" w:color="auto"/>
            </w:tcBorders>
            <w:vAlign w:val="center"/>
            <w:hideMark/>
          </w:tcPr>
          <w:p w14:paraId="3FD16C8C"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5</w:t>
            </w:r>
          </w:p>
        </w:tc>
        <w:tc>
          <w:tcPr>
            <w:tcW w:w="2260" w:type="dxa"/>
            <w:tcBorders>
              <w:top w:val="nil"/>
              <w:left w:val="nil"/>
              <w:bottom w:val="single" w:sz="4" w:space="0" w:color="auto"/>
              <w:right w:val="single" w:sz="8" w:space="0" w:color="auto"/>
            </w:tcBorders>
            <w:vAlign w:val="center"/>
            <w:hideMark/>
          </w:tcPr>
          <w:p w14:paraId="603E18F0"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0.6806</w:t>
            </w:r>
          </w:p>
        </w:tc>
      </w:tr>
      <w:tr w:rsidR="00E42D89" w:rsidRPr="00E42D89" w14:paraId="2B6B16B5"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0FB25065" w14:textId="77777777" w:rsidR="00E42D89" w:rsidRPr="00E42D89" w:rsidRDefault="00E42D89" w:rsidP="002B0D41">
            <w:pPr>
              <w:spacing w:before="0" w:after="0"/>
              <w:jc w:val="lef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Total Cash Inflows</w:t>
            </w:r>
          </w:p>
        </w:tc>
        <w:tc>
          <w:tcPr>
            <w:tcW w:w="1500" w:type="dxa"/>
            <w:tcBorders>
              <w:top w:val="nil"/>
              <w:left w:val="nil"/>
              <w:bottom w:val="single" w:sz="4" w:space="0" w:color="auto"/>
              <w:right w:val="single" w:sz="4" w:space="0" w:color="auto"/>
            </w:tcBorders>
            <w:vAlign w:val="center"/>
            <w:hideMark/>
          </w:tcPr>
          <w:p w14:paraId="46C2DD67"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54</w:t>
            </w:r>
          </w:p>
        </w:tc>
        <w:tc>
          <w:tcPr>
            <w:tcW w:w="1480" w:type="dxa"/>
            <w:tcBorders>
              <w:top w:val="nil"/>
              <w:left w:val="nil"/>
              <w:bottom w:val="single" w:sz="4" w:space="0" w:color="auto"/>
              <w:right w:val="single" w:sz="4" w:space="0" w:color="auto"/>
            </w:tcBorders>
            <w:vAlign w:val="center"/>
            <w:hideMark/>
          </w:tcPr>
          <w:p w14:paraId="3CB4806D"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55</w:t>
            </w:r>
          </w:p>
        </w:tc>
        <w:tc>
          <w:tcPr>
            <w:tcW w:w="1500" w:type="dxa"/>
            <w:tcBorders>
              <w:top w:val="nil"/>
              <w:left w:val="nil"/>
              <w:bottom w:val="single" w:sz="4" w:space="0" w:color="auto"/>
              <w:right w:val="single" w:sz="4" w:space="0" w:color="auto"/>
            </w:tcBorders>
            <w:vAlign w:val="center"/>
            <w:hideMark/>
          </w:tcPr>
          <w:p w14:paraId="73AF9E6D"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65</w:t>
            </w:r>
          </w:p>
        </w:tc>
        <w:tc>
          <w:tcPr>
            <w:tcW w:w="2260" w:type="dxa"/>
            <w:tcBorders>
              <w:top w:val="nil"/>
              <w:left w:val="nil"/>
              <w:bottom w:val="single" w:sz="4" w:space="0" w:color="auto"/>
              <w:right w:val="single" w:sz="8" w:space="0" w:color="auto"/>
            </w:tcBorders>
            <w:vAlign w:val="center"/>
            <w:hideMark/>
          </w:tcPr>
          <w:p w14:paraId="335DAAB8" w14:textId="77777777" w:rsidR="00E42D89" w:rsidRPr="00E42D89" w:rsidRDefault="00E42D89" w:rsidP="002B0D41">
            <w:pPr>
              <w:spacing w:before="0" w:after="0"/>
              <w:jc w:val="right"/>
              <w:rPr>
                <w:rFonts w:eastAsia="Times New Roman" w:cs="Times New Roman"/>
                <w:color w:val="000000"/>
                <w:sz w:val="22"/>
                <w:lang w:val="en-IN" w:eastAsia="en-IN"/>
              </w:rPr>
            </w:pPr>
            <w:r w:rsidRPr="00E42D89">
              <w:rPr>
                <w:rFonts w:eastAsia="Times New Roman" w:cs="Times New Roman"/>
                <w:color w:val="000000"/>
                <w:sz w:val="22"/>
                <w:lang w:val="en-IN" w:eastAsia="en-IN"/>
              </w:rPr>
              <w:t>—</w:t>
            </w:r>
          </w:p>
        </w:tc>
      </w:tr>
      <w:tr w:rsidR="00E42D89" w:rsidRPr="00E42D89" w14:paraId="5A3675DA" w14:textId="77777777" w:rsidTr="00E42D89">
        <w:trPr>
          <w:trHeight w:val="276"/>
        </w:trPr>
        <w:tc>
          <w:tcPr>
            <w:tcW w:w="2260" w:type="dxa"/>
            <w:tcBorders>
              <w:top w:val="nil"/>
              <w:left w:val="single" w:sz="8" w:space="0" w:color="auto"/>
              <w:bottom w:val="single" w:sz="4" w:space="0" w:color="auto"/>
              <w:right w:val="single" w:sz="4" w:space="0" w:color="auto"/>
            </w:tcBorders>
            <w:noWrap/>
            <w:vAlign w:val="bottom"/>
            <w:hideMark/>
          </w:tcPr>
          <w:p w14:paraId="4652EAA1" w14:textId="77777777" w:rsidR="00E42D89" w:rsidRPr="00E42D89" w:rsidRDefault="00E42D89" w:rsidP="002B0D41">
            <w:pPr>
              <w:spacing w:before="0" w:after="0"/>
              <w:jc w:val="left"/>
              <w:rPr>
                <w:rFonts w:eastAsia="Times New Roman" w:cs="Times New Roman"/>
                <w:color w:val="000000"/>
                <w:sz w:val="22"/>
                <w:lang w:val="en-IN" w:eastAsia="en-IN"/>
              </w:rPr>
            </w:pPr>
            <w:r w:rsidRPr="00E42D89">
              <w:rPr>
                <w:rFonts w:eastAsia="Times New Roman" w:cs="Times New Roman"/>
                <w:color w:val="000000"/>
                <w:sz w:val="22"/>
                <w:lang w:val="en-IN" w:eastAsia="en-IN"/>
              </w:rPr>
              <w:t> </w:t>
            </w:r>
          </w:p>
        </w:tc>
        <w:tc>
          <w:tcPr>
            <w:tcW w:w="1500" w:type="dxa"/>
            <w:tcBorders>
              <w:top w:val="nil"/>
              <w:left w:val="nil"/>
              <w:bottom w:val="single" w:sz="4" w:space="0" w:color="auto"/>
              <w:right w:val="single" w:sz="4" w:space="0" w:color="auto"/>
            </w:tcBorders>
            <w:noWrap/>
            <w:vAlign w:val="bottom"/>
            <w:hideMark/>
          </w:tcPr>
          <w:p w14:paraId="76000A43" w14:textId="77777777" w:rsidR="00E42D89" w:rsidRPr="00E42D89" w:rsidRDefault="00E42D89" w:rsidP="002B0D41">
            <w:pPr>
              <w:spacing w:before="0" w:after="0"/>
              <w:jc w:val="left"/>
              <w:rPr>
                <w:rFonts w:eastAsia="Times New Roman" w:cs="Times New Roman"/>
                <w:color w:val="000000"/>
                <w:sz w:val="22"/>
                <w:lang w:val="en-IN" w:eastAsia="en-IN"/>
              </w:rPr>
            </w:pPr>
            <w:r w:rsidRPr="00E42D89">
              <w:rPr>
                <w:rFonts w:eastAsia="Times New Roman" w:cs="Times New Roman"/>
                <w:color w:val="000000"/>
                <w:sz w:val="22"/>
                <w:lang w:val="en-IN" w:eastAsia="en-IN"/>
              </w:rPr>
              <w:t> </w:t>
            </w:r>
          </w:p>
        </w:tc>
        <w:tc>
          <w:tcPr>
            <w:tcW w:w="1480" w:type="dxa"/>
            <w:tcBorders>
              <w:top w:val="nil"/>
              <w:left w:val="nil"/>
              <w:bottom w:val="single" w:sz="4" w:space="0" w:color="auto"/>
              <w:right w:val="single" w:sz="4" w:space="0" w:color="auto"/>
            </w:tcBorders>
            <w:noWrap/>
            <w:vAlign w:val="bottom"/>
            <w:hideMark/>
          </w:tcPr>
          <w:p w14:paraId="7A969C21" w14:textId="77777777" w:rsidR="00E42D89" w:rsidRPr="00E42D89" w:rsidRDefault="00E42D89" w:rsidP="002B0D41">
            <w:pPr>
              <w:spacing w:before="0" w:after="0"/>
              <w:jc w:val="left"/>
              <w:rPr>
                <w:rFonts w:eastAsia="Times New Roman" w:cs="Times New Roman"/>
                <w:color w:val="000000"/>
                <w:sz w:val="22"/>
                <w:lang w:val="en-IN" w:eastAsia="en-IN"/>
              </w:rPr>
            </w:pPr>
            <w:r w:rsidRPr="00E42D89">
              <w:rPr>
                <w:rFonts w:eastAsia="Times New Roman" w:cs="Times New Roman"/>
                <w:color w:val="000000"/>
                <w:sz w:val="22"/>
                <w:lang w:val="en-IN" w:eastAsia="en-IN"/>
              </w:rPr>
              <w:t> </w:t>
            </w:r>
          </w:p>
        </w:tc>
        <w:tc>
          <w:tcPr>
            <w:tcW w:w="1500" w:type="dxa"/>
            <w:tcBorders>
              <w:top w:val="nil"/>
              <w:left w:val="nil"/>
              <w:bottom w:val="single" w:sz="4" w:space="0" w:color="auto"/>
              <w:right w:val="single" w:sz="4" w:space="0" w:color="auto"/>
            </w:tcBorders>
            <w:noWrap/>
            <w:vAlign w:val="bottom"/>
            <w:hideMark/>
          </w:tcPr>
          <w:p w14:paraId="7EF09E7D" w14:textId="77777777" w:rsidR="00E42D89" w:rsidRPr="00E42D89" w:rsidRDefault="00E42D89" w:rsidP="002B0D41">
            <w:pPr>
              <w:spacing w:before="0" w:after="0"/>
              <w:jc w:val="left"/>
              <w:rPr>
                <w:rFonts w:eastAsia="Times New Roman" w:cs="Times New Roman"/>
                <w:color w:val="000000"/>
                <w:sz w:val="22"/>
                <w:lang w:val="en-IN" w:eastAsia="en-IN"/>
              </w:rPr>
            </w:pPr>
            <w:r w:rsidRPr="00E42D89">
              <w:rPr>
                <w:rFonts w:eastAsia="Times New Roman" w:cs="Times New Roman"/>
                <w:color w:val="000000"/>
                <w:sz w:val="22"/>
                <w:lang w:val="en-IN" w:eastAsia="en-IN"/>
              </w:rPr>
              <w:t> </w:t>
            </w:r>
          </w:p>
        </w:tc>
        <w:tc>
          <w:tcPr>
            <w:tcW w:w="2260" w:type="dxa"/>
            <w:tcBorders>
              <w:top w:val="nil"/>
              <w:left w:val="nil"/>
              <w:bottom w:val="single" w:sz="4" w:space="0" w:color="auto"/>
              <w:right w:val="single" w:sz="8" w:space="0" w:color="auto"/>
            </w:tcBorders>
            <w:noWrap/>
            <w:vAlign w:val="bottom"/>
            <w:hideMark/>
          </w:tcPr>
          <w:p w14:paraId="6FFD0F07" w14:textId="77777777" w:rsidR="00E42D89" w:rsidRPr="00E42D89" w:rsidRDefault="00E42D89" w:rsidP="002B0D41">
            <w:pPr>
              <w:spacing w:before="0" w:after="0"/>
              <w:jc w:val="left"/>
              <w:rPr>
                <w:rFonts w:eastAsia="Times New Roman" w:cs="Times New Roman"/>
                <w:color w:val="000000"/>
                <w:sz w:val="22"/>
                <w:lang w:val="en-IN" w:eastAsia="en-IN"/>
              </w:rPr>
            </w:pPr>
            <w:r w:rsidRPr="00E42D89">
              <w:rPr>
                <w:rFonts w:eastAsia="Times New Roman" w:cs="Times New Roman"/>
                <w:color w:val="000000"/>
                <w:sz w:val="22"/>
                <w:lang w:val="en-IN" w:eastAsia="en-IN"/>
              </w:rPr>
              <w:t> </w:t>
            </w:r>
          </w:p>
        </w:tc>
      </w:tr>
      <w:tr w:rsidR="00E42D89" w:rsidRPr="00E42D89" w14:paraId="2D7780D3" w14:textId="77777777" w:rsidTr="00E42D89">
        <w:trPr>
          <w:trHeight w:val="276"/>
        </w:trPr>
        <w:tc>
          <w:tcPr>
            <w:tcW w:w="2260" w:type="dxa"/>
            <w:tcBorders>
              <w:top w:val="nil"/>
              <w:left w:val="single" w:sz="8" w:space="0" w:color="auto"/>
              <w:bottom w:val="single" w:sz="4" w:space="0" w:color="auto"/>
              <w:right w:val="single" w:sz="4" w:space="0" w:color="auto"/>
            </w:tcBorders>
            <w:noWrap/>
            <w:vAlign w:val="bottom"/>
            <w:hideMark/>
          </w:tcPr>
          <w:p w14:paraId="76542534" w14:textId="77777777" w:rsidR="00E42D89" w:rsidRPr="00E42D89" w:rsidRDefault="00E42D89" w:rsidP="002B0D41">
            <w:pPr>
              <w:spacing w:before="0" w:after="0"/>
              <w:jc w:val="left"/>
              <w:rPr>
                <w:rFonts w:eastAsia="Times New Roman" w:cs="Times New Roman"/>
                <w:color w:val="000000"/>
                <w:sz w:val="22"/>
                <w:lang w:val="en-IN" w:eastAsia="en-IN"/>
              </w:rPr>
            </w:pPr>
            <w:r w:rsidRPr="00E42D89">
              <w:rPr>
                <w:rFonts w:eastAsia="Times New Roman" w:cs="Times New Roman"/>
                <w:color w:val="000000"/>
                <w:sz w:val="22"/>
                <w:lang w:val="en-IN" w:eastAsia="en-IN"/>
              </w:rPr>
              <w:t> </w:t>
            </w:r>
          </w:p>
        </w:tc>
        <w:tc>
          <w:tcPr>
            <w:tcW w:w="1500" w:type="dxa"/>
            <w:tcBorders>
              <w:top w:val="nil"/>
              <w:left w:val="nil"/>
              <w:bottom w:val="single" w:sz="4" w:space="0" w:color="auto"/>
              <w:right w:val="single" w:sz="4" w:space="0" w:color="auto"/>
            </w:tcBorders>
            <w:noWrap/>
            <w:vAlign w:val="bottom"/>
            <w:hideMark/>
          </w:tcPr>
          <w:p w14:paraId="15242325" w14:textId="77777777" w:rsidR="00E42D89" w:rsidRPr="00E42D89" w:rsidRDefault="00E42D89" w:rsidP="002B0D41">
            <w:pPr>
              <w:spacing w:before="0" w:after="0"/>
              <w:jc w:val="left"/>
              <w:rPr>
                <w:rFonts w:eastAsia="Times New Roman" w:cs="Times New Roman"/>
                <w:color w:val="000000"/>
                <w:sz w:val="22"/>
                <w:lang w:val="en-IN" w:eastAsia="en-IN"/>
              </w:rPr>
            </w:pPr>
            <w:r w:rsidRPr="00E42D89">
              <w:rPr>
                <w:rFonts w:eastAsia="Times New Roman" w:cs="Times New Roman"/>
                <w:color w:val="000000"/>
                <w:sz w:val="22"/>
                <w:lang w:val="en-IN" w:eastAsia="en-IN"/>
              </w:rPr>
              <w:t> </w:t>
            </w:r>
          </w:p>
        </w:tc>
        <w:tc>
          <w:tcPr>
            <w:tcW w:w="1480" w:type="dxa"/>
            <w:tcBorders>
              <w:top w:val="nil"/>
              <w:left w:val="nil"/>
              <w:bottom w:val="single" w:sz="4" w:space="0" w:color="auto"/>
              <w:right w:val="single" w:sz="4" w:space="0" w:color="auto"/>
            </w:tcBorders>
            <w:noWrap/>
            <w:vAlign w:val="bottom"/>
            <w:hideMark/>
          </w:tcPr>
          <w:p w14:paraId="2665019C" w14:textId="77777777" w:rsidR="00E42D89" w:rsidRPr="00E42D89" w:rsidRDefault="00E42D89" w:rsidP="002B0D41">
            <w:pPr>
              <w:spacing w:before="0" w:after="0"/>
              <w:jc w:val="left"/>
              <w:rPr>
                <w:rFonts w:eastAsia="Times New Roman" w:cs="Times New Roman"/>
                <w:color w:val="000000"/>
                <w:sz w:val="22"/>
                <w:lang w:val="en-IN" w:eastAsia="en-IN"/>
              </w:rPr>
            </w:pPr>
            <w:r w:rsidRPr="00E42D89">
              <w:rPr>
                <w:rFonts w:eastAsia="Times New Roman" w:cs="Times New Roman"/>
                <w:color w:val="000000"/>
                <w:sz w:val="22"/>
                <w:lang w:val="en-IN" w:eastAsia="en-IN"/>
              </w:rPr>
              <w:t> </w:t>
            </w:r>
          </w:p>
        </w:tc>
        <w:tc>
          <w:tcPr>
            <w:tcW w:w="1500" w:type="dxa"/>
            <w:tcBorders>
              <w:top w:val="nil"/>
              <w:left w:val="nil"/>
              <w:bottom w:val="single" w:sz="4" w:space="0" w:color="auto"/>
              <w:right w:val="single" w:sz="4" w:space="0" w:color="auto"/>
            </w:tcBorders>
            <w:noWrap/>
            <w:vAlign w:val="bottom"/>
            <w:hideMark/>
          </w:tcPr>
          <w:p w14:paraId="0BFB75DF" w14:textId="77777777" w:rsidR="00E42D89" w:rsidRPr="00E42D89" w:rsidRDefault="00E42D89" w:rsidP="002B0D41">
            <w:pPr>
              <w:spacing w:before="0" w:after="0"/>
              <w:jc w:val="left"/>
              <w:rPr>
                <w:rFonts w:eastAsia="Times New Roman" w:cs="Times New Roman"/>
                <w:color w:val="000000"/>
                <w:sz w:val="22"/>
                <w:lang w:val="en-IN" w:eastAsia="en-IN"/>
              </w:rPr>
            </w:pPr>
            <w:r w:rsidRPr="00E42D89">
              <w:rPr>
                <w:rFonts w:eastAsia="Times New Roman" w:cs="Times New Roman"/>
                <w:color w:val="000000"/>
                <w:sz w:val="22"/>
                <w:lang w:val="en-IN" w:eastAsia="en-IN"/>
              </w:rPr>
              <w:t> </w:t>
            </w:r>
          </w:p>
        </w:tc>
        <w:tc>
          <w:tcPr>
            <w:tcW w:w="2260" w:type="dxa"/>
            <w:tcBorders>
              <w:top w:val="nil"/>
              <w:left w:val="nil"/>
              <w:bottom w:val="single" w:sz="4" w:space="0" w:color="auto"/>
              <w:right w:val="single" w:sz="8" w:space="0" w:color="auto"/>
            </w:tcBorders>
            <w:noWrap/>
            <w:vAlign w:val="bottom"/>
            <w:hideMark/>
          </w:tcPr>
          <w:p w14:paraId="48E5A854" w14:textId="77777777" w:rsidR="00E42D89" w:rsidRPr="00E42D89" w:rsidRDefault="00E42D89" w:rsidP="002B0D41">
            <w:pPr>
              <w:spacing w:before="0" w:after="0"/>
              <w:jc w:val="left"/>
              <w:rPr>
                <w:rFonts w:eastAsia="Times New Roman" w:cs="Times New Roman"/>
                <w:color w:val="000000"/>
                <w:sz w:val="22"/>
                <w:lang w:val="en-IN" w:eastAsia="en-IN"/>
              </w:rPr>
            </w:pPr>
            <w:r w:rsidRPr="00E42D89">
              <w:rPr>
                <w:rFonts w:eastAsia="Times New Roman" w:cs="Times New Roman"/>
                <w:color w:val="000000"/>
                <w:sz w:val="22"/>
                <w:lang w:val="en-IN" w:eastAsia="en-IN"/>
              </w:rPr>
              <w:t> </w:t>
            </w:r>
          </w:p>
        </w:tc>
      </w:tr>
      <w:tr w:rsidR="00E42D89" w:rsidRPr="00E42D89" w14:paraId="7C76F8F7" w14:textId="77777777" w:rsidTr="00E42D89">
        <w:trPr>
          <w:trHeight w:val="408"/>
        </w:trPr>
        <w:tc>
          <w:tcPr>
            <w:tcW w:w="9000" w:type="dxa"/>
            <w:gridSpan w:val="5"/>
            <w:tcBorders>
              <w:top w:val="single" w:sz="4" w:space="0" w:color="auto"/>
              <w:left w:val="single" w:sz="8" w:space="0" w:color="auto"/>
              <w:bottom w:val="single" w:sz="4" w:space="0" w:color="auto"/>
              <w:right w:val="single" w:sz="8" w:space="0" w:color="000000"/>
            </w:tcBorders>
            <w:shd w:val="clear" w:color="auto" w:fill="4EA72E" w:themeFill="accent6"/>
            <w:noWrap/>
            <w:vAlign w:val="bottom"/>
            <w:hideMark/>
          </w:tcPr>
          <w:p w14:paraId="5C95DE1D" w14:textId="77777777" w:rsidR="00E42D89" w:rsidRPr="00E42D89" w:rsidRDefault="00E42D89" w:rsidP="002B0D41">
            <w:pPr>
              <w:spacing w:before="0" w:after="0"/>
              <w:jc w:val="center"/>
              <w:rPr>
                <w:rFonts w:eastAsia="Times New Roman" w:cs="Times New Roman"/>
                <w:b/>
                <w:bCs/>
                <w:color w:val="000000"/>
                <w:sz w:val="32"/>
                <w:szCs w:val="32"/>
                <w:lang w:val="en-IN" w:eastAsia="en-IN"/>
              </w:rPr>
            </w:pPr>
            <w:r w:rsidRPr="00E42D89">
              <w:rPr>
                <w:rFonts w:eastAsia="Times New Roman" w:cs="Times New Roman"/>
                <w:b/>
                <w:bCs/>
                <w:color w:val="000000"/>
                <w:sz w:val="32"/>
                <w:szCs w:val="32"/>
                <w:lang w:val="en-IN" w:eastAsia="en-IN"/>
              </w:rPr>
              <w:t>Final Investment Appraisal Results</w:t>
            </w:r>
          </w:p>
        </w:tc>
      </w:tr>
      <w:tr w:rsidR="00E42D89" w:rsidRPr="00E42D89" w14:paraId="69923E45"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7B3A1449" w14:textId="77777777" w:rsidR="00E42D89" w:rsidRPr="00E42D89" w:rsidRDefault="00E42D89" w:rsidP="002B0D41">
            <w:pPr>
              <w:spacing w:before="0" w:after="0"/>
              <w:jc w:val="center"/>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Appraisal Method</w:t>
            </w:r>
          </w:p>
        </w:tc>
        <w:tc>
          <w:tcPr>
            <w:tcW w:w="1500" w:type="dxa"/>
            <w:tcBorders>
              <w:top w:val="nil"/>
              <w:left w:val="nil"/>
              <w:bottom w:val="single" w:sz="4" w:space="0" w:color="auto"/>
              <w:right w:val="single" w:sz="4" w:space="0" w:color="auto"/>
            </w:tcBorders>
            <w:vAlign w:val="center"/>
            <w:hideMark/>
          </w:tcPr>
          <w:p w14:paraId="7E293EC2"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Project A</w:t>
            </w:r>
          </w:p>
        </w:tc>
        <w:tc>
          <w:tcPr>
            <w:tcW w:w="1480" w:type="dxa"/>
            <w:tcBorders>
              <w:top w:val="nil"/>
              <w:left w:val="nil"/>
              <w:bottom w:val="single" w:sz="4" w:space="0" w:color="auto"/>
              <w:right w:val="single" w:sz="4" w:space="0" w:color="auto"/>
            </w:tcBorders>
            <w:vAlign w:val="center"/>
            <w:hideMark/>
          </w:tcPr>
          <w:p w14:paraId="0F599DA1"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Project B</w:t>
            </w:r>
          </w:p>
        </w:tc>
        <w:tc>
          <w:tcPr>
            <w:tcW w:w="1500" w:type="dxa"/>
            <w:tcBorders>
              <w:top w:val="nil"/>
              <w:left w:val="nil"/>
              <w:bottom w:val="single" w:sz="4" w:space="0" w:color="auto"/>
              <w:right w:val="single" w:sz="4" w:space="0" w:color="auto"/>
            </w:tcBorders>
            <w:vAlign w:val="center"/>
            <w:hideMark/>
          </w:tcPr>
          <w:p w14:paraId="7C00D46B"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Project C</w:t>
            </w:r>
          </w:p>
        </w:tc>
        <w:tc>
          <w:tcPr>
            <w:tcW w:w="2260" w:type="dxa"/>
            <w:tcBorders>
              <w:top w:val="nil"/>
              <w:left w:val="nil"/>
              <w:bottom w:val="single" w:sz="4" w:space="0" w:color="auto"/>
              <w:right w:val="single" w:sz="8" w:space="0" w:color="auto"/>
            </w:tcBorders>
            <w:vAlign w:val="center"/>
            <w:hideMark/>
          </w:tcPr>
          <w:p w14:paraId="46E21025" w14:textId="77777777" w:rsidR="00E42D89" w:rsidRPr="00E42D89" w:rsidRDefault="00E42D89" w:rsidP="002B0D41">
            <w:pPr>
              <w:spacing w:before="0" w:after="0"/>
              <w:jc w:val="center"/>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Best</w:t>
            </w:r>
          </w:p>
        </w:tc>
      </w:tr>
      <w:tr w:rsidR="00E42D89" w:rsidRPr="00E42D89" w14:paraId="0689AEB0"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2A6BCD50" w14:textId="77777777" w:rsidR="00E42D89" w:rsidRPr="00E42D89" w:rsidRDefault="00E42D89" w:rsidP="002B0D41">
            <w:pPr>
              <w:spacing w:before="0" w:after="0"/>
              <w:jc w:val="lef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Payback Period</w:t>
            </w:r>
          </w:p>
        </w:tc>
        <w:tc>
          <w:tcPr>
            <w:tcW w:w="1500" w:type="dxa"/>
            <w:tcBorders>
              <w:top w:val="nil"/>
              <w:left w:val="nil"/>
              <w:bottom w:val="single" w:sz="4" w:space="0" w:color="auto"/>
              <w:right w:val="single" w:sz="4" w:space="0" w:color="auto"/>
            </w:tcBorders>
            <w:vAlign w:val="center"/>
            <w:hideMark/>
          </w:tcPr>
          <w:p w14:paraId="04B02D4A"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4.50 years</w:t>
            </w:r>
          </w:p>
        </w:tc>
        <w:tc>
          <w:tcPr>
            <w:tcW w:w="1480" w:type="dxa"/>
            <w:tcBorders>
              <w:top w:val="nil"/>
              <w:left w:val="nil"/>
              <w:bottom w:val="single" w:sz="4" w:space="0" w:color="auto"/>
              <w:right w:val="single" w:sz="4" w:space="0" w:color="auto"/>
            </w:tcBorders>
            <w:vAlign w:val="center"/>
            <w:hideMark/>
          </w:tcPr>
          <w:p w14:paraId="75C61E56"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4.55 years</w:t>
            </w:r>
          </w:p>
        </w:tc>
        <w:tc>
          <w:tcPr>
            <w:tcW w:w="1500" w:type="dxa"/>
            <w:tcBorders>
              <w:top w:val="nil"/>
              <w:left w:val="nil"/>
              <w:bottom w:val="single" w:sz="4" w:space="0" w:color="auto"/>
              <w:right w:val="single" w:sz="4" w:space="0" w:color="auto"/>
            </w:tcBorders>
            <w:vAlign w:val="center"/>
            <w:hideMark/>
          </w:tcPr>
          <w:p w14:paraId="4C86BAC2"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3.60 years</w:t>
            </w:r>
          </w:p>
        </w:tc>
        <w:tc>
          <w:tcPr>
            <w:tcW w:w="2260" w:type="dxa"/>
            <w:tcBorders>
              <w:top w:val="nil"/>
              <w:left w:val="nil"/>
              <w:bottom w:val="single" w:sz="4" w:space="0" w:color="auto"/>
              <w:right w:val="single" w:sz="8" w:space="0" w:color="auto"/>
            </w:tcBorders>
            <w:vAlign w:val="center"/>
            <w:hideMark/>
          </w:tcPr>
          <w:p w14:paraId="67B78582" w14:textId="77777777" w:rsidR="00E42D89" w:rsidRPr="00E42D89" w:rsidRDefault="00E42D89" w:rsidP="002B0D41">
            <w:pPr>
              <w:spacing w:before="0" w:after="0"/>
              <w:jc w:val="lef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Project C</w:t>
            </w:r>
          </w:p>
        </w:tc>
      </w:tr>
      <w:tr w:rsidR="00E42D89" w:rsidRPr="00E42D89" w14:paraId="435961AB"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6AFF3CF9" w14:textId="77777777" w:rsidR="00E42D89" w:rsidRPr="00E42D89" w:rsidRDefault="00E42D89" w:rsidP="002B0D41">
            <w:pPr>
              <w:spacing w:before="0" w:after="0"/>
              <w:jc w:val="lef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ARR</w:t>
            </w:r>
          </w:p>
        </w:tc>
        <w:tc>
          <w:tcPr>
            <w:tcW w:w="1500" w:type="dxa"/>
            <w:tcBorders>
              <w:top w:val="nil"/>
              <w:left w:val="nil"/>
              <w:bottom w:val="single" w:sz="4" w:space="0" w:color="auto"/>
              <w:right w:val="single" w:sz="4" w:space="0" w:color="auto"/>
            </w:tcBorders>
            <w:vAlign w:val="center"/>
            <w:hideMark/>
          </w:tcPr>
          <w:p w14:paraId="5CD30EA5"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3.20%</w:t>
            </w:r>
          </w:p>
        </w:tc>
        <w:tc>
          <w:tcPr>
            <w:tcW w:w="1480" w:type="dxa"/>
            <w:tcBorders>
              <w:top w:val="nil"/>
              <w:left w:val="nil"/>
              <w:bottom w:val="single" w:sz="4" w:space="0" w:color="auto"/>
              <w:right w:val="single" w:sz="4" w:space="0" w:color="auto"/>
            </w:tcBorders>
            <w:vAlign w:val="center"/>
            <w:hideMark/>
          </w:tcPr>
          <w:p w14:paraId="27E5C941"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4.00%</w:t>
            </w:r>
          </w:p>
        </w:tc>
        <w:tc>
          <w:tcPr>
            <w:tcW w:w="1500" w:type="dxa"/>
            <w:tcBorders>
              <w:top w:val="nil"/>
              <w:left w:val="nil"/>
              <w:bottom w:val="single" w:sz="4" w:space="0" w:color="auto"/>
              <w:right w:val="single" w:sz="4" w:space="0" w:color="auto"/>
            </w:tcBorders>
            <w:vAlign w:val="center"/>
            <w:hideMark/>
          </w:tcPr>
          <w:p w14:paraId="35667903"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12.00%</w:t>
            </w:r>
          </w:p>
        </w:tc>
        <w:tc>
          <w:tcPr>
            <w:tcW w:w="2260" w:type="dxa"/>
            <w:tcBorders>
              <w:top w:val="nil"/>
              <w:left w:val="nil"/>
              <w:bottom w:val="single" w:sz="4" w:space="0" w:color="auto"/>
              <w:right w:val="single" w:sz="8" w:space="0" w:color="auto"/>
            </w:tcBorders>
            <w:vAlign w:val="center"/>
            <w:hideMark/>
          </w:tcPr>
          <w:p w14:paraId="373D3CFC" w14:textId="77777777" w:rsidR="00E42D89" w:rsidRPr="00E42D89" w:rsidRDefault="00E42D89" w:rsidP="002B0D41">
            <w:pPr>
              <w:spacing w:before="0" w:after="0"/>
              <w:jc w:val="lef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Project C</w:t>
            </w:r>
          </w:p>
        </w:tc>
      </w:tr>
      <w:tr w:rsidR="00E42D89" w:rsidRPr="00E42D89" w14:paraId="728ADCE4"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5704B9F5" w14:textId="77777777" w:rsidR="00E42D89" w:rsidRPr="00E42D89" w:rsidRDefault="00E42D89" w:rsidP="002B0D41">
            <w:pPr>
              <w:spacing w:before="0" w:after="0"/>
              <w:jc w:val="lef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NPV @ 8%</w:t>
            </w:r>
          </w:p>
        </w:tc>
        <w:tc>
          <w:tcPr>
            <w:tcW w:w="1500" w:type="dxa"/>
            <w:tcBorders>
              <w:top w:val="nil"/>
              <w:left w:val="nil"/>
              <w:bottom w:val="single" w:sz="4" w:space="0" w:color="auto"/>
              <w:right w:val="single" w:sz="4" w:space="0" w:color="auto"/>
            </w:tcBorders>
            <w:vAlign w:val="center"/>
            <w:hideMark/>
          </w:tcPr>
          <w:p w14:paraId="6B5EC7DD"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-£6.54m</w:t>
            </w:r>
          </w:p>
        </w:tc>
        <w:tc>
          <w:tcPr>
            <w:tcW w:w="1480" w:type="dxa"/>
            <w:tcBorders>
              <w:top w:val="nil"/>
              <w:left w:val="nil"/>
              <w:bottom w:val="single" w:sz="4" w:space="0" w:color="auto"/>
              <w:right w:val="single" w:sz="4" w:space="0" w:color="auto"/>
            </w:tcBorders>
            <w:vAlign w:val="center"/>
            <w:hideMark/>
          </w:tcPr>
          <w:p w14:paraId="2E265DA6"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-£6.08m</w:t>
            </w:r>
          </w:p>
        </w:tc>
        <w:tc>
          <w:tcPr>
            <w:tcW w:w="1500" w:type="dxa"/>
            <w:tcBorders>
              <w:top w:val="nil"/>
              <w:left w:val="nil"/>
              <w:bottom w:val="single" w:sz="4" w:space="0" w:color="auto"/>
              <w:right w:val="single" w:sz="4" w:space="0" w:color="auto"/>
            </w:tcBorders>
            <w:vAlign w:val="center"/>
            <w:hideMark/>
          </w:tcPr>
          <w:p w14:paraId="10E38698"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+£0.86m</w:t>
            </w:r>
          </w:p>
        </w:tc>
        <w:tc>
          <w:tcPr>
            <w:tcW w:w="2260" w:type="dxa"/>
            <w:tcBorders>
              <w:top w:val="nil"/>
              <w:left w:val="nil"/>
              <w:bottom w:val="single" w:sz="4" w:space="0" w:color="auto"/>
              <w:right w:val="single" w:sz="8" w:space="0" w:color="auto"/>
            </w:tcBorders>
            <w:vAlign w:val="center"/>
            <w:hideMark/>
          </w:tcPr>
          <w:p w14:paraId="03AF2E2B" w14:textId="77777777" w:rsidR="00E42D89" w:rsidRPr="00E42D89" w:rsidRDefault="00E42D89" w:rsidP="002B0D41">
            <w:pPr>
              <w:spacing w:before="0" w:after="0"/>
              <w:jc w:val="lef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Project C</w:t>
            </w:r>
          </w:p>
        </w:tc>
      </w:tr>
      <w:tr w:rsidR="00E42D89" w:rsidRPr="00E42D89" w14:paraId="04977023" w14:textId="77777777" w:rsidTr="00E42D89">
        <w:trPr>
          <w:trHeight w:val="276"/>
        </w:trPr>
        <w:tc>
          <w:tcPr>
            <w:tcW w:w="2260" w:type="dxa"/>
            <w:tcBorders>
              <w:top w:val="nil"/>
              <w:left w:val="single" w:sz="8" w:space="0" w:color="auto"/>
              <w:bottom w:val="single" w:sz="4" w:space="0" w:color="auto"/>
              <w:right w:val="single" w:sz="4" w:space="0" w:color="auto"/>
            </w:tcBorders>
            <w:vAlign w:val="center"/>
            <w:hideMark/>
          </w:tcPr>
          <w:p w14:paraId="54491CA6" w14:textId="77777777" w:rsidR="00E42D89" w:rsidRPr="00E42D89" w:rsidRDefault="00E42D89" w:rsidP="002B0D41">
            <w:pPr>
              <w:spacing w:before="0" w:after="0"/>
              <w:jc w:val="lef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Profitability Index (PI)</w:t>
            </w:r>
          </w:p>
        </w:tc>
        <w:tc>
          <w:tcPr>
            <w:tcW w:w="1500" w:type="dxa"/>
            <w:tcBorders>
              <w:top w:val="nil"/>
              <w:left w:val="nil"/>
              <w:bottom w:val="single" w:sz="4" w:space="0" w:color="auto"/>
              <w:right w:val="single" w:sz="4" w:space="0" w:color="auto"/>
            </w:tcBorders>
            <w:vAlign w:val="center"/>
            <w:hideMark/>
          </w:tcPr>
          <w:p w14:paraId="13DCF608"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0.869</w:t>
            </w:r>
          </w:p>
        </w:tc>
        <w:tc>
          <w:tcPr>
            <w:tcW w:w="1480" w:type="dxa"/>
            <w:tcBorders>
              <w:top w:val="nil"/>
              <w:left w:val="nil"/>
              <w:bottom w:val="single" w:sz="4" w:space="0" w:color="auto"/>
              <w:right w:val="single" w:sz="4" w:space="0" w:color="auto"/>
            </w:tcBorders>
            <w:vAlign w:val="center"/>
            <w:hideMark/>
          </w:tcPr>
          <w:p w14:paraId="1ED74FB3"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0.878</w:t>
            </w:r>
          </w:p>
        </w:tc>
        <w:tc>
          <w:tcPr>
            <w:tcW w:w="1500" w:type="dxa"/>
            <w:tcBorders>
              <w:top w:val="nil"/>
              <w:left w:val="nil"/>
              <w:bottom w:val="single" w:sz="4" w:space="0" w:color="auto"/>
              <w:right w:val="single" w:sz="4" w:space="0" w:color="auto"/>
            </w:tcBorders>
            <w:vAlign w:val="center"/>
            <w:hideMark/>
          </w:tcPr>
          <w:p w14:paraId="451941BF"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1.017</w:t>
            </w:r>
          </w:p>
        </w:tc>
        <w:tc>
          <w:tcPr>
            <w:tcW w:w="2260" w:type="dxa"/>
            <w:tcBorders>
              <w:top w:val="nil"/>
              <w:left w:val="nil"/>
              <w:bottom w:val="single" w:sz="4" w:space="0" w:color="auto"/>
              <w:right w:val="single" w:sz="8" w:space="0" w:color="auto"/>
            </w:tcBorders>
            <w:vAlign w:val="center"/>
            <w:hideMark/>
          </w:tcPr>
          <w:p w14:paraId="74FC0D4E" w14:textId="77777777" w:rsidR="00E42D89" w:rsidRPr="00E42D89" w:rsidRDefault="00E42D89" w:rsidP="002B0D41">
            <w:pPr>
              <w:spacing w:before="0" w:after="0"/>
              <w:jc w:val="lef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Project C</w:t>
            </w:r>
          </w:p>
        </w:tc>
      </w:tr>
      <w:tr w:rsidR="00E42D89" w:rsidRPr="00E42D89" w14:paraId="0896C74D" w14:textId="77777777" w:rsidTr="00E42D89">
        <w:trPr>
          <w:trHeight w:val="288"/>
        </w:trPr>
        <w:tc>
          <w:tcPr>
            <w:tcW w:w="2260" w:type="dxa"/>
            <w:tcBorders>
              <w:top w:val="nil"/>
              <w:left w:val="single" w:sz="8" w:space="0" w:color="auto"/>
              <w:bottom w:val="single" w:sz="8" w:space="0" w:color="auto"/>
              <w:right w:val="single" w:sz="4" w:space="0" w:color="auto"/>
            </w:tcBorders>
            <w:vAlign w:val="center"/>
            <w:hideMark/>
          </w:tcPr>
          <w:p w14:paraId="40B59980" w14:textId="77777777" w:rsidR="00E42D89" w:rsidRPr="00E42D89" w:rsidRDefault="00E42D89" w:rsidP="002B0D41">
            <w:pPr>
              <w:spacing w:before="0" w:after="0"/>
              <w:jc w:val="lef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IRR</w:t>
            </w:r>
          </w:p>
        </w:tc>
        <w:tc>
          <w:tcPr>
            <w:tcW w:w="1500" w:type="dxa"/>
            <w:tcBorders>
              <w:top w:val="nil"/>
              <w:left w:val="nil"/>
              <w:bottom w:val="single" w:sz="8" w:space="0" w:color="auto"/>
              <w:right w:val="single" w:sz="4" w:space="0" w:color="auto"/>
            </w:tcBorders>
            <w:vAlign w:val="center"/>
            <w:hideMark/>
          </w:tcPr>
          <w:p w14:paraId="11CE927A"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2.72%</w:t>
            </w:r>
          </w:p>
        </w:tc>
        <w:tc>
          <w:tcPr>
            <w:tcW w:w="1480" w:type="dxa"/>
            <w:tcBorders>
              <w:top w:val="nil"/>
              <w:left w:val="nil"/>
              <w:bottom w:val="single" w:sz="8" w:space="0" w:color="auto"/>
              <w:right w:val="single" w:sz="4" w:space="0" w:color="auto"/>
            </w:tcBorders>
            <w:vAlign w:val="center"/>
            <w:hideMark/>
          </w:tcPr>
          <w:p w14:paraId="3CD61708"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3.26%</w:t>
            </w:r>
          </w:p>
        </w:tc>
        <w:tc>
          <w:tcPr>
            <w:tcW w:w="1500" w:type="dxa"/>
            <w:tcBorders>
              <w:top w:val="nil"/>
              <w:left w:val="nil"/>
              <w:bottom w:val="single" w:sz="8" w:space="0" w:color="auto"/>
              <w:right w:val="single" w:sz="4" w:space="0" w:color="auto"/>
            </w:tcBorders>
            <w:vAlign w:val="center"/>
            <w:hideMark/>
          </w:tcPr>
          <w:p w14:paraId="7C3E5708" w14:textId="77777777" w:rsidR="00E42D89" w:rsidRPr="00E42D89" w:rsidRDefault="00E42D89" w:rsidP="002B0D41">
            <w:pPr>
              <w:spacing w:before="0" w:after="0"/>
              <w:jc w:val="righ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8.59%</w:t>
            </w:r>
          </w:p>
        </w:tc>
        <w:tc>
          <w:tcPr>
            <w:tcW w:w="2260" w:type="dxa"/>
            <w:tcBorders>
              <w:top w:val="nil"/>
              <w:left w:val="nil"/>
              <w:bottom w:val="single" w:sz="8" w:space="0" w:color="auto"/>
              <w:right w:val="single" w:sz="8" w:space="0" w:color="auto"/>
            </w:tcBorders>
            <w:vAlign w:val="center"/>
            <w:hideMark/>
          </w:tcPr>
          <w:p w14:paraId="7E9DD8E5" w14:textId="77777777" w:rsidR="00E42D89" w:rsidRPr="00E42D89" w:rsidRDefault="00E42D89" w:rsidP="002B0D41">
            <w:pPr>
              <w:spacing w:before="0" w:after="0"/>
              <w:jc w:val="left"/>
              <w:rPr>
                <w:rFonts w:eastAsia="Times New Roman" w:cs="Times New Roman"/>
                <w:b/>
                <w:bCs/>
                <w:color w:val="000000"/>
                <w:sz w:val="22"/>
                <w:lang w:val="en-IN" w:eastAsia="en-IN"/>
              </w:rPr>
            </w:pPr>
            <w:r w:rsidRPr="00E42D89">
              <w:rPr>
                <w:rFonts w:eastAsia="Times New Roman" w:cs="Times New Roman"/>
                <w:b/>
                <w:bCs/>
                <w:color w:val="000000"/>
                <w:sz w:val="22"/>
                <w:lang w:val="en-IN" w:eastAsia="en-IN"/>
              </w:rPr>
              <w:t>Project C</w:t>
            </w:r>
          </w:p>
        </w:tc>
      </w:tr>
    </w:tbl>
    <w:p w14:paraId="1A331EB5" w14:textId="77777777" w:rsidR="00E42D89" w:rsidRDefault="00E42D89" w:rsidP="002B0D41"/>
    <w:p w14:paraId="15D9BF12" w14:textId="77777777" w:rsidR="00E42D89" w:rsidRDefault="00E42D89" w:rsidP="002B0D41"/>
    <w:p w14:paraId="769304F2" w14:textId="77777777" w:rsidR="009A093A" w:rsidRDefault="009A093A" w:rsidP="002B0D41"/>
    <w:p w14:paraId="1079B2C5" w14:textId="77777777" w:rsidR="00044448" w:rsidRDefault="00044448" w:rsidP="002B0D41"/>
    <w:p w14:paraId="3173DFC0" w14:textId="77777777" w:rsidR="00485B85" w:rsidRDefault="00485B85" w:rsidP="002B0D41"/>
    <w:p w14:paraId="1FD7CD72" w14:textId="77777777" w:rsidR="0017493B" w:rsidRDefault="0017493B" w:rsidP="002B0D41"/>
    <w:sectPr w:rsidR="0017493B" w:rsidSect="004242CF">
      <w:footerReference w:type="defaul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39092" w14:textId="77777777" w:rsidR="00D73F7B" w:rsidRDefault="00D73F7B" w:rsidP="004242CF">
      <w:pPr>
        <w:spacing w:before="0" w:after="0" w:line="240" w:lineRule="auto"/>
      </w:pPr>
      <w:r>
        <w:separator/>
      </w:r>
    </w:p>
  </w:endnote>
  <w:endnote w:type="continuationSeparator" w:id="0">
    <w:p w14:paraId="34DD2832" w14:textId="77777777" w:rsidR="00D73F7B" w:rsidRDefault="00D73F7B" w:rsidP="004242C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03064"/>
      <w:docPartObj>
        <w:docPartGallery w:val="Page Numbers (Bottom of Page)"/>
        <w:docPartUnique/>
      </w:docPartObj>
    </w:sdtPr>
    <w:sdtEndPr>
      <w:rPr>
        <w:noProof/>
      </w:rPr>
    </w:sdtEndPr>
    <w:sdtContent>
      <w:p w14:paraId="5BF57746" w14:textId="206FE2F6" w:rsidR="004242CF" w:rsidRDefault="004242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45D46D" w14:textId="77777777" w:rsidR="004242CF" w:rsidRDefault="00424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A4E29" w14:textId="77777777" w:rsidR="00D73F7B" w:rsidRDefault="00D73F7B" w:rsidP="004242CF">
      <w:pPr>
        <w:spacing w:before="0" w:after="0" w:line="240" w:lineRule="auto"/>
      </w:pPr>
      <w:r>
        <w:separator/>
      </w:r>
    </w:p>
  </w:footnote>
  <w:footnote w:type="continuationSeparator" w:id="0">
    <w:p w14:paraId="5DD8AB5A" w14:textId="77777777" w:rsidR="00D73F7B" w:rsidRDefault="00D73F7B" w:rsidP="004242C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S0NLYwNzcHMgzMjJV0lIJTi4sz8/NACoxqAdlRUBwsAAAA"/>
  </w:docVars>
  <w:rsids>
    <w:rsidRoot w:val="00072BEC"/>
    <w:rsid w:val="000232DC"/>
    <w:rsid w:val="00044448"/>
    <w:rsid w:val="000616E4"/>
    <w:rsid w:val="00062562"/>
    <w:rsid w:val="00072BEC"/>
    <w:rsid w:val="00073CB3"/>
    <w:rsid w:val="0008518B"/>
    <w:rsid w:val="000A182D"/>
    <w:rsid w:val="000B4694"/>
    <w:rsid w:val="000D0B00"/>
    <w:rsid w:val="000E2428"/>
    <w:rsid w:val="000F5940"/>
    <w:rsid w:val="00104E32"/>
    <w:rsid w:val="00107210"/>
    <w:rsid w:val="00111455"/>
    <w:rsid w:val="00137623"/>
    <w:rsid w:val="0015135F"/>
    <w:rsid w:val="00152169"/>
    <w:rsid w:val="0017493B"/>
    <w:rsid w:val="00181BAA"/>
    <w:rsid w:val="00186824"/>
    <w:rsid w:val="001D06AE"/>
    <w:rsid w:val="001D799D"/>
    <w:rsid w:val="001F3529"/>
    <w:rsid w:val="0020671D"/>
    <w:rsid w:val="00225642"/>
    <w:rsid w:val="002260E5"/>
    <w:rsid w:val="002467FB"/>
    <w:rsid w:val="0025707B"/>
    <w:rsid w:val="002943FE"/>
    <w:rsid w:val="002A2C08"/>
    <w:rsid w:val="002B0D41"/>
    <w:rsid w:val="002E4E2B"/>
    <w:rsid w:val="00307904"/>
    <w:rsid w:val="00316CD9"/>
    <w:rsid w:val="00326378"/>
    <w:rsid w:val="00326A7D"/>
    <w:rsid w:val="00332720"/>
    <w:rsid w:val="0034423F"/>
    <w:rsid w:val="0039134C"/>
    <w:rsid w:val="003B5185"/>
    <w:rsid w:val="003B7BBA"/>
    <w:rsid w:val="003D1084"/>
    <w:rsid w:val="004158D7"/>
    <w:rsid w:val="004242CF"/>
    <w:rsid w:val="004556DD"/>
    <w:rsid w:val="004609BF"/>
    <w:rsid w:val="00485B85"/>
    <w:rsid w:val="004B40A1"/>
    <w:rsid w:val="004C6C68"/>
    <w:rsid w:val="004E3121"/>
    <w:rsid w:val="00507FF4"/>
    <w:rsid w:val="00512BB5"/>
    <w:rsid w:val="0053665F"/>
    <w:rsid w:val="00542324"/>
    <w:rsid w:val="005512BC"/>
    <w:rsid w:val="005739A4"/>
    <w:rsid w:val="00593E32"/>
    <w:rsid w:val="005940CD"/>
    <w:rsid w:val="005B0EDA"/>
    <w:rsid w:val="005C4D10"/>
    <w:rsid w:val="005F33CF"/>
    <w:rsid w:val="005F6B77"/>
    <w:rsid w:val="00600139"/>
    <w:rsid w:val="0061657E"/>
    <w:rsid w:val="006233C9"/>
    <w:rsid w:val="0065561B"/>
    <w:rsid w:val="0065765D"/>
    <w:rsid w:val="00664782"/>
    <w:rsid w:val="0067790E"/>
    <w:rsid w:val="0069152A"/>
    <w:rsid w:val="006D3BF2"/>
    <w:rsid w:val="006F262D"/>
    <w:rsid w:val="006F366A"/>
    <w:rsid w:val="00710D53"/>
    <w:rsid w:val="00717148"/>
    <w:rsid w:val="00724FD6"/>
    <w:rsid w:val="007251E7"/>
    <w:rsid w:val="007516B6"/>
    <w:rsid w:val="00761109"/>
    <w:rsid w:val="0076655B"/>
    <w:rsid w:val="007960F6"/>
    <w:rsid w:val="007B2064"/>
    <w:rsid w:val="007C400D"/>
    <w:rsid w:val="007E3F74"/>
    <w:rsid w:val="0080713C"/>
    <w:rsid w:val="00834B2F"/>
    <w:rsid w:val="008A12BD"/>
    <w:rsid w:val="008A2FB1"/>
    <w:rsid w:val="008C5D49"/>
    <w:rsid w:val="008D57D5"/>
    <w:rsid w:val="008E7FD4"/>
    <w:rsid w:val="009056E5"/>
    <w:rsid w:val="00921676"/>
    <w:rsid w:val="00935785"/>
    <w:rsid w:val="00946252"/>
    <w:rsid w:val="00950759"/>
    <w:rsid w:val="0096322F"/>
    <w:rsid w:val="00967C5E"/>
    <w:rsid w:val="00977E83"/>
    <w:rsid w:val="009874D5"/>
    <w:rsid w:val="009A093A"/>
    <w:rsid w:val="009B08EA"/>
    <w:rsid w:val="009C588E"/>
    <w:rsid w:val="009D0D8E"/>
    <w:rsid w:val="009D4F0B"/>
    <w:rsid w:val="009F2653"/>
    <w:rsid w:val="00A02F3D"/>
    <w:rsid w:val="00A06ED3"/>
    <w:rsid w:val="00A12997"/>
    <w:rsid w:val="00A40FD2"/>
    <w:rsid w:val="00A61997"/>
    <w:rsid w:val="00A74D24"/>
    <w:rsid w:val="00A80F7A"/>
    <w:rsid w:val="00A84928"/>
    <w:rsid w:val="00AA260D"/>
    <w:rsid w:val="00AB6058"/>
    <w:rsid w:val="00AC1B2F"/>
    <w:rsid w:val="00AC67C8"/>
    <w:rsid w:val="00AC6CAA"/>
    <w:rsid w:val="00AD107C"/>
    <w:rsid w:val="00AF1B57"/>
    <w:rsid w:val="00B06C35"/>
    <w:rsid w:val="00B27B47"/>
    <w:rsid w:val="00B35CC7"/>
    <w:rsid w:val="00B60C51"/>
    <w:rsid w:val="00B953A0"/>
    <w:rsid w:val="00BF6021"/>
    <w:rsid w:val="00C00724"/>
    <w:rsid w:val="00C153B1"/>
    <w:rsid w:val="00C210AC"/>
    <w:rsid w:val="00C27955"/>
    <w:rsid w:val="00C50280"/>
    <w:rsid w:val="00C50F5A"/>
    <w:rsid w:val="00C77653"/>
    <w:rsid w:val="00C87789"/>
    <w:rsid w:val="00C95932"/>
    <w:rsid w:val="00CB2DA4"/>
    <w:rsid w:val="00CC3ADB"/>
    <w:rsid w:val="00CD5048"/>
    <w:rsid w:val="00CD7124"/>
    <w:rsid w:val="00CE5808"/>
    <w:rsid w:val="00CF020C"/>
    <w:rsid w:val="00D165FA"/>
    <w:rsid w:val="00D1748F"/>
    <w:rsid w:val="00D21E6D"/>
    <w:rsid w:val="00D32348"/>
    <w:rsid w:val="00D4403F"/>
    <w:rsid w:val="00D50E1E"/>
    <w:rsid w:val="00D522A9"/>
    <w:rsid w:val="00D527AC"/>
    <w:rsid w:val="00D659D1"/>
    <w:rsid w:val="00D73F7B"/>
    <w:rsid w:val="00D93AA0"/>
    <w:rsid w:val="00DA6025"/>
    <w:rsid w:val="00DC288A"/>
    <w:rsid w:val="00DD01A3"/>
    <w:rsid w:val="00DE7EAC"/>
    <w:rsid w:val="00DF6A52"/>
    <w:rsid w:val="00E02C72"/>
    <w:rsid w:val="00E06908"/>
    <w:rsid w:val="00E14D6F"/>
    <w:rsid w:val="00E21F65"/>
    <w:rsid w:val="00E2593F"/>
    <w:rsid w:val="00E272F5"/>
    <w:rsid w:val="00E40174"/>
    <w:rsid w:val="00E4034F"/>
    <w:rsid w:val="00E42D89"/>
    <w:rsid w:val="00E62FB9"/>
    <w:rsid w:val="00E74CC7"/>
    <w:rsid w:val="00E8312A"/>
    <w:rsid w:val="00E91C3F"/>
    <w:rsid w:val="00EA2FD8"/>
    <w:rsid w:val="00EA343D"/>
    <w:rsid w:val="00EB04B3"/>
    <w:rsid w:val="00EE10DA"/>
    <w:rsid w:val="00EF60B5"/>
    <w:rsid w:val="00F12799"/>
    <w:rsid w:val="00F14F81"/>
    <w:rsid w:val="00F17CC5"/>
    <w:rsid w:val="00F241E6"/>
    <w:rsid w:val="00F360E9"/>
    <w:rsid w:val="00F56C94"/>
    <w:rsid w:val="00F62F2F"/>
    <w:rsid w:val="00F979CB"/>
    <w:rsid w:val="00FA57B8"/>
    <w:rsid w:val="00FB0505"/>
    <w:rsid w:val="00FB30E2"/>
    <w:rsid w:val="00FC10B0"/>
    <w:rsid w:val="00FF0838"/>
    <w:rsid w:val="00FF0F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78F82"/>
  <w15:chartTrackingRefBased/>
  <w15:docId w15:val="{B9B82A6A-D977-4597-B980-3061A6557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428"/>
    <w:pPr>
      <w:spacing w:before="120" w:after="120"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072BEC"/>
    <w:pPr>
      <w:keepNext/>
      <w:keepLines/>
      <w:outlineLvl w:val="0"/>
    </w:pPr>
    <w:rPr>
      <w:rFonts w:eastAsiaTheme="majorEastAsia"/>
      <w:b/>
      <w:bCs/>
      <w:color w:val="000000" w:themeColor="text1"/>
      <w:kern w:val="36"/>
      <w:szCs w:val="48"/>
      <w:lang w:val="en-IN" w:eastAsia="en-IN"/>
    </w:rPr>
  </w:style>
  <w:style w:type="paragraph" w:styleId="Heading2">
    <w:name w:val="heading 2"/>
    <w:basedOn w:val="Normal"/>
    <w:next w:val="Normal"/>
    <w:link w:val="Heading2Char"/>
    <w:autoRedefine/>
    <w:uiPriority w:val="9"/>
    <w:unhideWhenUsed/>
    <w:qFormat/>
    <w:rsid w:val="00072BEC"/>
    <w:pPr>
      <w:keepNext/>
      <w:keepLines/>
      <w:outlineLvl w:val="1"/>
    </w:pPr>
    <w:rPr>
      <w:rFonts w:eastAsiaTheme="majorEastAsia" w:cstheme="majorBidi"/>
      <w:szCs w:val="32"/>
      <w:u w:val="single"/>
    </w:rPr>
  </w:style>
  <w:style w:type="paragraph" w:styleId="Heading3">
    <w:name w:val="heading 3"/>
    <w:basedOn w:val="Normal"/>
    <w:next w:val="Normal"/>
    <w:link w:val="Heading3Char"/>
    <w:uiPriority w:val="9"/>
    <w:unhideWhenUsed/>
    <w:qFormat/>
    <w:rsid w:val="00600139"/>
    <w:pPr>
      <w:keepNext/>
      <w:keepLines/>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072BE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72BE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72BE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72BE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72BEC"/>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72BEC"/>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BEC"/>
    <w:rPr>
      <w:rFonts w:ascii="Times New Roman" w:eastAsiaTheme="majorEastAsia" w:hAnsi="Times New Roman"/>
      <w:b/>
      <w:bCs/>
      <w:color w:val="000000" w:themeColor="text1"/>
      <w:kern w:val="36"/>
      <w:sz w:val="24"/>
      <w:szCs w:val="48"/>
      <w:lang w:eastAsia="en-IN"/>
    </w:rPr>
  </w:style>
  <w:style w:type="character" w:customStyle="1" w:styleId="Heading2Char">
    <w:name w:val="Heading 2 Char"/>
    <w:basedOn w:val="DefaultParagraphFont"/>
    <w:link w:val="Heading2"/>
    <w:uiPriority w:val="9"/>
    <w:rsid w:val="00072BEC"/>
    <w:rPr>
      <w:rFonts w:ascii="Times New Roman" w:eastAsiaTheme="majorEastAsia" w:hAnsi="Times New Roman" w:cstheme="majorBidi"/>
      <w:sz w:val="24"/>
      <w:szCs w:val="32"/>
      <w:u w:val="single"/>
      <w:lang w:val="en-GB"/>
    </w:rPr>
  </w:style>
  <w:style w:type="paragraph" w:styleId="BodyText">
    <w:name w:val="Body Text"/>
    <w:basedOn w:val="Normal"/>
    <w:link w:val="BodyTextChar"/>
    <w:uiPriority w:val="1"/>
    <w:qFormat/>
    <w:rsid w:val="00C77653"/>
    <w:pPr>
      <w:widowControl w:val="0"/>
      <w:autoSpaceDE w:val="0"/>
      <w:autoSpaceDN w:val="0"/>
    </w:pPr>
    <w:rPr>
      <w:sz w:val="22"/>
      <w:lang w:val="en-US"/>
    </w:rPr>
  </w:style>
  <w:style w:type="character" w:customStyle="1" w:styleId="BodyTextChar">
    <w:name w:val="Body Text Char"/>
    <w:basedOn w:val="DefaultParagraphFont"/>
    <w:link w:val="BodyText"/>
    <w:uiPriority w:val="1"/>
    <w:rsid w:val="00C77653"/>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rsid w:val="00600139"/>
    <w:rPr>
      <w:rFonts w:ascii="Times New Roman" w:eastAsiaTheme="majorEastAsia" w:hAnsi="Times New Roman" w:cstheme="majorBidi"/>
      <w:b/>
      <w:i/>
      <w:color w:val="000000" w:themeColor="text1"/>
      <w:kern w:val="2"/>
      <w:sz w:val="24"/>
      <w:szCs w:val="28"/>
      <w14:ligatures w14:val="standardContextual"/>
    </w:rPr>
  </w:style>
  <w:style w:type="character" w:customStyle="1" w:styleId="Heading4Char">
    <w:name w:val="Heading 4 Char"/>
    <w:basedOn w:val="DefaultParagraphFont"/>
    <w:link w:val="Heading4"/>
    <w:uiPriority w:val="9"/>
    <w:semiHidden/>
    <w:rsid w:val="00072BEC"/>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072BEC"/>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072BEC"/>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072BEC"/>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072BEC"/>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072BEC"/>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072BEC"/>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BE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72BE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BE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72BE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72BEC"/>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072BEC"/>
    <w:pPr>
      <w:ind w:left="720"/>
      <w:contextualSpacing/>
    </w:pPr>
  </w:style>
  <w:style w:type="character" w:styleId="IntenseEmphasis">
    <w:name w:val="Intense Emphasis"/>
    <w:basedOn w:val="DefaultParagraphFont"/>
    <w:uiPriority w:val="21"/>
    <w:qFormat/>
    <w:rsid w:val="00072BEC"/>
    <w:rPr>
      <w:i/>
      <w:iCs/>
      <w:color w:val="0F4761" w:themeColor="accent1" w:themeShade="BF"/>
    </w:rPr>
  </w:style>
  <w:style w:type="paragraph" w:styleId="IntenseQuote">
    <w:name w:val="Intense Quote"/>
    <w:basedOn w:val="Normal"/>
    <w:next w:val="Normal"/>
    <w:link w:val="IntenseQuoteChar"/>
    <w:uiPriority w:val="30"/>
    <w:qFormat/>
    <w:rsid w:val="00072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BEC"/>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072BEC"/>
    <w:rPr>
      <w:b/>
      <w:bCs/>
      <w:smallCaps/>
      <w:color w:val="0F4761" w:themeColor="accent1" w:themeShade="BF"/>
      <w:spacing w:val="5"/>
    </w:rPr>
  </w:style>
  <w:style w:type="paragraph" w:styleId="Caption">
    <w:name w:val="caption"/>
    <w:basedOn w:val="Normal"/>
    <w:next w:val="Normal"/>
    <w:uiPriority w:val="35"/>
    <w:unhideWhenUsed/>
    <w:qFormat/>
    <w:rsid w:val="00072BEC"/>
    <w:pPr>
      <w:spacing w:before="0" w:after="200" w:line="240" w:lineRule="auto"/>
    </w:pPr>
    <w:rPr>
      <w:i/>
      <w:iCs/>
      <w:color w:val="0E2841" w:themeColor="text2"/>
      <w:sz w:val="18"/>
      <w:szCs w:val="18"/>
    </w:rPr>
  </w:style>
  <w:style w:type="paragraph" w:styleId="Header">
    <w:name w:val="header"/>
    <w:basedOn w:val="Normal"/>
    <w:link w:val="HeaderChar"/>
    <w:uiPriority w:val="99"/>
    <w:unhideWhenUsed/>
    <w:rsid w:val="004242C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242CF"/>
    <w:rPr>
      <w:rFonts w:ascii="Times New Roman" w:hAnsi="Times New Roman"/>
      <w:sz w:val="24"/>
      <w:lang w:val="en-GB"/>
    </w:rPr>
  </w:style>
  <w:style w:type="paragraph" w:styleId="Footer">
    <w:name w:val="footer"/>
    <w:basedOn w:val="Normal"/>
    <w:link w:val="FooterChar"/>
    <w:uiPriority w:val="99"/>
    <w:unhideWhenUsed/>
    <w:rsid w:val="004242C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242CF"/>
    <w:rPr>
      <w:rFonts w:ascii="Times New Roman" w:hAnsi="Times New Roman"/>
      <w:sz w:val="24"/>
      <w:lang w:val="en-GB"/>
    </w:rPr>
  </w:style>
  <w:style w:type="paragraph" w:styleId="NoSpacing">
    <w:name w:val="No Spacing"/>
    <w:uiPriority w:val="1"/>
    <w:qFormat/>
    <w:rsid w:val="0017493B"/>
    <w:pPr>
      <w:spacing w:after="0" w:line="240" w:lineRule="auto"/>
      <w:jc w:val="both"/>
    </w:pPr>
    <w:rPr>
      <w:rFonts w:ascii="Times New Roman" w:hAnsi="Times New Roman"/>
      <w:sz w:val="24"/>
      <w:lang w:val="en-GB"/>
    </w:rPr>
  </w:style>
  <w:style w:type="table" w:styleId="ListTable3-Accent6">
    <w:name w:val="List Table 3 Accent 6"/>
    <w:basedOn w:val="TableNormal"/>
    <w:uiPriority w:val="48"/>
    <w:rsid w:val="0017493B"/>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styleId="TOCHeading">
    <w:name w:val="TOC Heading"/>
    <w:basedOn w:val="Heading1"/>
    <w:next w:val="Normal"/>
    <w:uiPriority w:val="39"/>
    <w:unhideWhenUsed/>
    <w:qFormat/>
    <w:rsid w:val="0020671D"/>
    <w:pPr>
      <w:spacing w:before="240" w:after="0" w:line="259" w:lineRule="auto"/>
      <w:jc w:val="left"/>
      <w:outlineLvl w:val="9"/>
    </w:pPr>
    <w:rPr>
      <w:rFonts w:asciiTheme="majorHAnsi" w:hAnsiTheme="majorHAnsi" w:cstheme="majorBidi"/>
      <w:b w:val="0"/>
      <w:bCs w:val="0"/>
      <w:color w:val="0F4761" w:themeColor="accent1" w:themeShade="BF"/>
      <w:kern w:val="0"/>
      <w:sz w:val="32"/>
      <w:szCs w:val="32"/>
      <w:lang w:val="en-US" w:eastAsia="en-US"/>
    </w:rPr>
  </w:style>
  <w:style w:type="paragraph" w:styleId="TOC1">
    <w:name w:val="toc 1"/>
    <w:basedOn w:val="Normal"/>
    <w:next w:val="Normal"/>
    <w:autoRedefine/>
    <w:uiPriority w:val="39"/>
    <w:unhideWhenUsed/>
    <w:rsid w:val="0020671D"/>
    <w:pPr>
      <w:spacing w:after="100"/>
    </w:pPr>
  </w:style>
  <w:style w:type="paragraph" w:styleId="TOC2">
    <w:name w:val="toc 2"/>
    <w:basedOn w:val="Normal"/>
    <w:next w:val="Normal"/>
    <w:autoRedefine/>
    <w:uiPriority w:val="39"/>
    <w:unhideWhenUsed/>
    <w:rsid w:val="0020671D"/>
    <w:pPr>
      <w:spacing w:after="100"/>
      <w:ind w:left="240"/>
    </w:pPr>
  </w:style>
  <w:style w:type="character" w:styleId="Hyperlink">
    <w:name w:val="Hyperlink"/>
    <w:basedOn w:val="DefaultParagraphFont"/>
    <w:uiPriority w:val="99"/>
    <w:unhideWhenUsed/>
    <w:rsid w:val="0020671D"/>
    <w:rPr>
      <w:color w:val="467886" w:themeColor="hyperlink"/>
      <w:u w:val="single"/>
    </w:rPr>
  </w:style>
  <w:style w:type="paragraph" w:styleId="TableofFigures">
    <w:name w:val="table of figures"/>
    <w:basedOn w:val="Normal"/>
    <w:next w:val="Normal"/>
    <w:uiPriority w:val="99"/>
    <w:unhideWhenUsed/>
    <w:rsid w:val="00F17CC5"/>
    <w:pPr>
      <w:spacing w:after="0"/>
    </w:pPr>
  </w:style>
  <w:style w:type="table" w:styleId="GridTable4-Accent6">
    <w:name w:val="Grid Table 4 Accent 6"/>
    <w:basedOn w:val="TableNormal"/>
    <w:uiPriority w:val="49"/>
    <w:rsid w:val="00664782"/>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styleId="Strong">
    <w:name w:val="Strong"/>
    <w:basedOn w:val="DefaultParagraphFont"/>
    <w:uiPriority w:val="22"/>
    <w:qFormat/>
    <w:rsid w:val="00F62F2F"/>
    <w:rPr>
      <w:b/>
      <w:bCs/>
    </w:rPr>
  </w:style>
  <w:style w:type="character" w:styleId="UnresolvedMention">
    <w:name w:val="Unresolved Mention"/>
    <w:basedOn w:val="DefaultParagraphFont"/>
    <w:uiPriority w:val="99"/>
    <w:semiHidden/>
    <w:unhideWhenUsed/>
    <w:rsid w:val="00A02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4.xml"/><Relationship Id="rId18" Type="http://schemas.openxmlformats.org/officeDocument/2006/relationships/hyperlink" Target="https://www.ihgplc.com/~/media/Files/I/Ihg-Plc/investors/annual-report/2025/ihg-ar25-interactive.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hyperlink" Target="https://www.ihgplc.com/~/media/Files/I/Ihg-Plc/investors/annual-report/2024/ihg-ar-2024.pdf" TargetMode="External"/><Relationship Id="rId2" Type="http://schemas.openxmlformats.org/officeDocument/2006/relationships/styles" Target="styles.xml"/><Relationship Id="rId16" Type="http://schemas.openxmlformats.org/officeDocument/2006/relationships/hyperlink" Target="https://www.ihgplc.com/~/media/Files/I/Ihg-Plc/investors/annual-report/2023/annual-report-2023.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ihgplc.com/~/media/Files/I/Ihg-Plc/investors/annual-report/annual-report-2022.pdf" TargetMode="External"/><Relationship Id="rId10" Type="http://schemas.openxmlformats.org/officeDocument/2006/relationships/image" Target="media/image2.png"/><Relationship Id="rId19" Type="http://schemas.openxmlformats.org/officeDocument/2006/relationships/hyperlink" Target="https://www.ihgplc.com/about-us" TargetMode="Externa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www.ihgplc.com/en/investors/2021-annual-report"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sus\Desktop\bhavesh%20financ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sus\Desktop\bhavesh%20financ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sus\Desktop\bhavesh%20financ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sus\Desktop\bhavesh%20finance.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IN" sz="1600" b="1" i="0" u="none" strike="noStrike" baseline="0"/>
              <a:t>IHG Profitability Trend (2021–2025)</a:t>
            </a:r>
            <a:endParaRPr lang="en-IN"/>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IN"/>
        </a:p>
      </c:txPr>
    </c:title>
    <c:autoTitleDeleted val="0"/>
    <c:plotArea>
      <c:layout/>
      <c:barChart>
        <c:barDir val="col"/>
        <c:grouping val="clustered"/>
        <c:varyColors val="0"/>
        <c:ser>
          <c:idx val="0"/>
          <c:order val="0"/>
          <c:tx>
            <c:strRef>
              <c:f>'Ratio Calculations'!$A$2</c:f>
              <c:strCache>
                <c:ptCount val="1"/>
                <c:pt idx="0">
                  <c:v>Operating Profit Margin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 Calculations'!$B$1:$F$1</c:f>
              <c:numCache>
                <c:formatCode>General</c:formatCode>
                <c:ptCount val="5"/>
                <c:pt idx="0">
                  <c:v>2021</c:v>
                </c:pt>
                <c:pt idx="1">
                  <c:v>2022</c:v>
                </c:pt>
                <c:pt idx="2">
                  <c:v>2023</c:v>
                </c:pt>
                <c:pt idx="3">
                  <c:v>2024</c:v>
                </c:pt>
                <c:pt idx="4">
                  <c:v>2025</c:v>
                </c:pt>
              </c:numCache>
            </c:numRef>
          </c:cat>
          <c:val>
            <c:numRef>
              <c:f>'Ratio Calculations'!$B$2:$F$2</c:f>
              <c:numCache>
                <c:formatCode>0.00%</c:formatCode>
                <c:ptCount val="5"/>
                <c:pt idx="0">
                  <c:v>0.16993464052287582</c:v>
                </c:pt>
                <c:pt idx="1">
                  <c:v>0.16135662898252826</c:v>
                </c:pt>
                <c:pt idx="2">
                  <c:v>0.2305363321799308</c:v>
                </c:pt>
                <c:pt idx="3">
                  <c:v>0.21145642900670322</c:v>
                </c:pt>
                <c:pt idx="4">
                  <c:v>0.23087300057814608</c:v>
                </c:pt>
              </c:numCache>
            </c:numRef>
          </c:val>
          <c:extLst>
            <c:ext xmlns:c16="http://schemas.microsoft.com/office/drawing/2014/chart" uri="{C3380CC4-5D6E-409C-BE32-E72D297353CC}">
              <c16:uniqueId val="{00000000-62D5-44A8-AD5A-AC805DA64AB3}"/>
            </c:ext>
          </c:extLst>
        </c:ser>
        <c:ser>
          <c:idx val="1"/>
          <c:order val="1"/>
          <c:tx>
            <c:strRef>
              <c:f>'Ratio Calculations'!$A$3</c:f>
              <c:strCache>
                <c:ptCount val="1"/>
                <c:pt idx="0">
                  <c:v>Net Profit Margin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1"/>
              <c:layout>
                <c:manualLayout>
                  <c:x val="2.7777777777777779E-3"/>
                  <c:y val="-1.38888888888888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2D5-44A8-AD5A-AC805DA64AB3}"/>
                </c:ext>
              </c:extLst>
            </c:dLbl>
            <c:dLbl>
              <c:idx val="2"/>
              <c:layout>
                <c:manualLayout>
                  <c:x val="1.1111111111111112E-2"/>
                  <c:y val="-9.259259259259302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2D5-44A8-AD5A-AC805DA64AB3}"/>
                </c:ext>
              </c:extLst>
            </c:dLbl>
            <c:dLbl>
              <c:idx val="3"/>
              <c:layout>
                <c:manualLayout>
                  <c:x val="8.3333333333333332E-3"/>
                  <c:y val="9.2592592592592587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2D5-44A8-AD5A-AC805DA64AB3}"/>
                </c:ext>
              </c:extLst>
            </c:dLbl>
            <c:dLbl>
              <c:idx val="4"/>
              <c:layout>
                <c:manualLayout>
                  <c:x val="8.3333333333332309E-3"/>
                  <c:y val="-1.851851851851856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2D5-44A8-AD5A-AC805DA64AB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 Calculations'!$B$1:$F$1</c:f>
              <c:numCache>
                <c:formatCode>General</c:formatCode>
                <c:ptCount val="5"/>
                <c:pt idx="0">
                  <c:v>2021</c:v>
                </c:pt>
                <c:pt idx="1">
                  <c:v>2022</c:v>
                </c:pt>
                <c:pt idx="2">
                  <c:v>2023</c:v>
                </c:pt>
                <c:pt idx="3">
                  <c:v>2024</c:v>
                </c:pt>
                <c:pt idx="4">
                  <c:v>2025</c:v>
                </c:pt>
              </c:numCache>
            </c:numRef>
          </c:cat>
          <c:val>
            <c:numRef>
              <c:f>'Ratio Calculations'!$B$3:$F$3</c:f>
              <c:numCache>
                <c:formatCode>0.00%</c:formatCode>
                <c:ptCount val="5"/>
                <c:pt idx="0">
                  <c:v>9.1159270725834199E-2</c:v>
                </c:pt>
                <c:pt idx="1">
                  <c:v>9.6608427543679348E-2</c:v>
                </c:pt>
                <c:pt idx="2">
                  <c:v>0.16219723183391002</c:v>
                </c:pt>
                <c:pt idx="3">
                  <c:v>0.12756449319520619</c:v>
                </c:pt>
                <c:pt idx="4">
                  <c:v>0.14627095779533628</c:v>
                </c:pt>
              </c:numCache>
            </c:numRef>
          </c:val>
          <c:extLst>
            <c:ext xmlns:c16="http://schemas.microsoft.com/office/drawing/2014/chart" uri="{C3380CC4-5D6E-409C-BE32-E72D297353CC}">
              <c16:uniqueId val="{00000005-62D5-44A8-AD5A-AC805DA64AB3}"/>
            </c:ext>
          </c:extLst>
        </c:ser>
        <c:ser>
          <c:idx val="2"/>
          <c:order val="2"/>
          <c:tx>
            <c:strRef>
              <c:f>'Ratio Calculations'!$A$4</c:f>
              <c:strCache>
                <c:ptCount val="1"/>
                <c:pt idx="0">
                  <c:v>ROA</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2"/>
              <c:layout>
                <c:manualLayout>
                  <c:x val="1.1111111111111009E-2"/>
                  <c:y val="1.851851851851847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2D5-44A8-AD5A-AC805DA64AB3}"/>
                </c:ext>
              </c:extLst>
            </c:dLbl>
            <c:dLbl>
              <c:idx val="3"/>
              <c:layout>
                <c:manualLayout>
                  <c:x val="0"/>
                  <c:y val="-2.314814814814819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2D5-44A8-AD5A-AC805DA64AB3}"/>
                </c:ext>
              </c:extLst>
            </c:dLbl>
            <c:dLbl>
              <c:idx val="4"/>
              <c:layout>
                <c:manualLayout>
                  <c:x val="8.3333333333333332E-3"/>
                  <c:y val="1.38888888888888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2D5-44A8-AD5A-AC805DA64AB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'Ratio Calculations'!$B$1:$F$1</c:f>
              <c:numCache>
                <c:formatCode>General</c:formatCode>
                <c:ptCount val="5"/>
                <c:pt idx="0">
                  <c:v>2021</c:v>
                </c:pt>
                <c:pt idx="1">
                  <c:v>2022</c:v>
                </c:pt>
                <c:pt idx="2">
                  <c:v>2023</c:v>
                </c:pt>
                <c:pt idx="3">
                  <c:v>2024</c:v>
                </c:pt>
                <c:pt idx="4">
                  <c:v>2025</c:v>
                </c:pt>
              </c:numCache>
            </c:numRef>
          </c:cat>
          <c:val>
            <c:numRef>
              <c:f>'Ratio Calculations'!$B$4:$F$4</c:f>
              <c:numCache>
                <c:formatCode>0.00%</c:formatCode>
                <c:ptCount val="5"/>
                <c:pt idx="0">
                  <c:v>5.6191687871077187E-2</c:v>
                </c:pt>
                <c:pt idx="1">
                  <c:v>8.9184060721062622E-2</c:v>
                </c:pt>
                <c:pt idx="2">
                  <c:v>0.15582796592561812</c:v>
                </c:pt>
                <c:pt idx="3">
                  <c:v>0.13226621735467564</c:v>
                </c:pt>
                <c:pt idx="4">
                  <c:v>0.14200187090739008</c:v>
                </c:pt>
              </c:numCache>
            </c:numRef>
          </c:val>
          <c:extLst>
            <c:ext xmlns:c16="http://schemas.microsoft.com/office/drawing/2014/chart" uri="{C3380CC4-5D6E-409C-BE32-E72D297353CC}">
              <c16:uniqueId val="{00000009-62D5-44A8-AD5A-AC805DA64AB3}"/>
            </c:ext>
          </c:extLst>
        </c:ser>
        <c:dLbls>
          <c:dLblPos val="outEnd"/>
          <c:showLegendKey val="0"/>
          <c:showVal val="1"/>
          <c:showCatName val="0"/>
          <c:showSerName val="0"/>
          <c:showPercent val="0"/>
          <c:showBubbleSize val="0"/>
        </c:dLbls>
        <c:gapWidth val="100"/>
        <c:overlap val="-24"/>
        <c:axId val="1350350847"/>
        <c:axId val="1350348927"/>
      </c:barChart>
      <c:catAx>
        <c:axId val="135035084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sz="900" b="0" i="0" u="none" strike="noStrike" baseline="0"/>
                  <a:t>Year </a:t>
                </a:r>
                <a:endParaRPr lang="en-IN"/>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N"/>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348927"/>
        <c:crosses val="autoZero"/>
        <c:auto val="1"/>
        <c:lblAlgn val="ctr"/>
        <c:lblOffset val="100"/>
        <c:noMultiLvlLbl val="0"/>
      </c:catAx>
      <c:valAx>
        <c:axId val="1350348927"/>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03508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IN"/>
              <a:t>IHG Liquidity Trend (2021–2025)</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'Working Capital &amp; Cash Operatin'!$A$4</c:f>
              <c:strCache>
                <c:ptCount val="1"/>
                <c:pt idx="0">
                  <c:v>Current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'Working Capital &amp; Cash Operatin'!$B$2:$F$2</c:f>
              <c:numCache>
                <c:formatCode>General</c:formatCode>
                <c:ptCount val="5"/>
                <c:pt idx="0">
                  <c:v>2021</c:v>
                </c:pt>
                <c:pt idx="1">
                  <c:v>2022</c:v>
                </c:pt>
                <c:pt idx="2">
                  <c:v>2023</c:v>
                </c:pt>
                <c:pt idx="3">
                  <c:v>2024</c:v>
                </c:pt>
                <c:pt idx="4">
                  <c:v>2025</c:v>
                </c:pt>
              </c:numCache>
            </c:numRef>
          </c:cat>
          <c:val>
            <c:numRef>
              <c:f>'Working Capital &amp; Cash Operatin'!$B$4:$F$4</c:f>
              <c:numCache>
                <c:formatCode>0.00</c:formatCode>
                <c:ptCount val="5"/>
                <c:pt idx="0">
                  <c:v>1.2721674876847291</c:v>
                </c:pt>
                <c:pt idx="1">
                  <c:v>1.0867875647668395</c:v>
                </c:pt>
                <c:pt idx="2">
                  <c:v>0.97214611872146117</c:v>
                </c:pt>
                <c:pt idx="3">
                  <c:v>0.96939834024896265</c:v>
                </c:pt>
                <c:pt idx="4">
                  <c:v>0.97571428571428576</c:v>
                </c:pt>
              </c:numCache>
            </c:numRef>
          </c:val>
          <c:extLst>
            <c:ext xmlns:c16="http://schemas.microsoft.com/office/drawing/2014/chart" uri="{C3380CC4-5D6E-409C-BE32-E72D297353CC}">
              <c16:uniqueId val="{00000000-7C3C-48CC-BD33-7ABD337B6FAA}"/>
            </c:ext>
          </c:extLst>
        </c:ser>
        <c:ser>
          <c:idx val="1"/>
          <c:order val="1"/>
          <c:tx>
            <c:strRef>
              <c:f>'Working Capital &amp; Cash Operatin'!$A$5</c:f>
              <c:strCache>
                <c:ptCount val="1"/>
                <c:pt idx="0">
                  <c:v>Quick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'Working Capital &amp; Cash Operatin'!$B$2:$F$2</c:f>
              <c:numCache>
                <c:formatCode>General</c:formatCode>
                <c:ptCount val="5"/>
                <c:pt idx="0">
                  <c:v>2021</c:v>
                </c:pt>
                <c:pt idx="1">
                  <c:v>2022</c:v>
                </c:pt>
                <c:pt idx="2">
                  <c:v>2023</c:v>
                </c:pt>
                <c:pt idx="3">
                  <c:v>2024</c:v>
                </c:pt>
                <c:pt idx="4">
                  <c:v>2025</c:v>
                </c:pt>
              </c:numCache>
            </c:numRef>
          </c:cat>
          <c:val>
            <c:numRef>
              <c:f>'Working Capital &amp; Cash Operatin'!$B$5:$F$5</c:f>
              <c:numCache>
                <c:formatCode>0.00</c:formatCode>
                <c:ptCount val="5"/>
                <c:pt idx="0">
                  <c:v>1.2697044334975369</c:v>
                </c:pt>
                <c:pt idx="1">
                  <c:v>1.0841968911917099</c:v>
                </c:pt>
                <c:pt idx="2">
                  <c:v>0.96986301369863015</c:v>
                </c:pt>
                <c:pt idx="3">
                  <c:v>0.96732365145228216</c:v>
                </c:pt>
                <c:pt idx="4">
                  <c:v>0.97333333333333338</c:v>
                </c:pt>
              </c:numCache>
            </c:numRef>
          </c:val>
          <c:extLst>
            <c:ext xmlns:c16="http://schemas.microsoft.com/office/drawing/2014/chart" uri="{C3380CC4-5D6E-409C-BE32-E72D297353CC}">
              <c16:uniqueId val="{00000001-7C3C-48CC-BD33-7ABD337B6FAA}"/>
            </c:ext>
          </c:extLst>
        </c:ser>
        <c:dLbls>
          <c:dLblPos val="outEnd"/>
          <c:showLegendKey val="0"/>
          <c:showVal val="1"/>
          <c:showCatName val="0"/>
          <c:showSerName val="0"/>
          <c:showPercent val="0"/>
          <c:showBubbleSize val="0"/>
        </c:dLbls>
        <c:gapWidth val="100"/>
        <c:overlap val="-24"/>
        <c:axId val="1648067311"/>
        <c:axId val="1648069231"/>
      </c:barChart>
      <c:catAx>
        <c:axId val="1648067311"/>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a:t>Year</a:t>
                </a:r>
              </a:p>
            </c:rich>
          </c:tx>
          <c:layout>
            <c:manualLayout>
              <c:xMode val="edge"/>
              <c:yMode val="edge"/>
              <c:x val="0.49917935258092738"/>
              <c:y val="0.8049594653910582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8069231"/>
        <c:crosses val="autoZero"/>
        <c:auto val="1"/>
        <c:lblAlgn val="ctr"/>
        <c:lblOffset val="100"/>
        <c:noMultiLvlLbl val="0"/>
      </c:catAx>
      <c:valAx>
        <c:axId val="1648069231"/>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a:t>Ratio</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80673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IN" sz="1600" b="1" i="0" u="none" strike="noStrike" baseline="0"/>
              <a:t>IHG Cash Flow Performance (2021–2025)</a:t>
            </a:r>
            <a:endParaRPr lang="en-IN"/>
          </a:p>
        </c:rich>
      </c:tx>
      <c:layout>
        <c:manualLayout>
          <c:xMode val="edge"/>
          <c:yMode val="edge"/>
          <c:x val="0.11624300087489065"/>
          <c:y val="3.240740740740740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IN"/>
        </a:p>
      </c:txPr>
    </c:title>
    <c:autoTitleDeleted val="0"/>
    <c:plotArea>
      <c:layout>
        <c:manualLayout>
          <c:layoutTarget val="inner"/>
          <c:xMode val="edge"/>
          <c:yMode val="edge"/>
          <c:x val="0.13631714785651794"/>
          <c:y val="0.21078703703703705"/>
          <c:w val="0.82201618547681543"/>
          <c:h val="0.51116469816272969"/>
        </c:manualLayout>
      </c:layout>
      <c:barChart>
        <c:barDir val="col"/>
        <c:grouping val="clustered"/>
        <c:varyColors val="0"/>
        <c:ser>
          <c:idx val="0"/>
          <c:order val="0"/>
          <c:tx>
            <c:strRef>
              <c:f>'FINANCIAL DATA 5 YEARS'!$A$30</c:f>
              <c:strCache>
                <c:ptCount val="1"/>
                <c:pt idx="0">
                  <c:v>Net Cash from Operating Activities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'FINANCIAL DATA 5 YEARS'!$B$1:$F$1</c:f>
              <c:numCache>
                <c:formatCode>General</c:formatCode>
                <c:ptCount val="5"/>
                <c:pt idx="0">
                  <c:v>2021</c:v>
                </c:pt>
                <c:pt idx="1">
                  <c:v>2022</c:v>
                </c:pt>
                <c:pt idx="2">
                  <c:v>2023</c:v>
                </c:pt>
                <c:pt idx="3">
                  <c:v>2024</c:v>
                </c:pt>
                <c:pt idx="4">
                  <c:v>2025</c:v>
                </c:pt>
              </c:numCache>
            </c:numRef>
          </c:cat>
          <c:val>
            <c:numRef>
              <c:f>'FINANCIAL DATA 5 YEARS'!$B$30:$F$30</c:f>
              <c:numCache>
                <c:formatCode>General</c:formatCode>
                <c:ptCount val="5"/>
                <c:pt idx="0">
                  <c:v>636</c:v>
                </c:pt>
                <c:pt idx="1">
                  <c:v>646</c:v>
                </c:pt>
                <c:pt idx="2">
                  <c:v>893</c:v>
                </c:pt>
                <c:pt idx="3">
                  <c:v>724</c:v>
                </c:pt>
                <c:pt idx="4">
                  <c:v>898</c:v>
                </c:pt>
              </c:numCache>
            </c:numRef>
          </c:val>
          <c:extLst>
            <c:ext xmlns:c16="http://schemas.microsoft.com/office/drawing/2014/chart" uri="{C3380CC4-5D6E-409C-BE32-E72D297353CC}">
              <c16:uniqueId val="{00000000-CCFC-409F-982A-482B09F5DF6A}"/>
            </c:ext>
          </c:extLst>
        </c:ser>
        <c:ser>
          <c:idx val="1"/>
          <c:order val="1"/>
          <c:tx>
            <c:strRef>
              <c:f>'FINANCIAL DATA 5 YEARS'!$A$35</c:f>
              <c:strCache>
                <c:ptCount val="1"/>
                <c:pt idx="0">
                  <c:v>Adjusted Free Cash Flow</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'FINANCIAL DATA 5 YEARS'!$B$1:$F$1</c:f>
              <c:numCache>
                <c:formatCode>General</c:formatCode>
                <c:ptCount val="5"/>
                <c:pt idx="0">
                  <c:v>2021</c:v>
                </c:pt>
                <c:pt idx="1">
                  <c:v>2022</c:v>
                </c:pt>
                <c:pt idx="2">
                  <c:v>2023</c:v>
                </c:pt>
                <c:pt idx="3">
                  <c:v>2024</c:v>
                </c:pt>
                <c:pt idx="4">
                  <c:v>2025</c:v>
                </c:pt>
              </c:numCache>
            </c:numRef>
          </c:cat>
          <c:val>
            <c:numRef>
              <c:f>'FINANCIAL DATA 5 YEARS'!$B$35:$F$35</c:f>
              <c:numCache>
                <c:formatCode>General</c:formatCode>
                <c:ptCount val="5"/>
                <c:pt idx="0">
                  <c:v>589</c:v>
                </c:pt>
                <c:pt idx="1">
                  <c:v>615</c:v>
                </c:pt>
                <c:pt idx="2">
                  <c:v>837</c:v>
                </c:pt>
                <c:pt idx="3">
                  <c:v>655</c:v>
                </c:pt>
                <c:pt idx="4">
                  <c:v>893</c:v>
                </c:pt>
              </c:numCache>
            </c:numRef>
          </c:val>
          <c:extLst>
            <c:ext xmlns:c16="http://schemas.microsoft.com/office/drawing/2014/chart" uri="{C3380CC4-5D6E-409C-BE32-E72D297353CC}">
              <c16:uniqueId val="{00000001-CCFC-409F-982A-482B09F5DF6A}"/>
            </c:ext>
          </c:extLst>
        </c:ser>
        <c:dLbls>
          <c:dLblPos val="inEnd"/>
          <c:showLegendKey val="0"/>
          <c:showVal val="1"/>
          <c:showCatName val="0"/>
          <c:showSerName val="0"/>
          <c:showPercent val="0"/>
          <c:showBubbleSize val="0"/>
        </c:dLbls>
        <c:gapWidth val="100"/>
        <c:overlap val="-24"/>
        <c:axId val="1644421375"/>
        <c:axId val="1644419455"/>
      </c:barChart>
      <c:catAx>
        <c:axId val="1644421375"/>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sz="900" b="0" i="0" u="none" strike="noStrike" baseline="0"/>
                  <a:t>Year</a:t>
                </a:r>
                <a:endParaRPr lang="en-IN"/>
              </a:p>
            </c:rich>
          </c:tx>
          <c:layout>
            <c:manualLayout>
              <c:xMode val="edge"/>
              <c:yMode val="edge"/>
              <c:x val="0.52744313210848648"/>
              <c:y val="0.8154622338874307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N"/>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4419455"/>
        <c:crosses val="autoZero"/>
        <c:auto val="1"/>
        <c:lblAlgn val="ctr"/>
        <c:lblOffset val="100"/>
        <c:noMultiLvlLbl val="0"/>
      </c:catAx>
      <c:valAx>
        <c:axId val="1644419455"/>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IN" sz="900" b="0" i="0" u="none" strike="noStrike" baseline="0"/>
                  <a:t>Cash Flow ($m)</a:t>
                </a:r>
                <a:endParaRPr lang="en-IN"/>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I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44213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sz="1200" b="1" i="0" u="none" strike="noStrike" baseline="0">
                <a:effectLst>
                  <a:outerShdw blurRad="50800" dist="38100" dir="5400000" algn="t" rotWithShape="0">
                    <a:prstClr val="black">
                      <a:alpha val="40000"/>
                    </a:prstClr>
                  </a:outerShdw>
                </a:effectLst>
              </a:rPr>
              <a:t>IHG Net Working Capital Trend (2021–2025)</a:t>
            </a:r>
            <a:endParaRPr lang="en-US" sz="1200"/>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'Working Capital &amp; Cash Operatin'!$A$3</c:f>
              <c:strCache>
                <c:ptCount val="1"/>
                <c:pt idx="0">
                  <c:v>Net Working Capital ($m)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'Working Capital &amp; Cash Operatin'!$B$2:$F$2</c:f>
              <c:numCache>
                <c:formatCode>General</c:formatCode>
                <c:ptCount val="5"/>
                <c:pt idx="0">
                  <c:v>2021</c:v>
                </c:pt>
                <c:pt idx="1">
                  <c:v>2022</c:v>
                </c:pt>
                <c:pt idx="2">
                  <c:v>2023</c:v>
                </c:pt>
                <c:pt idx="3">
                  <c:v>2024</c:v>
                </c:pt>
                <c:pt idx="4">
                  <c:v>2025</c:v>
                </c:pt>
              </c:numCache>
            </c:numRef>
          </c:cat>
          <c:val>
            <c:numRef>
              <c:f>'Working Capital &amp; Cash Operatin'!$B$3:$F$3</c:f>
              <c:numCache>
                <c:formatCode>#,##0</c:formatCode>
                <c:ptCount val="5"/>
                <c:pt idx="0">
                  <c:v>442</c:v>
                </c:pt>
                <c:pt idx="1">
                  <c:v>134</c:v>
                </c:pt>
                <c:pt idx="2">
                  <c:v>-61</c:v>
                </c:pt>
                <c:pt idx="3">
                  <c:v>-59</c:v>
                </c:pt>
                <c:pt idx="4">
                  <c:v>-51</c:v>
                </c:pt>
              </c:numCache>
            </c:numRef>
          </c:val>
          <c:extLst>
            <c:ext xmlns:c16="http://schemas.microsoft.com/office/drawing/2014/chart" uri="{C3380CC4-5D6E-409C-BE32-E72D297353CC}">
              <c16:uniqueId val="{00000000-9EB2-40AF-8F41-F742C4D54748}"/>
            </c:ext>
          </c:extLst>
        </c:ser>
        <c:dLbls>
          <c:dLblPos val="outEnd"/>
          <c:showLegendKey val="0"/>
          <c:showVal val="1"/>
          <c:showCatName val="0"/>
          <c:showSerName val="0"/>
          <c:showPercent val="0"/>
          <c:showBubbleSize val="0"/>
        </c:dLbls>
        <c:gapWidth val="100"/>
        <c:overlap val="-24"/>
        <c:axId val="1656034895"/>
        <c:axId val="1656035375"/>
      </c:barChart>
      <c:catAx>
        <c:axId val="1656034895"/>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IN" sz="900" b="1" i="0" u="none" strike="noStrike" cap="all" baseline="0"/>
                  <a:t>Year</a:t>
                </a:r>
                <a:endParaRPr lang="en-IN"/>
              </a:p>
            </c:rich>
          </c:tx>
          <c:layout>
            <c:manualLayout>
              <c:xMode val="edge"/>
              <c:yMode val="edge"/>
              <c:x val="0.52039479440069991"/>
              <c:y val="0.91210629921259845"/>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IN"/>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56035375"/>
        <c:crosses val="autoZero"/>
        <c:auto val="1"/>
        <c:lblAlgn val="ctr"/>
        <c:lblOffset val="100"/>
        <c:noMultiLvlLbl val="0"/>
      </c:catAx>
      <c:valAx>
        <c:axId val="1656035375"/>
        <c:scaling>
          <c:orientation val="minMax"/>
        </c:scaling>
        <c:delete val="0"/>
        <c:axPos val="l"/>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IN" sz="900" b="1" i="0" u="none" strike="noStrike" cap="all" baseline="0"/>
                  <a:t>Net Working Capital ($m)</a:t>
                </a:r>
                <a:endParaRPr lang="en-IN"/>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IN"/>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56034895"/>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A5C9F-A71C-42CC-A40F-9C00C597F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7717</Words>
  <Characters>43993</Characters>
  <Application>Microsoft Office Word</Application>
  <DocSecurity>0</DocSecurity>
  <Lines>366</Lines>
  <Paragraphs>103</Paragraphs>
  <ScaleCrop>false</ScaleCrop>
  <Company/>
  <LinksUpToDate>false</LinksUpToDate>
  <CharactersWithSpaces>51607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Kailash Odedra</cp:lastModifiedBy>
  <cp:revision>3</cp:revision>
  <dcterms:created xsi:type="dcterms:W3CDTF">2026-07-22T12:50:00Z</dcterms:created>
  <dcterms:modified xsi:type="dcterms:W3CDTF">2026-08-12T20:57:00Z</dcterms:modified>
</cp:coreProperties>
</file>