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4A565" w14:textId="77777777" w:rsidR="00D97E4D" w:rsidRPr="00D97E4D" w:rsidRDefault="00D97E4D" w:rsidP="00D97E4D">
      <w:pPr>
        <w:spacing w:before="240" w:after="0" w:line="360" w:lineRule="auto"/>
        <w:jc w:val="center"/>
        <w:rPr>
          <w:rFonts w:ascii="Arial" w:hAnsi="Arial" w:cs="Arial"/>
          <w:b/>
          <w:bCs/>
          <w:color w:val="000000" w:themeColor="text1"/>
          <w:sz w:val="24"/>
          <w:szCs w:val="24"/>
          <w:lang w:val="en-US"/>
        </w:rPr>
      </w:pPr>
    </w:p>
    <w:p w14:paraId="3A5C719D" w14:textId="077F5AC5" w:rsidR="00986A67" w:rsidRDefault="00D97E4D" w:rsidP="00D97E4D">
      <w:pPr>
        <w:spacing w:before="240" w:after="0" w:line="360" w:lineRule="auto"/>
        <w:jc w:val="center"/>
        <w:rPr>
          <w:rFonts w:ascii="Arial" w:hAnsi="Arial" w:cs="Arial"/>
          <w:b/>
          <w:bCs/>
          <w:color w:val="000000" w:themeColor="text1"/>
          <w:sz w:val="24"/>
          <w:szCs w:val="24"/>
          <w:lang w:val="en-US"/>
        </w:rPr>
      </w:pPr>
      <w:r w:rsidRPr="00D97E4D">
        <w:rPr>
          <w:rFonts w:ascii="Arial" w:hAnsi="Arial" w:cs="Arial"/>
          <w:b/>
          <w:bCs/>
          <w:color w:val="000000" w:themeColor="text1"/>
          <w:sz w:val="24"/>
          <w:szCs w:val="24"/>
          <w:lang w:val="en-US"/>
        </w:rPr>
        <w:t>Module Code: BMIH500</w:t>
      </w:r>
      <w:r w:rsidR="00986A67">
        <w:rPr>
          <w:rFonts w:ascii="Arial" w:hAnsi="Arial" w:cs="Arial"/>
          <w:b/>
          <w:bCs/>
          <w:color w:val="000000" w:themeColor="text1"/>
          <w:sz w:val="24"/>
          <w:szCs w:val="24"/>
          <w:lang w:val="en-US"/>
        </w:rPr>
        <w:t>5</w:t>
      </w:r>
    </w:p>
    <w:p w14:paraId="59AD0083" w14:textId="364CC633" w:rsidR="00D97E4D" w:rsidRPr="00D97E4D" w:rsidRDefault="00D97E4D" w:rsidP="00D97E4D">
      <w:pPr>
        <w:spacing w:before="240" w:after="0" w:line="360" w:lineRule="auto"/>
        <w:jc w:val="center"/>
        <w:rPr>
          <w:rFonts w:ascii="Arial" w:hAnsi="Arial" w:cs="Arial"/>
          <w:b/>
          <w:bCs/>
          <w:color w:val="000000" w:themeColor="text1"/>
          <w:sz w:val="24"/>
          <w:szCs w:val="24"/>
          <w:lang w:val="en-US"/>
        </w:rPr>
      </w:pPr>
      <w:r w:rsidRPr="00D97E4D">
        <w:rPr>
          <w:rFonts w:ascii="Arial" w:hAnsi="Arial" w:cs="Arial"/>
          <w:b/>
          <w:bCs/>
          <w:color w:val="000000" w:themeColor="text1"/>
          <w:sz w:val="24"/>
          <w:szCs w:val="24"/>
          <w:lang w:val="en-US"/>
        </w:rPr>
        <w:t>Module Name: Personnel Resourcing and Development</w:t>
      </w:r>
    </w:p>
    <w:p w14:paraId="5CF98EAF" w14:textId="77777777" w:rsidR="00D97E4D" w:rsidRPr="00D97E4D" w:rsidRDefault="00D97E4D" w:rsidP="00D97E4D">
      <w:pPr>
        <w:spacing w:before="240" w:after="0" w:line="360" w:lineRule="auto"/>
        <w:jc w:val="center"/>
        <w:rPr>
          <w:rFonts w:ascii="Arial" w:hAnsi="Arial" w:cs="Arial"/>
          <w:b/>
          <w:bCs/>
          <w:color w:val="000000" w:themeColor="text1"/>
          <w:sz w:val="24"/>
          <w:szCs w:val="24"/>
          <w:lang w:val="en-US"/>
        </w:rPr>
      </w:pPr>
      <w:r w:rsidRPr="00D97E4D">
        <w:rPr>
          <w:rFonts w:ascii="Arial" w:hAnsi="Arial" w:cs="Arial"/>
          <w:b/>
          <w:bCs/>
          <w:color w:val="000000" w:themeColor="text1"/>
          <w:sz w:val="24"/>
          <w:szCs w:val="24"/>
          <w:lang w:val="en-US"/>
        </w:rPr>
        <w:t>Title of the Essay: How to engage employees (Generation Ys or Generation Zs) throughout the employee lifecycle?</w:t>
      </w:r>
    </w:p>
    <w:p w14:paraId="6CE3BB65" w14:textId="7FA56635" w:rsidR="00D97E4D" w:rsidRPr="00D97E4D" w:rsidRDefault="00D97E4D" w:rsidP="00D97E4D">
      <w:pPr>
        <w:spacing w:before="240" w:after="0" w:line="360" w:lineRule="auto"/>
        <w:jc w:val="center"/>
        <w:rPr>
          <w:rFonts w:ascii="Arial" w:hAnsi="Arial" w:cs="Arial"/>
          <w:b/>
          <w:bCs/>
          <w:color w:val="000000" w:themeColor="text1"/>
          <w:sz w:val="24"/>
          <w:szCs w:val="24"/>
          <w:lang w:val="en-US"/>
        </w:rPr>
      </w:pPr>
      <w:r w:rsidRPr="00D97E4D">
        <w:rPr>
          <w:rFonts w:ascii="Arial" w:hAnsi="Arial" w:cs="Arial"/>
          <w:b/>
          <w:bCs/>
          <w:color w:val="000000" w:themeColor="text1"/>
          <w:sz w:val="24"/>
          <w:szCs w:val="24"/>
          <w:lang w:val="en-US"/>
        </w:rPr>
        <w:t>Student Name:</w:t>
      </w:r>
      <w:r w:rsidR="00285FDC">
        <w:rPr>
          <w:rFonts w:ascii="Arial" w:hAnsi="Arial" w:cs="Arial"/>
          <w:b/>
          <w:bCs/>
          <w:color w:val="000000" w:themeColor="text1"/>
          <w:sz w:val="24"/>
          <w:szCs w:val="24"/>
          <w:lang w:val="en-US"/>
        </w:rPr>
        <w:t xml:space="preserve"> Violeta-Ionela Necsoi</w:t>
      </w:r>
    </w:p>
    <w:p w14:paraId="7798FA23" w14:textId="77777777" w:rsidR="00D97E4D" w:rsidRPr="00D97E4D" w:rsidRDefault="00D97E4D" w:rsidP="00D97E4D">
      <w:pPr>
        <w:spacing w:before="240" w:after="0" w:line="360" w:lineRule="auto"/>
        <w:jc w:val="center"/>
        <w:rPr>
          <w:rFonts w:ascii="Arial" w:hAnsi="Arial" w:cs="Arial"/>
          <w:b/>
          <w:bCs/>
          <w:color w:val="000000" w:themeColor="text1"/>
          <w:sz w:val="24"/>
          <w:szCs w:val="24"/>
          <w:lang w:val="en-US"/>
        </w:rPr>
      </w:pPr>
      <w:r w:rsidRPr="00D97E4D">
        <w:rPr>
          <w:rFonts w:ascii="Arial" w:hAnsi="Arial" w:cs="Arial"/>
          <w:b/>
          <w:bCs/>
          <w:color w:val="000000" w:themeColor="text1"/>
          <w:sz w:val="24"/>
          <w:szCs w:val="24"/>
          <w:lang w:val="en-US"/>
        </w:rPr>
        <w:t>Lecturer: Helen Lee</w:t>
      </w:r>
    </w:p>
    <w:p w14:paraId="42C11902" w14:textId="77777777" w:rsidR="00D97E4D" w:rsidRPr="00D97E4D" w:rsidRDefault="00D97E4D" w:rsidP="00D97E4D">
      <w:pPr>
        <w:spacing w:before="240" w:after="0" w:line="360" w:lineRule="auto"/>
        <w:jc w:val="center"/>
        <w:rPr>
          <w:rFonts w:ascii="Arial" w:hAnsi="Arial" w:cs="Arial"/>
          <w:b/>
          <w:bCs/>
          <w:color w:val="000000" w:themeColor="text1"/>
          <w:sz w:val="24"/>
          <w:szCs w:val="24"/>
          <w:lang w:val="en-US"/>
        </w:rPr>
      </w:pPr>
      <w:r w:rsidRPr="00D97E4D">
        <w:rPr>
          <w:rFonts w:ascii="Arial" w:hAnsi="Arial" w:cs="Arial"/>
          <w:b/>
          <w:bCs/>
          <w:color w:val="000000" w:themeColor="text1"/>
          <w:sz w:val="24"/>
          <w:szCs w:val="24"/>
          <w:lang w:val="en-US"/>
        </w:rPr>
        <w:t>Word Count: 2000</w:t>
      </w:r>
    </w:p>
    <w:p w14:paraId="04E94B28" w14:textId="77777777" w:rsidR="00D97E4D" w:rsidRPr="00D97E4D" w:rsidRDefault="00D97E4D" w:rsidP="00D97E4D">
      <w:pPr>
        <w:spacing w:before="240" w:after="0" w:line="360" w:lineRule="auto"/>
        <w:jc w:val="both"/>
        <w:rPr>
          <w:rFonts w:ascii="Arial" w:hAnsi="Arial" w:cs="Arial"/>
          <w:b/>
          <w:bCs/>
          <w:color w:val="000000" w:themeColor="text1"/>
          <w:sz w:val="24"/>
          <w:szCs w:val="24"/>
          <w:lang w:val="en-US"/>
        </w:rPr>
      </w:pPr>
      <w:r w:rsidRPr="00D97E4D">
        <w:rPr>
          <w:rFonts w:ascii="Arial" w:hAnsi="Arial" w:cs="Arial"/>
          <w:b/>
          <w:bCs/>
          <w:color w:val="000000" w:themeColor="text1"/>
          <w:sz w:val="24"/>
          <w:szCs w:val="24"/>
          <w:lang w:val="en-US"/>
        </w:rPr>
        <w:br w:type="page"/>
      </w:r>
    </w:p>
    <w:sdt>
      <w:sdtPr>
        <w:rPr>
          <w:rFonts w:ascii="Arial" w:hAnsi="Arial" w:cs="Arial"/>
          <w:sz w:val="24"/>
          <w:szCs w:val="24"/>
          <w:lang w:val="en-US"/>
        </w:rPr>
        <w:id w:val="525686213"/>
        <w:docPartObj>
          <w:docPartGallery w:val="Table of Contents"/>
          <w:docPartUnique/>
        </w:docPartObj>
      </w:sdtPr>
      <w:sdtEndPr>
        <w:rPr>
          <w:b/>
          <w:bCs/>
          <w:noProof/>
        </w:rPr>
      </w:sdtEndPr>
      <w:sdtContent>
        <w:p w14:paraId="04F4E074" w14:textId="77777777" w:rsidR="00D97E4D" w:rsidRPr="00D97E4D" w:rsidRDefault="00D97E4D" w:rsidP="00D97E4D">
          <w:pPr>
            <w:keepNext/>
            <w:keepLines/>
            <w:spacing w:before="240" w:after="0" w:line="360" w:lineRule="auto"/>
            <w:jc w:val="center"/>
            <w:rPr>
              <w:rFonts w:ascii="Arial" w:eastAsiaTheme="majorEastAsia" w:hAnsi="Arial" w:cs="Arial"/>
              <w:b/>
              <w:bCs/>
              <w:color w:val="000000" w:themeColor="text1"/>
              <w:kern w:val="0"/>
              <w:sz w:val="24"/>
              <w:szCs w:val="24"/>
              <w:lang w:val="en-US"/>
              <w14:ligatures w14:val="none"/>
            </w:rPr>
          </w:pPr>
          <w:r w:rsidRPr="00D97E4D">
            <w:rPr>
              <w:rFonts w:ascii="Arial" w:eastAsiaTheme="majorEastAsia" w:hAnsi="Arial" w:cs="Arial"/>
              <w:b/>
              <w:bCs/>
              <w:color w:val="000000" w:themeColor="text1"/>
              <w:kern w:val="0"/>
              <w:sz w:val="24"/>
              <w:szCs w:val="24"/>
              <w:lang w:val="en-US"/>
              <w14:ligatures w14:val="none"/>
            </w:rPr>
            <w:t>Table of Contents</w:t>
          </w:r>
        </w:p>
        <w:p w14:paraId="415367FB" w14:textId="32983F6D" w:rsidR="00D97E4D" w:rsidRPr="00D97E4D" w:rsidRDefault="00D97E4D" w:rsidP="00D97E4D">
          <w:pPr>
            <w:tabs>
              <w:tab w:val="left" w:pos="440"/>
              <w:tab w:val="right" w:leader="dot" w:pos="9350"/>
            </w:tabs>
            <w:spacing w:after="100" w:line="360" w:lineRule="auto"/>
            <w:rPr>
              <w:rFonts w:ascii="Arial" w:eastAsiaTheme="minorEastAsia" w:hAnsi="Arial" w:cs="Arial"/>
              <w:noProof/>
              <w:sz w:val="24"/>
              <w:szCs w:val="24"/>
              <w:lang w:val="en-US"/>
            </w:rPr>
          </w:pPr>
          <w:r w:rsidRPr="00D97E4D">
            <w:rPr>
              <w:rFonts w:ascii="Arial" w:hAnsi="Arial" w:cs="Arial"/>
              <w:sz w:val="24"/>
              <w:szCs w:val="24"/>
              <w:lang w:val="en-US"/>
            </w:rPr>
            <w:fldChar w:fldCharType="begin"/>
          </w:r>
          <w:r w:rsidRPr="00D97E4D">
            <w:rPr>
              <w:rFonts w:ascii="Arial" w:hAnsi="Arial" w:cs="Arial"/>
              <w:sz w:val="24"/>
              <w:szCs w:val="24"/>
              <w:lang w:val="en-US"/>
            </w:rPr>
            <w:instrText xml:space="preserve"> TOC \o "1-3" \h \z \u </w:instrText>
          </w:r>
          <w:r w:rsidRPr="00D97E4D">
            <w:rPr>
              <w:rFonts w:ascii="Arial" w:hAnsi="Arial" w:cs="Arial"/>
              <w:sz w:val="24"/>
              <w:szCs w:val="24"/>
              <w:lang w:val="en-US"/>
            </w:rPr>
            <w:fldChar w:fldCharType="separate"/>
          </w:r>
          <w:hyperlink w:anchor="_Toc148533216" w:history="1">
            <w:r w:rsidRPr="00D97E4D">
              <w:rPr>
                <w:rFonts w:ascii="Arial" w:hAnsi="Arial" w:cs="Arial"/>
                <w:noProof/>
                <w:color w:val="0563C1" w:themeColor="hyperlink"/>
                <w:sz w:val="24"/>
                <w:szCs w:val="24"/>
                <w:u w:val="single"/>
                <w:lang w:val="en-US"/>
              </w:rPr>
              <w:t>1</w:t>
            </w:r>
            <w:r w:rsidRPr="00D97E4D">
              <w:rPr>
                <w:rFonts w:ascii="Arial" w:eastAsiaTheme="minorEastAsia" w:hAnsi="Arial" w:cs="Arial"/>
                <w:noProof/>
                <w:sz w:val="24"/>
                <w:szCs w:val="24"/>
                <w:lang w:val="en-US"/>
              </w:rPr>
              <w:tab/>
            </w:r>
            <w:r w:rsidRPr="00D97E4D">
              <w:rPr>
                <w:rFonts w:ascii="Arial" w:hAnsi="Arial" w:cs="Arial"/>
                <w:noProof/>
                <w:color w:val="0563C1" w:themeColor="hyperlink"/>
                <w:sz w:val="24"/>
                <w:szCs w:val="24"/>
                <w:u w:val="single"/>
                <w:lang w:val="en-US"/>
              </w:rPr>
              <w:t>Introduction and Backgroun</w:t>
            </w:r>
            <w:r w:rsidR="000B6B7B">
              <w:rPr>
                <w:rFonts w:ascii="Arial" w:hAnsi="Arial" w:cs="Arial"/>
                <w:noProof/>
                <w:color w:val="0563C1" w:themeColor="hyperlink"/>
                <w:sz w:val="24"/>
                <w:szCs w:val="24"/>
                <w:u w:val="single"/>
                <w:lang w:val="en-US"/>
              </w:rPr>
              <w:t>d</w:t>
            </w:r>
            <w:r w:rsidRPr="00D97E4D">
              <w:rPr>
                <w:rFonts w:ascii="Arial" w:hAnsi="Arial" w:cs="Arial"/>
                <w:noProof/>
                <w:webHidden/>
                <w:sz w:val="24"/>
                <w:szCs w:val="24"/>
                <w:lang w:val="en-US"/>
              </w:rPr>
              <w:tab/>
            </w:r>
            <w:r w:rsidRPr="00D97E4D">
              <w:rPr>
                <w:rFonts w:ascii="Arial" w:hAnsi="Arial" w:cs="Arial"/>
                <w:noProof/>
                <w:webHidden/>
                <w:sz w:val="24"/>
                <w:szCs w:val="24"/>
                <w:lang w:val="en-US"/>
              </w:rPr>
              <w:fldChar w:fldCharType="begin"/>
            </w:r>
            <w:r w:rsidRPr="00D97E4D">
              <w:rPr>
                <w:rFonts w:ascii="Arial" w:hAnsi="Arial" w:cs="Arial"/>
                <w:noProof/>
                <w:webHidden/>
                <w:sz w:val="24"/>
                <w:szCs w:val="24"/>
                <w:lang w:val="en-US"/>
              </w:rPr>
              <w:instrText xml:space="preserve"> PAGEREF _Toc148533216 \h </w:instrText>
            </w:r>
            <w:r w:rsidRPr="00D97E4D">
              <w:rPr>
                <w:rFonts w:ascii="Arial" w:hAnsi="Arial" w:cs="Arial"/>
                <w:noProof/>
                <w:webHidden/>
                <w:sz w:val="24"/>
                <w:szCs w:val="24"/>
                <w:lang w:val="en-US"/>
              </w:rPr>
            </w:r>
            <w:r w:rsidRPr="00D97E4D">
              <w:rPr>
                <w:rFonts w:ascii="Arial" w:hAnsi="Arial" w:cs="Arial"/>
                <w:noProof/>
                <w:webHidden/>
                <w:sz w:val="24"/>
                <w:szCs w:val="24"/>
                <w:lang w:val="en-US"/>
              </w:rPr>
              <w:fldChar w:fldCharType="separate"/>
            </w:r>
            <w:r w:rsidRPr="00D97E4D">
              <w:rPr>
                <w:rFonts w:ascii="Arial" w:hAnsi="Arial" w:cs="Arial"/>
                <w:noProof/>
                <w:webHidden/>
                <w:sz w:val="24"/>
                <w:szCs w:val="24"/>
                <w:lang w:val="en-US"/>
              </w:rPr>
              <w:t>2</w:t>
            </w:r>
            <w:r w:rsidRPr="00D97E4D">
              <w:rPr>
                <w:rFonts w:ascii="Arial" w:hAnsi="Arial" w:cs="Arial"/>
                <w:noProof/>
                <w:webHidden/>
                <w:sz w:val="24"/>
                <w:szCs w:val="24"/>
                <w:lang w:val="en-US"/>
              </w:rPr>
              <w:fldChar w:fldCharType="end"/>
            </w:r>
          </w:hyperlink>
        </w:p>
        <w:p w14:paraId="37C8D79C" w14:textId="77777777" w:rsidR="00D97E4D" w:rsidRPr="00D97E4D" w:rsidRDefault="00D97E4D" w:rsidP="00D97E4D">
          <w:pPr>
            <w:tabs>
              <w:tab w:val="left" w:pos="440"/>
              <w:tab w:val="right" w:leader="dot" w:pos="9350"/>
            </w:tabs>
            <w:spacing w:after="100" w:line="360" w:lineRule="auto"/>
            <w:rPr>
              <w:rFonts w:ascii="Arial" w:eastAsiaTheme="minorEastAsia" w:hAnsi="Arial" w:cs="Arial"/>
              <w:noProof/>
              <w:sz w:val="24"/>
              <w:szCs w:val="24"/>
              <w:lang w:val="en-US"/>
            </w:rPr>
          </w:pPr>
          <w:hyperlink w:anchor="_Toc148533217" w:history="1">
            <w:r w:rsidRPr="00D97E4D">
              <w:rPr>
                <w:rFonts w:ascii="Arial" w:hAnsi="Arial" w:cs="Arial"/>
                <w:noProof/>
                <w:color w:val="0563C1" w:themeColor="hyperlink"/>
                <w:sz w:val="24"/>
                <w:szCs w:val="24"/>
                <w:u w:val="single"/>
                <w:lang w:val="en-US"/>
              </w:rPr>
              <w:t>2</w:t>
            </w:r>
            <w:r w:rsidRPr="00D97E4D">
              <w:rPr>
                <w:rFonts w:ascii="Arial" w:eastAsiaTheme="minorEastAsia" w:hAnsi="Arial" w:cs="Arial"/>
                <w:noProof/>
                <w:sz w:val="24"/>
                <w:szCs w:val="24"/>
                <w:lang w:val="en-US"/>
              </w:rPr>
              <w:tab/>
            </w:r>
            <w:r w:rsidRPr="00D97E4D">
              <w:rPr>
                <w:rFonts w:ascii="Arial" w:hAnsi="Arial" w:cs="Arial"/>
                <w:noProof/>
                <w:color w:val="0563C1" w:themeColor="hyperlink"/>
                <w:sz w:val="24"/>
                <w:szCs w:val="24"/>
                <w:u w:val="single"/>
                <w:lang w:val="en-US"/>
              </w:rPr>
              <w:t>Generation Y throughout the Employee Lifecycle</w:t>
            </w:r>
            <w:r w:rsidRPr="00D97E4D">
              <w:rPr>
                <w:rFonts w:ascii="Arial" w:hAnsi="Arial" w:cs="Arial"/>
                <w:noProof/>
                <w:webHidden/>
                <w:sz w:val="24"/>
                <w:szCs w:val="24"/>
                <w:lang w:val="en-US"/>
              </w:rPr>
              <w:tab/>
            </w:r>
            <w:r w:rsidRPr="00D97E4D">
              <w:rPr>
                <w:rFonts w:ascii="Arial" w:hAnsi="Arial" w:cs="Arial"/>
                <w:noProof/>
                <w:webHidden/>
                <w:sz w:val="24"/>
                <w:szCs w:val="24"/>
                <w:lang w:val="en-US"/>
              </w:rPr>
              <w:fldChar w:fldCharType="begin"/>
            </w:r>
            <w:r w:rsidRPr="00D97E4D">
              <w:rPr>
                <w:rFonts w:ascii="Arial" w:hAnsi="Arial" w:cs="Arial"/>
                <w:noProof/>
                <w:webHidden/>
                <w:sz w:val="24"/>
                <w:szCs w:val="24"/>
                <w:lang w:val="en-US"/>
              </w:rPr>
              <w:instrText xml:space="preserve"> PAGEREF _Toc148533217 \h </w:instrText>
            </w:r>
            <w:r w:rsidRPr="00D97E4D">
              <w:rPr>
                <w:rFonts w:ascii="Arial" w:hAnsi="Arial" w:cs="Arial"/>
                <w:noProof/>
                <w:webHidden/>
                <w:sz w:val="24"/>
                <w:szCs w:val="24"/>
                <w:lang w:val="en-US"/>
              </w:rPr>
            </w:r>
            <w:r w:rsidRPr="00D97E4D">
              <w:rPr>
                <w:rFonts w:ascii="Arial" w:hAnsi="Arial" w:cs="Arial"/>
                <w:noProof/>
                <w:webHidden/>
                <w:sz w:val="24"/>
                <w:szCs w:val="24"/>
                <w:lang w:val="en-US"/>
              </w:rPr>
              <w:fldChar w:fldCharType="separate"/>
            </w:r>
            <w:r w:rsidRPr="00D97E4D">
              <w:rPr>
                <w:rFonts w:ascii="Arial" w:hAnsi="Arial" w:cs="Arial"/>
                <w:noProof/>
                <w:webHidden/>
                <w:sz w:val="24"/>
                <w:szCs w:val="24"/>
                <w:lang w:val="en-US"/>
              </w:rPr>
              <w:t>2</w:t>
            </w:r>
            <w:r w:rsidRPr="00D97E4D">
              <w:rPr>
                <w:rFonts w:ascii="Arial" w:hAnsi="Arial" w:cs="Arial"/>
                <w:noProof/>
                <w:webHidden/>
                <w:sz w:val="24"/>
                <w:szCs w:val="24"/>
                <w:lang w:val="en-US"/>
              </w:rPr>
              <w:fldChar w:fldCharType="end"/>
            </w:r>
          </w:hyperlink>
        </w:p>
        <w:p w14:paraId="2F0443D4" w14:textId="77777777" w:rsidR="00D97E4D" w:rsidRPr="00D97E4D" w:rsidRDefault="00D97E4D" w:rsidP="00D97E4D">
          <w:pPr>
            <w:tabs>
              <w:tab w:val="left" w:pos="440"/>
              <w:tab w:val="right" w:leader="dot" w:pos="9350"/>
            </w:tabs>
            <w:spacing w:after="100" w:line="360" w:lineRule="auto"/>
            <w:rPr>
              <w:rFonts w:ascii="Arial" w:eastAsiaTheme="minorEastAsia" w:hAnsi="Arial" w:cs="Arial"/>
              <w:noProof/>
              <w:sz w:val="24"/>
              <w:szCs w:val="24"/>
              <w:lang w:val="en-US"/>
            </w:rPr>
          </w:pPr>
          <w:hyperlink w:anchor="_Toc148533218" w:history="1">
            <w:r w:rsidRPr="00D97E4D">
              <w:rPr>
                <w:rFonts w:ascii="Arial" w:hAnsi="Arial" w:cs="Arial"/>
                <w:noProof/>
                <w:color w:val="0563C1" w:themeColor="hyperlink"/>
                <w:sz w:val="24"/>
                <w:szCs w:val="24"/>
                <w:u w:val="single"/>
                <w:lang w:val="en-US"/>
              </w:rPr>
              <w:t>3</w:t>
            </w:r>
            <w:r w:rsidRPr="00D97E4D">
              <w:rPr>
                <w:rFonts w:ascii="Arial" w:eastAsiaTheme="minorEastAsia" w:hAnsi="Arial" w:cs="Arial"/>
                <w:noProof/>
                <w:sz w:val="24"/>
                <w:szCs w:val="24"/>
                <w:lang w:val="en-US"/>
              </w:rPr>
              <w:tab/>
            </w:r>
            <w:r w:rsidRPr="00D97E4D">
              <w:rPr>
                <w:rFonts w:ascii="Arial" w:hAnsi="Arial" w:cs="Arial"/>
                <w:noProof/>
                <w:color w:val="0563C1" w:themeColor="hyperlink"/>
                <w:sz w:val="24"/>
                <w:szCs w:val="24"/>
                <w:u w:val="single"/>
                <w:lang w:val="en-US"/>
              </w:rPr>
              <w:t>Evaluation and Conclusion</w:t>
            </w:r>
            <w:r w:rsidRPr="00D97E4D">
              <w:rPr>
                <w:rFonts w:ascii="Arial" w:hAnsi="Arial" w:cs="Arial"/>
                <w:noProof/>
                <w:webHidden/>
                <w:sz w:val="24"/>
                <w:szCs w:val="24"/>
                <w:lang w:val="en-US"/>
              </w:rPr>
              <w:tab/>
            </w:r>
            <w:r w:rsidRPr="00D97E4D">
              <w:rPr>
                <w:rFonts w:ascii="Arial" w:hAnsi="Arial" w:cs="Arial"/>
                <w:noProof/>
                <w:webHidden/>
                <w:sz w:val="24"/>
                <w:szCs w:val="24"/>
                <w:lang w:val="en-US"/>
              </w:rPr>
              <w:fldChar w:fldCharType="begin"/>
            </w:r>
            <w:r w:rsidRPr="00D97E4D">
              <w:rPr>
                <w:rFonts w:ascii="Arial" w:hAnsi="Arial" w:cs="Arial"/>
                <w:noProof/>
                <w:webHidden/>
                <w:sz w:val="24"/>
                <w:szCs w:val="24"/>
                <w:lang w:val="en-US"/>
              </w:rPr>
              <w:instrText xml:space="preserve"> PAGEREF _Toc148533218 \h </w:instrText>
            </w:r>
            <w:r w:rsidRPr="00D97E4D">
              <w:rPr>
                <w:rFonts w:ascii="Arial" w:hAnsi="Arial" w:cs="Arial"/>
                <w:noProof/>
                <w:webHidden/>
                <w:sz w:val="24"/>
                <w:szCs w:val="24"/>
                <w:lang w:val="en-US"/>
              </w:rPr>
            </w:r>
            <w:r w:rsidRPr="00D97E4D">
              <w:rPr>
                <w:rFonts w:ascii="Arial" w:hAnsi="Arial" w:cs="Arial"/>
                <w:noProof/>
                <w:webHidden/>
                <w:sz w:val="24"/>
                <w:szCs w:val="24"/>
                <w:lang w:val="en-US"/>
              </w:rPr>
              <w:fldChar w:fldCharType="separate"/>
            </w:r>
            <w:r w:rsidRPr="00D97E4D">
              <w:rPr>
                <w:rFonts w:ascii="Arial" w:hAnsi="Arial" w:cs="Arial"/>
                <w:noProof/>
                <w:webHidden/>
                <w:sz w:val="24"/>
                <w:szCs w:val="24"/>
                <w:lang w:val="en-US"/>
              </w:rPr>
              <w:t>8</w:t>
            </w:r>
            <w:r w:rsidRPr="00D97E4D">
              <w:rPr>
                <w:rFonts w:ascii="Arial" w:hAnsi="Arial" w:cs="Arial"/>
                <w:noProof/>
                <w:webHidden/>
                <w:sz w:val="24"/>
                <w:szCs w:val="24"/>
                <w:lang w:val="en-US"/>
              </w:rPr>
              <w:fldChar w:fldCharType="end"/>
            </w:r>
          </w:hyperlink>
        </w:p>
        <w:p w14:paraId="51AAF2C8" w14:textId="77777777" w:rsidR="00D97E4D" w:rsidRPr="00D97E4D" w:rsidRDefault="00D97E4D" w:rsidP="00D97E4D">
          <w:pPr>
            <w:tabs>
              <w:tab w:val="left" w:pos="440"/>
              <w:tab w:val="right" w:leader="dot" w:pos="9350"/>
            </w:tabs>
            <w:spacing w:after="100" w:line="360" w:lineRule="auto"/>
            <w:rPr>
              <w:rFonts w:ascii="Arial" w:eastAsiaTheme="minorEastAsia" w:hAnsi="Arial" w:cs="Arial"/>
              <w:noProof/>
              <w:sz w:val="24"/>
              <w:szCs w:val="24"/>
              <w:lang w:val="en-US"/>
            </w:rPr>
          </w:pPr>
          <w:hyperlink w:anchor="_Toc148533219" w:history="1">
            <w:r w:rsidRPr="00D97E4D">
              <w:rPr>
                <w:rFonts w:ascii="Arial" w:hAnsi="Arial" w:cs="Arial"/>
                <w:noProof/>
                <w:color w:val="0563C1" w:themeColor="hyperlink"/>
                <w:sz w:val="24"/>
                <w:szCs w:val="24"/>
                <w:u w:val="single"/>
                <w:lang w:val="en-US"/>
              </w:rPr>
              <w:t>4</w:t>
            </w:r>
            <w:r w:rsidRPr="00D97E4D">
              <w:rPr>
                <w:rFonts w:ascii="Arial" w:eastAsiaTheme="minorEastAsia" w:hAnsi="Arial" w:cs="Arial"/>
                <w:noProof/>
                <w:sz w:val="24"/>
                <w:szCs w:val="24"/>
                <w:lang w:val="en-US"/>
              </w:rPr>
              <w:tab/>
            </w:r>
            <w:r w:rsidRPr="00D97E4D">
              <w:rPr>
                <w:rFonts w:ascii="Arial" w:hAnsi="Arial" w:cs="Arial"/>
                <w:noProof/>
                <w:color w:val="0563C1" w:themeColor="hyperlink"/>
                <w:sz w:val="24"/>
                <w:szCs w:val="24"/>
                <w:u w:val="single"/>
                <w:shd w:val="clear" w:color="auto" w:fill="FFFFFF"/>
                <w:lang w:val="en-US"/>
              </w:rPr>
              <w:t>References</w:t>
            </w:r>
            <w:r w:rsidRPr="00D97E4D">
              <w:rPr>
                <w:rFonts w:ascii="Arial" w:hAnsi="Arial" w:cs="Arial"/>
                <w:noProof/>
                <w:webHidden/>
                <w:sz w:val="24"/>
                <w:szCs w:val="24"/>
                <w:lang w:val="en-US"/>
              </w:rPr>
              <w:tab/>
            </w:r>
            <w:r w:rsidRPr="00D97E4D">
              <w:rPr>
                <w:rFonts w:ascii="Arial" w:hAnsi="Arial" w:cs="Arial"/>
                <w:noProof/>
                <w:webHidden/>
                <w:sz w:val="24"/>
                <w:szCs w:val="24"/>
                <w:lang w:val="en-US"/>
              </w:rPr>
              <w:fldChar w:fldCharType="begin"/>
            </w:r>
            <w:r w:rsidRPr="00D97E4D">
              <w:rPr>
                <w:rFonts w:ascii="Arial" w:hAnsi="Arial" w:cs="Arial"/>
                <w:noProof/>
                <w:webHidden/>
                <w:sz w:val="24"/>
                <w:szCs w:val="24"/>
                <w:lang w:val="en-US"/>
              </w:rPr>
              <w:instrText xml:space="preserve"> PAGEREF _Toc148533219 \h </w:instrText>
            </w:r>
            <w:r w:rsidRPr="00D97E4D">
              <w:rPr>
                <w:rFonts w:ascii="Arial" w:hAnsi="Arial" w:cs="Arial"/>
                <w:noProof/>
                <w:webHidden/>
                <w:sz w:val="24"/>
                <w:szCs w:val="24"/>
                <w:lang w:val="en-US"/>
              </w:rPr>
            </w:r>
            <w:r w:rsidRPr="00D97E4D">
              <w:rPr>
                <w:rFonts w:ascii="Arial" w:hAnsi="Arial" w:cs="Arial"/>
                <w:noProof/>
                <w:webHidden/>
                <w:sz w:val="24"/>
                <w:szCs w:val="24"/>
                <w:lang w:val="en-US"/>
              </w:rPr>
              <w:fldChar w:fldCharType="separate"/>
            </w:r>
            <w:r w:rsidRPr="00D97E4D">
              <w:rPr>
                <w:rFonts w:ascii="Arial" w:hAnsi="Arial" w:cs="Arial"/>
                <w:noProof/>
                <w:webHidden/>
                <w:sz w:val="24"/>
                <w:szCs w:val="24"/>
                <w:lang w:val="en-US"/>
              </w:rPr>
              <w:t>9</w:t>
            </w:r>
            <w:r w:rsidRPr="00D97E4D">
              <w:rPr>
                <w:rFonts w:ascii="Arial" w:hAnsi="Arial" w:cs="Arial"/>
                <w:noProof/>
                <w:webHidden/>
                <w:sz w:val="24"/>
                <w:szCs w:val="24"/>
                <w:lang w:val="en-US"/>
              </w:rPr>
              <w:fldChar w:fldCharType="end"/>
            </w:r>
          </w:hyperlink>
        </w:p>
        <w:p w14:paraId="2630C989" w14:textId="77777777" w:rsidR="00D97E4D" w:rsidRPr="00D97E4D" w:rsidRDefault="00D97E4D" w:rsidP="00D97E4D">
          <w:pPr>
            <w:spacing w:line="360" w:lineRule="auto"/>
            <w:rPr>
              <w:rFonts w:ascii="Arial" w:hAnsi="Arial" w:cs="Arial"/>
              <w:sz w:val="24"/>
              <w:szCs w:val="24"/>
              <w:lang w:val="en-US"/>
            </w:rPr>
          </w:pPr>
          <w:r w:rsidRPr="00D97E4D">
            <w:rPr>
              <w:rFonts w:ascii="Arial" w:hAnsi="Arial" w:cs="Arial"/>
              <w:b/>
              <w:bCs/>
              <w:noProof/>
              <w:sz w:val="24"/>
              <w:szCs w:val="24"/>
              <w:lang w:val="en-US"/>
            </w:rPr>
            <w:fldChar w:fldCharType="end"/>
          </w:r>
        </w:p>
      </w:sdtContent>
    </w:sdt>
    <w:p w14:paraId="38B04F4E" w14:textId="77777777" w:rsidR="00D97E4D" w:rsidRPr="00D97E4D" w:rsidRDefault="00D97E4D" w:rsidP="00D97E4D">
      <w:pPr>
        <w:spacing w:before="240" w:after="0" w:line="360" w:lineRule="auto"/>
        <w:jc w:val="both"/>
        <w:rPr>
          <w:rFonts w:ascii="Arial" w:hAnsi="Arial" w:cs="Arial"/>
          <w:b/>
          <w:bCs/>
          <w:color w:val="000000" w:themeColor="text1"/>
          <w:sz w:val="24"/>
          <w:szCs w:val="24"/>
          <w:lang w:val="en-US"/>
        </w:rPr>
      </w:pPr>
    </w:p>
    <w:p w14:paraId="5EDF4890" w14:textId="77777777" w:rsidR="00D97E4D" w:rsidRPr="00D97E4D" w:rsidRDefault="00D97E4D" w:rsidP="00D97E4D">
      <w:pPr>
        <w:spacing w:line="360" w:lineRule="auto"/>
        <w:rPr>
          <w:rFonts w:ascii="Arial" w:eastAsiaTheme="majorEastAsia" w:hAnsi="Arial" w:cs="Arial"/>
          <w:b/>
          <w:color w:val="000000" w:themeColor="text1"/>
          <w:sz w:val="24"/>
          <w:szCs w:val="24"/>
          <w:lang w:val="en-US"/>
        </w:rPr>
      </w:pPr>
      <w:bookmarkStart w:id="0" w:name="_Toc148533216"/>
      <w:r w:rsidRPr="00D97E4D">
        <w:rPr>
          <w:rFonts w:ascii="Arial" w:hAnsi="Arial" w:cs="Arial"/>
          <w:sz w:val="24"/>
          <w:szCs w:val="24"/>
          <w:lang w:val="en-US"/>
        </w:rPr>
        <w:br w:type="page"/>
      </w:r>
    </w:p>
    <w:p w14:paraId="36EFA55D" w14:textId="77777777" w:rsidR="00D97E4D" w:rsidRPr="00D97E4D" w:rsidRDefault="00D97E4D" w:rsidP="00D97E4D">
      <w:pPr>
        <w:keepNext/>
        <w:keepLines/>
        <w:spacing w:before="240" w:after="0" w:line="360" w:lineRule="auto"/>
        <w:ind w:left="432" w:hanging="432"/>
        <w:outlineLvl w:val="0"/>
        <w:rPr>
          <w:rFonts w:ascii="Arial" w:eastAsiaTheme="majorEastAsia" w:hAnsi="Arial" w:cs="Arial"/>
          <w:b/>
          <w:color w:val="000000" w:themeColor="text1"/>
          <w:sz w:val="24"/>
          <w:szCs w:val="24"/>
          <w:lang w:val="en-US"/>
        </w:rPr>
      </w:pPr>
      <w:r w:rsidRPr="00D97E4D">
        <w:rPr>
          <w:rFonts w:ascii="Arial" w:eastAsiaTheme="majorEastAsia" w:hAnsi="Arial" w:cs="Arial"/>
          <w:b/>
          <w:color w:val="000000" w:themeColor="text1"/>
          <w:sz w:val="24"/>
          <w:szCs w:val="24"/>
          <w:lang w:val="en-US"/>
        </w:rPr>
        <w:lastRenderedPageBreak/>
        <w:t>Introduction and Background</w:t>
      </w:r>
      <w:bookmarkEnd w:id="0"/>
      <w:r w:rsidRPr="00D97E4D">
        <w:rPr>
          <w:rFonts w:ascii="Arial" w:eastAsiaTheme="majorEastAsia" w:hAnsi="Arial" w:cs="Arial"/>
          <w:b/>
          <w:color w:val="000000" w:themeColor="text1"/>
          <w:sz w:val="24"/>
          <w:szCs w:val="24"/>
          <w:lang w:val="en-US"/>
        </w:rPr>
        <w:t xml:space="preserve"> </w:t>
      </w:r>
    </w:p>
    <w:p w14:paraId="22A7AD97" w14:textId="08606D26" w:rsidR="00D97E4D" w:rsidRPr="00D97E4D" w:rsidRDefault="00D97E4D" w:rsidP="00D97E4D">
      <w:pPr>
        <w:spacing w:before="240" w:after="0" w:line="360" w:lineRule="auto"/>
        <w:jc w:val="both"/>
        <w:rPr>
          <w:rFonts w:ascii="Arial" w:hAnsi="Arial" w:cs="Arial"/>
          <w:color w:val="000000" w:themeColor="text1"/>
          <w:sz w:val="24"/>
          <w:szCs w:val="24"/>
          <w:lang w:val="en-US"/>
        </w:rPr>
      </w:pPr>
      <w:r w:rsidRPr="00D97E4D">
        <w:rPr>
          <w:rFonts w:ascii="Arial" w:hAnsi="Arial" w:cs="Arial"/>
          <w:color w:val="000000" w:themeColor="text1"/>
          <w:sz w:val="24"/>
          <w:szCs w:val="24"/>
          <w:shd w:val="clear" w:color="auto" w:fill="FFFFFF"/>
          <w:lang w:val="en-US"/>
        </w:rPr>
        <w:t>The essay discusses th</w:t>
      </w:r>
      <w:r w:rsidR="00D203D0">
        <w:rPr>
          <w:rFonts w:ascii="Arial" w:hAnsi="Arial" w:cs="Arial"/>
          <w:color w:val="000000" w:themeColor="text1"/>
          <w:sz w:val="24"/>
          <w:szCs w:val="24"/>
          <w:shd w:val="clear" w:color="auto" w:fill="FFFFFF"/>
          <w:lang w:val="en-US"/>
        </w:rPr>
        <w:t>e</w:t>
      </w:r>
      <w:r w:rsidRPr="00D97E4D">
        <w:rPr>
          <w:rFonts w:ascii="Arial" w:hAnsi="Arial" w:cs="Arial"/>
          <w:color w:val="000000" w:themeColor="text1"/>
          <w:sz w:val="24"/>
          <w:szCs w:val="24"/>
          <w:shd w:val="clear" w:color="auto" w:fill="FFFFFF"/>
          <w:lang w:val="en-US"/>
        </w:rPr>
        <w:t xml:space="preserve"> importance of engaging employees, specifically Generation Ys, throughout their entire lifecycle. It explores the characteristic</w:t>
      </w:r>
      <w:r w:rsidR="008C64FA">
        <w:rPr>
          <w:rFonts w:ascii="Arial" w:hAnsi="Arial" w:cs="Arial"/>
          <w:color w:val="000000" w:themeColor="text1"/>
          <w:sz w:val="24"/>
          <w:szCs w:val="24"/>
          <w:shd w:val="clear" w:color="auto" w:fill="FFFFFF"/>
          <w:lang w:val="en-US"/>
        </w:rPr>
        <w:t>s</w:t>
      </w:r>
      <w:r w:rsidRPr="00D97E4D">
        <w:rPr>
          <w:rFonts w:ascii="Arial" w:hAnsi="Arial" w:cs="Arial"/>
          <w:color w:val="000000" w:themeColor="text1"/>
          <w:sz w:val="24"/>
          <w:szCs w:val="24"/>
          <w:shd w:val="clear" w:color="auto" w:fill="FFFFFF"/>
          <w:lang w:val="en-US"/>
        </w:rPr>
        <w:t xml:space="preserve"> of each generation, suggests ways to engage, and highlights the advantages of a team's engagement. The essay also discusses the employee lifecycle, including attraction, recruitment, onboarding, development, retention, and separation. It provides examples of how to engage a team and suggests incorporating an employee engagement model. However, Employee engagement, defined as a worker's passion and commitment to their work, is essential to a business's success since it raises morale and increases job satisfaction, which results in higher output and performance. When tackling important factors that increase employee engagement, such as inspiring and motivating managers, HR plays a crucial role (</w:t>
      </w:r>
      <w:r w:rsidRPr="00D97E4D">
        <w:rPr>
          <w:rFonts w:ascii="Arial" w:eastAsia="Times New Roman" w:hAnsi="Arial" w:cs="Arial"/>
          <w:color w:val="000000" w:themeColor="text1"/>
          <w:kern w:val="0"/>
          <w:sz w:val="24"/>
          <w:szCs w:val="24"/>
          <w:lang w:val="en"/>
          <w14:ligatures w14:val="none"/>
        </w:rPr>
        <w:t xml:space="preserve">Torrington </w:t>
      </w:r>
      <w:r w:rsidRPr="00D97E4D">
        <w:rPr>
          <w:rFonts w:ascii="Arial" w:eastAsia="Times New Roman" w:hAnsi="Arial" w:cs="Arial"/>
          <w:i/>
          <w:iCs/>
          <w:color w:val="000000" w:themeColor="text1"/>
          <w:kern w:val="0"/>
          <w:sz w:val="24"/>
          <w:szCs w:val="24"/>
          <w:lang w:val="en"/>
          <w14:ligatures w14:val="none"/>
        </w:rPr>
        <w:t>et al.,</w:t>
      </w:r>
      <w:r w:rsidRPr="00D97E4D">
        <w:rPr>
          <w:rFonts w:ascii="Arial" w:eastAsia="Times New Roman" w:hAnsi="Arial" w:cs="Arial"/>
          <w:color w:val="000000" w:themeColor="text1"/>
          <w:kern w:val="0"/>
          <w:sz w:val="24"/>
          <w:szCs w:val="24"/>
          <w:lang w:val="en"/>
          <w14:ligatures w14:val="none"/>
        </w:rPr>
        <w:t xml:space="preserve"> 2020</w:t>
      </w:r>
      <w:r w:rsidRPr="00D97E4D">
        <w:rPr>
          <w:rFonts w:ascii="Arial" w:hAnsi="Arial" w:cs="Arial"/>
          <w:color w:val="000000" w:themeColor="text1"/>
          <w:sz w:val="24"/>
          <w:szCs w:val="24"/>
          <w:shd w:val="clear" w:color="auto" w:fill="FFFFFF"/>
          <w:lang w:val="en-US"/>
        </w:rPr>
        <w:t>). By giving managers the tools and resources they require to encourage and inspire, HR can give them more power. High-achieving businesses depend on their company culture, which HR protects to maintain worker engagement. This may be accomplished byby protecting the corporate culture during the recruiting process, maintaining open communication lines, and ensuring that new hires are a good cultural match for the company.</w:t>
      </w:r>
    </w:p>
    <w:p w14:paraId="15BB344D" w14:textId="77777777" w:rsidR="00D97E4D" w:rsidRPr="00D97E4D" w:rsidRDefault="00D97E4D" w:rsidP="00D97E4D">
      <w:pPr>
        <w:keepNext/>
        <w:keepLines/>
        <w:spacing w:before="240" w:after="0" w:line="360" w:lineRule="auto"/>
        <w:ind w:left="432" w:hanging="432"/>
        <w:outlineLvl w:val="0"/>
        <w:rPr>
          <w:rFonts w:ascii="Arial" w:eastAsiaTheme="majorEastAsia" w:hAnsi="Arial" w:cs="Arial"/>
          <w:b/>
          <w:color w:val="000000" w:themeColor="text1"/>
          <w:sz w:val="24"/>
          <w:szCs w:val="24"/>
          <w:lang w:val="en-US"/>
        </w:rPr>
      </w:pPr>
      <w:r w:rsidRPr="00D97E4D">
        <w:rPr>
          <w:rFonts w:ascii="Arial" w:eastAsiaTheme="majorEastAsia" w:hAnsi="Arial" w:cs="Arial"/>
          <w:b/>
          <w:color w:val="000000" w:themeColor="text1"/>
          <w:sz w:val="24"/>
          <w:szCs w:val="24"/>
          <w:lang w:val="en-US"/>
        </w:rPr>
        <w:t xml:space="preserve"> </w:t>
      </w:r>
      <w:bookmarkStart w:id="1" w:name="_Toc148533217"/>
      <w:r w:rsidRPr="00D97E4D">
        <w:rPr>
          <w:rFonts w:ascii="Arial" w:eastAsiaTheme="majorEastAsia" w:hAnsi="Arial" w:cs="Arial"/>
          <w:b/>
          <w:color w:val="000000" w:themeColor="text1"/>
          <w:sz w:val="24"/>
          <w:szCs w:val="24"/>
          <w:lang w:val="en-US"/>
        </w:rPr>
        <w:t>Generation Y throughout the Employee Lifecycle</w:t>
      </w:r>
      <w:bookmarkEnd w:id="1"/>
    </w:p>
    <w:p w14:paraId="49D23B86" w14:textId="77777777" w:rsidR="00D97E4D" w:rsidRPr="00D97E4D" w:rsidRDefault="00D97E4D" w:rsidP="00D97E4D">
      <w:pPr>
        <w:spacing w:before="240" w:after="0" w:line="360" w:lineRule="auto"/>
        <w:jc w:val="both"/>
        <w:rPr>
          <w:rFonts w:ascii="Arial" w:hAnsi="Arial" w:cs="Arial"/>
          <w:color w:val="000000" w:themeColor="text1"/>
          <w:sz w:val="24"/>
          <w:szCs w:val="24"/>
          <w:shd w:val="clear" w:color="auto" w:fill="FFFFFF"/>
          <w:lang w:val="en-US"/>
        </w:rPr>
      </w:pPr>
      <w:r w:rsidRPr="00D97E4D">
        <w:rPr>
          <w:rFonts w:ascii="Arial" w:hAnsi="Arial" w:cs="Arial"/>
          <w:color w:val="000000" w:themeColor="text1"/>
          <w:sz w:val="24"/>
          <w:szCs w:val="24"/>
          <w:shd w:val="clear" w:color="auto" w:fill="FFFFFF"/>
          <w:lang w:val="en-US"/>
        </w:rPr>
        <w:t xml:space="preserve">Employees are motivated to go above and beyond the call of duty because they connect emotionally to the organisation, its goals, and guiding values. This is called workplace engagement (Lemon and Palenchar, 2018). HR is responsible for preserving organisational culture by expressing the organisation's mission and fundamental values to staff members regularly. Furthermore, HR is crucial in establishing a culture of employee engagement as a fundamental value, ensuring that employees have a strong sense of belonging to the business and that its aims and beliefs are continually at the heart of everyday operations (Lee </w:t>
      </w:r>
      <w:r w:rsidRPr="00D97E4D">
        <w:rPr>
          <w:rFonts w:ascii="Arial" w:hAnsi="Arial" w:cs="Arial"/>
          <w:i/>
          <w:iCs/>
          <w:color w:val="000000" w:themeColor="text1"/>
          <w:sz w:val="24"/>
          <w:szCs w:val="24"/>
          <w:shd w:val="clear" w:color="auto" w:fill="FFFFFF"/>
          <w:lang w:val="en-US"/>
        </w:rPr>
        <w:t>et al.,</w:t>
      </w:r>
      <w:r w:rsidRPr="00D97E4D">
        <w:rPr>
          <w:rFonts w:ascii="Arial" w:hAnsi="Arial" w:cs="Arial"/>
          <w:color w:val="000000" w:themeColor="text1"/>
          <w:sz w:val="24"/>
          <w:szCs w:val="24"/>
          <w:shd w:val="clear" w:color="auto" w:fill="FFFFFF"/>
          <w:lang w:val="en-US"/>
        </w:rPr>
        <w:t xml:space="preserve"> 2020). The democratic generation, Generation Y, or Millennials, was born between 1981 and the mid-1990s and ended in 1996 (Pasla </w:t>
      </w:r>
      <w:r w:rsidRPr="00D97E4D">
        <w:rPr>
          <w:rFonts w:ascii="Arial" w:hAnsi="Arial" w:cs="Arial"/>
          <w:i/>
          <w:iCs/>
          <w:color w:val="000000" w:themeColor="text1"/>
          <w:sz w:val="24"/>
          <w:szCs w:val="24"/>
          <w:shd w:val="clear" w:color="auto" w:fill="FFFFFF"/>
          <w:lang w:val="en-US"/>
        </w:rPr>
        <w:t>et al.,</w:t>
      </w:r>
      <w:r w:rsidRPr="00D97E4D">
        <w:rPr>
          <w:rFonts w:ascii="Arial" w:hAnsi="Arial" w:cs="Arial"/>
          <w:color w:val="000000" w:themeColor="text1"/>
          <w:sz w:val="24"/>
          <w:szCs w:val="24"/>
          <w:shd w:val="clear" w:color="auto" w:fill="FFFFFF"/>
          <w:lang w:val="en-US"/>
        </w:rPr>
        <w:t xml:space="preserve"> 2021). They are claimed to be between the ages of 25 and 40 and to have lived through the early days of mobile technology and the internet. Some of the key traits of </w:t>
      </w:r>
      <w:r w:rsidRPr="00D97E4D">
        <w:rPr>
          <w:rFonts w:ascii="Arial" w:hAnsi="Arial" w:cs="Arial"/>
          <w:color w:val="000000" w:themeColor="text1"/>
          <w:sz w:val="24"/>
          <w:szCs w:val="24"/>
          <w:shd w:val="clear" w:color="auto" w:fill="FFFFFF"/>
          <w:lang w:val="en-US"/>
        </w:rPr>
        <w:lastRenderedPageBreak/>
        <w:t xml:space="preserve">Generation Y include being tech-savvy, adaptable in the workplace, conscious of global concerns like climate change, open-minded, and entrepreneurial. They have successfully juggled 9 to 5 occupations with social media searches for internet answers (Kong </w:t>
      </w:r>
      <w:r w:rsidRPr="00D97E4D">
        <w:rPr>
          <w:rFonts w:ascii="Arial" w:hAnsi="Arial" w:cs="Arial"/>
          <w:i/>
          <w:iCs/>
          <w:color w:val="000000" w:themeColor="text1"/>
          <w:sz w:val="24"/>
          <w:szCs w:val="24"/>
          <w:shd w:val="clear" w:color="auto" w:fill="FFFFFF"/>
          <w:lang w:val="en-US"/>
        </w:rPr>
        <w:t>et al.,</w:t>
      </w:r>
      <w:r w:rsidRPr="00D97E4D">
        <w:rPr>
          <w:rFonts w:ascii="Arial" w:hAnsi="Arial" w:cs="Arial"/>
          <w:color w:val="000000" w:themeColor="text1"/>
          <w:sz w:val="24"/>
          <w:szCs w:val="24"/>
          <w:shd w:val="clear" w:color="auto" w:fill="FFFFFF"/>
          <w:lang w:val="en-US"/>
        </w:rPr>
        <w:t xml:space="preserve"> 2020). Additionally, they actively advocate for change and are more concerned with civic and social consciousness. They are renowned for their inventive problem-solving skills, risk-taking willingness, and entrepreneurial mindset, enabling them to flourish personally and professionally. Moreover, Caste, Religion, and Ethnic Disparities are more acceptable to Generation Y. </w:t>
      </w:r>
    </w:p>
    <w:p w14:paraId="21425D72" w14:textId="77777777" w:rsidR="00D97E4D" w:rsidRPr="00D97E4D" w:rsidRDefault="00D97E4D" w:rsidP="00D97E4D">
      <w:pPr>
        <w:spacing w:before="240" w:after="0" w:line="360" w:lineRule="auto"/>
        <w:jc w:val="both"/>
        <w:rPr>
          <w:rFonts w:ascii="Arial" w:hAnsi="Arial" w:cs="Arial"/>
          <w:color w:val="000000" w:themeColor="text1"/>
          <w:sz w:val="24"/>
          <w:szCs w:val="24"/>
          <w:shd w:val="clear" w:color="auto" w:fill="FFFFFF"/>
          <w:lang w:val="en-US"/>
        </w:rPr>
      </w:pPr>
      <w:r w:rsidRPr="00D97E4D">
        <w:rPr>
          <w:rFonts w:ascii="Arial" w:hAnsi="Arial" w:cs="Arial"/>
          <w:color w:val="000000" w:themeColor="text1"/>
          <w:sz w:val="24"/>
          <w:szCs w:val="24"/>
          <w:shd w:val="clear" w:color="auto" w:fill="FFFFFF"/>
          <w:lang w:val="en-US"/>
        </w:rPr>
        <w:t>As Generation Y joins the workforce rapidly, businesses need to understand how to engage with them and connect their goals with theirs. Working with Gen Y can be less beneficial since they are often seen as unreliable, sluggish, distrustful of bureaucracy, and indifferent to seniority. However, since Gen Ys are driven by job satisfaction, their employment must reflect the goal and vision of the organisation. Flexible work arrangements show a belief in workers' abilities while lowering turnover, increasing productivity, and encouraging full engagement from all employees. Employees of Generation Y favour inclusive leadership, open communication, and consensus-building above autocracy. Social networking may be useful for connecting with Gen Y employees when utilised properly (Naim and Lenka, 2018). People management practises include providing career development opportunities, recognising and rewarding high performance, and cultivating a culture of mutual respect and cooperation between managers and staff. Professional advancement and success are the top priorities for Generation Y employees, and their happiness at work depends on how activities are divided. Gen Y could be more engaged if offered chances to work on challenging projects, cross-functional secondments, and mentorship.</w:t>
      </w:r>
      <w:r w:rsidRPr="00D97E4D">
        <w:rPr>
          <w:rFonts w:ascii="Arial" w:hAnsi="Arial" w:cs="Arial"/>
          <w:color w:val="000000" w:themeColor="text1"/>
          <w:sz w:val="24"/>
          <w:szCs w:val="24"/>
          <w:lang w:val="en-US"/>
        </w:rPr>
        <w:t xml:space="preserve"> </w:t>
      </w:r>
      <w:r w:rsidRPr="00D97E4D">
        <w:rPr>
          <w:rFonts w:ascii="Arial" w:hAnsi="Arial" w:cs="Arial"/>
          <w:color w:val="000000" w:themeColor="text1"/>
          <w:sz w:val="24"/>
          <w:szCs w:val="24"/>
          <w:shd w:val="clear" w:color="auto" w:fill="FFFFFF"/>
          <w:lang w:val="en-US"/>
        </w:rPr>
        <w:t>Recognising employees' successes is crucial since they have higher expectations for regular feedback and appreciation than earlier generations (</w:t>
      </w:r>
      <w:r w:rsidRPr="00D97E4D">
        <w:rPr>
          <w:rFonts w:ascii="Arial" w:eastAsia="Times New Roman" w:hAnsi="Arial" w:cs="Arial"/>
          <w:color w:val="000000" w:themeColor="text1"/>
          <w:kern w:val="0"/>
          <w:sz w:val="24"/>
          <w:szCs w:val="24"/>
          <w:lang w:val="en"/>
          <w14:ligatures w14:val="none"/>
        </w:rPr>
        <w:t>Gallagher, 2016</w:t>
      </w:r>
      <w:r w:rsidRPr="00D97E4D">
        <w:rPr>
          <w:rFonts w:ascii="Arial" w:hAnsi="Arial" w:cs="Arial"/>
          <w:color w:val="000000" w:themeColor="text1"/>
          <w:sz w:val="24"/>
          <w:szCs w:val="24"/>
          <w:shd w:val="clear" w:color="auto" w:fill="FFFFFF"/>
          <w:lang w:val="en-US"/>
        </w:rPr>
        <w:t>). Generation Y employees are more willing to go above and beyond if they believe their company values and cares for them. Personal interactions, genuine interest in employees, and appreciation and applauding their accomplishments will likely result in a more engaged Gen Y workforce.</w:t>
      </w:r>
    </w:p>
    <w:p w14:paraId="0A07A91F" w14:textId="77777777" w:rsidR="00D97E4D" w:rsidRPr="00D97E4D" w:rsidRDefault="00D97E4D" w:rsidP="00D97E4D">
      <w:pPr>
        <w:spacing w:before="240" w:after="0" w:line="360" w:lineRule="auto"/>
        <w:jc w:val="both"/>
        <w:rPr>
          <w:rFonts w:ascii="Arial" w:hAnsi="Arial" w:cs="Arial"/>
          <w:color w:val="000000" w:themeColor="text1"/>
          <w:sz w:val="24"/>
          <w:szCs w:val="24"/>
          <w:shd w:val="clear" w:color="auto" w:fill="FFFFFF"/>
          <w:lang w:val="en-US"/>
        </w:rPr>
      </w:pPr>
      <w:r w:rsidRPr="00D97E4D">
        <w:rPr>
          <w:rFonts w:ascii="Arial" w:hAnsi="Arial" w:cs="Arial"/>
          <w:color w:val="000000" w:themeColor="text1"/>
          <w:sz w:val="24"/>
          <w:szCs w:val="24"/>
          <w:shd w:val="clear" w:color="auto" w:fill="FFFFFF"/>
          <w:lang w:val="en-US"/>
        </w:rPr>
        <w:lastRenderedPageBreak/>
        <w:t>In Addition, organisations should prioritise employee engagement since it increases production, effectiveness, and financial success. Engaged teams are enthusiastic about their job, have a sense of belonging, and feel appreciated. They like to work in groups and take on more responsibilities (Cattermole, 2019.). Because they are uninspired, lack passion, and are uninterested in the firm or their job, disengaged people and teams perform worse, create less, and have higher employee turnover. Regardless of industry variances in employee engagement, it constantly affects customer service, retention rates, productivity, and profitability.</w:t>
      </w:r>
      <w:r w:rsidRPr="00D97E4D">
        <w:rPr>
          <w:rFonts w:ascii="Arial" w:hAnsi="Arial" w:cs="Arial"/>
          <w:color w:val="000000" w:themeColor="text1"/>
          <w:sz w:val="24"/>
          <w:szCs w:val="24"/>
          <w:lang w:val="en-US"/>
        </w:rPr>
        <w:t xml:space="preserve"> </w:t>
      </w:r>
      <w:r w:rsidRPr="00D97E4D">
        <w:rPr>
          <w:rFonts w:ascii="Arial" w:hAnsi="Arial" w:cs="Arial"/>
          <w:color w:val="000000" w:themeColor="text1"/>
          <w:sz w:val="24"/>
          <w:szCs w:val="24"/>
          <w:shd w:val="clear" w:color="auto" w:fill="FFFFFF"/>
          <w:lang w:val="en-US"/>
        </w:rPr>
        <w:t xml:space="preserve">Employees who are disengaged may perform badly, have a high staff turnover rate, and incur additional costs. A strong emphasis on employee engagement may increase production, inspire creativity, and assist the organisation in meeting its goals. On the other hand, the employee lifecycle is a strategy that divides an employee's relationship with a company into seven stages: advocacy, recruiting, retention, development, onboarding, and attraction (Gladka </w:t>
      </w:r>
      <w:r w:rsidRPr="00D97E4D">
        <w:rPr>
          <w:rFonts w:ascii="Arial" w:hAnsi="Arial" w:cs="Arial"/>
          <w:i/>
          <w:iCs/>
          <w:color w:val="000000" w:themeColor="text1"/>
          <w:sz w:val="24"/>
          <w:szCs w:val="24"/>
          <w:shd w:val="clear" w:color="auto" w:fill="FFFFFF"/>
          <w:lang w:val="en-US"/>
        </w:rPr>
        <w:t>et al.,</w:t>
      </w:r>
      <w:r w:rsidRPr="00D97E4D">
        <w:rPr>
          <w:rFonts w:ascii="Arial" w:hAnsi="Arial" w:cs="Arial"/>
          <w:color w:val="000000" w:themeColor="text1"/>
          <w:sz w:val="24"/>
          <w:szCs w:val="24"/>
          <w:shd w:val="clear" w:color="auto" w:fill="FFFFFF"/>
          <w:lang w:val="en-US"/>
        </w:rPr>
        <w:t xml:space="preserve"> 2022). Similarly, understanding each phase may improve employee engagement, business culture, and team cohesion while improving the work environment. Working in this manner is more pleasurable.</w:t>
      </w:r>
    </w:p>
    <w:p w14:paraId="62EFC168" w14:textId="77777777" w:rsidR="00D97E4D" w:rsidRPr="00D97E4D" w:rsidRDefault="00D97E4D" w:rsidP="00D97E4D">
      <w:pPr>
        <w:spacing w:before="240" w:after="0" w:line="360" w:lineRule="auto"/>
        <w:jc w:val="both"/>
        <w:rPr>
          <w:rFonts w:ascii="Arial" w:hAnsi="Arial" w:cs="Arial"/>
          <w:color w:val="000000" w:themeColor="text1"/>
          <w:sz w:val="24"/>
          <w:szCs w:val="24"/>
          <w:shd w:val="clear" w:color="auto" w:fill="FFFFFF"/>
          <w:lang w:val="en-US"/>
        </w:rPr>
      </w:pPr>
      <w:r w:rsidRPr="00D97E4D">
        <w:rPr>
          <w:rFonts w:ascii="Arial" w:hAnsi="Arial" w:cs="Arial"/>
          <w:color w:val="000000" w:themeColor="text1"/>
          <w:sz w:val="24"/>
          <w:szCs w:val="24"/>
          <w:shd w:val="clear" w:color="auto" w:fill="FFFFFF"/>
          <w:lang w:val="en-US"/>
        </w:rPr>
        <w:t xml:space="preserve">The first stage of the employee lifecycle, recruitment, is an organisation's strategy for attracting competent individuals. To attract talent, businesses must understand what makes them unique, such as corporate culture, brand recognition, and benefits and bonuses. As HR will be discussing these themes with potential customers, there is a chance for the marketing team to step up and make a meaningful contribution. The attraction may be measured via job posting leads, article views and social network likes. An organisation's recruiting process is crucial to its success at every stage of the employee's career (Chandani </w:t>
      </w:r>
      <w:r w:rsidRPr="00D97E4D">
        <w:rPr>
          <w:rFonts w:ascii="Arial" w:hAnsi="Arial" w:cs="Arial"/>
          <w:i/>
          <w:iCs/>
          <w:color w:val="000000" w:themeColor="text1"/>
          <w:sz w:val="24"/>
          <w:szCs w:val="24"/>
          <w:shd w:val="clear" w:color="auto" w:fill="FFFFFF"/>
          <w:lang w:val="en-US"/>
        </w:rPr>
        <w:t>et al.,</w:t>
      </w:r>
      <w:r w:rsidRPr="00D97E4D">
        <w:rPr>
          <w:rFonts w:ascii="Arial" w:hAnsi="Arial" w:cs="Arial"/>
          <w:color w:val="000000" w:themeColor="text1"/>
          <w:sz w:val="24"/>
          <w:szCs w:val="24"/>
          <w:shd w:val="clear" w:color="auto" w:fill="FFFFFF"/>
          <w:lang w:val="en-US"/>
        </w:rPr>
        <w:t xml:space="preserve"> 2016).</w:t>
      </w:r>
    </w:p>
    <w:p w14:paraId="22DBA6FF" w14:textId="77777777" w:rsidR="00D97E4D" w:rsidRPr="00D97E4D" w:rsidRDefault="00D97E4D" w:rsidP="00D97E4D">
      <w:pPr>
        <w:spacing w:before="240" w:after="0" w:line="360" w:lineRule="auto"/>
        <w:jc w:val="both"/>
        <w:rPr>
          <w:rFonts w:ascii="Arial" w:hAnsi="Arial" w:cs="Arial"/>
          <w:color w:val="000000" w:themeColor="text1"/>
          <w:sz w:val="24"/>
          <w:szCs w:val="24"/>
          <w:shd w:val="clear" w:color="auto" w:fill="FFFFFF"/>
          <w:lang w:val="en-US"/>
        </w:rPr>
      </w:pPr>
      <w:r w:rsidRPr="00D97E4D">
        <w:rPr>
          <w:rFonts w:ascii="Arial" w:hAnsi="Arial" w:cs="Arial"/>
          <w:color w:val="000000" w:themeColor="text1"/>
          <w:sz w:val="24"/>
          <w:szCs w:val="24"/>
          <w:shd w:val="clear" w:color="auto" w:fill="FFFFFF"/>
          <w:lang w:val="en-US"/>
        </w:rPr>
        <w:t xml:space="preserve">Recruiting is the second stage of an employee's lifecycle, and its goal is to draw talent to an organisation (Cattermole, 2019). After courting potential candidates and identifying the kind of person they want on staff, businesses should formulate a plan for hiring new personnel. Hiring should be a company's top priority as it attracts more talent and employees. One way to incentivise existing employees to refer others is by providing a financial incentive. Developing a recruiting strategy and doing research on applicant </w:t>
      </w:r>
      <w:r w:rsidRPr="00D97E4D">
        <w:rPr>
          <w:rFonts w:ascii="Arial" w:hAnsi="Arial" w:cs="Arial"/>
          <w:color w:val="000000" w:themeColor="text1"/>
          <w:sz w:val="24"/>
          <w:szCs w:val="24"/>
          <w:shd w:val="clear" w:color="auto" w:fill="FFFFFF"/>
          <w:lang w:val="en-US"/>
        </w:rPr>
        <w:lastRenderedPageBreak/>
        <w:t>preferences is essential. HR is responsible for overseeing and involving employees in the hiring process, which includes receiving applications, conducting interviews, making offers, and accepting positions.</w:t>
      </w:r>
    </w:p>
    <w:p w14:paraId="5FA253E9" w14:textId="77777777" w:rsidR="00D97E4D" w:rsidRPr="00D97E4D" w:rsidRDefault="00D97E4D" w:rsidP="00D97E4D">
      <w:pPr>
        <w:spacing w:before="240" w:after="0" w:line="360" w:lineRule="auto"/>
        <w:jc w:val="both"/>
        <w:rPr>
          <w:rFonts w:ascii="Arial" w:hAnsi="Arial" w:cs="Arial"/>
          <w:sz w:val="24"/>
          <w:szCs w:val="24"/>
          <w:shd w:val="clear" w:color="auto" w:fill="FFFFFF"/>
          <w:lang w:val="en-US"/>
        </w:rPr>
      </w:pPr>
      <w:r w:rsidRPr="00D97E4D">
        <w:rPr>
          <w:rFonts w:ascii="Arial" w:hAnsi="Arial" w:cs="Arial"/>
          <w:sz w:val="24"/>
          <w:szCs w:val="24"/>
          <w:shd w:val="clear" w:color="auto" w:fill="FFFFFF"/>
          <w:lang w:val="en-US"/>
        </w:rPr>
        <w:t xml:space="preserve">Making sure that new hires are properly onboarded is a crucial responsibility of the HR department (Sato </w:t>
      </w:r>
      <w:r w:rsidRPr="00D97E4D">
        <w:rPr>
          <w:rFonts w:ascii="Arial" w:hAnsi="Arial" w:cs="Arial"/>
          <w:i/>
          <w:iCs/>
          <w:sz w:val="24"/>
          <w:szCs w:val="24"/>
          <w:shd w:val="clear" w:color="auto" w:fill="FFFFFF"/>
          <w:lang w:val="en-US"/>
        </w:rPr>
        <w:t xml:space="preserve">et al., </w:t>
      </w:r>
      <w:r w:rsidRPr="00D97E4D">
        <w:rPr>
          <w:rFonts w:ascii="Arial" w:hAnsi="Arial" w:cs="Arial"/>
          <w:sz w:val="24"/>
          <w:szCs w:val="24"/>
          <w:shd w:val="clear" w:color="auto" w:fill="FFFFFF"/>
          <w:lang w:val="en-US"/>
        </w:rPr>
        <w:t>2020). It is necessary to provide precise details on the start date, required documentation, employment requirements, and training. On the first day, the team should review the job description, the corporate goal, and the expectations for each role. They should also ensure the new hire's workstation and equipment are set up appropriately to prevent problems. The HR division should arrange to follow up with the employees once they start work to guarantee a good experience. One way to achieve this is by using an onboarding survey.</w:t>
      </w:r>
    </w:p>
    <w:p w14:paraId="7179F239" w14:textId="77777777" w:rsidR="00D97E4D" w:rsidRPr="00D97E4D" w:rsidRDefault="00D97E4D" w:rsidP="00D97E4D">
      <w:pPr>
        <w:spacing w:before="240" w:after="0" w:line="360" w:lineRule="auto"/>
        <w:jc w:val="both"/>
        <w:rPr>
          <w:rFonts w:ascii="Arial" w:hAnsi="Arial" w:cs="Arial"/>
          <w:sz w:val="24"/>
          <w:szCs w:val="24"/>
          <w:shd w:val="clear" w:color="auto" w:fill="FFFFFF"/>
          <w:lang w:val="en-US"/>
        </w:rPr>
      </w:pPr>
      <w:r w:rsidRPr="00D97E4D">
        <w:rPr>
          <w:rFonts w:ascii="Arial" w:hAnsi="Arial" w:cs="Arial"/>
          <w:sz w:val="24"/>
          <w:szCs w:val="24"/>
          <w:shd w:val="clear" w:color="auto" w:fill="FFFFFF"/>
          <w:lang w:val="en-US"/>
        </w:rPr>
        <w:t>Prospective employees give professional advancement and growth a lot of weight. Businesses need to have a well-defined staff development plan that covers career path mapping (Peisl and Shah, 2018), financing for ongoing education, and chances for professional advancement. Although career paths aren't always obvious in every company, it's still important to provide possibilities for advancement and a clear path for future development.</w:t>
      </w:r>
    </w:p>
    <w:p w14:paraId="6E4E7A14" w14:textId="77777777" w:rsidR="00D97E4D" w:rsidRPr="00D97E4D" w:rsidRDefault="00D97E4D" w:rsidP="00D97E4D">
      <w:pPr>
        <w:spacing w:before="240" w:after="0" w:line="360" w:lineRule="auto"/>
        <w:jc w:val="both"/>
        <w:rPr>
          <w:rFonts w:ascii="Arial" w:hAnsi="Arial" w:cs="Arial"/>
          <w:sz w:val="24"/>
          <w:szCs w:val="24"/>
          <w:shd w:val="clear" w:color="auto" w:fill="FFFFFF"/>
          <w:lang w:val="en-US"/>
        </w:rPr>
      </w:pPr>
      <w:r w:rsidRPr="00D97E4D">
        <w:rPr>
          <w:rFonts w:ascii="Arial" w:hAnsi="Arial" w:cs="Arial"/>
          <w:sz w:val="24"/>
          <w:szCs w:val="24"/>
          <w:shd w:val="clear" w:color="auto" w:fill="FFFFFF"/>
          <w:lang w:val="en-US"/>
        </w:rPr>
        <w:t>A company's employee retention strategy includes finding, screening, onboarding, and developing talent. Companies that handle these phases will have a better chance of retaining their employees. A company's culture, career opportunities, compensation, incentives, and camaraderie are all important in retaining employees. Businesses that provide this advice may be able to identify areas for improvement and prevent additional employees from leaving. By focusing on these criteria, businesses may avoid extra staff turnover and retain their best employees.</w:t>
      </w:r>
    </w:p>
    <w:p w14:paraId="53AE3764" w14:textId="77777777" w:rsidR="00D97E4D" w:rsidRPr="00D97E4D" w:rsidRDefault="00D97E4D" w:rsidP="00D97E4D">
      <w:pPr>
        <w:spacing w:before="240" w:after="0" w:line="360" w:lineRule="auto"/>
        <w:jc w:val="both"/>
        <w:rPr>
          <w:rFonts w:ascii="Arial" w:hAnsi="Arial" w:cs="Arial"/>
          <w:color w:val="000000" w:themeColor="text1"/>
          <w:sz w:val="24"/>
          <w:szCs w:val="24"/>
          <w:shd w:val="clear" w:color="auto" w:fill="FFFFFF"/>
          <w:lang w:val="en-US"/>
        </w:rPr>
      </w:pPr>
      <w:r w:rsidRPr="00D97E4D">
        <w:rPr>
          <w:rFonts w:ascii="Arial" w:hAnsi="Arial" w:cs="Arial"/>
          <w:color w:val="000000" w:themeColor="text1"/>
          <w:sz w:val="24"/>
          <w:szCs w:val="24"/>
          <w:shd w:val="clear" w:color="auto" w:fill="FFFFFF"/>
          <w:lang w:val="en-US"/>
        </w:rPr>
        <w:t xml:space="preserve">A person's employee lifecycle ends at the separation stage when they quit their job. The HR department plays a crucial role to guarantee that no employee departs the company without creating a significant disturbance (Cherep </w:t>
      </w:r>
      <w:r w:rsidRPr="00D97E4D">
        <w:rPr>
          <w:rFonts w:ascii="Arial" w:hAnsi="Arial" w:cs="Arial"/>
          <w:i/>
          <w:iCs/>
          <w:color w:val="000000" w:themeColor="text1"/>
          <w:sz w:val="24"/>
          <w:szCs w:val="24"/>
          <w:shd w:val="clear" w:color="auto" w:fill="FFFFFF"/>
          <w:lang w:val="en-US"/>
        </w:rPr>
        <w:t>et al.,</w:t>
      </w:r>
      <w:r w:rsidRPr="00D97E4D">
        <w:rPr>
          <w:rFonts w:ascii="Arial" w:hAnsi="Arial" w:cs="Arial"/>
          <w:color w:val="000000" w:themeColor="text1"/>
          <w:sz w:val="24"/>
          <w:szCs w:val="24"/>
          <w:shd w:val="clear" w:color="auto" w:fill="FFFFFF"/>
          <w:lang w:val="en-US"/>
        </w:rPr>
        <w:t xml:space="preserve"> 2019). When an employee and employer part ways amicably and the former keeps thanking the latter for their time with the firm, the separation is considered effective. This may be accomplished by </w:t>
      </w:r>
      <w:r w:rsidRPr="00D97E4D">
        <w:rPr>
          <w:rFonts w:ascii="Arial" w:hAnsi="Arial" w:cs="Arial"/>
          <w:color w:val="000000" w:themeColor="text1"/>
          <w:sz w:val="24"/>
          <w:szCs w:val="24"/>
          <w:shd w:val="clear" w:color="auto" w:fill="FFFFFF"/>
          <w:lang w:val="en-US"/>
        </w:rPr>
        <w:lastRenderedPageBreak/>
        <w:t>acknowledging the reasons behind the departure, maintaining a good attitude, and asking for honest input.</w:t>
      </w:r>
    </w:p>
    <w:p w14:paraId="5D8FE758" w14:textId="77777777" w:rsidR="00D97E4D" w:rsidRPr="00D97E4D" w:rsidRDefault="00D97E4D" w:rsidP="00D97E4D">
      <w:pPr>
        <w:spacing w:before="240" w:after="0" w:line="360" w:lineRule="auto"/>
        <w:jc w:val="both"/>
        <w:rPr>
          <w:rFonts w:ascii="Arial" w:hAnsi="Arial" w:cs="Arial"/>
          <w:color w:val="000000" w:themeColor="text1"/>
          <w:sz w:val="24"/>
          <w:szCs w:val="24"/>
          <w:shd w:val="clear" w:color="auto" w:fill="FFFFFF"/>
          <w:lang w:val="en-US"/>
        </w:rPr>
      </w:pPr>
      <w:r w:rsidRPr="00D97E4D">
        <w:rPr>
          <w:rFonts w:ascii="Arial" w:hAnsi="Arial" w:cs="Arial"/>
          <w:color w:val="000000" w:themeColor="text1"/>
          <w:sz w:val="24"/>
          <w:szCs w:val="24"/>
          <w:shd w:val="clear" w:color="auto" w:fill="FFFFFF"/>
          <w:lang w:val="en-US"/>
        </w:rPr>
        <w:t>Even after leaving, previous employees may boost a company's image by introducing new people to it. In contrast, negative exit experiences may harm the company's reputation and stymie future hiring efforts. As a result, employees must have a positive experience in order to maintain a solid employer brand.</w:t>
      </w:r>
    </w:p>
    <w:p w14:paraId="74AB0A02" w14:textId="77777777" w:rsidR="00D97E4D" w:rsidRPr="00D97E4D" w:rsidRDefault="00D97E4D" w:rsidP="00D97E4D">
      <w:pPr>
        <w:spacing w:before="240" w:after="0" w:line="360" w:lineRule="auto"/>
        <w:jc w:val="both"/>
        <w:rPr>
          <w:rFonts w:ascii="Arial" w:hAnsi="Arial" w:cs="Arial"/>
          <w:color w:val="000000" w:themeColor="text1"/>
          <w:sz w:val="24"/>
          <w:szCs w:val="24"/>
          <w:shd w:val="clear" w:color="auto" w:fill="FFFFFF"/>
          <w:lang w:val="en-US"/>
        </w:rPr>
      </w:pPr>
      <w:r w:rsidRPr="00D97E4D">
        <w:rPr>
          <w:rFonts w:ascii="Arial" w:hAnsi="Arial" w:cs="Arial"/>
          <w:color w:val="000000" w:themeColor="text1"/>
          <w:sz w:val="24"/>
          <w:szCs w:val="24"/>
          <w:shd w:val="clear" w:color="auto" w:fill="FFFFFF"/>
          <w:lang w:val="en-US"/>
        </w:rPr>
        <w:t xml:space="preserve">In Addition, consider seven creative ways to engage employees in a large hotel venue. </w:t>
      </w:r>
    </w:p>
    <w:p w14:paraId="60ABF645" w14:textId="77777777" w:rsidR="00D97E4D" w:rsidRPr="00D97E4D" w:rsidRDefault="00D97E4D" w:rsidP="00D97E4D">
      <w:pPr>
        <w:numPr>
          <w:ilvl w:val="0"/>
          <w:numId w:val="1"/>
        </w:numPr>
        <w:spacing w:before="240" w:after="0" w:line="360" w:lineRule="auto"/>
        <w:contextualSpacing/>
        <w:jc w:val="both"/>
        <w:rPr>
          <w:rFonts w:ascii="Arial" w:hAnsi="Arial" w:cs="Arial"/>
          <w:color w:val="000000" w:themeColor="text1"/>
          <w:sz w:val="24"/>
          <w:szCs w:val="24"/>
          <w:shd w:val="clear" w:color="auto" w:fill="FFFFFF"/>
          <w:lang w:val="en-US"/>
        </w:rPr>
      </w:pPr>
      <w:r w:rsidRPr="00D97E4D">
        <w:rPr>
          <w:rFonts w:ascii="Arial" w:hAnsi="Arial" w:cs="Arial"/>
          <w:color w:val="000000" w:themeColor="text1"/>
          <w:sz w:val="24"/>
          <w:szCs w:val="24"/>
          <w:shd w:val="clear" w:color="auto" w:fill="FFFFFF"/>
          <w:lang w:val="en-US"/>
        </w:rPr>
        <w:t xml:space="preserve">To foster a feeling of community and enthusiasm, highlight the venue's mission, vision, and core values to prospective employees. Reward team members who exhibit these characteristics with incentives such as employee of the month or performance bonuses. </w:t>
      </w:r>
    </w:p>
    <w:p w14:paraId="4013A589" w14:textId="77777777" w:rsidR="00D97E4D" w:rsidRPr="00D97E4D" w:rsidRDefault="00D97E4D" w:rsidP="00D97E4D">
      <w:pPr>
        <w:numPr>
          <w:ilvl w:val="0"/>
          <w:numId w:val="1"/>
        </w:numPr>
        <w:spacing w:before="240" w:after="0" w:line="360" w:lineRule="auto"/>
        <w:contextualSpacing/>
        <w:jc w:val="both"/>
        <w:rPr>
          <w:rFonts w:ascii="Arial" w:hAnsi="Arial" w:cs="Arial"/>
          <w:color w:val="000000" w:themeColor="text1"/>
          <w:sz w:val="24"/>
          <w:szCs w:val="24"/>
          <w:shd w:val="clear" w:color="auto" w:fill="FFFFFF"/>
          <w:lang w:val="en-US"/>
        </w:rPr>
      </w:pPr>
      <w:r w:rsidRPr="00D97E4D">
        <w:rPr>
          <w:rFonts w:ascii="Arial" w:hAnsi="Arial" w:cs="Arial"/>
          <w:color w:val="000000" w:themeColor="text1"/>
          <w:sz w:val="24"/>
          <w:szCs w:val="24"/>
          <w:shd w:val="clear" w:color="auto" w:fill="FFFFFF"/>
          <w:lang w:val="en-US"/>
        </w:rPr>
        <w:t xml:space="preserve">Arrange team-building activities to foster a feeling of unity among team members. Create a family culture among your staff by planning social gatherings and holiday celebrations, as well as by making team dinners a regular occurrence. </w:t>
      </w:r>
    </w:p>
    <w:p w14:paraId="4CC244E5" w14:textId="77777777" w:rsidR="00D97E4D" w:rsidRPr="00D97E4D" w:rsidRDefault="00D97E4D" w:rsidP="00D97E4D">
      <w:pPr>
        <w:numPr>
          <w:ilvl w:val="0"/>
          <w:numId w:val="1"/>
        </w:numPr>
        <w:spacing w:before="240" w:after="0" w:line="360" w:lineRule="auto"/>
        <w:contextualSpacing/>
        <w:jc w:val="both"/>
        <w:rPr>
          <w:rFonts w:ascii="Arial" w:hAnsi="Arial" w:cs="Arial"/>
          <w:color w:val="000000" w:themeColor="text1"/>
          <w:sz w:val="24"/>
          <w:szCs w:val="24"/>
          <w:shd w:val="clear" w:color="auto" w:fill="FFFFFF"/>
          <w:lang w:val="en-US"/>
        </w:rPr>
      </w:pPr>
      <w:r w:rsidRPr="00D97E4D">
        <w:rPr>
          <w:rFonts w:ascii="Arial" w:hAnsi="Arial" w:cs="Arial"/>
          <w:color w:val="000000" w:themeColor="text1"/>
          <w:sz w:val="24"/>
          <w:szCs w:val="24"/>
          <w:shd w:val="clear" w:color="auto" w:fill="FFFFFF"/>
          <w:lang w:val="en-US"/>
        </w:rPr>
        <w:t>Honour coworkers' accomplishments and personal occasions by praising them on social media and organising get-togethers.</w:t>
      </w:r>
    </w:p>
    <w:p w14:paraId="53D9F402" w14:textId="77777777" w:rsidR="00D97E4D" w:rsidRPr="00D97E4D" w:rsidRDefault="00D97E4D" w:rsidP="00D97E4D">
      <w:pPr>
        <w:numPr>
          <w:ilvl w:val="0"/>
          <w:numId w:val="1"/>
        </w:numPr>
        <w:spacing w:before="240" w:after="0" w:line="360" w:lineRule="auto"/>
        <w:contextualSpacing/>
        <w:jc w:val="both"/>
        <w:rPr>
          <w:rFonts w:ascii="Arial" w:hAnsi="Arial" w:cs="Arial"/>
          <w:color w:val="000000" w:themeColor="text1"/>
          <w:sz w:val="24"/>
          <w:szCs w:val="24"/>
          <w:shd w:val="clear" w:color="auto" w:fill="FFFFFF"/>
          <w:lang w:val="en-US"/>
        </w:rPr>
      </w:pPr>
      <w:r w:rsidRPr="00D97E4D">
        <w:rPr>
          <w:rFonts w:ascii="Arial" w:hAnsi="Arial" w:cs="Arial"/>
          <w:color w:val="000000" w:themeColor="text1"/>
          <w:sz w:val="24"/>
          <w:szCs w:val="24"/>
          <w:shd w:val="clear" w:color="auto" w:fill="FFFFFF"/>
          <w:lang w:val="en-US"/>
        </w:rPr>
        <w:t xml:space="preserve">Encourage performance competition by recognising particular successes, such as upselling or selling a limited-edition menu item (Li </w:t>
      </w:r>
      <w:r w:rsidRPr="00D97E4D">
        <w:rPr>
          <w:rFonts w:ascii="Arial" w:hAnsi="Arial" w:cs="Arial"/>
          <w:i/>
          <w:iCs/>
          <w:color w:val="000000" w:themeColor="text1"/>
          <w:sz w:val="24"/>
          <w:szCs w:val="24"/>
          <w:shd w:val="clear" w:color="auto" w:fill="FFFFFF"/>
          <w:lang w:val="en-US"/>
        </w:rPr>
        <w:t xml:space="preserve">et al., </w:t>
      </w:r>
      <w:r w:rsidRPr="00D97E4D">
        <w:rPr>
          <w:rFonts w:ascii="Arial" w:hAnsi="Arial" w:cs="Arial"/>
          <w:color w:val="000000" w:themeColor="text1"/>
          <w:sz w:val="24"/>
          <w:szCs w:val="24"/>
          <w:shd w:val="clear" w:color="auto" w:fill="FFFFFF"/>
          <w:lang w:val="en-US"/>
        </w:rPr>
        <w:t xml:space="preserve">2017). Consider creative methods to honour people to make the occasion more memorable. </w:t>
      </w:r>
    </w:p>
    <w:p w14:paraId="6B72E35D" w14:textId="77777777" w:rsidR="00D97E4D" w:rsidRPr="00D97E4D" w:rsidRDefault="00D97E4D" w:rsidP="00D97E4D">
      <w:pPr>
        <w:numPr>
          <w:ilvl w:val="0"/>
          <w:numId w:val="1"/>
        </w:numPr>
        <w:spacing w:before="240" w:after="0" w:line="360" w:lineRule="auto"/>
        <w:contextualSpacing/>
        <w:jc w:val="both"/>
        <w:rPr>
          <w:rFonts w:ascii="Arial" w:hAnsi="Arial" w:cs="Arial"/>
          <w:color w:val="000000" w:themeColor="text1"/>
          <w:sz w:val="24"/>
          <w:szCs w:val="24"/>
          <w:shd w:val="clear" w:color="auto" w:fill="FFFFFF"/>
          <w:lang w:val="en-US"/>
        </w:rPr>
      </w:pPr>
      <w:r w:rsidRPr="00D97E4D">
        <w:rPr>
          <w:rFonts w:ascii="Arial" w:hAnsi="Arial" w:cs="Arial"/>
          <w:color w:val="000000" w:themeColor="text1"/>
          <w:sz w:val="24"/>
          <w:szCs w:val="24"/>
          <w:shd w:val="clear" w:color="auto" w:fill="FFFFFF"/>
          <w:lang w:val="en-US"/>
        </w:rPr>
        <w:t>Implement a mentorship programme in which newly hired employees are connected with seasoned workers who will serve as mentors for the duration of the employee's employment. This displays the management team's commitment to their professional development and well-being, increasing engagement while decreasing turnover.</w:t>
      </w:r>
    </w:p>
    <w:p w14:paraId="3189638B" w14:textId="77777777" w:rsidR="00D97E4D" w:rsidRPr="00D97E4D" w:rsidRDefault="00D97E4D" w:rsidP="00D97E4D">
      <w:pPr>
        <w:numPr>
          <w:ilvl w:val="0"/>
          <w:numId w:val="1"/>
        </w:numPr>
        <w:spacing w:before="240" w:after="0" w:line="360" w:lineRule="auto"/>
        <w:contextualSpacing/>
        <w:jc w:val="both"/>
        <w:rPr>
          <w:rFonts w:ascii="Arial" w:hAnsi="Arial" w:cs="Arial"/>
          <w:color w:val="000000" w:themeColor="text1"/>
          <w:sz w:val="24"/>
          <w:szCs w:val="24"/>
          <w:shd w:val="clear" w:color="auto" w:fill="FFFFFF"/>
          <w:lang w:val="en-US"/>
        </w:rPr>
      </w:pPr>
      <w:r w:rsidRPr="00D97E4D">
        <w:rPr>
          <w:rFonts w:ascii="Arial" w:hAnsi="Arial" w:cs="Arial"/>
          <w:color w:val="000000" w:themeColor="text1"/>
          <w:sz w:val="24"/>
          <w:szCs w:val="24"/>
          <w:shd w:val="clear" w:color="auto" w:fill="FFFFFF"/>
          <w:lang w:val="en-US"/>
        </w:rPr>
        <w:t xml:space="preserve">Create a budget for professional development opportunities for employees. Consider using low-cost alternatives such as Typsy or further online video courses. </w:t>
      </w:r>
    </w:p>
    <w:p w14:paraId="7EBC8F9A" w14:textId="77777777" w:rsidR="00D97E4D" w:rsidRPr="00D97E4D" w:rsidRDefault="00D97E4D" w:rsidP="00D97E4D">
      <w:pPr>
        <w:numPr>
          <w:ilvl w:val="0"/>
          <w:numId w:val="1"/>
        </w:numPr>
        <w:spacing w:before="240" w:after="0" w:line="360" w:lineRule="auto"/>
        <w:contextualSpacing/>
        <w:jc w:val="both"/>
        <w:rPr>
          <w:rFonts w:ascii="Arial" w:hAnsi="Arial" w:cs="Arial"/>
          <w:color w:val="000000" w:themeColor="text1"/>
          <w:sz w:val="24"/>
          <w:szCs w:val="24"/>
          <w:shd w:val="clear" w:color="auto" w:fill="FFFFFF"/>
          <w:lang w:val="en-US"/>
        </w:rPr>
      </w:pPr>
      <w:r w:rsidRPr="00D97E4D">
        <w:rPr>
          <w:rFonts w:ascii="Arial" w:hAnsi="Arial" w:cs="Arial"/>
          <w:color w:val="000000" w:themeColor="text1"/>
          <w:sz w:val="24"/>
          <w:szCs w:val="24"/>
          <w:shd w:val="clear" w:color="auto" w:fill="FFFFFF"/>
          <w:lang w:val="en-US"/>
        </w:rPr>
        <w:t xml:space="preserve">Encourage communication among team members to make it easier for the team to stay in contact. Employees may form connections of kinship and dedication to </w:t>
      </w:r>
      <w:r w:rsidRPr="00D97E4D">
        <w:rPr>
          <w:rFonts w:ascii="Arial" w:hAnsi="Arial" w:cs="Arial"/>
          <w:color w:val="000000" w:themeColor="text1"/>
          <w:sz w:val="24"/>
          <w:szCs w:val="24"/>
          <w:shd w:val="clear" w:color="auto" w:fill="FFFFFF"/>
          <w:lang w:val="en-US"/>
        </w:rPr>
        <w:lastRenderedPageBreak/>
        <w:t>their company by connecting inside and outside the office using employee scheduling software with a powerful team communication function.</w:t>
      </w:r>
    </w:p>
    <w:p w14:paraId="22DE0B6C" w14:textId="77777777" w:rsidR="00D97E4D" w:rsidRPr="00D97E4D" w:rsidRDefault="00D97E4D" w:rsidP="00D97E4D">
      <w:pPr>
        <w:spacing w:before="240" w:after="0" w:line="360" w:lineRule="auto"/>
        <w:jc w:val="both"/>
        <w:rPr>
          <w:rFonts w:ascii="Arial" w:hAnsi="Arial" w:cs="Arial"/>
          <w:color w:val="000000" w:themeColor="text1"/>
          <w:sz w:val="24"/>
          <w:szCs w:val="24"/>
          <w:shd w:val="clear" w:color="auto" w:fill="FFFFFF"/>
          <w:lang w:val="en-US"/>
        </w:rPr>
      </w:pPr>
      <w:r w:rsidRPr="00D97E4D">
        <w:rPr>
          <w:rFonts w:ascii="Arial" w:hAnsi="Arial" w:cs="Arial"/>
          <w:color w:val="000000" w:themeColor="text1"/>
          <w:sz w:val="24"/>
          <w:szCs w:val="24"/>
          <w:shd w:val="clear" w:color="auto" w:fill="FFFFFF"/>
          <w:lang w:val="en-US"/>
        </w:rPr>
        <w:t xml:space="preserve">Furthermore, an employee engagement model is a blueprint that aims to create in employees a sense of productivity, empowerment, and value. It is the foundation of an organisation's culture and includes following regulations and acceptable senior leadership and management behaviour. Abraham Maslow's 1943 hierarchy of requirements recognised five categories of human needs: physiological, safety, social, esteem, and self-actualisation (Trivedi and Mehta, 2019). When these prerequisites are satisfied, motivation and job satisfaction increase. According to this theory, workers desire employment security, living income, workplace safety, companionship, a sense of belonging, recognition, progress, creativity, and the capacity to develop ideas (Navy, 2020). Similarly, no requirement in the hierarchy is more crucial than any other; all of the workforce's needs must be met to inspire them to offer their all. An employee will thus grow more motivated when these expectations are met. William Kahn, a trailblazing researcher, on the other hand, distinguished between the physical, cognitive, and emotional components of employee engagement. Counsellors at summer camps and employees of an architecture business participated in his research, Psychological Conditions of Personal Engagement and Disengagement at Work. Kahn distinguished three psychological factors; meaningfulness, safety, and availability that encourage participation (Berger, 2023). He maintained that sentiments were the basis for engagement and disputed the idea that it was founded on ideas about labour. In light of this, Kahn's theory proposes that people may choose how much of their inner selves to expose and communicate via their job (Lee and Huang, 2019). The cost of disengagement, which occurs when employees barely put in enough effort to retain their jobs but don't dedicate their emotional or mental resources to them, was another point he underlined. Kahn's theory holds that when people feel free to be themselves at work, they work more. Moreover, the largest hotel brand in the world, Hyatt, has moved its emphasis from quality to empathy and building strong emotional bonds with customers. CEO Mark Hoplamazian highlights the value of creating genuine relationships with customers and staff in addition to offering experiences that make people happy (Fortune, 2018). Hyatt staff members are urged to be open, sincere, and truthful while </w:t>
      </w:r>
      <w:r w:rsidRPr="00D97E4D">
        <w:rPr>
          <w:rFonts w:ascii="Arial" w:hAnsi="Arial" w:cs="Arial"/>
          <w:color w:val="000000" w:themeColor="text1"/>
          <w:sz w:val="24"/>
          <w:szCs w:val="24"/>
          <w:shd w:val="clear" w:color="auto" w:fill="FFFFFF"/>
          <w:lang w:val="en-US"/>
        </w:rPr>
        <w:lastRenderedPageBreak/>
        <w:t>interacting with customers, creating an authentic guest experience. Additionally, this approach teaches staff members to be hospitable and considerate to visitors (Davies and Egas, 2022). Not only do guests but also employees benefit from Hyatt's caring approach. In Addition to offering main carers a minimum of eight weeks of paid leave, the organisation offers housekeepers a flexible cleaning schedule that lets them take time off for finishing tasks on time or cleaning extra rooms.</w:t>
      </w:r>
    </w:p>
    <w:p w14:paraId="3B68E71B" w14:textId="77777777" w:rsidR="00D97E4D" w:rsidRPr="00D97E4D" w:rsidRDefault="00D97E4D" w:rsidP="00D97E4D">
      <w:pPr>
        <w:keepNext/>
        <w:keepLines/>
        <w:spacing w:before="240" w:after="0" w:line="360" w:lineRule="auto"/>
        <w:ind w:left="432" w:hanging="432"/>
        <w:outlineLvl w:val="0"/>
        <w:rPr>
          <w:rFonts w:ascii="Arial" w:eastAsiaTheme="majorEastAsia" w:hAnsi="Arial" w:cs="Arial"/>
          <w:b/>
          <w:color w:val="000000" w:themeColor="text1"/>
          <w:sz w:val="24"/>
          <w:szCs w:val="24"/>
          <w:lang w:val="en-US"/>
        </w:rPr>
      </w:pPr>
      <w:bookmarkStart w:id="2" w:name="_Toc148533218"/>
      <w:r w:rsidRPr="00D97E4D">
        <w:rPr>
          <w:rFonts w:ascii="Arial" w:eastAsiaTheme="majorEastAsia" w:hAnsi="Arial" w:cs="Arial"/>
          <w:b/>
          <w:color w:val="000000" w:themeColor="text1"/>
          <w:sz w:val="24"/>
          <w:szCs w:val="24"/>
          <w:lang w:val="en-US"/>
        </w:rPr>
        <w:t>Evaluation and Conclusion</w:t>
      </w:r>
      <w:bookmarkEnd w:id="2"/>
      <w:r w:rsidRPr="00D97E4D">
        <w:rPr>
          <w:rFonts w:ascii="Arial" w:eastAsiaTheme="majorEastAsia" w:hAnsi="Arial" w:cs="Arial"/>
          <w:b/>
          <w:color w:val="000000" w:themeColor="text1"/>
          <w:sz w:val="24"/>
          <w:szCs w:val="24"/>
          <w:lang w:val="en-US"/>
        </w:rPr>
        <w:t xml:space="preserve"> </w:t>
      </w:r>
    </w:p>
    <w:p w14:paraId="4276CB7A" w14:textId="77777777" w:rsidR="00D97E4D" w:rsidRPr="00D97E4D" w:rsidRDefault="00D97E4D" w:rsidP="00D97E4D">
      <w:pPr>
        <w:shd w:val="clear" w:color="auto" w:fill="FFFFFF"/>
        <w:spacing w:before="240" w:after="0" w:line="360" w:lineRule="auto"/>
        <w:jc w:val="both"/>
        <w:rPr>
          <w:rFonts w:ascii="Arial" w:hAnsi="Arial" w:cs="Arial"/>
          <w:color w:val="000000" w:themeColor="text1"/>
          <w:sz w:val="24"/>
          <w:szCs w:val="24"/>
          <w:shd w:val="clear" w:color="auto" w:fill="FFFFFF"/>
          <w:lang w:val="en-US"/>
        </w:rPr>
      </w:pPr>
      <w:r w:rsidRPr="00D97E4D">
        <w:rPr>
          <w:rFonts w:ascii="Arial" w:eastAsia="Times New Roman" w:hAnsi="Arial" w:cs="Arial"/>
          <w:color w:val="000000" w:themeColor="text1"/>
          <w:kern w:val="0"/>
          <w:sz w:val="24"/>
          <w:szCs w:val="24"/>
          <w:lang w:val="en"/>
          <w14:ligatures w14:val="none"/>
        </w:rPr>
        <w:t>Employee engagement is critical to the success of any organisation, as one of the tactics businesses use to engage their staff is to provide positions that provide autonomy and diversity. In human resources (HR), employee engagement refers to a worker's excitement for and attention to their activity. Employees who are engaged care about their jobs and the company's performance, and they believe that their efforts are worthwhile. However, Gen Y often choose occupations that allow them to maintain a healthy work-life balance. They choose employment that allows them to pursue their ambitions and/or spend more time with their families. In other circumstances, people may prefer a job with more flexible hours over one with greater compensation.</w:t>
      </w:r>
      <w:r w:rsidRPr="00D97E4D">
        <w:rPr>
          <w:rFonts w:ascii="Arial" w:hAnsi="Arial" w:cs="Arial"/>
          <w:color w:val="000000" w:themeColor="text1"/>
          <w:sz w:val="24"/>
          <w:szCs w:val="24"/>
          <w:shd w:val="clear" w:color="auto" w:fill="FFFFFF"/>
          <w:lang w:val="en-US"/>
        </w:rPr>
        <w:t xml:space="preserve"> Therefore, i</w:t>
      </w:r>
      <w:r w:rsidRPr="00D97E4D">
        <w:rPr>
          <w:rFonts w:ascii="Arial" w:eastAsia="Times New Roman" w:hAnsi="Arial" w:cs="Arial"/>
          <w:color w:val="000000" w:themeColor="text1"/>
          <w:kern w:val="0"/>
          <w:sz w:val="24"/>
          <w:szCs w:val="24"/>
          <w:lang w:val="en"/>
          <w14:ligatures w14:val="none"/>
        </w:rPr>
        <w:t>n conclusion, </w:t>
      </w:r>
      <w:r w:rsidRPr="00D97E4D">
        <w:rPr>
          <w:rFonts w:ascii="Arial" w:hAnsi="Arial" w:cs="Arial"/>
          <w:color w:val="000000" w:themeColor="text1"/>
          <w:sz w:val="24"/>
          <w:szCs w:val="24"/>
          <w:shd w:val="clear" w:color="auto" w:fill="FFFFFF"/>
          <w:lang w:val="en-US"/>
        </w:rPr>
        <w:t>employee engagement is critical for boosting customer happiness, exceptional service, employee retention, and productivity. It also contributes to the hotel's success by creating a pleasant environment that improves the visitor experience and increases brand identification.</w:t>
      </w:r>
    </w:p>
    <w:p w14:paraId="6268EAE6" w14:textId="77777777" w:rsidR="00D97E4D" w:rsidRPr="00D97E4D" w:rsidRDefault="00D97E4D" w:rsidP="00D97E4D">
      <w:pPr>
        <w:spacing w:before="240" w:after="0" w:line="360" w:lineRule="auto"/>
        <w:jc w:val="both"/>
        <w:rPr>
          <w:rFonts w:ascii="Arial" w:hAnsi="Arial" w:cs="Arial"/>
          <w:b/>
          <w:bCs/>
          <w:color w:val="000000" w:themeColor="text1"/>
          <w:sz w:val="24"/>
          <w:szCs w:val="24"/>
          <w:shd w:val="clear" w:color="auto" w:fill="FFFFFF"/>
          <w:lang w:val="en-US"/>
        </w:rPr>
      </w:pPr>
      <w:r w:rsidRPr="00D97E4D">
        <w:rPr>
          <w:rFonts w:ascii="Arial" w:hAnsi="Arial" w:cs="Arial"/>
          <w:b/>
          <w:bCs/>
          <w:color w:val="000000" w:themeColor="text1"/>
          <w:sz w:val="24"/>
          <w:szCs w:val="24"/>
          <w:shd w:val="clear" w:color="auto" w:fill="FFFFFF"/>
          <w:lang w:val="en-US"/>
        </w:rPr>
        <w:br w:type="page"/>
      </w:r>
    </w:p>
    <w:p w14:paraId="6E0862C0" w14:textId="77777777" w:rsidR="00D97E4D" w:rsidRPr="00D97E4D" w:rsidRDefault="00D97E4D" w:rsidP="00D97E4D">
      <w:pPr>
        <w:keepNext/>
        <w:keepLines/>
        <w:spacing w:before="240" w:after="0" w:line="360" w:lineRule="auto"/>
        <w:ind w:left="432" w:hanging="432"/>
        <w:outlineLvl w:val="0"/>
        <w:rPr>
          <w:rFonts w:ascii="Arial" w:eastAsiaTheme="majorEastAsia" w:hAnsi="Arial" w:cs="Arial"/>
          <w:b/>
          <w:color w:val="000000" w:themeColor="text1"/>
          <w:sz w:val="24"/>
          <w:szCs w:val="24"/>
          <w:shd w:val="clear" w:color="auto" w:fill="FFFFFF"/>
          <w:lang w:val="en-US"/>
        </w:rPr>
      </w:pPr>
      <w:bookmarkStart w:id="3" w:name="_Toc148533219"/>
      <w:r w:rsidRPr="00D97E4D">
        <w:rPr>
          <w:rFonts w:ascii="Arial" w:eastAsiaTheme="majorEastAsia" w:hAnsi="Arial" w:cs="Arial"/>
          <w:b/>
          <w:color w:val="000000" w:themeColor="text1"/>
          <w:sz w:val="24"/>
          <w:szCs w:val="24"/>
          <w:shd w:val="clear" w:color="auto" w:fill="FFFFFF"/>
          <w:lang w:val="en-US"/>
        </w:rPr>
        <w:lastRenderedPageBreak/>
        <w:t>References</w:t>
      </w:r>
      <w:bookmarkEnd w:id="3"/>
      <w:r w:rsidRPr="00D97E4D">
        <w:rPr>
          <w:rFonts w:ascii="Arial" w:eastAsiaTheme="majorEastAsia" w:hAnsi="Arial" w:cs="Arial"/>
          <w:b/>
          <w:color w:val="000000" w:themeColor="text1"/>
          <w:sz w:val="24"/>
          <w:szCs w:val="24"/>
          <w:shd w:val="clear" w:color="auto" w:fill="FFFFFF"/>
          <w:lang w:val="en-US"/>
        </w:rPr>
        <w:t xml:space="preserve"> </w:t>
      </w:r>
    </w:p>
    <w:p w14:paraId="52C160DA" w14:textId="77777777" w:rsidR="00D97E4D" w:rsidRPr="00D97E4D" w:rsidRDefault="00D97E4D" w:rsidP="00D97E4D">
      <w:pPr>
        <w:shd w:val="clear" w:color="auto" w:fill="FFFFFF"/>
        <w:spacing w:before="240" w:after="0" w:line="360" w:lineRule="auto"/>
        <w:ind w:left="720" w:hanging="720"/>
        <w:jc w:val="both"/>
        <w:rPr>
          <w:rFonts w:ascii="Arial" w:eastAsia="Times New Roman" w:hAnsi="Arial" w:cs="Arial"/>
          <w:color w:val="000000" w:themeColor="text1"/>
          <w:kern w:val="0"/>
          <w:sz w:val="24"/>
          <w:szCs w:val="24"/>
          <w:lang w:val="en"/>
          <w14:ligatures w14:val="none"/>
        </w:rPr>
      </w:pPr>
      <w:r w:rsidRPr="00D97E4D">
        <w:rPr>
          <w:rFonts w:ascii="Arial" w:hAnsi="Arial" w:cs="Arial"/>
          <w:color w:val="000000" w:themeColor="text1"/>
          <w:sz w:val="24"/>
          <w:szCs w:val="24"/>
          <w:shd w:val="clear" w:color="auto" w:fill="FFFFFF"/>
          <w:lang w:val="en-US"/>
        </w:rPr>
        <w:t>Berger, B.L., 2023. Political Theory and the Volunteer: Lessons from Kahn’s Ethnography of ‘Our Unhappy Politics’. </w:t>
      </w:r>
      <w:r w:rsidRPr="00D97E4D">
        <w:rPr>
          <w:rFonts w:ascii="Arial" w:hAnsi="Arial" w:cs="Arial"/>
          <w:i/>
          <w:iCs/>
          <w:color w:val="000000" w:themeColor="text1"/>
          <w:sz w:val="24"/>
          <w:szCs w:val="24"/>
          <w:shd w:val="clear" w:color="auto" w:fill="FFFFFF"/>
          <w:lang w:val="en-US"/>
        </w:rPr>
        <w:t>German Law Journal</w:t>
      </w:r>
      <w:r w:rsidRPr="00D97E4D">
        <w:rPr>
          <w:rFonts w:ascii="Arial" w:hAnsi="Arial" w:cs="Arial"/>
          <w:color w:val="000000" w:themeColor="text1"/>
          <w:sz w:val="24"/>
          <w:szCs w:val="24"/>
          <w:shd w:val="clear" w:color="auto" w:fill="FFFFFF"/>
          <w:lang w:val="en-US"/>
        </w:rPr>
        <w:t>, </w:t>
      </w:r>
      <w:r w:rsidRPr="00D97E4D">
        <w:rPr>
          <w:rFonts w:ascii="Arial" w:hAnsi="Arial" w:cs="Arial"/>
          <w:i/>
          <w:iCs/>
          <w:color w:val="000000" w:themeColor="text1"/>
          <w:sz w:val="24"/>
          <w:szCs w:val="24"/>
          <w:shd w:val="clear" w:color="auto" w:fill="FFFFFF"/>
          <w:lang w:val="en-US"/>
        </w:rPr>
        <w:t>24</w:t>
      </w:r>
      <w:r w:rsidRPr="00D97E4D">
        <w:rPr>
          <w:rFonts w:ascii="Arial" w:hAnsi="Arial" w:cs="Arial"/>
          <w:color w:val="000000" w:themeColor="text1"/>
          <w:sz w:val="24"/>
          <w:szCs w:val="24"/>
          <w:shd w:val="clear" w:color="auto" w:fill="FFFFFF"/>
          <w:lang w:val="en-US"/>
        </w:rPr>
        <w:t>(4), pp.657-671.</w:t>
      </w:r>
    </w:p>
    <w:p w14:paraId="5FAD63D5" w14:textId="77777777" w:rsidR="00D97E4D" w:rsidRPr="00D97E4D" w:rsidRDefault="00D97E4D" w:rsidP="00D97E4D">
      <w:pPr>
        <w:shd w:val="clear" w:color="auto" w:fill="FFFFFF"/>
        <w:spacing w:before="240" w:after="0" w:line="360" w:lineRule="auto"/>
        <w:ind w:left="720" w:hanging="720"/>
        <w:jc w:val="both"/>
        <w:rPr>
          <w:rFonts w:ascii="Arial" w:hAnsi="Arial" w:cs="Arial"/>
          <w:color w:val="000000" w:themeColor="text1"/>
          <w:sz w:val="24"/>
          <w:szCs w:val="24"/>
          <w:shd w:val="clear" w:color="auto" w:fill="FFFFFF"/>
          <w:lang w:val="en-US"/>
        </w:rPr>
      </w:pPr>
      <w:r w:rsidRPr="00D97E4D">
        <w:rPr>
          <w:rFonts w:ascii="Arial" w:hAnsi="Arial" w:cs="Arial"/>
          <w:color w:val="000000" w:themeColor="text1"/>
          <w:sz w:val="24"/>
          <w:szCs w:val="24"/>
          <w:shd w:val="clear" w:color="auto" w:fill="FFFFFF"/>
          <w:lang w:val="en-US"/>
        </w:rPr>
        <w:t>Cattermole, G., 2019. Developing the employee lifecycle to keep top talent. </w:t>
      </w:r>
      <w:r w:rsidRPr="00D97E4D">
        <w:rPr>
          <w:rFonts w:ascii="Arial" w:hAnsi="Arial" w:cs="Arial"/>
          <w:i/>
          <w:iCs/>
          <w:color w:val="000000" w:themeColor="text1"/>
          <w:sz w:val="24"/>
          <w:szCs w:val="24"/>
          <w:shd w:val="clear" w:color="auto" w:fill="FFFFFF"/>
          <w:lang w:val="en-US"/>
        </w:rPr>
        <w:t>Strategic HR review</w:t>
      </w:r>
      <w:r w:rsidRPr="00D97E4D">
        <w:rPr>
          <w:rFonts w:ascii="Arial" w:hAnsi="Arial" w:cs="Arial"/>
          <w:color w:val="000000" w:themeColor="text1"/>
          <w:sz w:val="24"/>
          <w:szCs w:val="24"/>
          <w:shd w:val="clear" w:color="auto" w:fill="FFFFFF"/>
          <w:lang w:val="en-US"/>
        </w:rPr>
        <w:t>, </w:t>
      </w:r>
      <w:r w:rsidRPr="00D97E4D">
        <w:rPr>
          <w:rFonts w:ascii="Arial" w:hAnsi="Arial" w:cs="Arial"/>
          <w:i/>
          <w:iCs/>
          <w:color w:val="000000" w:themeColor="text1"/>
          <w:sz w:val="24"/>
          <w:szCs w:val="24"/>
          <w:shd w:val="clear" w:color="auto" w:fill="FFFFFF"/>
          <w:lang w:val="en-US"/>
        </w:rPr>
        <w:t>18</w:t>
      </w:r>
      <w:r w:rsidRPr="00D97E4D">
        <w:rPr>
          <w:rFonts w:ascii="Arial" w:hAnsi="Arial" w:cs="Arial"/>
          <w:color w:val="000000" w:themeColor="text1"/>
          <w:sz w:val="24"/>
          <w:szCs w:val="24"/>
          <w:shd w:val="clear" w:color="auto" w:fill="FFFFFF"/>
          <w:lang w:val="en-US"/>
        </w:rPr>
        <w:t>(6), pp.258-262.</w:t>
      </w:r>
    </w:p>
    <w:p w14:paraId="19DBDE03" w14:textId="77777777" w:rsidR="00D97E4D" w:rsidRPr="00D97E4D" w:rsidRDefault="00D97E4D" w:rsidP="00D97E4D">
      <w:pPr>
        <w:shd w:val="clear" w:color="auto" w:fill="FFFFFF"/>
        <w:spacing w:before="240" w:after="0" w:line="360" w:lineRule="auto"/>
        <w:ind w:left="720" w:hanging="720"/>
        <w:jc w:val="both"/>
        <w:rPr>
          <w:rFonts w:ascii="Arial" w:eastAsia="Times New Roman" w:hAnsi="Arial" w:cs="Arial"/>
          <w:color w:val="000000" w:themeColor="text1"/>
          <w:kern w:val="0"/>
          <w:sz w:val="24"/>
          <w:szCs w:val="24"/>
          <w:lang w:val="en"/>
          <w14:ligatures w14:val="none"/>
        </w:rPr>
      </w:pPr>
      <w:r w:rsidRPr="00D97E4D">
        <w:rPr>
          <w:rFonts w:ascii="Arial" w:hAnsi="Arial" w:cs="Arial"/>
          <w:color w:val="000000" w:themeColor="text1"/>
          <w:sz w:val="24"/>
          <w:szCs w:val="24"/>
          <w:shd w:val="clear" w:color="auto" w:fill="FFFFFF"/>
          <w:lang w:val="en-US"/>
        </w:rPr>
        <w:t>Cattermole, G., 2019. Developing the employee lifecycle to keep top talent. </w:t>
      </w:r>
      <w:r w:rsidRPr="00D97E4D">
        <w:rPr>
          <w:rFonts w:ascii="Arial" w:hAnsi="Arial" w:cs="Arial"/>
          <w:i/>
          <w:iCs/>
          <w:color w:val="000000" w:themeColor="text1"/>
          <w:sz w:val="24"/>
          <w:szCs w:val="24"/>
          <w:shd w:val="clear" w:color="auto" w:fill="FFFFFF"/>
          <w:lang w:val="en-US"/>
        </w:rPr>
        <w:t>Strategic HR review</w:t>
      </w:r>
      <w:r w:rsidRPr="00D97E4D">
        <w:rPr>
          <w:rFonts w:ascii="Arial" w:hAnsi="Arial" w:cs="Arial"/>
          <w:color w:val="000000" w:themeColor="text1"/>
          <w:sz w:val="24"/>
          <w:szCs w:val="24"/>
          <w:shd w:val="clear" w:color="auto" w:fill="FFFFFF"/>
          <w:lang w:val="en-US"/>
        </w:rPr>
        <w:t>, </w:t>
      </w:r>
      <w:r w:rsidRPr="00D97E4D">
        <w:rPr>
          <w:rFonts w:ascii="Arial" w:hAnsi="Arial" w:cs="Arial"/>
          <w:i/>
          <w:iCs/>
          <w:color w:val="000000" w:themeColor="text1"/>
          <w:sz w:val="24"/>
          <w:szCs w:val="24"/>
          <w:shd w:val="clear" w:color="auto" w:fill="FFFFFF"/>
          <w:lang w:val="en-US"/>
        </w:rPr>
        <w:t>18</w:t>
      </w:r>
      <w:r w:rsidRPr="00D97E4D">
        <w:rPr>
          <w:rFonts w:ascii="Arial" w:hAnsi="Arial" w:cs="Arial"/>
          <w:color w:val="000000" w:themeColor="text1"/>
          <w:sz w:val="24"/>
          <w:szCs w:val="24"/>
          <w:shd w:val="clear" w:color="auto" w:fill="FFFFFF"/>
          <w:lang w:val="en-US"/>
        </w:rPr>
        <w:t>(6), pp.258-262.</w:t>
      </w:r>
    </w:p>
    <w:p w14:paraId="22E0E7B1" w14:textId="77777777" w:rsidR="00D97E4D" w:rsidRPr="00D97E4D" w:rsidRDefault="00D97E4D" w:rsidP="00D97E4D">
      <w:pPr>
        <w:shd w:val="clear" w:color="auto" w:fill="FFFFFF"/>
        <w:spacing w:before="240" w:after="0" w:line="360" w:lineRule="auto"/>
        <w:ind w:left="720" w:hanging="720"/>
        <w:jc w:val="both"/>
        <w:rPr>
          <w:rFonts w:ascii="Arial" w:eastAsia="Times New Roman" w:hAnsi="Arial" w:cs="Arial"/>
          <w:color w:val="000000" w:themeColor="text1"/>
          <w:kern w:val="0"/>
          <w:sz w:val="24"/>
          <w:szCs w:val="24"/>
          <w:lang w:val="en"/>
          <w14:ligatures w14:val="none"/>
        </w:rPr>
      </w:pPr>
      <w:r w:rsidRPr="00D97E4D">
        <w:rPr>
          <w:rFonts w:ascii="Arial" w:hAnsi="Arial" w:cs="Arial"/>
          <w:color w:val="000000" w:themeColor="text1"/>
          <w:sz w:val="24"/>
          <w:szCs w:val="24"/>
          <w:shd w:val="clear" w:color="auto" w:fill="FFFFFF"/>
          <w:lang w:val="en-US"/>
        </w:rPr>
        <w:t>Cherep, A.V., Helman, V.М. and Rybalko, O.M., 2019. Management employee life cycle of higher education. </w:t>
      </w:r>
      <w:r w:rsidRPr="00D97E4D">
        <w:rPr>
          <w:rFonts w:ascii="Arial" w:hAnsi="Arial" w:cs="Arial"/>
          <w:i/>
          <w:iCs/>
          <w:color w:val="000000" w:themeColor="text1"/>
          <w:sz w:val="24"/>
          <w:szCs w:val="24"/>
          <w:shd w:val="clear" w:color="auto" w:fill="FFFFFF"/>
          <w:lang w:val="en-US"/>
        </w:rPr>
        <w:t>Вісник Запорізького національного університету. Економічні науки</w:t>
      </w:r>
      <w:r w:rsidRPr="00D97E4D">
        <w:rPr>
          <w:rFonts w:ascii="Arial" w:hAnsi="Arial" w:cs="Arial"/>
          <w:color w:val="000000" w:themeColor="text1"/>
          <w:sz w:val="24"/>
          <w:szCs w:val="24"/>
          <w:shd w:val="clear" w:color="auto" w:fill="FFFFFF"/>
          <w:lang w:val="en-US"/>
        </w:rPr>
        <w:t>, (4), pp.160-164.</w:t>
      </w:r>
    </w:p>
    <w:p w14:paraId="29253989" w14:textId="77777777" w:rsidR="00D97E4D" w:rsidRPr="00D97E4D" w:rsidRDefault="00D97E4D" w:rsidP="00D97E4D">
      <w:pPr>
        <w:shd w:val="clear" w:color="auto" w:fill="FFFFFF"/>
        <w:spacing w:before="240" w:after="0" w:line="360" w:lineRule="auto"/>
        <w:ind w:left="720" w:hanging="720"/>
        <w:jc w:val="both"/>
        <w:rPr>
          <w:rFonts w:ascii="Arial" w:eastAsia="Times New Roman" w:hAnsi="Arial" w:cs="Arial"/>
          <w:color w:val="000000" w:themeColor="text1"/>
          <w:kern w:val="0"/>
          <w:sz w:val="24"/>
          <w:szCs w:val="24"/>
          <w:lang w:val="en"/>
          <w14:ligatures w14:val="none"/>
        </w:rPr>
      </w:pPr>
      <w:r w:rsidRPr="00D97E4D">
        <w:rPr>
          <w:rFonts w:ascii="Arial" w:hAnsi="Arial" w:cs="Arial"/>
          <w:color w:val="000000" w:themeColor="text1"/>
          <w:sz w:val="24"/>
          <w:szCs w:val="24"/>
          <w:shd w:val="clear" w:color="auto" w:fill="FFFFFF"/>
          <w:lang w:val="en-US"/>
        </w:rPr>
        <w:t>Davies, S.J. and Egas, JL, 2022. Do social corporate responsibility initiatives help to promote circular economic activity and quality of work life for employees?. </w:t>
      </w:r>
      <w:r w:rsidRPr="00D97E4D">
        <w:rPr>
          <w:rFonts w:ascii="Arial" w:hAnsi="Arial" w:cs="Arial"/>
          <w:i/>
          <w:iCs/>
          <w:color w:val="000000" w:themeColor="text1"/>
          <w:sz w:val="24"/>
          <w:szCs w:val="24"/>
          <w:shd w:val="clear" w:color="auto" w:fill="FFFFFF"/>
          <w:lang w:val="en-US"/>
        </w:rPr>
        <w:t>Worldwide Hospitality and Tourism Themes</w:t>
      </w:r>
      <w:r w:rsidRPr="00D97E4D">
        <w:rPr>
          <w:rFonts w:ascii="Arial" w:hAnsi="Arial" w:cs="Arial"/>
          <w:color w:val="000000" w:themeColor="text1"/>
          <w:sz w:val="24"/>
          <w:szCs w:val="24"/>
          <w:shd w:val="clear" w:color="auto" w:fill="FFFFFF"/>
          <w:lang w:val="en-US"/>
        </w:rPr>
        <w:t>, </w:t>
      </w:r>
      <w:r w:rsidRPr="00D97E4D">
        <w:rPr>
          <w:rFonts w:ascii="Arial" w:hAnsi="Arial" w:cs="Arial"/>
          <w:i/>
          <w:iCs/>
          <w:color w:val="000000" w:themeColor="text1"/>
          <w:sz w:val="24"/>
          <w:szCs w:val="24"/>
          <w:shd w:val="clear" w:color="auto" w:fill="FFFFFF"/>
          <w:lang w:val="en-US"/>
        </w:rPr>
        <w:t>14</w:t>
      </w:r>
      <w:r w:rsidRPr="00D97E4D">
        <w:rPr>
          <w:rFonts w:ascii="Arial" w:hAnsi="Arial" w:cs="Arial"/>
          <w:color w:val="000000" w:themeColor="text1"/>
          <w:sz w:val="24"/>
          <w:szCs w:val="24"/>
          <w:shd w:val="clear" w:color="auto" w:fill="FFFFFF"/>
          <w:lang w:val="en-US"/>
        </w:rPr>
        <w:t>(3), pp.221-235.</w:t>
      </w:r>
    </w:p>
    <w:p w14:paraId="141CF425" w14:textId="77777777" w:rsidR="00D97E4D" w:rsidRPr="00D97E4D" w:rsidRDefault="00D97E4D" w:rsidP="00D97E4D">
      <w:pPr>
        <w:shd w:val="clear" w:color="auto" w:fill="FFFFFF"/>
        <w:spacing w:before="240" w:after="0" w:line="360" w:lineRule="auto"/>
        <w:ind w:left="720" w:hanging="720"/>
        <w:jc w:val="both"/>
        <w:rPr>
          <w:rFonts w:ascii="Arial" w:eastAsia="Times New Roman" w:hAnsi="Arial" w:cs="Arial"/>
          <w:color w:val="000000" w:themeColor="text1"/>
          <w:kern w:val="0"/>
          <w:sz w:val="24"/>
          <w:szCs w:val="24"/>
          <w:lang w:val="en"/>
          <w14:ligatures w14:val="none"/>
        </w:rPr>
      </w:pPr>
      <w:r w:rsidRPr="00D97E4D">
        <w:rPr>
          <w:rFonts w:ascii="Arial" w:hAnsi="Arial" w:cs="Arial"/>
          <w:color w:val="000000" w:themeColor="text1"/>
          <w:spacing w:val="4"/>
          <w:sz w:val="24"/>
          <w:szCs w:val="24"/>
          <w:lang w:val="en-US"/>
        </w:rPr>
        <w:t>Fortune, 2018. Hyatt Hotels CEO: Kindness and Empathy ‘Translate Into Good Business</w:t>
      </w:r>
      <w:r w:rsidRPr="00D97E4D">
        <w:rPr>
          <w:rFonts w:ascii="Arial" w:hAnsi="Arial" w:cs="Arial"/>
          <w:color w:val="000000" w:themeColor="text1"/>
          <w:spacing w:val="4"/>
          <w:sz w:val="24"/>
          <w:szCs w:val="24"/>
          <w:u w:val="single"/>
          <w:lang w:val="en-US"/>
        </w:rPr>
        <w:t xml:space="preserve">” </w:t>
      </w:r>
      <w:hyperlink r:id="rId5" w:history="1">
        <w:r w:rsidRPr="00D97E4D">
          <w:rPr>
            <w:rFonts w:ascii="Arial" w:eastAsia="Times New Roman" w:hAnsi="Arial" w:cs="Arial"/>
            <w:color w:val="000000" w:themeColor="text1"/>
            <w:kern w:val="0"/>
            <w:sz w:val="24"/>
            <w:szCs w:val="24"/>
            <w:u w:val="single"/>
            <w:lang w:val="en"/>
            <w14:ligatures w14:val="none"/>
          </w:rPr>
          <w:t>https://fortune.com/2018/08/01/hyatt-hotels-ceo-mark-hoplamazian/</w:t>
        </w:r>
      </w:hyperlink>
      <w:r w:rsidRPr="00D97E4D">
        <w:rPr>
          <w:rFonts w:ascii="Arial" w:hAnsi="Arial" w:cs="Arial"/>
          <w:color w:val="000000" w:themeColor="text1"/>
          <w:sz w:val="24"/>
          <w:szCs w:val="24"/>
          <w:lang w:val="en"/>
        </w:rPr>
        <w:t xml:space="preserve"> </w:t>
      </w:r>
    </w:p>
    <w:p w14:paraId="35CEEBD6" w14:textId="77777777" w:rsidR="00D97E4D" w:rsidRPr="00D97E4D" w:rsidRDefault="00D97E4D" w:rsidP="00D97E4D">
      <w:pPr>
        <w:shd w:val="clear" w:color="auto" w:fill="FFFFFF"/>
        <w:spacing w:before="240" w:after="0" w:line="360" w:lineRule="auto"/>
        <w:ind w:left="720" w:hanging="720"/>
        <w:jc w:val="both"/>
        <w:rPr>
          <w:rFonts w:ascii="Arial" w:eastAsia="Times New Roman" w:hAnsi="Arial" w:cs="Arial"/>
          <w:color w:val="000000" w:themeColor="text1"/>
          <w:kern w:val="0"/>
          <w:sz w:val="24"/>
          <w:szCs w:val="24"/>
          <w:lang w:val="en"/>
          <w14:ligatures w14:val="none"/>
        </w:rPr>
      </w:pPr>
      <w:r w:rsidRPr="00D97E4D">
        <w:rPr>
          <w:rFonts w:ascii="Arial" w:eastAsia="Times New Roman" w:hAnsi="Arial" w:cs="Arial"/>
          <w:color w:val="000000" w:themeColor="text1"/>
          <w:kern w:val="0"/>
          <w:sz w:val="24"/>
          <w:szCs w:val="24"/>
          <w:lang w:val="en"/>
          <w14:ligatures w14:val="none"/>
        </w:rPr>
        <w:t>Gallagher, K., 2016. Essential study and employment skills for business and management students. Oxford: Oxford University Press.</w:t>
      </w:r>
    </w:p>
    <w:p w14:paraId="5E3A33A7" w14:textId="77777777" w:rsidR="00D97E4D" w:rsidRPr="00D97E4D" w:rsidRDefault="00D97E4D" w:rsidP="00D97E4D">
      <w:pPr>
        <w:shd w:val="clear" w:color="auto" w:fill="FFFFFF"/>
        <w:spacing w:before="240" w:after="0" w:line="360" w:lineRule="auto"/>
        <w:ind w:left="720" w:hanging="720"/>
        <w:jc w:val="both"/>
        <w:rPr>
          <w:rFonts w:ascii="Arial" w:eastAsia="Times New Roman" w:hAnsi="Arial" w:cs="Arial"/>
          <w:color w:val="000000" w:themeColor="text1"/>
          <w:kern w:val="0"/>
          <w:sz w:val="24"/>
          <w:szCs w:val="24"/>
          <w:lang w:val="en"/>
          <w14:ligatures w14:val="none"/>
        </w:rPr>
      </w:pPr>
      <w:r w:rsidRPr="00D97E4D">
        <w:rPr>
          <w:rFonts w:ascii="Arial" w:hAnsi="Arial" w:cs="Arial"/>
          <w:color w:val="000000" w:themeColor="text1"/>
          <w:sz w:val="24"/>
          <w:szCs w:val="24"/>
          <w:shd w:val="clear" w:color="auto" w:fill="FFFFFF"/>
          <w:lang w:val="en-US"/>
        </w:rPr>
        <w:t xml:space="preserve">Gladka, O., Fedorova, V. and Dohadailo, Y., 2022. Development of conceptual bases of the employee life cycle within an organisation. </w:t>
      </w:r>
      <w:r w:rsidRPr="00D97E4D">
        <w:rPr>
          <w:rFonts w:ascii="Arial" w:hAnsi="Arial" w:cs="Arial"/>
          <w:i/>
          <w:iCs/>
          <w:color w:val="000000" w:themeColor="text1"/>
          <w:sz w:val="24"/>
          <w:szCs w:val="24"/>
          <w:shd w:val="clear" w:color="auto" w:fill="FFFFFF"/>
          <w:lang w:val="en-US"/>
        </w:rPr>
        <w:t>Business: Theory and Practice</w:t>
      </w:r>
      <w:r w:rsidRPr="00D97E4D">
        <w:rPr>
          <w:rFonts w:ascii="Arial" w:hAnsi="Arial" w:cs="Arial"/>
          <w:color w:val="000000" w:themeColor="text1"/>
          <w:sz w:val="24"/>
          <w:szCs w:val="24"/>
          <w:shd w:val="clear" w:color="auto" w:fill="FFFFFF"/>
          <w:lang w:val="en-US"/>
        </w:rPr>
        <w:t>, </w:t>
      </w:r>
      <w:r w:rsidRPr="00D97E4D">
        <w:rPr>
          <w:rFonts w:ascii="Arial" w:hAnsi="Arial" w:cs="Arial"/>
          <w:i/>
          <w:iCs/>
          <w:color w:val="000000" w:themeColor="text1"/>
          <w:sz w:val="24"/>
          <w:szCs w:val="24"/>
          <w:shd w:val="clear" w:color="auto" w:fill="FFFFFF"/>
          <w:lang w:val="en-US"/>
        </w:rPr>
        <w:t>23</w:t>
      </w:r>
      <w:r w:rsidRPr="00D97E4D">
        <w:rPr>
          <w:rFonts w:ascii="Arial" w:hAnsi="Arial" w:cs="Arial"/>
          <w:color w:val="000000" w:themeColor="text1"/>
          <w:sz w:val="24"/>
          <w:szCs w:val="24"/>
          <w:shd w:val="clear" w:color="auto" w:fill="FFFFFF"/>
          <w:lang w:val="en-US"/>
        </w:rPr>
        <w:t xml:space="preserve">(1), pp.39-52. </w:t>
      </w:r>
    </w:p>
    <w:p w14:paraId="79DC6F5F" w14:textId="77777777" w:rsidR="00D97E4D" w:rsidRPr="00D97E4D" w:rsidRDefault="00D97E4D" w:rsidP="00D97E4D">
      <w:pPr>
        <w:shd w:val="clear" w:color="auto" w:fill="FFFFFF"/>
        <w:spacing w:before="240" w:after="0" w:line="360" w:lineRule="auto"/>
        <w:ind w:left="720" w:hanging="720"/>
        <w:jc w:val="both"/>
        <w:rPr>
          <w:rFonts w:ascii="Arial" w:hAnsi="Arial" w:cs="Arial"/>
          <w:color w:val="000000" w:themeColor="text1"/>
          <w:sz w:val="24"/>
          <w:szCs w:val="24"/>
          <w:shd w:val="clear" w:color="auto" w:fill="FFFFFF"/>
          <w:lang w:val="en-US"/>
        </w:rPr>
      </w:pPr>
      <w:r w:rsidRPr="00D97E4D">
        <w:rPr>
          <w:rFonts w:ascii="Arial" w:hAnsi="Arial" w:cs="Arial"/>
          <w:color w:val="000000" w:themeColor="text1"/>
          <w:sz w:val="24"/>
          <w:szCs w:val="24"/>
          <w:shd w:val="clear" w:color="auto" w:fill="FFFFFF"/>
          <w:lang w:val="en-US"/>
        </w:rPr>
        <w:t xml:space="preserve">Kong, H., Okumus, F. and Bu, N., 2020. Linking organisational career management with Generation Y employees' organisational identity: The mediating effect of meeting career expectations. </w:t>
      </w:r>
      <w:r w:rsidRPr="00D97E4D">
        <w:rPr>
          <w:rFonts w:ascii="Arial" w:hAnsi="Arial" w:cs="Arial"/>
          <w:i/>
          <w:iCs/>
          <w:color w:val="000000" w:themeColor="text1"/>
          <w:sz w:val="24"/>
          <w:szCs w:val="24"/>
          <w:shd w:val="clear" w:color="auto" w:fill="FFFFFF"/>
          <w:lang w:val="en-US"/>
        </w:rPr>
        <w:t>Journal of Hospitality Marketing &amp; Management</w:t>
      </w:r>
      <w:r w:rsidRPr="00D97E4D">
        <w:rPr>
          <w:rFonts w:ascii="Arial" w:hAnsi="Arial" w:cs="Arial"/>
          <w:color w:val="000000" w:themeColor="text1"/>
          <w:sz w:val="24"/>
          <w:szCs w:val="24"/>
          <w:shd w:val="clear" w:color="auto" w:fill="FFFFFF"/>
          <w:lang w:val="en-US"/>
        </w:rPr>
        <w:t>, </w:t>
      </w:r>
      <w:r w:rsidRPr="00D97E4D">
        <w:rPr>
          <w:rFonts w:ascii="Arial" w:hAnsi="Arial" w:cs="Arial"/>
          <w:i/>
          <w:iCs/>
          <w:color w:val="000000" w:themeColor="text1"/>
          <w:sz w:val="24"/>
          <w:szCs w:val="24"/>
          <w:shd w:val="clear" w:color="auto" w:fill="FFFFFF"/>
          <w:lang w:val="en-US"/>
        </w:rPr>
        <w:t>29</w:t>
      </w:r>
      <w:r w:rsidRPr="00D97E4D">
        <w:rPr>
          <w:rFonts w:ascii="Arial" w:hAnsi="Arial" w:cs="Arial"/>
          <w:color w:val="000000" w:themeColor="text1"/>
          <w:sz w:val="24"/>
          <w:szCs w:val="24"/>
          <w:shd w:val="clear" w:color="auto" w:fill="FFFFFF"/>
          <w:lang w:val="en-US"/>
        </w:rPr>
        <w:t>(2), pp.164-181.</w:t>
      </w:r>
    </w:p>
    <w:p w14:paraId="18A98A52" w14:textId="77777777" w:rsidR="00D97E4D" w:rsidRPr="00D97E4D" w:rsidRDefault="00D97E4D" w:rsidP="00D97E4D">
      <w:pPr>
        <w:shd w:val="clear" w:color="auto" w:fill="FFFFFF"/>
        <w:spacing w:before="240" w:after="0" w:line="360" w:lineRule="auto"/>
        <w:ind w:left="720" w:hanging="720"/>
        <w:jc w:val="both"/>
        <w:rPr>
          <w:rFonts w:ascii="Arial" w:eastAsia="Times New Roman" w:hAnsi="Arial" w:cs="Arial"/>
          <w:color w:val="000000" w:themeColor="text1"/>
          <w:kern w:val="0"/>
          <w:sz w:val="24"/>
          <w:szCs w:val="24"/>
          <w:lang w:val="en"/>
          <w14:ligatures w14:val="none"/>
        </w:rPr>
      </w:pPr>
      <w:r w:rsidRPr="00D97E4D">
        <w:rPr>
          <w:rFonts w:ascii="Arial" w:eastAsia="Times New Roman" w:hAnsi="Arial" w:cs="Arial"/>
          <w:color w:val="000000" w:themeColor="text1"/>
          <w:kern w:val="0"/>
          <w:sz w:val="24"/>
          <w:szCs w:val="24"/>
          <w:lang w:val="en"/>
          <w14:ligatures w14:val="none"/>
        </w:rPr>
        <w:lastRenderedPageBreak/>
        <w:t xml:space="preserve"> </w:t>
      </w:r>
      <w:r w:rsidRPr="00D97E4D">
        <w:rPr>
          <w:rFonts w:ascii="Arial" w:hAnsi="Arial" w:cs="Arial"/>
          <w:color w:val="000000" w:themeColor="text1"/>
          <w:sz w:val="24"/>
          <w:szCs w:val="24"/>
          <w:shd w:val="clear" w:color="auto" w:fill="FFFFFF"/>
          <w:lang w:val="en-US"/>
        </w:rPr>
        <w:t>Lee, C.J. and Huang, S.Y., 2019. A moderated mediation examination of Kahn’s theory in the development of new product performance: Cross-level moderating role of open discussion of conflict. </w:t>
      </w:r>
      <w:r w:rsidRPr="00D97E4D">
        <w:rPr>
          <w:rFonts w:ascii="Arial" w:hAnsi="Arial" w:cs="Arial"/>
          <w:i/>
          <w:iCs/>
          <w:color w:val="000000" w:themeColor="text1"/>
          <w:sz w:val="24"/>
          <w:szCs w:val="24"/>
          <w:shd w:val="clear" w:color="auto" w:fill="FFFFFF"/>
          <w:lang w:val="en-US"/>
        </w:rPr>
        <w:t>Chinese Management Studies</w:t>
      </w:r>
      <w:r w:rsidRPr="00D97E4D">
        <w:rPr>
          <w:rFonts w:ascii="Arial" w:hAnsi="Arial" w:cs="Arial"/>
          <w:color w:val="000000" w:themeColor="text1"/>
          <w:sz w:val="24"/>
          <w:szCs w:val="24"/>
          <w:shd w:val="clear" w:color="auto" w:fill="FFFFFF"/>
          <w:lang w:val="en-US"/>
        </w:rPr>
        <w:t>, </w:t>
      </w:r>
      <w:r w:rsidRPr="00D97E4D">
        <w:rPr>
          <w:rFonts w:ascii="Arial" w:hAnsi="Arial" w:cs="Arial"/>
          <w:i/>
          <w:iCs/>
          <w:color w:val="000000" w:themeColor="text1"/>
          <w:sz w:val="24"/>
          <w:szCs w:val="24"/>
          <w:shd w:val="clear" w:color="auto" w:fill="FFFFFF"/>
          <w:lang w:val="en-US"/>
        </w:rPr>
        <w:t>13</w:t>
      </w:r>
      <w:r w:rsidRPr="00D97E4D">
        <w:rPr>
          <w:rFonts w:ascii="Arial" w:hAnsi="Arial" w:cs="Arial"/>
          <w:color w:val="000000" w:themeColor="text1"/>
          <w:sz w:val="24"/>
          <w:szCs w:val="24"/>
          <w:shd w:val="clear" w:color="auto" w:fill="FFFFFF"/>
          <w:lang w:val="en-US"/>
        </w:rPr>
        <w:t>(3), pp.603-615.</w:t>
      </w:r>
    </w:p>
    <w:p w14:paraId="3B2C3A8A" w14:textId="77777777" w:rsidR="00D97E4D" w:rsidRPr="00D97E4D" w:rsidRDefault="00D97E4D" w:rsidP="00D97E4D">
      <w:pPr>
        <w:shd w:val="clear" w:color="auto" w:fill="FFFFFF"/>
        <w:spacing w:before="240" w:after="0" w:line="360" w:lineRule="auto"/>
        <w:ind w:left="720" w:hanging="720"/>
        <w:jc w:val="both"/>
        <w:rPr>
          <w:rFonts w:ascii="Arial" w:eastAsia="Times New Roman" w:hAnsi="Arial" w:cs="Arial"/>
          <w:color w:val="000000" w:themeColor="text1"/>
          <w:kern w:val="0"/>
          <w:sz w:val="24"/>
          <w:szCs w:val="24"/>
          <w:lang w:val="en"/>
          <w14:ligatures w14:val="none"/>
        </w:rPr>
      </w:pPr>
      <w:r w:rsidRPr="00D97E4D">
        <w:rPr>
          <w:rFonts w:ascii="Arial" w:hAnsi="Arial" w:cs="Arial"/>
          <w:color w:val="000000" w:themeColor="text1"/>
          <w:sz w:val="24"/>
          <w:szCs w:val="24"/>
          <w:shd w:val="clear" w:color="auto" w:fill="FFFFFF"/>
          <w:lang w:val="en-US"/>
        </w:rPr>
        <w:t>Lee, J.Y., Rocco, T.S. and Shuck, B., 2020. What is a resource: Toward a taxonomy of resources for employee engagement. </w:t>
      </w:r>
      <w:r w:rsidRPr="00D97E4D">
        <w:rPr>
          <w:rFonts w:ascii="Arial" w:hAnsi="Arial" w:cs="Arial"/>
          <w:i/>
          <w:iCs/>
          <w:color w:val="000000" w:themeColor="text1"/>
          <w:sz w:val="24"/>
          <w:szCs w:val="24"/>
          <w:shd w:val="clear" w:color="auto" w:fill="FFFFFF"/>
          <w:lang w:val="en-US"/>
        </w:rPr>
        <w:t>Human Resource Development Review</w:t>
      </w:r>
      <w:r w:rsidRPr="00D97E4D">
        <w:rPr>
          <w:rFonts w:ascii="Arial" w:hAnsi="Arial" w:cs="Arial"/>
          <w:color w:val="000000" w:themeColor="text1"/>
          <w:sz w:val="24"/>
          <w:szCs w:val="24"/>
          <w:shd w:val="clear" w:color="auto" w:fill="FFFFFF"/>
          <w:lang w:val="en-US"/>
        </w:rPr>
        <w:t>, </w:t>
      </w:r>
      <w:r w:rsidRPr="00D97E4D">
        <w:rPr>
          <w:rFonts w:ascii="Arial" w:hAnsi="Arial" w:cs="Arial"/>
          <w:i/>
          <w:iCs/>
          <w:color w:val="000000" w:themeColor="text1"/>
          <w:sz w:val="24"/>
          <w:szCs w:val="24"/>
          <w:shd w:val="clear" w:color="auto" w:fill="FFFFFF"/>
          <w:lang w:val="en-US"/>
        </w:rPr>
        <w:t>19</w:t>
      </w:r>
      <w:r w:rsidRPr="00D97E4D">
        <w:rPr>
          <w:rFonts w:ascii="Arial" w:hAnsi="Arial" w:cs="Arial"/>
          <w:color w:val="000000" w:themeColor="text1"/>
          <w:sz w:val="24"/>
          <w:szCs w:val="24"/>
          <w:shd w:val="clear" w:color="auto" w:fill="FFFFFF"/>
          <w:lang w:val="en-US"/>
        </w:rPr>
        <w:t>(1), pp.5-38.</w:t>
      </w:r>
    </w:p>
    <w:p w14:paraId="2ACE964D" w14:textId="77777777" w:rsidR="00D97E4D" w:rsidRPr="00D97E4D" w:rsidRDefault="00D97E4D" w:rsidP="00D97E4D">
      <w:pPr>
        <w:shd w:val="clear" w:color="auto" w:fill="FFFFFF"/>
        <w:spacing w:before="240" w:after="0" w:line="360" w:lineRule="auto"/>
        <w:ind w:left="720" w:hanging="720"/>
        <w:jc w:val="both"/>
        <w:rPr>
          <w:rFonts w:ascii="Arial" w:hAnsi="Arial" w:cs="Arial"/>
          <w:color w:val="000000" w:themeColor="text1"/>
          <w:sz w:val="24"/>
          <w:szCs w:val="24"/>
          <w:shd w:val="clear" w:color="auto" w:fill="FFFFFF"/>
          <w:lang w:val="en-US"/>
        </w:rPr>
      </w:pPr>
      <w:r w:rsidRPr="00D97E4D">
        <w:rPr>
          <w:rFonts w:ascii="Arial" w:hAnsi="Arial" w:cs="Arial"/>
          <w:color w:val="000000" w:themeColor="text1"/>
          <w:sz w:val="24"/>
          <w:szCs w:val="24"/>
          <w:shd w:val="clear" w:color="auto" w:fill="FFFFFF"/>
          <w:lang w:val="en-US"/>
        </w:rPr>
        <w:t>Lemon, L.L. and Palenchar, M.J., 2018. Public relations and zones of engagement: Employees’ lived experiences and the fundamental nature of employee engagement. </w:t>
      </w:r>
      <w:r w:rsidRPr="00D97E4D">
        <w:rPr>
          <w:rFonts w:ascii="Arial" w:hAnsi="Arial" w:cs="Arial"/>
          <w:i/>
          <w:iCs/>
          <w:color w:val="000000" w:themeColor="text1"/>
          <w:sz w:val="24"/>
          <w:szCs w:val="24"/>
          <w:shd w:val="clear" w:color="auto" w:fill="FFFFFF"/>
          <w:lang w:val="en-US"/>
        </w:rPr>
        <w:t>Public Relations Review</w:t>
      </w:r>
      <w:r w:rsidRPr="00D97E4D">
        <w:rPr>
          <w:rFonts w:ascii="Arial" w:hAnsi="Arial" w:cs="Arial"/>
          <w:color w:val="000000" w:themeColor="text1"/>
          <w:sz w:val="24"/>
          <w:szCs w:val="24"/>
          <w:shd w:val="clear" w:color="auto" w:fill="FFFFFF"/>
          <w:lang w:val="en-US"/>
        </w:rPr>
        <w:t>, </w:t>
      </w:r>
      <w:r w:rsidRPr="00D97E4D">
        <w:rPr>
          <w:rFonts w:ascii="Arial" w:hAnsi="Arial" w:cs="Arial"/>
          <w:i/>
          <w:iCs/>
          <w:color w:val="000000" w:themeColor="text1"/>
          <w:sz w:val="24"/>
          <w:szCs w:val="24"/>
          <w:shd w:val="clear" w:color="auto" w:fill="FFFFFF"/>
          <w:lang w:val="en-US"/>
        </w:rPr>
        <w:t>44</w:t>
      </w:r>
      <w:r w:rsidRPr="00D97E4D">
        <w:rPr>
          <w:rFonts w:ascii="Arial" w:hAnsi="Arial" w:cs="Arial"/>
          <w:color w:val="000000" w:themeColor="text1"/>
          <w:sz w:val="24"/>
          <w:szCs w:val="24"/>
          <w:shd w:val="clear" w:color="auto" w:fill="FFFFFF"/>
          <w:lang w:val="en-US"/>
        </w:rPr>
        <w:t>(1), pp.142-155.</w:t>
      </w:r>
    </w:p>
    <w:p w14:paraId="5268DD77" w14:textId="77777777" w:rsidR="00D97E4D" w:rsidRPr="00D97E4D" w:rsidRDefault="00D97E4D" w:rsidP="00D97E4D">
      <w:pPr>
        <w:shd w:val="clear" w:color="auto" w:fill="FFFFFF"/>
        <w:spacing w:before="240" w:after="0" w:line="360" w:lineRule="auto"/>
        <w:ind w:left="720" w:hanging="720"/>
        <w:jc w:val="both"/>
        <w:rPr>
          <w:rFonts w:ascii="Arial" w:eastAsia="Times New Roman" w:hAnsi="Arial" w:cs="Arial"/>
          <w:color w:val="000000" w:themeColor="text1"/>
          <w:kern w:val="0"/>
          <w:sz w:val="24"/>
          <w:szCs w:val="24"/>
          <w:lang w:val="en"/>
          <w14:ligatures w14:val="none"/>
        </w:rPr>
      </w:pPr>
      <w:r w:rsidRPr="00D97E4D">
        <w:rPr>
          <w:rFonts w:ascii="Arial" w:hAnsi="Arial" w:cs="Arial"/>
          <w:color w:val="000000" w:themeColor="text1"/>
          <w:sz w:val="24"/>
          <w:szCs w:val="24"/>
          <w:shd w:val="clear" w:color="auto" w:fill="FFFFFF"/>
          <w:lang w:val="en-US"/>
        </w:rPr>
        <w:t xml:space="preserve">Li, C., Cui, G. and Peng, L., 2017. The signalling effect of management response in engaging customers: A study of the hotel industry. </w:t>
      </w:r>
      <w:r w:rsidRPr="00D97E4D">
        <w:rPr>
          <w:rFonts w:ascii="Arial" w:hAnsi="Arial" w:cs="Arial"/>
          <w:i/>
          <w:iCs/>
          <w:color w:val="000000" w:themeColor="text1"/>
          <w:sz w:val="24"/>
          <w:szCs w:val="24"/>
          <w:shd w:val="clear" w:color="auto" w:fill="FFFFFF"/>
          <w:lang w:val="en-US"/>
        </w:rPr>
        <w:t>Tourism Management</w:t>
      </w:r>
      <w:r w:rsidRPr="00D97E4D">
        <w:rPr>
          <w:rFonts w:ascii="Arial" w:hAnsi="Arial" w:cs="Arial"/>
          <w:color w:val="000000" w:themeColor="text1"/>
          <w:sz w:val="24"/>
          <w:szCs w:val="24"/>
          <w:shd w:val="clear" w:color="auto" w:fill="FFFFFF"/>
          <w:lang w:val="en-US"/>
        </w:rPr>
        <w:t>, </w:t>
      </w:r>
      <w:r w:rsidRPr="00D97E4D">
        <w:rPr>
          <w:rFonts w:ascii="Arial" w:hAnsi="Arial" w:cs="Arial"/>
          <w:i/>
          <w:iCs/>
          <w:color w:val="000000" w:themeColor="text1"/>
          <w:sz w:val="24"/>
          <w:szCs w:val="24"/>
          <w:shd w:val="clear" w:color="auto" w:fill="FFFFFF"/>
          <w:lang w:val="en-US"/>
        </w:rPr>
        <w:t>62</w:t>
      </w:r>
      <w:r w:rsidRPr="00D97E4D">
        <w:rPr>
          <w:rFonts w:ascii="Arial" w:hAnsi="Arial" w:cs="Arial"/>
          <w:color w:val="000000" w:themeColor="text1"/>
          <w:sz w:val="24"/>
          <w:szCs w:val="24"/>
          <w:shd w:val="clear" w:color="auto" w:fill="FFFFFF"/>
          <w:lang w:val="en-US"/>
        </w:rPr>
        <w:t>, pp.42-53.</w:t>
      </w:r>
    </w:p>
    <w:p w14:paraId="1C0501BD" w14:textId="77777777" w:rsidR="00D97E4D" w:rsidRPr="00D97E4D" w:rsidRDefault="00D97E4D" w:rsidP="00D97E4D">
      <w:pPr>
        <w:shd w:val="clear" w:color="auto" w:fill="FFFFFF"/>
        <w:spacing w:before="240" w:after="0" w:line="360" w:lineRule="auto"/>
        <w:ind w:left="720" w:hanging="720"/>
        <w:jc w:val="both"/>
        <w:rPr>
          <w:rFonts w:ascii="Arial" w:eastAsia="Times New Roman" w:hAnsi="Arial" w:cs="Arial"/>
          <w:color w:val="000000" w:themeColor="text1"/>
          <w:kern w:val="0"/>
          <w:sz w:val="24"/>
          <w:szCs w:val="24"/>
          <w:lang w:val="en"/>
          <w14:ligatures w14:val="none"/>
        </w:rPr>
      </w:pPr>
      <w:r w:rsidRPr="00D97E4D">
        <w:rPr>
          <w:rFonts w:ascii="Arial" w:hAnsi="Arial" w:cs="Arial"/>
          <w:color w:val="000000" w:themeColor="text1"/>
          <w:sz w:val="24"/>
          <w:szCs w:val="24"/>
          <w:shd w:val="clear" w:color="auto" w:fill="FFFFFF"/>
          <w:lang w:val="en-US"/>
        </w:rPr>
        <w:t>Naim, M.F. and Lenka, U., 2018. Development and retention of Generation Y employees: a conceptual framework. </w:t>
      </w:r>
      <w:r w:rsidRPr="00D97E4D">
        <w:rPr>
          <w:rFonts w:ascii="Arial" w:hAnsi="Arial" w:cs="Arial"/>
          <w:i/>
          <w:iCs/>
          <w:color w:val="000000" w:themeColor="text1"/>
          <w:sz w:val="24"/>
          <w:szCs w:val="24"/>
          <w:shd w:val="clear" w:color="auto" w:fill="FFFFFF"/>
          <w:lang w:val="en-US"/>
        </w:rPr>
        <w:t>Employee relations</w:t>
      </w:r>
      <w:r w:rsidRPr="00D97E4D">
        <w:rPr>
          <w:rFonts w:ascii="Arial" w:hAnsi="Arial" w:cs="Arial"/>
          <w:color w:val="000000" w:themeColor="text1"/>
          <w:sz w:val="24"/>
          <w:szCs w:val="24"/>
          <w:shd w:val="clear" w:color="auto" w:fill="FFFFFF"/>
          <w:lang w:val="en-US"/>
        </w:rPr>
        <w:t>, </w:t>
      </w:r>
      <w:r w:rsidRPr="00D97E4D">
        <w:rPr>
          <w:rFonts w:ascii="Arial" w:hAnsi="Arial" w:cs="Arial"/>
          <w:i/>
          <w:iCs/>
          <w:color w:val="000000" w:themeColor="text1"/>
          <w:sz w:val="24"/>
          <w:szCs w:val="24"/>
          <w:shd w:val="clear" w:color="auto" w:fill="FFFFFF"/>
          <w:lang w:val="en-US"/>
        </w:rPr>
        <w:t>40</w:t>
      </w:r>
      <w:r w:rsidRPr="00D97E4D">
        <w:rPr>
          <w:rFonts w:ascii="Arial" w:hAnsi="Arial" w:cs="Arial"/>
          <w:color w:val="000000" w:themeColor="text1"/>
          <w:sz w:val="24"/>
          <w:szCs w:val="24"/>
          <w:shd w:val="clear" w:color="auto" w:fill="FFFFFF"/>
          <w:lang w:val="en-US"/>
        </w:rPr>
        <w:t xml:space="preserve">(2), pp.433-455. </w:t>
      </w:r>
    </w:p>
    <w:p w14:paraId="07206B88" w14:textId="77777777" w:rsidR="00D97E4D" w:rsidRPr="00D97E4D" w:rsidRDefault="00D97E4D" w:rsidP="00D97E4D">
      <w:pPr>
        <w:shd w:val="clear" w:color="auto" w:fill="FFFFFF"/>
        <w:spacing w:before="240" w:after="0" w:line="360" w:lineRule="auto"/>
        <w:ind w:left="720" w:hanging="720"/>
        <w:jc w:val="both"/>
        <w:rPr>
          <w:rFonts w:ascii="Arial" w:eastAsia="Times New Roman" w:hAnsi="Arial" w:cs="Arial"/>
          <w:color w:val="000000" w:themeColor="text1"/>
          <w:kern w:val="0"/>
          <w:sz w:val="24"/>
          <w:szCs w:val="24"/>
          <w:lang w:val="en"/>
          <w14:ligatures w14:val="none"/>
        </w:rPr>
      </w:pPr>
      <w:r w:rsidRPr="00D97E4D">
        <w:rPr>
          <w:rFonts w:ascii="Arial" w:hAnsi="Arial" w:cs="Arial"/>
          <w:color w:val="000000" w:themeColor="text1"/>
          <w:sz w:val="24"/>
          <w:szCs w:val="24"/>
          <w:shd w:val="clear" w:color="auto" w:fill="FFFFFF"/>
          <w:lang w:val="en-US"/>
        </w:rPr>
        <w:t xml:space="preserve">Navy, SL, 2020. Theory of human motivation—Abraham Maslow. </w:t>
      </w:r>
      <w:r w:rsidRPr="00D97E4D">
        <w:rPr>
          <w:rFonts w:ascii="Arial" w:hAnsi="Arial" w:cs="Arial"/>
          <w:i/>
          <w:iCs/>
          <w:color w:val="000000" w:themeColor="text1"/>
          <w:sz w:val="24"/>
          <w:szCs w:val="24"/>
          <w:shd w:val="clear" w:color="auto" w:fill="FFFFFF"/>
          <w:lang w:val="en-US"/>
        </w:rPr>
        <w:t>Science Education in Theory and Practice: An Introductory Guide to Learning Theory</w:t>
      </w:r>
      <w:r w:rsidRPr="00D97E4D">
        <w:rPr>
          <w:rFonts w:ascii="Arial" w:hAnsi="Arial" w:cs="Arial"/>
          <w:color w:val="000000" w:themeColor="text1"/>
          <w:sz w:val="24"/>
          <w:szCs w:val="24"/>
          <w:shd w:val="clear" w:color="auto" w:fill="FFFFFF"/>
          <w:lang w:val="en-US"/>
        </w:rPr>
        <w:t>, pp.17-28.</w:t>
      </w:r>
    </w:p>
    <w:p w14:paraId="01C9F8E8" w14:textId="77777777" w:rsidR="00D97E4D" w:rsidRPr="00D97E4D" w:rsidRDefault="00D97E4D" w:rsidP="00D97E4D">
      <w:pPr>
        <w:shd w:val="clear" w:color="auto" w:fill="FFFFFF"/>
        <w:spacing w:before="240" w:after="0" w:line="360" w:lineRule="auto"/>
        <w:ind w:left="720" w:hanging="720"/>
        <w:jc w:val="both"/>
        <w:rPr>
          <w:rFonts w:ascii="Arial" w:hAnsi="Arial" w:cs="Arial"/>
          <w:color w:val="000000" w:themeColor="text1"/>
          <w:sz w:val="24"/>
          <w:szCs w:val="24"/>
          <w:shd w:val="clear" w:color="auto" w:fill="FFFFFF"/>
          <w:lang w:val="en-US"/>
        </w:rPr>
      </w:pPr>
      <w:r w:rsidRPr="00D97E4D">
        <w:rPr>
          <w:rFonts w:ascii="Arial" w:hAnsi="Arial" w:cs="Arial"/>
          <w:color w:val="000000" w:themeColor="text1"/>
          <w:sz w:val="24"/>
          <w:szCs w:val="24"/>
          <w:shd w:val="clear" w:color="auto" w:fill="FFFFFF"/>
          <w:lang w:val="en-US"/>
        </w:rPr>
        <w:t xml:space="preserve">Pasla, P., Asepta, U., Widyaningrum, S., Pramesti, M. and Wicaksono, S., 2021. The effect of work from home and workload on work-life balance of Generation X and Generation Y employees. </w:t>
      </w:r>
      <w:r w:rsidRPr="00D97E4D">
        <w:rPr>
          <w:rFonts w:ascii="Arial" w:hAnsi="Arial" w:cs="Arial"/>
          <w:i/>
          <w:iCs/>
          <w:color w:val="000000" w:themeColor="text1"/>
          <w:sz w:val="24"/>
          <w:szCs w:val="24"/>
          <w:shd w:val="clear" w:color="auto" w:fill="FFFFFF"/>
          <w:lang w:val="en-US"/>
        </w:rPr>
        <w:t>Journal of Economics, Finance and Accounting Studies</w:t>
      </w:r>
      <w:r w:rsidRPr="00D97E4D">
        <w:rPr>
          <w:rFonts w:ascii="Arial" w:hAnsi="Arial" w:cs="Arial"/>
          <w:color w:val="000000" w:themeColor="text1"/>
          <w:sz w:val="24"/>
          <w:szCs w:val="24"/>
          <w:shd w:val="clear" w:color="auto" w:fill="FFFFFF"/>
          <w:lang w:val="en-US"/>
        </w:rPr>
        <w:t>, </w:t>
      </w:r>
      <w:r w:rsidRPr="00D97E4D">
        <w:rPr>
          <w:rFonts w:ascii="Arial" w:hAnsi="Arial" w:cs="Arial"/>
          <w:i/>
          <w:iCs/>
          <w:color w:val="000000" w:themeColor="text1"/>
          <w:sz w:val="24"/>
          <w:szCs w:val="24"/>
          <w:shd w:val="clear" w:color="auto" w:fill="FFFFFF"/>
          <w:lang w:val="en-US"/>
        </w:rPr>
        <w:t>3</w:t>
      </w:r>
      <w:r w:rsidRPr="00D97E4D">
        <w:rPr>
          <w:rFonts w:ascii="Arial" w:hAnsi="Arial" w:cs="Arial"/>
          <w:color w:val="000000" w:themeColor="text1"/>
          <w:sz w:val="24"/>
          <w:szCs w:val="24"/>
          <w:shd w:val="clear" w:color="auto" w:fill="FFFFFF"/>
          <w:lang w:val="en-US"/>
        </w:rPr>
        <w:t xml:space="preserve">(2), pp.220-224. </w:t>
      </w:r>
    </w:p>
    <w:p w14:paraId="3C5E8E1C" w14:textId="77777777" w:rsidR="00D97E4D" w:rsidRPr="00D97E4D" w:rsidRDefault="00D97E4D" w:rsidP="00D97E4D">
      <w:pPr>
        <w:shd w:val="clear" w:color="auto" w:fill="FFFFFF"/>
        <w:spacing w:before="240" w:after="0" w:line="360" w:lineRule="auto"/>
        <w:ind w:left="720" w:hanging="720"/>
        <w:jc w:val="both"/>
        <w:rPr>
          <w:rFonts w:ascii="Arial" w:hAnsi="Arial" w:cs="Arial"/>
          <w:color w:val="000000" w:themeColor="text1"/>
          <w:sz w:val="24"/>
          <w:szCs w:val="24"/>
          <w:shd w:val="clear" w:color="auto" w:fill="FFFFFF"/>
          <w:lang w:val="en-US"/>
        </w:rPr>
      </w:pPr>
      <w:r w:rsidRPr="00D97E4D">
        <w:rPr>
          <w:rFonts w:ascii="Arial" w:hAnsi="Arial" w:cs="Arial"/>
          <w:color w:val="000000" w:themeColor="text1"/>
          <w:sz w:val="24"/>
          <w:szCs w:val="24"/>
          <w:shd w:val="clear" w:color="auto" w:fill="FFFFFF"/>
          <w:lang w:val="en-US"/>
        </w:rPr>
        <w:t>Peisl, T. and Shah, B., 2019. The impact of blockchain technologies on recruitment influencing the employee lifecycle. In </w:t>
      </w:r>
      <w:r w:rsidRPr="00D97E4D">
        <w:rPr>
          <w:rFonts w:ascii="Arial" w:hAnsi="Arial" w:cs="Arial"/>
          <w:i/>
          <w:iCs/>
          <w:color w:val="000000" w:themeColor="text1"/>
          <w:sz w:val="24"/>
          <w:szCs w:val="24"/>
          <w:shd w:val="clear" w:color="auto" w:fill="FFFFFF"/>
          <w:lang w:val="en-US"/>
        </w:rPr>
        <w:t>Systems, Software and Services Process Improvement: 26th European Conference, EuroSPI 2019, Edinburgh, UK, September 18–20, 2019, Proceedings 26</w:t>
      </w:r>
      <w:r w:rsidRPr="00D97E4D">
        <w:rPr>
          <w:rFonts w:ascii="Arial" w:hAnsi="Arial" w:cs="Arial"/>
          <w:color w:val="000000" w:themeColor="text1"/>
          <w:sz w:val="24"/>
          <w:szCs w:val="24"/>
          <w:shd w:val="clear" w:color="auto" w:fill="FFFFFF"/>
          <w:lang w:val="en-US"/>
        </w:rPr>
        <w:t> (pp. 695-705). Springer International Publishing.</w:t>
      </w:r>
    </w:p>
    <w:p w14:paraId="127E9A00" w14:textId="77777777" w:rsidR="00D97E4D" w:rsidRPr="00D97E4D" w:rsidRDefault="00D97E4D" w:rsidP="00D97E4D">
      <w:pPr>
        <w:shd w:val="clear" w:color="auto" w:fill="FFFFFF"/>
        <w:spacing w:before="240" w:after="0" w:line="360" w:lineRule="auto"/>
        <w:ind w:left="720" w:hanging="720"/>
        <w:jc w:val="both"/>
        <w:rPr>
          <w:rFonts w:ascii="Arial" w:hAnsi="Arial" w:cs="Arial"/>
          <w:color w:val="000000" w:themeColor="text1"/>
          <w:sz w:val="24"/>
          <w:szCs w:val="24"/>
          <w:shd w:val="clear" w:color="auto" w:fill="FFFFFF"/>
          <w:lang w:val="en-US"/>
        </w:rPr>
      </w:pPr>
      <w:r w:rsidRPr="00D97E4D">
        <w:rPr>
          <w:rFonts w:ascii="Arial" w:hAnsi="Arial" w:cs="Arial"/>
          <w:color w:val="000000" w:themeColor="text1"/>
          <w:sz w:val="24"/>
          <w:szCs w:val="24"/>
          <w:shd w:val="clear" w:color="auto" w:fill="FFFFFF"/>
          <w:lang w:val="en-US"/>
        </w:rPr>
        <w:t xml:space="preserve">Sato, Y., Kobayashi, N. and Shirasaka, S., 2020. An analysis of human resource management for knowledge workers: Using the three axes of target employee, </w:t>
      </w:r>
      <w:r w:rsidRPr="00D97E4D">
        <w:rPr>
          <w:rFonts w:ascii="Arial" w:hAnsi="Arial" w:cs="Arial"/>
          <w:color w:val="000000" w:themeColor="text1"/>
          <w:sz w:val="24"/>
          <w:szCs w:val="24"/>
          <w:shd w:val="clear" w:color="auto" w:fill="FFFFFF"/>
          <w:lang w:val="en-US"/>
        </w:rPr>
        <w:lastRenderedPageBreak/>
        <w:t>lifecycle stage, and human resource flow. </w:t>
      </w:r>
      <w:r w:rsidRPr="00D97E4D">
        <w:rPr>
          <w:rFonts w:ascii="Arial" w:hAnsi="Arial" w:cs="Arial"/>
          <w:i/>
          <w:iCs/>
          <w:color w:val="000000" w:themeColor="text1"/>
          <w:sz w:val="24"/>
          <w:szCs w:val="24"/>
          <w:shd w:val="clear" w:color="auto" w:fill="FFFFFF"/>
          <w:lang w:val="en-US"/>
        </w:rPr>
        <w:t>Review of Integrative Business and Economics Research</w:t>
      </w:r>
      <w:r w:rsidRPr="00D97E4D">
        <w:rPr>
          <w:rFonts w:ascii="Arial" w:hAnsi="Arial" w:cs="Arial"/>
          <w:color w:val="000000" w:themeColor="text1"/>
          <w:sz w:val="24"/>
          <w:szCs w:val="24"/>
          <w:shd w:val="clear" w:color="auto" w:fill="FFFFFF"/>
          <w:lang w:val="en-US"/>
        </w:rPr>
        <w:t>, </w:t>
      </w:r>
      <w:r w:rsidRPr="00D97E4D">
        <w:rPr>
          <w:rFonts w:ascii="Arial" w:hAnsi="Arial" w:cs="Arial"/>
          <w:i/>
          <w:iCs/>
          <w:color w:val="000000" w:themeColor="text1"/>
          <w:sz w:val="24"/>
          <w:szCs w:val="24"/>
          <w:shd w:val="clear" w:color="auto" w:fill="FFFFFF"/>
          <w:lang w:val="en-US"/>
        </w:rPr>
        <w:t>9</w:t>
      </w:r>
      <w:r w:rsidRPr="00D97E4D">
        <w:rPr>
          <w:rFonts w:ascii="Arial" w:hAnsi="Arial" w:cs="Arial"/>
          <w:color w:val="000000" w:themeColor="text1"/>
          <w:sz w:val="24"/>
          <w:szCs w:val="24"/>
          <w:shd w:val="clear" w:color="auto" w:fill="FFFFFF"/>
          <w:lang w:val="en-US"/>
        </w:rPr>
        <w:t>(1), pp.140-156.</w:t>
      </w:r>
    </w:p>
    <w:p w14:paraId="1DE6A39B" w14:textId="77777777" w:rsidR="00D97E4D" w:rsidRPr="00D97E4D" w:rsidRDefault="00D97E4D" w:rsidP="00D97E4D">
      <w:pPr>
        <w:shd w:val="clear" w:color="auto" w:fill="FFFFFF"/>
        <w:spacing w:before="240" w:after="0" w:line="360" w:lineRule="auto"/>
        <w:ind w:left="720" w:hanging="720"/>
        <w:jc w:val="both"/>
        <w:rPr>
          <w:rFonts w:ascii="Arial" w:eastAsia="Times New Roman" w:hAnsi="Arial" w:cs="Arial"/>
          <w:color w:val="000000" w:themeColor="text1"/>
          <w:kern w:val="0"/>
          <w:sz w:val="24"/>
          <w:szCs w:val="24"/>
          <w:lang w:val="en"/>
          <w14:ligatures w14:val="none"/>
        </w:rPr>
      </w:pPr>
      <w:r w:rsidRPr="00D97E4D">
        <w:rPr>
          <w:rFonts w:ascii="Arial" w:eastAsia="Times New Roman" w:hAnsi="Arial" w:cs="Arial"/>
          <w:color w:val="000000" w:themeColor="text1"/>
          <w:kern w:val="0"/>
          <w:sz w:val="24"/>
          <w:szCs w:val="24"/>
          <w:lang w:val="en"/>
          <w14:ligatures w14:val="none"/>
        </w:rPr>
        <w:t>Torrington, D, Hall, L, Atkinson, C, and Taylor, S 2020. Human Resource Management PDF EBook, Pearson Education, Limited, Harlow. Available from: ProQuest Ebook Central.</w:t>
      </w:r>
    </w:p>
    <w:p w14:paraId="341F2E3A" w14:textId="77777777" w:rsidR="00D97E4D" w:rsidRPr="00D97E4D" w:rsidRDefault="00D97E4D" w:rsidP="00D97E4D">
      <w:pPr>
        <w:shd w:val="clear" w:color="auto" w:fill="FFFFFF"/>
        <w:spacing w:before="240" w:after="0" w:line="360" w:lineRule="auto"/>
        <w:ind w:left="720" w:hanging="720"/>
        <w:jc w:val="both"/>
        <w:rPr>
          <w:rFonts w:ascii="Arial" w:eastAsia="Times New Roman" w:hAnsi="Arial" w:cs="Arial"/>
          <w:color w:val="000000" w:themeColor="text1"/>
          <w:kern w:val="0"/>
          <w:sz w:val="24"/>
          <w:szCs w:val="24"/>
          <w:lang w:val="en"/>
          <w14:ligatures w14:val="none"/>
        </w:rPr>
      </w:pPr>
      <w:r w:rsidRPr="00D97E4D">
        <w:rPr>
          <w:rFonts w:ascii="Arial" w:hAnsi="Arial" w:cs="Arial"/>
          <w:color w:val="000000" w:themeColor="text1"/>
          <w:sz w:val="24"/>
          <w:szCs w:val="24"/>
          <w:shd w:val="clear" w:color="auto" w:fill="FFFFFF"/>
          <w:lang w:val="en-US"/>
        </w:rPr>
        <w:t>Trivedi, A.J. and Mehta, A., 2019. Maslow's Hierarchy of Needs-Theory of Human Motivation. </w:t>
      </w:r>
      <w:r w:rsidRPr="00D97E4D">
        <w:rPr>
          <w:rFonts w:ascii="Arial" w:hAnsi="Arial" w:cs="Arial"/>
          <w:i/>
          <w:iCs/>
          <w:color w:val="000000" w:themeColor="text1"/>
          <w:sz w:val="24"/>
          <w:szCs w:val="24"/>
          <w:shd w:val="clear" w:color="auto" w:fill="FFFFFF"/>
          <w:lang w:val="en-US"/>
        </w:rPr>
        <w:t>International Journal of Research in all Subjects in Multi Languages</w:t>
      </w:r>
      <w:r w:rsidRPr="00D97E4D">
        <w:rPr>
          <w:rFonts w:ascii="Arial" w:hAnsi="Arial" w:cs="Arial"/>
          <w:color w:val="000000" w:themeColor="text1"/>
          <w:sz w:val="24"/>
          <w:szCs w:val="24"/>
          <w:shd w:val="clear" w:color="auto" w:fill="FFFFFF"/>
          <w:lang w:val="en-US"/>
        </w:rPr>
        <w:t>, </w:t>
      </w:r>
      <w:r w:rsidRPr="00D97E4D">
        <w:rPr>
          <w:rFonts w:ascii="Arial" w:hAnsi="Arial" w:cs="Arial"/>
          <w:i/>
          <w:iCs/>
          <w:color w:val="000000" w:themeColor="text1"/>
          <w:sz w:val="24"/>
          <w:szCs w:val="24"/>
          <w:shd w:val="clear" w:color="auto" w:fill="FFFFFF"/>
          <w:lang w:val="en-US"/>
        </w:rPr>
        <w:t>7</w:t>
      </w:r>
      <w:r w:rsidRPr="00D97E4D">
        <w:rPr>
          <w:rFonts w:ascii="Arial" w:hAnsi="Arial" w:cs="Arial"/>
          <w:color w:val="000000" w:themeColor="text1"/>
          <w:sz w:val="24"/>
          <w:szCs w:val="24"/>
          <w:shd w:val="clear" w:color="auto" w:fill="FFFFFF"/>
          <w:lang w:val="en-US"/>
        </w:rPr>
        <w:t>(6), pp.38-41.</w:t>
      </w:r>
    </w:p>
    <w:p w14:paraId="17C7EC84" w14:textId="77777777" w:rsidR="00C408BC" w:rsidRDefault="00C408BC"/>
    <w:sectPr w:rsidR="00C408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D0FCD"/>
    <w:multiLevelType w:val="hybridMultilevel"/>
    <w:tmpl w:val="74EE3D8E"/>
    <w:lvl w:ilvl="0" w:tplc="66E6041A">
      <w:start w:val="1"/>
      <w:numFmt w:val="decimal"/>
      <w:lvlText w:val="%1."/>
      <w:lvlJc w:val="left"/>
      <w:pPr>
        <w:ind w:left="720" w:hanging="360"/>
      </w:pPr>
      <w:rPr>
        <w:rFonts w:hint="default"/>
      </w:rPr>
    </w:lvl>
    <w:lvl w:ilvl="1" w:tplc="9D02BE1A" w:tentative="1">
      <w:start w:val="1"/>
      <w:numFmt w:val="lowerLetter"/>
      <w:lvlText w:val="%2."/>
      <w:lvlJc w:val="left"/>
      <w:pPr>
        <w:ind w:left="1440" w:hanging="360"/>
      </w:pPr>
    </w:lvl>
    <w:lvl w:ilvl="2" w:tplc="A54267E6" w:tentative="1">
      <w:start w:val="1"/>
      <w:numFmt w:val="lowerRoman"/>
      <w:lvlText w:val="%3."/>
      <w:lvlJc w:val="right"/>
      <w:pPr>
        <w:ind w:left="2160" w:hanging="180"/>
      </w:pPr>
    </w:lvl>
    <w:lvl w:ilvl="3" w:tplc="3CB2CBAA" w:tentative="1">
      <w:start w:val="1"/>
      <w:numFmt w:val="decimal"/>
      <w:lvlText w:val="%4."/>
      <w:lvlJc w:val="left"/>
      <w:pPr>
        <w:ind w:left="2880" w:hanging="360"/>
      </w:pPr>
    </w:lvl>
    <w:lvl w:ilvl="4" w:tplc="CAA2291C" w:tentative="1">
      <w:start w:val="1"/>
      <w:numFmt w:val="lowerLetter"/>
      <w:lvlText w:val="%5."/>
      <w:lvlJc w:val="left"/>
      <w:pPr>
        <w:ind w:left="3600" w:hanging="360"/>
      </w:pPr>
    </w:lvl>
    <w:lvl w:ilvl="5" w:tplc="81423DB8" w:tentative="1">
      <w:start w:val="1"/>
      <w:numFmt w:val="lowerRoman"/>
      <w:lvlText w:val="%6."/>
      <w:lvlJc w:val="right"/>
      <w:pPr>
        <w:ind w:left="4320" w:hanging="180"/>
      </w:pPr>
    </w:lvl>
    <w:lvl w:ilvl="6" w:tplc="3EBAD9E0" w:tentative="1">
      <w:start w:val="1"/>
      <w:numFmt w:val="decimal"/>
      <w:lvlText w:val="%7."/>
      <w:lvlJc w:val="left"/>
      <w:pPr>
        <w:ind w:left="5040" w:hanging="360"/>
      </w:pPr>
    </w:lvl>
    <w:lvl w:ilvl="7" w:tplc="19A408AE" w:tentative="1">
      <w:start w:val="1"/>
      <w:numFmt w:val="lowerLetter"/>
      <w:lvlText w:val="%8."/>
      <w:lvlJc w:val="left"/>
      <w:pPr>
        <w:ind w:left="5760" w:hanging="360"/>
      </w:pPr>
    </w:lvl>
    <w:lvl w:ilvl="8" w:tplc="6AA4A1C8" w:tentative="1">
      <w:start w:val="1"/>
      <w:numFmt w:val="lowerRoman"/>
      <w:lvlText w:val="%9."/>
      <w:lvlJc w:val="right"/>
      <w:pPr>
        <w:ind w:left="6480" w:hanging="180"/>
      </w:pPr>
    </w:lvl>
  </w:abstractNum>
  <w:num w:numId="1" w16cid:durableId="1241788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821DE"/>
    <w:rsid w:val="000824E6"/>
    <w:rsid w:val="000B6B7B"/>
    <w:rsid w:val="00285FDC"/>
    <w:rsid w:val="00676C3E"/>
    <w:rsid w:val="008C64FA"/>
    <w:rsid w:val="009863F4"/>
    <w:rsid w:val="00986A67"/>
    <w:rsid w:val="00A17A0E"/>
    <w:rsid w:val="00C408BC"/>
    <w:rsid w:val="00C821DE"/>
    <w:rsid w:val="00C91028"/>
    <w:rsid w:val="00D203D0"/>
    <w:rsid w:val="00D97E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85B4E"/>
  <w15:chartTrackingRefBased/>
  <w15:docId w15:val="{931E9505-054B-4D67-ACE0-B360E09B8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fortune.com/2018/08/01/hyatt-hotels-ceo-mark-hoplamazia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427</TotalTime>
  <Pages>12</Pages>
  <Words>3002</Words>
  <Characters>17115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Necsoi</dc:creator>
  <cp:keywords/>
  <dc:description/>
  <cp:lastModifiedBy>Violeta Necsoi</cp:lastModifiedBy>
  <cp:revision>12</cp:revision>
  <dcterms:created xsi:type="dcterms:W3CDTF">2023-10-23T09:07:00Z</dcterms:created>
  <dcterms:modified xsi:type="dcterms:W3CDTF">2023-10-23T16:15:00Z</dcterms:modified>
</cp:coreProperties>
</file>