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40B4" w:rsidRDefault="00A92582"/>
    <w:p w:rsidR="008E1D87" w:rsidRDefault="008E1D87" w:rsidP="008E1D87">
      <w:pPr>
        <w:spacing w:line="360" w:lineRule="auto"/>
        <w:jc w:val="both"/>
        <w:rPr>
          <w:rFonts w:ascii="Arial" w:hAnsi="Arial" w:cs="Arial"/>
          <w:sz w:val="24"/>
          <w:szCs w:val="24"/>
        </w:rPr>
      </w:pPr>
      <w:r>
        <w:rPr>
          <w:rFonts w:ascii="Arial" w:hAnsi="Arial" w:cs="Arial"/>
          <w:sz w:val="24"/>
          <w:szCs w:val="24"/>
        </w:rPr>
        <w:t>As humans, how are to understand the changing forms of political recognition? What is the nature of the harm or injustice politics and movements have on individuals? What insights and perceptions do prominent theories of recognition give us? And how relevant are such theories in the counselling context and furthermore where are we now with recognition, identity and gender?</w:t>
      </w:r>
    </w:p>
    <w:p w:rsidR="008E1D87" w:rsidRDefault="008E1D87" w:rsidP="008E1D87">
      <w:pPr>
        <w:spacing w:line="360" w:lineRule="auto"/>
        <w:jc w:val="both"/>
        <w:rPr>
          <w:rFonts w:ascii="Arial" w:hAnsi="Arial" w:cs="Arial"/>
          <w:sz w:val="24"/>
          <w:szCs w:val="24"/>
        </w:rPr>
      </w:pPr>
      <w:r>
        <w:rPr>
          <w:rFonts w:ascii="Arial" w:hAnsi="Arial" w:cs="Arial"/>
          <w:sz w:val="24"/>
          <w:szCs w:val="24"/>
        </w:rPr>
        <w:t xml:space="preserve">Therefore, this essay is sought to identify the importance of Charles Taylor’s Theory of Recognition. The objective of this essay was to consider whether Taylor’s theory applies with people who define themselves as gender and sexually diverse (GSD). Firstly, this essay will provide clear information and critical analysis of Taylor’s theory, central to self-worth and recognition of identities of people who are GSD. Secondly, discussion on why the principles and theory of the subject may be relevant in the counselling context. Research on recognition, gender and sexual orientation has evolved and authors (Davies and Neal, 2000; Davies, 2012; Zurn, 2003) are recognising the influence Charles Taylor’s Theory of recognition and the importance of gender. Literatures (Zurn, 2003; Carroll, 2010; Barker and Langdridge, 2010) suggest that our identity is shaped by recognition – a person’s understanding of who they are and their characteristics. However, such absence of recognition and the presence of misrecognition of others can form oppression and harm oneself. Therefore, discussion on whether political recognition of ethnicity or gender is essential to a person’s dignity. Lastly, conclusions from dated literatures have been compared to recent, analysing what has changed and whether they reflect Charles Taylor’s ideas. </w:t>
      </w:r>
    </w:p>
    <w:p w:rsidR="008E1D87" w:rsidRDefault="008E1D87" w:rsidP="008E1D87">
      <w:pPr>
        <w:spacing w:line="360" w:lineRule="auto"/>
        <w:jc w:val="both"/>
        <w:rPr>
          <w:rFonts w:ascii="Arial" w:hAnsi="Arial" w:cs="Arial"/>
          <w:sz w:val="24"/>
        </w:rPr>
      </w:pPr>
      <w:r>
        <w:rPr>
          <w:rFonts w:ascii="Arial" w:hAnsi="Arial" w:cs="Arial"/>
          <w:sz w:val="24"/>
        </w:rPr>
        <w:t xml:space="preserve">Interest in recognition was said to be fuelled by Canadian Philosopher, Charles Taylor. Taylor’s literatures ‘Multiculturalism and the Politics of Recognition’ has been described as lucid and concise (Zurn, 2003) particularly </w:t>
      </w:r>
      <w:proofErr w:type="gramStart"/>
      <w:r>
        <w:rPr>
          <w:rFonts w:ascii="Arial" w:hAnsi="Arial" w:cs="Arial"/>
          <w:sz w:val="24"/>
        </w:rPr>
        <w:t>in the area of</w:t>
      </w:r>
      <w:proofErr w:type="gramEnd"/>
      <w:r>
        <w:rPr>
          <w:rFonts w:ascii="Arial" w:hAnsi="Arial" w:cs="Arial"/>
          <w:sz w:val="24"/>
        </w:rPr>
        <w:t xml:space="preserve"> ‘equality’. His literature is often used as the classic expression of theory of recognition, however Zurn (2003) and McQueen (2018) noted that it would be more accurate to say that Taylor awoke interest in the idea of recognition. Whilst his literatures provide a series of reflections and conjectures, Martineau et.al (2012) believed that they do not constitute the whole theory of recognition. However, the exploratory nature has enabled it to be </w:t>
      </w:r>
      <w:r>
        <w:rPr>
          <w:rFonts w:ascii="Arial" w:hAnsi="Arial" w:cs="Arial"/>
          <w:sz w:val="24"/>
        </w:rPr>
        <w:lastRenderedPageBreak/>
        <w:t xml:space="preserve">the common reference for discussions in relation to recognition today (Martineau, 2012; Zurn, 2003; Taylor, 1994). </w:t>
      </w:r>
    </w:p>
    <w:p w:rsidR="008E1D87" w:rsidRDefault="008E1D87" w:rsidP="008E1D87">
      <w:pPr>
        <w:spacing w:line="360" w:lineRule="auto"/>
        <w:jc w:val="both"/>
        <w:rPr>
          <w:rFonts w:ascii="Arial" w:hAnsi="Arial" w:cs="Arial"/>
          <w:sz w:val="24"/>
        </w:rPr>
      </w:pPr>
      <w:bookmarkStart w:id="0" w:name="_GoBack"/>
      <w:bookmarkEnd w:id="0"/>
      <w:r>
        <w:rPr>
          <w:rFonts w:ascii="Arial" w:hAnsi="Arial" w:cs="Arial"/>
          <w:sz w:val="24"/>
        </w:rPr>
        <w:t xml:space="preserve">The term ‘Recognition’ in relation to Taylor’s theory lies in its relationship to </w:t>
      </w:r>
      <w:r>
        <w:rPr>
          <w:rFonts w:ascii="Arial" w:hAnsi="Arial" w:cs="Arial"/>
          <w:sz w:val="24"/>
        </w:rPr>
        <w:t>identity and used for a person to understand</w:t>
      </w:r>
      <w:r>
        <w:rPr>
          <w:rFonts w:ascii="Arial" w:hAnsi="Arial" w:cs="Arial"/>
          <w:sz w:val="24"/>
        </w:rPr>
        <w:t xml:space="preserve"> of who they are, </w:t>
      </w:r>
      <w:r>
        <w:rPr>
          <w:rFonts w:ascii="Arial" w:hAnsi="Arial" w:cs="Arial"/>
          <w:sz w:val="24"/>
        </w:rPr>
        <w:t xml:space="preserve">and </w:t>
      </w:r>
      <w:r>
        <w:rPr>
          <w:rFonts w:ascii="Arial" w:hAnsi="Arial" w:cs="Arial"/>
          <w:sz w:val="24"/>
        </w:rPr>
        <w:t xml:space="preserve">of their fundamental characteristics as a human being and sets our place in the world and evidences our existence. In review of one literature, Woodward (2004) identified that recognition is a communicative concept which underpins identity, along a continuum of recognition, misrecognition and non-recognition. Taylor (1989;1994) adds that our identity is not constructed from within ourselves but rather facilitated through dialogue with others that negotiate our identity. Therefore, does our identity only form from dialogue with others? But who are these others? These others are positioned in a social and cultural context and Taylor refers them as ‘significant others’ (Taylor, 1994). Here, we can see that Taylor emphasises the importance of these ‘others’ that play in the formation of the self. This is not to say we cannot define ourselves on our own terms. But our relationships with others will continue to form the backdrop to these attempts at self-definition. </w:t>
      </w:r>
    </w:p>
    <w:p w:rsidR="008E1D87" w:rsidRDefault="008E1D87" w:rsidP="008E1D87">
      <w:pPr>
        <w:spacing w:line="360" w:lineRule="auto"/>
        <w:jc w:val="both"/>
        <w:rPr>
          <w:rFonts w:ascii="Arial" w:hAnsi="Arial" w:cs="Arial"/>
          <w:sz w:val="24"/>
        </w:rPr>
      </w:pPr>
      <w:r>
        <w:rPr>
          <w:rFonts w:ascii="Arial" w:hAnsi="Arial" w:cs="Arial"/>
          <w:sz w:val="24"/>
        </w:rPr>
        <w:t xml:space="preserve">Given the intimate and profound connection between identity and recognition, reinforced by the values of authenticity and self-realization it follows. Thompson (2006) acknowledges that individuals can also be damaged by misrecognition and non-recognition. Both non-recognition and misrecognition can inflict harm, hence why Taylor puts it as, non-recognition and misrecognition can be known </w:t>
      </w:r>
      <w:r>
        <w:rPr>
          <w:rFonts w:ascii="Arial" w:hAnsi="Arial" w:cs="Arial"/>
          <w:sz w:val="24"/>
        </w:rPr>
        <w:t>‘</w:t>
      </w:r>
      <w:r>
        <w:rPr>
          <w:rFonts w:ascii="Arial" w:hAnsi="Arial" w:cs="Arial"/>
          <w:sz w:val="24"/>
        </w:rPr>
        <w:t>as a form of oppression, treating someone in a false, distorte</w:t>
      </w:r>
      <w:r>
        <w:rPr>
          <w:rFonts w:ascii="Arial" w:hAnsi="Arial" w:cs="Arial"/>
          <w:sz w:val="24"/>
        </w:rPr>
        <w:t xml:space="preserve">d, reduced mode of being’ </w:t>
      </w:r>
      <w:r>
        <w:rPr>
          <w:rFonts w:ascii="Arial" w:hAnsi="Arial" w:cs="Arial"/>
          <w:sz w:val="24"/>
        </w:rPr>
        <w:t>(Thompson, 2006</w:t>
      </w:r>
      <w:r>
        <w:rPr>
          <w:rFonts w:ascii="Arial" w:hAnsi="Arial" w:cs="Arial"/>
          <w:sz w:val="24"/>
        </w:rPr>
        <w:t>, pp.</w:t>
      </w:r>
      <w:r w:rsidR="008C73B0">
        <w:rPr>
          <w:rFonts w:ascii="Arial" w:hAnsi="Arial" w:cs="Arial"/>
          <w:sz w:val="24"/>
        </w:rPr>
        <w:t>23;</w:t>
      </w:r>
      <w:r>
        <w:rPr>
          <w:rFonts w:ascii="Arial" w:hAnsi="Arial" w:cs="Arial"/>
          <w:sz w:val="24"/>
        </w:rPr>
        <w:t xml:space="preserve"> Davies and Neal, 2000). Taylor further adds ‘misrecognition can inflict a grievous wound, saddling its victim with a crippling self-hatred’ (Thompson, 2006 pp. 22). As an example, proponents of feminism and multiculturalism regard misrecognition and non-recognition as forms of oppression. Arguing that women in patriarchal society find depreciatory images reflected to them (Thompson, 2006). From this, they internalize such images and suffer low self-esteem. Thus, can led to an obstacle of actions, and the idea that we are formed by recognition, misrecognition has graduated to the rank of a harm. Similarly, Honneth (Zurn, 2003) states ‘we owe our integrity … to the receipt of approval or recognition from other persons (Zurn, 2003</w:t>
      </w:r>
      <w:r>
        <w:rPr>
          <w:rFonts w:ascii="Arial" w:hAnsi="Arial" w:cs="Arial"/>
          <w:sz w:val="24"/>
        </w:rPr>
        <w:t xml:space="preserve"> pp. 30</w:t>
      </w:r>
      <w:r>
        <w:rPr>
          <w:rFonts w:ascii="Arial" w:hAnsi="Arial" w:cs="Arial"/>
          <w:sz w:val="24"/>
        </w:rPr>
        <w:t xml:space="preserve">). Thus, both Taylor and Honneth construe misrecognition in terms of impaired </w:t>
      </w:r>
      <w:r>
        <w:rPr>
          <w:rFonts w:ascii="Arial" w:hAnsi="Arial" w:cs="Arial"/>
          <w:sz w:val="24"/>
        </w:rPr>
        <w:lastRenderedPageBreak/>
        <w:t xml:space="preserve">subjectivity and damaged self-identity, Therefore, one may say that Taylor and Honneth view misrecognition as an issue of ethics (Zurn, 2003; Davies, 2012). </w:t>
      </w:r>
    </w:p>
    <w:p w:rsidR="008E1D87" w:rsidRDefault="008E1D87" w:rsidP="008E1D87">
      <w:pPr>
        <w:spacing w:line="360" w:lineRule="auto"/>
        <w:jc w:val="both"/>
        <w:rPr>
          <w:rFonts w:ascii="Arial" w:hAnsi="Arial" w:cs="Arial"/>
          <w:sz w:val="24"/>
        </w:rPr>
      </w:pPr>
      <w:r>
        <w:rPr>
          <w:rFonts w:ascii="Arial" w:hAnsi="Arial" w:cs="Arial"/>
          <w:sz w:val="24"/>
        </w:rPr>
        <w:t>Despite the possible damages of misrecognition, theorists Taylor and Honneth implies that being recognised by another will enable an individual to attain full, undistorted subjectivity. Taylor states that this is a necessary condition</w:t>
      </w:r>
      <w:r w:rsidR="004700BC">
        <w:rPr>
          <w:rFonts w:ascii="Arial" w:hAnsi="Arial" w:cs="Arial"/>
          <w:sz w:val="24"/>
        </w:rPr>
        <w:t>. It is worth pointing out that Taylor’s accounts are used for a classic expression of theory of recognition and despite the benefits, further critiques will be made.</w:t>
      </w:r>
    </w:p>
    <w:p w:rsidR="008E1D87" w:rsidRDefault="008E1D87" w:rsidP="008E1D87">
      <w:pPr>
        <w:spacing w:line="360" w:lineRule="auto"/>
        <w:jc w:val="both"/>
        <w:rPr>
          <w:rFonts w:ascii="Arial" w:hAnsi="Arial" w:cs="Arial"/>
          <w:sz w:val="24"/>
        </w:rPr>
      </w:pPr>
      <w:r>
        <w:rPr>
          <w:rFonts w:ascii="Arial" w:hAnsi="Arial" w:cs="Arial"/>
          <w:sz w:val="24"/>
        </w:rPr>
        <w:t xml:space="preserve">The question to argue here would be, is recognition a matter of justice? Or is it a matter of self-realisation? Does justice require the recognition of what is distinctive about individuals or groups? Or is recognition of our common humanity sufficient? More importantly, does the theory of Recognition apply to people who define themselves as gender and sexually diverse?  </w:t>
      </w:r>
    </w:p>
    <w:p w:rsidR="008E1D87" w:rsidRDefault="004700BC" w:rsidP="004700BC">
      <w:pPr>
        <w:spacing w:line="360" w:lineRule="auto"/>
        <w:jc w:val="both"/>
        <w:rPr>
          <w:rFonts w:ascii="Arial" w:hAnsi="Arial" w:cs="Arial"/>
          <w:sz w:val="24"/>
          <w:szCs w:val="24"/>
        </w:rPr>
      </w:pPr>
      <w:r>
        <w:rPr>
          <w:rFonts w:ascii="Arial" w:hAnsi="Arial" w:cs="Arial"/>
          <w:sz w:val="24"/>
          <w:szCs w:val="24"/>
        </w:rPr>
        <w:t>The question to argue here would be, is recognition a matter of justice? Is self-realisation a matter of recognition? Or do we think recognition is part of our common humanity sufficient? More importantly, does Taylor’s theory of recognition apply to individuals who define themselves as gender and sexually diverse?</w:t>
      </w:r>
    </w:p>
    <w:p w:rsidR="004700BC" w:rsidRDefault="004700BC" w:rsidP="004700BC">
      <w:pPr>
        <w:spacing w:line="360" w:lineRule="auto"/>
        <w:jc w:val="both"/>
        <w:rPr>
          <w:rFonts w:ascii="Arial" w:hAnsi="Arial" w:cs="Arial"/>
          <w:sz w:val="24"/>
          <w:szCs w:val="24"/>
        </w:rPr>
      </w:pPr>
      <w:r>
        <w:rPr>
          <w:rFonts w:ascii="Arial" w:hAnsi="Arial" w:cs="Arial"/>
          <w:sz w:val="24"/>
          <w:szCs w:val="24"/>
        </w:rPr>
        <w:t xml:space="preserve">Those who carry internalised self-oppressive thoughts may possibly question their own identity and sense of belonging to the community (Davies, 2012). These self-oppressive thoughts or the determination of gender identity is more than just whether an individual is born male or female. But authors (Davies and Neal, 2000) believe that genetics, hormones, biological and environmental factors all influence and possibly distinguish an individual’s gender identity. As one grows and develops, identity may be challenged. Although a person may have a physical gender, their beliefs, religion, race and other personal traits may change and be challenged as a result (Davies, 2012; Davies and Neal, 2000). </w:t>
      </w:r>
    </w:p>
    <w:p w:rsidR="004700BC" w:rsidRDefault="004700BC" w:rsidP="004700BC">
      <w:pPr>
        <w:spacing w:line="360" w:lineRule="auto"/>
        <w:jc w:val="both"/>
        <w:rPr>
          <w:rFonts w:ascii="Arial" w:hAnsi="Arial" w:cs="Arial"/>
          <w:sz w:val="24"/>
          <w:szCs w:val="24"/>
        </w:rPr>
      </w:pPr>
      <w:r>
        <w:rPr>
          <w:rFonts w:ascii="Arial" w:hAnsi="Arial" w:cs="Arial"/>
          <w:sz w:val="24"/>
          <w:szCs w:val="24"/>
        </w:rPr>
        <w:t xml:space="preserve">The United Nations Human Rights (1996-2019) state </w:t>
      </w:r>
      <w:r w:rsidR="00BC536B">
        <w:rPr>
          <w:rFonts w:ascii="Arial" w:hAnsi="Arial" w:cs="Arial"/>
          <w:sz w:val="24"/>
          <w:szCs w:val="24"/>
        </w:rPr>
        <w:t xml:space="preserve">that gender equality is a key element of our human rights and United Nations values. </w:t>
      </w:r>
      <w:r w:rsidR="00BC536B">
        <w:rPr>
          <w:rFonts w:ascii="Arial" w:hAnsi="Arial" w:cs="Arial"/>
          <w:sz w:val="24"/>
          <w:szCs w:val="24"/>
        </w:rPr>
        <w:t>Whilst there is evidence supporting that world leaders adopted equal rights of men and women as a fundamental principle (United Nations Human Rights, 1996-2019). Their equal rights are still being challenged, especially in relation to women and discrimination.</w:t>
      </w:r>
      <w:r w:rsidR="00BC536B">
        <w:rPr>
          <w:rFonts w:ascii="Arial" w:hAnsi="Arial" w:cs="Arial"/>
          <w:sz w:val="24"/>
          <w:szCs w:val="24"/>
        </w:rPr>
        <w:t xml:space="preserve"> </w:t>
      </w:r>
      <w:r w:rsidR="00BC536B">
        <w:rPr>
          <w:rFonts w:ascii="Arial" w:hAnsi="Arial" w:cs="Arial"/>
          <w:sz w:val="24"/>
          <w:szCs w:val="24"/>
        </w:rPr>
        <w:lastRenderedPageBreak/>
        <w:t xml:space="preserve">Effectively ensuring that women gain equal human rights, firstly requires a sound understanding of social structures and the social dynamics, economy and family and community life (United Nations Human Rights, 1996-2019). </w:t>
      </w:r>
    </w:p>
    <w:p w:rsidR="00BC536B" w:rsidRDefault="00BC536B" w:rsidP="00BC536B">
      <w:pPr>
        <w:spacing w:line="360" w:lineRule="auto"/>
        <w:jc w:val="both"/>
        <w:rPr>
          <w:rFonts w:ascii="Arial" w:hAnsi="Arial" w:cs="Arial"/>
          <w:sz w:val="24"/>
          <w:szCs w:val="24"/>
        </w:rPr>
      </w:pPr>
      <w:r>
        <w:rPr>
          <w:rFonts w:ascii="Arial" w:hAnsi="Arial" w:cs="Arial"/>
          <w:sz w:val="24"/>
          <w:szCs w:val="24"/>
        </w:rPr>
        <w:t>The importance of women equal rights was supported by Hillary Clinton in 1995. Clinton sought to link the notion of women’s right with that of human rights (MFA, 2019). Questions for the reasoning of the conference arose but such conferences compel governments and people to listen and face possible issues within society (MFA, 2019). The pathos and ethos of Clin</w:t>
      </w:r>
      <w:r>
        <w:rPr>
          <w:rFonts w:ascii="Arial" w:hAnsi="Arial" w:cs="Arial"/>
          <w:sz w:val="24"/>
          <w:szCs w:val="24"/>
        </w:rPr>
        <w:t>ton’s speech, created a strong and authentic</w:t>
      </w:r>
      <w:r>
        <w:rPr>
          <w:rFonts w:ascii="Arial" w:hAnsi="Arial" w:cs="Arial"/>
          <w:sz w:val="24"/>
          <w:szCs w:val="24"/>
        </w:rPr>
        <w:t xml:space="preserve"> rhetorical argument. Clinton utilized her past experiences and knowledge to transmit that women’s rights are human rights (MFA, 2019; Ross, 2010). She further adds ‘Let us not forget that among those rights are the right to speak freely and the right to be heard’ (Clinton, 1995, pp. 23). With her credibility, Clinton used her status to voice on behalf of women and promoting equal rights in the workplace and helped create The Violence against Women Office, in the Department of Justice (MFA, 2019). </w:t>
      </w:r>
      <w:r>
        <w:rPr>
          <w:rFonts w:ascii="Arial" w:hAnsi="Arial" w:cs="Arial"/>
          <w:sz w:val="24"/>
          <w:szCs w:val="24"/>
        </w:rPr>
        <w:t xml:space="preserve">Whilst her speech </w:t>
      </w:r>
      <w:r w:rsidR="00300CB8">
        <w:rPr>
          <w:rFonts w:ascii="Arial" w:hAnsi="Arial" w:cs="Arial"/>
          <w:sz w:val="24"/>
          <w:szCs w:val="24"/>
        </w:rPr>
        <w:t xml:space="preserve">authentic and powerful by addressing discrimination and the hardships of women. </w:t>
      </w:r>
      <w:r>
        <w:rPr>
          <w:rFonts w:ascii="Arial" w:hAnsi="Arial" w:cs="Arial"/>
          <w:sz w:val="24"/>
          <w:szCs w:val="24"/>
        </w:rPr>
        <w:t>Could it be argued that Clinton has not experienced oppressions that most women face worldwide, so is the validity of her speech real? Despite this question, Clinton is still a wom</w:t>
      </w:r>
      <w:r w:rsidR="00300CB8">
        <w:rPr>
          <w:rFonts w:ascii="Arial" w:hAnsi="Arial" w:cs="Arial"/>
          <w:sz w:val="24"/>
          <w:szCs w:val="24"/>
        </w:rPr>
        <w:t>an affected by inequality and experiences hardships of gender discrimination.</w:t>
      </w:r>
      <w:r>
        <w:rPr>
          <w:rFonts w:ascii="Arial" w:hAnsi="Arial" w:cs="Arial"/>
          <w:sz w:val="24"/>
          <w:szCs w:val="24"/>
        </w:rPr>
        <w:t xml:space="preserve"> Although, women have come a great distance in gaining equal rights, along with citizen rights. However, even with many accomplishments, women still fight for the right of equality (Clinton, 1995; Ross, 2010; MFA, 2019). </w:t>
      </w:r>
    </w:p>
    <w:p w:rsidR="00300CB8" w:rsidRDefault="00300CB8" w:rsidP="00BC536B">
      <w:pPr>
        <w:spacing w:line="360" w:lineRule="auto"/>
        <w:jc w:val="both"/>
        <w:rPr>
          <w:rFonts w:ascii="Arial" w:hAnsi="Arial" w:cs="Arial"/>
          <w:sz w:val="24"/>
          <w:szCs w:val="24"/>
        </w:rPr>
      </w:pPr>
      <w:r>
        <w:rPr>
          <w:rFonts w:ascii="Arial" w:hAnsi="Arial" w:cs="Arial"/>
          <w:sz w:val="24"/>
          <w:szCs w:val="24"/>
        </w:rPr>
        <w:t xml:space="preserve">Since Clinton’s conference, a new Act came into force, which was the Equality Act (GOV.UK, 2013). The Equality Act was culturally important and provides a sound and significant legislation that provides us with a new discrimination law. GOV.UK (2013) implies that this law protects individuals from unequal treatment and an equal society (Equality and Human Rights Commission, 2017). </w:t>
      </w:r>
    </w:p>
    <w:p w:rsidR="00300CB8" w:rsidRPr="00F94760" w:rsidRDefault="00300CB8" w:rsidP="00300CB8">
      <w:pPr>
        <w:spacing w:line="360" w:lineRule="auto"/>
        <w:jc w:val="both"/>
        <w:rPr>
          <w:rFonts w:ascii="Arial" w:hAnsi="Arial" w:cs="Arial"/>
          <w:sz w:val="24"/>
        </w:rPr>
      </w:pPr>
      <w:r w:rsidRPr="00F94760">
        <w:rPr>
          <w:rFonts w:ascii="Arial" w:hAnsi="Arial" w:cs="Arial"/>
          <w:sz w:val="24"/>
        </w:rPr>
        <w:t>To understand the development of contemporary counselling, and to distinguish the significance of the current patterns in which counselling practice is now, it is important to analyse how counselling has evolved. Contemporary counselling is a gene</w:t>
      </w:r>
      <w:r>
        <w:rPr>
          <w:rFonts w:ascii="Arial" w:hAnsi="Arial" w:cs="Arial"/>
          <w:sz w:val="24"/>
        </w:rPr>
        <w:t>rative approac</w:t>
      </w:r>
      <w:r>
        <w:rPr>
          <w:rFonts w:ascii="Arial" w:hAnsi="Arial" w:cs="Arial"/>
          <w:sz w:val="24"/>
        </w:rPr>
        <w:t xml:space="preserve">h to counselling. </w:t>
      </w:r>
      <w:r w:rsidRPr="00F94760">
        <w:rPr>
          <w:rFonts w:ascii="Arial" w:hAnsi="Arial" w:cs="Arial"/>
          <w:sz w:val="24"/>
        </w:rPr>
        <w:t xml:space="preserve">The significance of this process offers a neutral, confidential and space environment in which personal information can be discussed sensitively. A </w:t>
      </w:r>
      <w:r w:rsidRPr="00F94760">
        <w:rPr>
          <w:rFonts w:ascii="Arial" w:hAnsi="Arial" w:cs="Arial"/>
          <w:sz w:val="24"/>
        </w:rPr>
        <w:lastRenderedPageBreak/>
        <w:t>wider perspective and deeper understanding is sought during counselling (Robbins, 2013).</w:t>
      </w:r>
    </w:p>
    <w:p w:rsidR="005A5390" w:rsidRPr="00F94760" w:rsidRDefault="005A5390" w:rsidP="005A5390">
      <w:pPr>
        <w:spacing w:line="360" w:lineRule="auto"/>
        <w:jc w:val="both"/>
        <w:rPr>
          <w:rFonts w:ascii="Arial" w:hAnsi="Arial" w:cs="Arial"/>
          <w:sz w:val="24"/>
        </w:rPr>
      </w:pPr>
      <w:r w:rsidRPr="00F94760">
        <w:rPr>
          <w:rFonts w:ascii="Arial" w:hAnsi="Arial" w:cs="Arial"/>
          <w:sz w:val="24"/>
        </w:rPr>
        <w:t>There are several psychological theories to clarify gender differences and sexual difference and gender and sexual orientation. A founder of psychoanalytic theory, Sigmund Freud emphasized the role of early experienc</w:t>
      </w:r>
      <w:r w:rsidR="000C4FF3">
        <w:rPr>
          <w:rFonts w:ascii="Arial" w:hAnsi="Arial" w:cs="Arial"/>
          <w:sz w:val="24"/>
        </w:rPr>
        <w:t>es in shaping human development (Hyde, 2007).</w:t>
      </w:r>
      <w:r w:rsidRPr="00F94760">
        <w:rPr>
          <w:rFonts w:ascii="Arial" w:hAnsi="Arial" w:cs="Arial"/>
          <w:sz w:val="24"/>
        </w:rPr>
        <w:t xml:space="preserve"> Although rejected by modern psychologists, his theories about personality and psychosexual development made an impact on the thoughts about gender and </w:t>
      </w:r>
      <w:r w:rsidR="000C4FF3">
        <w:rPr>
          <w:rFonts w:ascii="Arial" w:hAnsi="Arial" w:cs="Arial"/>
          <w:sz w:val="24"/>
        </w:rPr>
        <w:t xml:space="preserve">sexual orientation development (Hyde, 2007; Scholl et al. 2012). </w:t>
      </w:r>
      <w:r w:rsidRPr="00F94760">
        <w:rPr>
          <w:rFonts w:ascii="Arial" w:hAnsi="Arial" w:cs="Arial"/>
          <w:sz w:val="24"/>
        </w:rPr>
        <w:t xml:space="preserve">Freud development an idea that there are five stages of psychosexual development, each based on the pleasure derived from different erogenous zones on our body. Despite the positive impact on the thoughts about gender and sexual orientation development, there are several major criticisms of Freuds theory. Hyde (2007) states within his literature that Freud considered males as ‘normal’ and females as nothing. Hyde further critiques his work by noting that Freud proposed that woman </w:t>
      </w:r>
      <w:proofErr w:type="gramStart"/>
      <w:r w:rsidRPr="00F94760">
        <w:rPr>
          <w:rFonts w:ascii="Arial" w:hAnsi="Arial" w:cs="Arial"/>
          <w:sz w:val="24"/>
        </w:rPr>
        <w:t>are</w:t>
      </w:r>
      <w:proofErr w:type="gramEnd"/>
      <w:r w:rsidRPr="00F94760">
        <w:rPr>
          <w:rFonts w:ascii="Arial" w:hAnsi="Arial" w:cs="Arial"/>
          <w:sz w:val="24"/>
        </w:rPr>
        <w:t xml:space="preserve"> inferior to m</w:t>
      </w:r>
      <w:r w:rsidR="004413FA">
        <w:rPr>
          <w:rFonts w:ascii="Arial" w:hAnsi="Arial" w:cs="Arial"/>
          <w:sz w:val="24"/>
        </w:rPr>
        <w:t xml:space="preserve">en and are never fully matured (Scholl, et al. 2012). </w:t>
      </w:r>
      <w:r w:rsidRPr="00F94760">
        <w:rPr>
          <w:rFonts w:ascii="Arial" w:hAnsi="Arial" w:cs="Arial"/>
          <w:sz w:val="24"/>
        </w:rPr>
        <w:t xml:space="preserve">Therefore, whilst a theory attempts to explain gender differences, is it therefore unsound for proposing that one is inferior to another? Is this providing equal human rights and diversity? Furthermore, authors (Hyde, 2007; Meyer, 2003; Oliver and Hyde, 1993) noted that Freud believed homosexuality was abnormal and unhealthy. Critically, Freud theory could be viewed has heterosexist. In sum, whilst psychoanalytic theorists examined gender and sexual orientation, however there have been strong criticisms in relation to them being heterosexist.  Despite this, these theories have influenced the development of psychological theories on gender and sexual orientation. </w:t>
      </w:r>
    </w:p>
    <w:p w:rsidR="005A5390" w:rsidRPr="00F94760" w:rsidRDefault="005A5390" w:rsidP="005A5390">
      <w:pPr>
        <w:spacing w:line="360" w:lineRule="auto"/>
        <w:jc w:val="both"/>
        <w:rPr>
          <w:rFonts w:ascii="Arial" w:hAnsi="Arial" w:cs="Arial"/>
          <w:sz w:val="24"/>
        </w:rPr>
      </w:pPr>
      <w:r w:rsidRPr="00F94760">
        <w:rPr>
          <w:rFonts w:ascii="Arial" w:hAnsi="Arial" w:cs="Arial"/>
          <w:sz w:val="24"/>
        </w:rPr>
        <w:t xml:space="preserve">Homosexuality was classified as a mental disorder by the American Psychiatric Association, between 1952 and 1973. Until recently most psychologists supported the view that homosexuality was a mental illness. Gay men and women were subjected to a variety of treatments aimed at curing their ‘condition’. As an example, conversion therapy was a treatment that offered cures for homosexuality as if it were an illness. As stated, it was an attempt to change sexual orientation or reduce attraction to others of the same sex. Although, research on LGBT people was being carried out, the evidence of these people being ‘cured’ was slow in being updated. Were these inhumane treatments worth it? Did the evidence prove it ‘cured’ LGBT people? UKCP </w:t>
      </w:r>
      <w:r w:rsidRPr="00F94760">
        <w:rPr>
          <w:rFonts w:ascii="Arial" w:hAnsi="Arial" w:cs="Arial"/>
          <w:sz w:val="24"/>
        </w:rPr>
        <w:lastRenderedPageBreak/>
        <w:t xml:space="preserve">(2014) stated that there was no good evidence that therapy such as conversion therapy worked but believed it potential caused harm. </w:t>
      </w:r>
    </w:p>
    <w:p w:rsidR="005A5390" w:rsidRDefault="005A5390" w:rsidP="005A5390">
      <w:pPr>
        <w:spacing w:line="360" w:lineRule="auto"/>
        <w:jc w:val="both"/>
        <w:rPr>
          <w:rFonts w:ascii="Arial" w:hAnsi="Arial" w:cs="Arial"/>
          <w:sz w:val="24"/>
          <w:szCs w:val="24"/>
        </w:rPr>
      </w:pPr>
      <w:r w:rsidRPr="00F94760">
        <w:rPr>
          <w:rFonts w:ascii="Arial" w:hAnsi="Arial" w:cs="Arial"/>
          <w:sz w:val="24"/>
        </w:rPr>
        <w:t>In 1940 psychologist Evelyn Hooker challenged the idea that LGBT people were ‘sick. Hooker demonstrated that gay people were psycholog</w:t>
      </w:r>
      <w:r>
        <w:rPr>
          <w:rFonts w:ascii="Arial" w:hAnsi="Arial" w:cs="Arial"/>
          <w:sz w:val="24"/>
        </w:rPr>
        <w:t xml:space="preserve">ically sound as heterosexuals (Cameron, 2012). </w:t>
      </w:r>
      <w:r>
        <w:rPr>
          <w:rFonts w:ascii="Arial" w:hAnsi="Arial" w:cs="Arial"/>
          <w:sz w:val="24"/>
          <w:szCs w:val="24"/>
        </w:rPr>
        <w:t xml:space="preserve">The contributions of Hookers work changed the attitudes of the American Psychiatric Association and psychological community. Because of this, homosexuality was withdrawn from the handbook of disorders in 1973. This in turn changed the outlook of homosexuality and the attitude of society at large (Cameron, 2012). </w:t>
      </w:r>
    </w:p>
    <w:p w:rsidR="005A5390" w:rsidRPr="00F94760" w:rsidRDefault="005A5390" w:rsidP="005A5390">
      <w:pPr>
        <w:spacing w:line="360" w:lineRule="auto"/>
        <w:jc w:val="both"/>
        <w:rPr>
          <w:rFonts w:ascii="Arial" w:hAnsi="Arial" w:cs="Arial"/>
          <w:sz w:val="24"/>
        </w:rPr>
      </w:pPr>
      <w:r w:rsidRPr="00F94760">
        <w:rPr>
          <w:rFonts w:ascii="Arial" w:hAnsi="Arial" w:cs="Arial"/>
          <w:sz w:val="24"/>
        </w:rPr>
        <w:t>In 1973, the status of homosexuality was changed in Diagnostic and Statistical Manual of Mental Disorders (DSM) and replaced with sexual orientation disturbance. This has changed the view of homosexuality and regarded it as an illness, only if an individual experienced great stress from being gay and presumably wanted to change. This however leads to a question being, did this mean that individuals who were heterosexual did not fall under this category? Or being diagnosed as having a disturbance with their sexual orientation? But regardless, in 1973, was the year wh</w:t>
      </w:r>
      <w:r>
        <w:rPr>
          <w:rFonts w:ascii="Arial" w:hAnsi="Arial" w:cs="Arial"/>
          <w:sz w:val="24"/>
        </w:rPr>
        <w:t xml:space="preserve">en ‘homosexuality’ was removed (Harper, et.al. 2013). </w:t>
      </w:r>
    </w:p>
    <w:p w:rsidR="008C73B0" w:rsidRDefault="008C73B0" w:rsidP="008C73B0">
      <w:pPr>
        <w:spacing w:line="360" w:lineRule="auto"/>
        <w:jc w:val="both"/>
        <w:rPr>
          <w:rFonts w:ascii="Arial" w:hAnsi="Arial" w:cs="Arial"/>
          <w:sz w:val="24"/>
        </w:rPr>
      </w:pPr>
      <w:r>
        <w:rPr>
          <w:rFonts w:ascii="Arial" w:hAnsi="Arial" w:cs="Arial"/>
          <w:sz w:val="24"/>
        </w:rPr>
        <w:t xml:space="preserve">Affirmative therapy is an approach that embraces a positive view of Lesbian, Gay, Bisexual, Transgender and Queer (LGBTQ) identities (Bigner and Wetchler, 2012; Periman, 2003). The key element of the approach is a therapeutic attitude in which homosexuality is viewed as a viable, constructive way of life compatible with psychological well-being (Bigner and Wetchler, 2012; Bieschke, et.al). Such attitude can be allied with counselling and therapeutic approaches used today such as Person-Centred approach (Periman, 2003). Periman (2003) notes that gay affirmative therapy is a new literature to Britain. Whilst now Periman (2003) continues that many counsellors have encountered lesbian, gay, bisexual and transgender clients within their practice. However, gay affirmative practice is somewhat unheard of as a topic within training. Although, it is a minor segment of discussion therapists or counsellors trained may be required (Periman, 2003; Chernin and Johnson, 2002). </w:t>
      </w:r>
    </w:p>
    <w:p w:rsidR="008C73B0" w:rsidRDefault="008C73B0" w:rsidP="008C73B0">
      <w:pPr>
        <w:spacing w:line="360" w:lineRule="auto"/>
        <w:jc w:val="both"/>
        <w:rPr>
          <w:rFonts w:ascii="Arial" w:hAnsi="Arial" w:cs="Arial"/>
          <w:sz w:val="24"/>
        </w:rPr>
      </w:pPr>
      <w:r>
        <w:rPr>
          <w:rFonts w:ascii="Arial" w:hAnsi="Arial" w:cs="Arial"/>
          <w:sz w:val="24"/>
        </w:rPr>
        <w:t xml:space="preserve">In literatures (Chernin and Johnson, 2002; Periman, 2003; Lev, 2004) state that gays and lesbian are of course born into a straight world and are initially socialised to be </w:t>
      </w:r>
      <w:r>
        <w:rPr>
          <w:rFonts w:ascii="Arial" w:hAnsi="Arial" w:cs="Arial"/>
          <w:sz w:val="24"/>
        </w:rPr>
        <w:lastRenderedPageBreak/>
        <w:t xml:space="preserve">straight. Continuing they note that gays and lesbians must invent themselves. Similarly, Taylor’s Theory of Recognition lies in its relationship to identity and used for a person’s understanding of who they are. Therefore, are these authors suggesting that our identity is constructed from self-criticism, self-invention and dialogue with others? </w:t>
      </w:r>
    </w:p>
    <w:p w:rsidR="008C73B0" w:rsidRDefault="008C73B0" w:rsidP="008C73B0">
      <w:pPr>
        <w:spacing w:line="360" w:lineRule="auto"/>
        <w:jc w:val="both"/>
        <w:rPr>
          <w:rFonts w:ascii="Arial" w:hAnsi="Arial" w:cs="Arial"/>
          <w:sz w:val="24"/>
        </w:rPr>
      </w:pPr>
      <w:r>
        <w:rPr>
          <w:rFonts w:ascii="Arial" w:hAnsi="Arial" w:cs="Arial"/>
          <w:sz w:val="24"/>
        </w:rPr>
        <w:t>Placing equal emphasis on the development of heterosexuality and homosexuality helps avoid the implication of understanding on the purpose of ‘cure’. As UKCP (2014) point out, although homosexuality is no longer considered as a mental illness, the legacy of this will still have an impact. In this context, some individuals still seek conversion therapy which offer ‘cures’ or ‘treatments’. In relation to this today, as counsellors it is our professional and ethical responsibility to provide a safe and non-judgemental environmen</w:t>
      </w:r>
      <w:r w:rsidR="004413FA">
        <w:rPr>
          <w:rFonts w:ascii="Arial" w:hAnsi="Arial" w:cs="Arial"/>
          <w:sz w:val="24"/>
        </w:rPr>
        <w:t xml:space="preserve">t for our clients without harm (Cameron, 2012). </w:t>
      </w:r>
      <w:r>
        <w:rPr>
          <w:rFonts w:ascii="Arial" w:hAnsi="Arial" w:cs="Arial"/>
          <w:sz w:val="24"/>
        </w:rPr>
        <w:t xml:space="preserve">To elaborate, being gay affirmative means developing an awareness about the current cultural climate and implies choosing how to intervene. We could question ourselves, how would we feel if we defined ourselves as gender and sexual diverse? Explore and inform ourselves of the people of LGBTQ live. As Evelyn Hooker expresses gay people are psychologically sound as heterosexuals (Cameron, 2012). </w:t>
      </w:r>
    </w:p>
    <w:p w:rsidR="008C73B0" w:rsidRDefault="008C73B0" w:rsidP="008C73B0">
      <w:pPr>
        <w:spacing w:line="360" w:lineRule="auto"/>
        <w:jc w:val="both"/>
        <w:rPr>
          <w:rFonts w:ascii="Arial" w:hAnsi="Arial" w:cs="Arial"/>
          <w:sz w:val="24"/>
        </w:rPr>
      </w:pPr>
      <w:r w:rsidRPr="008A67D2">
        <w:rPr>
          <w:rFonts w:ascii="Arial" w:hAnsi="Arial" w:cs="Arial"/>
          <w:sz w:val="24"/>
        </w:rPr>
        <w:t xml:space="preserve">The American Liberties Union </w:t>
      </w:r>
      <w:r>
        <w:rPr>
          <w:rFonts w:ascii="Arial" w:hAnsi="Arial" w:cs="Arial"/>
          <w:sz w:val="24"/>
        </w:rPr>
        <w:t xml:space="preserve">(ACLU) work effectively to ensure individuals who define themselves as lesbian, gay, bisexual and transgender live openly without discrimination and enjoy equal rights, personal autonomy and freedom like individuals who are heterosexual (ACLU, 2019). The ACLU firstly, brought LGBT rights case in 1936, followed by LGBT project that was founded in 1986. </w:t>
      </w:r>
    </w:p>
    <w:p w:rsidR="008C73B0" w:rsidRPr="00C75ACD" w:rsidRDefault="008C73B0" w:rsidP="008C73B0">
      <w:pPr>
        <w:spacing w:line="360" w:lineRule="auto"/>
        <w:jc w:val="both"/>
        <w:rPr>
          <w:rFonts w:ascii="Arial" w:hAnsi="Arial" w:cs="Arial"/>
          <w:sz w:val="24"/>
          <w:szCs w:val="24"/>
        </w:rPr>
      </w:pPr>
      <w:r>
        <w:rPr>
          <w:rFonts w:ascii="Arial" w:hAnsi="Arial" w:cs="Arial"/>
          <w:sz w:val="24"/>
          <w:szCs w:val="24"/>
        </w:rPr>
        <w:t xml:space="preserve">Notably, all psychological and psychoanalytic theories like the Theory of Recognition will be questioned on their efficacy. Despite, criticisms of Taylor’s theory, it is still used as the classic expression of theory of recognition and gained popularity. Recognition enables a person to understand who they are, of their fundamental characteristics as a human being and sets our place in the word and evidences our existence. As stated in this literature, gender and sexual orientation are significant dimensions of diversity. Which until recent history received little research attention. Due to theoretical perspectives and research methodologies gender and sexual orientation is more prominent. Homosexuality is becoming more accepted and less hostile; however, </w:t>
      </w:r>
      <w:r>
        <w:rPr>
          <w:rFonts w:ascii="Arial" w:hAnsi="Arial" w:cs="Arial"/>
          <w:sz w:val="24"/>
          <w:szCs w:val="24"/>
        </w:rPr>
        <w:lastRenderedPageBreak/>
        <w:t>heterosexist and homophobia is still evident. If historically gender had been non-recognised what do, we need to do now? Further equal treatment for all? What is it LGBTQ people want today? How can we develop frameworks to support those who define themselves</w:t>
      </w:r>
      <w:r>
        <w:rPr>
          <w:rFonts w:ascii="Arial" w:hAnsi="Arial" w:cs="Arial"/>
          <w:sz w:val="24"/>
          <w:szCs w:val="24"/>
        </w:rPr>
        <w:t xml:space="preserve"> as gender and sexually </w:t>
      </w:r>
      <w:r w:rsidR="004413FA">
        <w:rPr>
          <w:rFonts w:ascii="Arial" w:hAnsi="Arial" w:cs="Arial"/>
          <w:sz w:val="24"/>
          <w:szCs w:val="24"/>
        </w:rPr>
        <w:t>diverse?</w:t>
      </w:r>
    </w:p>
    <w:p w:rsidR="008C73B0" w:rsidRDefault="008C73B0" w:rsidP="008C73B0">
      <w:pPr>
        <w:spacing w:line="360" w:lineRule="auto"/>
        <w:jc w:val="both"/>
        <w:rPr>
          <w:rFonts w:ascii="Arial" w:hAnsi="Arial" w:cs="Arial"/>
          <w:sz w:val="24"/>
          <w:szCs w:val="24"/>
        </w:rPr>
      </w:pPr>
    </w:p>
    <w:p w:rsidR="0035526A" w:rsidRDefault="0035526A" w:rsidP="008C73B0">
      <w:pPr>
        <w:spacing w:line="360" w:lineRule="auto"/>
        <w:jc w:val="both"/>
        <w:rPr>
          <w:rFonts w:ascii="Arial" w:hAnsi="Arial" w:cs="Arial"/>
          <w:b/>
          <w:sz w:val="24"/>
          <w:szCs w:val="24"/>
          <w:u w:val="single"/>
        </w:rPr>
      </w:pPr>
      <w:r w:rsidRPr="0035526A">
        <w:rPr>
          <w:rFonts w:ascii="Arial" w:hAnsi="Arial" w:cs="Arial"/>
          <w:b/>
          <w:sz w:val="24"/>
          <w:szCs w:val="24"/>
          <w:u w:val="single"/>
        </w:rPr>
        <w:t xml:space="preserve">References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ACLU (2019) ‘LGBT Relationships’ </w:t>
      </w:r>
      <w:hyperlink r:id="rId6" w:history="1">
        <w:r w:rsidRPr="00450EF3">
          <w:rPr>
            <w:rStyle w:val="Hyperlink"/>
            <w:rFonts w:ascii="Arial" w:hAnsi="Arial" w:cs="Arial"/>
            <w:sz w:val="24"/>
            <w:szCs w:val="24"/>
          </w:rPr>
          <w:t>https://www.aclu.org/issues/lgbt-rights/lgbt-relationships</w:t>
        </w:r>
      </w:hyperlink>
      <w:r w:rsidRPr="00450EF3">
        <w:rPr>
          <w:rFonts w:ascii="Arial" w:hAnsi="Arial" w:cs="Arial"/>
          <w:sz w:val="24"/>
          <w:szCs w:val="24"/>
        </w:rPr>
        <w:t xml:space="preserve"> [Accessed: 22</w:t>
      </w:r>
      <w:r w:rsidRPr="00450EF3">
        <w:rPr>
          <w:rFonts w:ascii="Arial" w:hAnsi="Arial" w:cs="Arial"/>
          <w:sz w:val="24"/>
          <w:szCs w:val="24"/>
          <w:vertAlign w:val="superscript"/>
        </w:rPr>
        <w:t>nd</w:t>
      </w:r>
      <w:r w:rsidRPr="00450EF3">
        <w:rPr>
          <w:rFonts w:ascii="Arial" w:hAnsi="Arial" w:cs="Arial"/>
          <w:sz w:val="24"/>
          <w:szCs w:val="24"/>
        </w:rPr>
        <w:t xml:space="preserve"> January].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Barker, M. and Langdridge, D. (2010) </w:t>
      </w:r>
      <w:r w:rsidRPr="00450EF3">
        <w:rPr>
          <w:rFonts w:ascii="Arial" w:hAnsi="Arial" w:cs="Arial"/>
          <w:i/>
          <w:sz w:val="24"/>
          <w:szCs w:val="24"/>
        </w:rPr>
        <w:t xml:space="preserve">Understanding Non-Monogamies. </w:t>
      </w:r>
      <w:r w:rsidRPr="00450EF3">
        <w:rPr>
          <w:rFonts w:ascii="Arial" w:hAnsi="Arial" w:cs="Arial"/>
          <w:sz w:val="24"/>
          <w:szCs w:val="24"/>
        </w:rPr>
        <w:t xml:space="preserve">Hove: Routledge.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Bieschke, K. J., Perez, R. M and </w:t>
      </w:r>
      <w:proofErr w:type="spellStart"/>
      <w:r w:rsidRPr="00450EF3">
        <w:rPr>
          <w:rFonts w:ascii="Arial" w:hAnsi="Arial" w:cs="Arial"/>
          <w:sz w:val="24"/>
          <w:szCs w:val="24"/>
        </w:rPr>
        <w:t>DeBord</w:t>
      </w:r>
      <w:proofErr w:type="spellEnd"/>
      <w:r w:rsidRPr="00450EF3">
        <w:rPr>
          <w:rFonts w:ascii="Arial" w:hAnsi="Arial" w:cs="Arial"/>
          <w:sz w:val="24"/>
          <w:szCs w:val="24"/>
        </w:rPr>
        <w:t xml:space="preserve">, K. A. (eds) </w:t>
      </w:r>
      <w:r w:rsidRPr="00450EF3">
        <w:rPr>
          <w:rFonts w:ascii="Arial" w:hAnsi="Arial" w:cs="Arial"/>
          <w:i/>
          <w:sz w:val="24"/>
          <w:szCs w:val="24"/>
        </w:rPr>
        <w:t xml:space="preserve">Handbook of Counselling and Psychotherapy with Lesbian, Gay, Bisexual and Transgender Clients. </w:t>
      </w:r>
      <w:r w:rsidRPr="00450EF3">
        <w:rPr>
          <w:rFonts w:ascii="Arial" w:hAnsi="Arial" w:cs="Arial"/>
          <w:sz w:val="24"/>
          <w:szCs w:val="24"/>
        </w:rPr>
        <w:t xml:space="preserve">Washington, DC: American Psychological Association.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Bigner, J. J. and Wetchler, J. L. (2012) </w:t>
      </w:r>
      <w:r w:rsidRPr="00450EF3">
        <w:rPr>
          <w:rFonts w:ascii="Arial" w:hAnsi="Arial" w:cs="Arial"/>
          <w:i/>
          <w:sz w:val="24"/>
          <w:szCs w:val="24"/>
        </w:rPr>
        <w:t xml:space="preserve">Handbook of LGBT – affirmative couple and family therapy. </w:t>
      </w:r>
      <w:r w:rsidRPr="00450EF3">
        <w:rPr>
          <w:rFonts w:ascii="Arial" w:hAnsi="Arial" w:cs="Arial"/>
          <w:sz w:val="24"/>
          <w:szCs w:val="24"/>
        </w:rPr>
        <w:t xml:space="preserve">New York, NY: Routledge.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Cameron, P. (2012) ‘Re-Examining Evelyn Hooker: Setting the Record Straight with Comments on Schumm’s (2012) Reanalysis’, </w:t>
      </w:r>
      <w:r w:rsidRPr="00450EF3">
        <w:rPr>
          <w:rFonts w:ascii="Arial" w:hAnsi="Arial" w:cs="Arial"/>
          <w:i/>
          <w:sz w:val="24"/>
          <w:szCs w:val="24"/>
        </w:rPr>
        <w:t xml:space="preserve">Journal Marriage &amp; Family Review, </w:t>
      </w:r>
      <w:r w:rsidRPr="00450EF3">
        <w:rPr>
          <w:rFonts w:ascii="Arial" w:hAnsi="Arial" w:cs="Arial"/>
          <w:sz w:val="24"/>
          <w:szCs w:val="24"/>
        </w:rPr>
        <w:t xml:space="preserve">Volume 48, Issue 6, pp.491-523.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Carroll, L. (2010) </w:t>
      </w:r>
      <w:r w:rsidRPr="00450EF3">
        <w:rPr>
          <w:rFonts w:ascii="Arial" w:hAnsi="Arial" w:cs="Arial"/>
          <w:i/>
          <w:sz w:val="24"/>
          <w:szCs w:val="24"/>
        </w:rPr>
        <w:t xml:space="preserve">Counselling Sexual and Gender Minorities. </w:t>
      </w:r>
      <w:r w:rsidRPr="00450EF3">
        <w:rPr>
          <w:rFonts w:ascii="Arial" w:hAnsi="Arial" w:cs="Arial"/>
          <w:sz w:val="24"/>
          <w:szCs w:val="24"/>
        </w:rPr>
        <w:t>Columbus: Merrill.</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Chernin, J. N. and Johnson, M. R. (2002) </w:t>
      </w:r>
      <w:r w:rsidRPr="00450EF3">
        <w:rPr>
          <w:rFonts w:ascii="Arial" w:hAnsi="Arial" w:cs="Arial"/>
          <w:i/>
          <w:sz w:val="24"/>
          <w:szCs w:val="24"/>
        </w:rPr>
        <w:t xml:space="preserve">Affirmative psychotherapy and counselling for lesbians and gay men. </w:t>
      </w:r>
      <w:r w:rsidRPr="00450EF3">
        <w:rPr>
          <w:rFonts w:ascii="Arial" w:hAnsi="Arial" w:cs="Arial"/>
          <w:sz w:val="24"/>
          <w:szCs w:val="24"/>
        </w:rPr>
        <w:t xml:space="preserve">Thousand Oaks, CA: Sage Publishing.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Clinton, H. (1995) ‘Remarks for the United Nations fourth world conference on women’ </w:t>
      </w:r>
      <w:hyperlink r:id="rId7" w:history="1">
        <w:r w:rsidRPr="00450EF3">
          <w:rPr>
            <w:rStyle w:val="Hyperlink"/>
            <w:rFonts w:ascii="Arial" w:hAnsi="Arial" w:cs="Arial"/>
            <w:sz w:val="24"/>
            <w:szCs w:val="24"/>
          </w:rPr>
          <w:t>https://scholar.google.co.uk/scholar?hl=en&amp;as_sdt=0%2C5&amp;q=hillary+clinton+women+rights+&amp;btnG</w:t>
        </w:r>
      </w:hyperlink>
      <w:r w:rsidRPr="00450EF3">
        <w:rPr>
          <w:rFonts w:ascii="Arial" w:hAnsi="Arial" w:cs="Arial"/>
          <w:sz w:val="24"/>
          <w:szCs w:val="24"/>
        </w:rPr>
        <w:t>= [Accessed: 22</w:t>
      </w:r>
      <w:r w:rsidRPr="00450EF3">
        <w:rPr>
          <w:rFonts w:ascii="Arial" w:hAnsi="Arial" w:cs="Arial"/>
          <w:sz w:val="24"/>
          <w:szCs w:val="24"/>
          <w:vertAlign w:val="superscript"/>
        </w:rPr>
        <w:t>nd</w:t>
      </w:r>
      <w:r w:rsidRPr="00450EF3">
        <w:rPr>
          <w:rFonts w:ascii="Arial" w:hAnsi="Arial" w:cs="Arial"/>
          <w:sz w:val="24"/>
          <w:szCs w:val="24"/>
        </w:rPr>
        <w:t xml:space="preserve"> January 2019]. </w:t>
      </w:r>
    </w:p>
    <w:p w:rsidR="0035526A" w:rsidRPr="00450EF3" w:rsidRDefault="0035526A" w:rsidP="0035526A">
      <w:pPr>
        <w:spacing w:line="360" w:lineRule="auto"/>
        <w:jc w:val="both"/>
        <w:rPr>
          <w:rFonts w:ascii="Arial" w:hAnsi="Arial" w:cs="Arial"/>
          <w:sz w:val="24"/>
          <w:szCs w:val="24"/>
          <w:lang w:val="en-US"/>
        </w:rPr>
      </w:pPr>
      <w:proofErr w:type="spellStart"/>
      <w:r w:rsidRPr="00450EF3">
        <w:rPr>
          <w:rFonts w:ascii="Arial" w:hAnsi="Arial" w:cs="Arial"/>
          <w:sz w:val="24"/>
          <w:szCs w:val="24"/>
          <w:lang w:val="en-US"/>
        </w:rPr>
        <w:t>Devor</w:t>
      </w:r>
      <w:proofErr w:type="spellEnd"/>
      <w:r w:rsidRPr="00450EF3">
        <w:rPr>
          <w:rFonts w:ascii="Arial" w:hAnsi="Arial" w:cs="Arial"/>
          <w:sz w:val="24"/>
          <w:szCs w:val="24"/>
          <w:lang w:val="en-US"/>
        </w:rPr>
        <w:t xml:space="preserve">, H. A. (1989) </w:t>
      </w:r>
      <w:r w:rsidRPr="00450EF3">
        <w:rPr>
          <w:rFonts w:ascii="Arial" w:hAnsi="Arial" w:cs="Arial"/>
          <w:i/>
          <w:sz w:val="24"/>
          <w:szCs w:val="24"/>
          <w:lang w:val="en-US"/>
        </w:rPr>
        <w:t xml:space="preserve">Becoming Members of Society: Learning the Social Meanings of Gender Composing Gender. </w:t>
      </w:r>
      <w:r w:rsidRPr="00450EF3">
        <w:rPr>
          <w:rFonts w:ascii="Arial" w:hAnsi="Arial" w:cs="Arial"/>
          <w:sz w:val="24"/>
          <w:szCs w:val="24"/>
          <w:lang w:val="en-US"/>
        </w:rPr>
        <w:t xml:space="preserve">Boston: Print.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lastRenderedPageBreak/>
        <w:t xml:space="preserve">Equality and Human Rights Commission (2017) ‘What is the Equality Act? </w:t>
      </w:r>
      <w:hyperlink r:id="rId8" w:history="1">
        <w:r w:rsidRPr="00450EF3">
          <w:rPr>
            <w:rStyle w:val="Hyperlink"/>
            <w:rFonts w:ascii="Arial" w:hAnsi="Arial" w:cs="Arial"/>
            <w:sz w:val="24"/>
            <w:szCs w:val="24"/>
          </w:rPr>
          <w:t>https://www.equalityhumanrights.com/en/equality-act-2010/what-equality-act</w:t>
        </w:r>
      </w:hyperlink>
      <w:r w:rsidRPr="00450EF3">
        <w:rPr>
          <w:rFonts w:ascii="Arial" w:hAnsi="Arial" w:cs="Arial"/>
          <w:sz w:val="24"/>
          <w:szCs w:val="24"/>
        </w:rPr>
        <w:t xml:space="preserve"> [Accessed: 21</w:t>
      </w:r>
      <w:r w:rsidRPr="00450EF3">
        <w:rPr>
          <w:rFonts w:ascii="Arial" w:hAnsi="Arial" w:cs="Arial"/>
          <w:sz w:val="24"/>
          <w:szCs w:val="24"/>
          <w:vertAlign w:val="superscript"/>
        </w:rPr>
        <w:t>st</w:t>
      </w:r>
      <w:r w:rsidRPr="00450EF3">
        <w:rPr>
          <w:rFonts w:ascii="Arial" w:hAnsi="Arial" w:cs="Arial"/>
          <w:sz w:val="24"/>
          <w:szCs w:val="24"/>
        </w:rPr>
        <w:t xml:space="preserve"> January 2018]. </w:t>
      </w:r>
    </w:p>
    <w:p w:rsidR="0035526A" w:rsidRPr="00450EF3" w:rsidRDefault="0035526A" w:rsidP="0035526A">
      <w:pPr>
        <w:spacing w:line="360" w:lineRule="auto"/>
        <w:jc w:val="both"/>
        <w:rPr>
          <w:rFonts w:ascii="Arial" w:hAnsi="Arial" w:cs="Arial"/>
          <w:sz w:val="24"/>
          <w:szCs w:val="24"/>
        </w:rPr>
      </w:pPr>
      <w:hyperlink r:id="rId9" w:history="1">
        <w:r w:rsidRPr="00450EF3">
          <w:rPr>
            <w:rStyle w:val="Hyperlink"/>
            <w:rFonts w:ascii="Arial" w:hAnsi="Arial" w:cs="Arial"/>
            <w:sz w:val="24"/>
            <w:szCs w:val="24"/>
          </w:rPr>
          <w:t>file:///C:/Users/Naomi%20Rosser/AppData/Local/Microsoft/Windows/INetCache/IE/0TLG9YKG/cons_006%20copy.pdf</w:t>
        </w:r>
      </w:hyperlink>
      <w:r w:rsidRPr="00450EF3">
        <w:rPr>
          <w:rFonts w:ascii="Arial" w:hAnsi="Arial" w:cs="Arial"/>
          <w:sz w:val="24"/>
          <w:szCs w:val="24"/>
        </w:rPr>
        <w:t xml:space="preserve"> [Accessed: 20</w:t>
      </w:r>
      <w:r w:rsidRPr="00450EF3">
        <w:rPr>
          <w:rFonts w:ascii="Arial" w:hAnsi="Arial" w:cs="Arial"/>
          <w:sz w:val="24"/>
          <w:szCs w:val="24"/>
          <w:vertAlign w:val="superscript"/>
        </w:rPr>
        <w:t>th</w:t>
      </w:r>
      <w:r w:rsidRPr="00450EF3">
        <w:rPr>
          <w:rFonts w:ascii="Arial" w:hAnsi="Arial" w:cs="Arial"/>
          <w:sz w:val="24"/>
          <w:szCs w:val="24"/>
        </w:rPr>
        <w:t xml:space="preserve"> January 2018].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GOV. UK (2013) ‘Equality Act 2010: guidance’ </w:t>
      </w:r>
      <w:hyperlink r:id="rId10" w:history="1">
        <w:r w:rsidRPr="00450EF3">
          <w:rPr>
            <w:rStyle w:val="Hyperlink"/>
            <w:rFonts w:ascii="Arial" w:hAnsi="Arial" w:cs="Arial"/>
            <w:sz w:val="24"/>
            <w:szCs w:val="24"/>
          </w:rPr>
          <w:t>https://www.gov.uk/guidance/equality-act-2010-guidance</w:t>
        </w:r>
      </w:hyperlink>
      <w:r w:rsidRPr="00450EF3">
        <w:rPr>
          <w:rFonts w:ascii="Arial" w:hAnsi="Arial" w:cs="Arial"/>
          <w:sz w:val="24"/>
          <w:szCs w:val="24"/>
        </w:rPr>
        <w:t xml:space="preserve"> [Accessed: 21</w:t>
      </w:r>
      <w:r w:rsidRPr="00450EF3">
        <w:rPr>
          <w:rFonts w:ascii="Arial" w:hAnsi="Arial" w:cs="Arial"/>
          <w:sz w:val="24"/>
          <w:szCs w:val="24"/>
          <w:vertAlign w:val="superscript"/>
        </w:rPr>
        <w:t>st</w:t>
      </w:r>
      <w:r w:rsidRPr="00450EF3">
        <w:rPr>
          <w:rFonts w:ascii="Arial" w:hAnsi="Arial" w:cs="Arial"/>
          <w:sz w:val="24"/>
          <w:szCs w:val="24"/>
        </w:rPr>
        <w:t xml:space="preserve"> January 2018]. </w:t>
      </w:r>
    </w:p>
    <w:p w:rsidR="0035526A" w:rsidRPr="00450EF3" w:rsidRDefault="0035526A" w:rsidP="0035526A">
      <w:pPr>
        <w:spacing w:line="360" w:lineRule="auto"/>
        <w:jc w:val="both"/>
        <w:rPr>
          <w:rFonts w:ascii="Arial" w:hAnsi="Arial" w:cs="Arial"/>
          <w:sz w:val="24"/>
          <w:szCs w:val="24"/>
        </w:rPr>
      </w:pPr>
      <w:hyperlink r:id="rId11" w:history="1">
        <w:r w:rsidRPr="00450EF3">
          <w:rPr>
            <w:rFonts w:ascii="Arial" w:hAnsi="Arial" w:cs="Arial"/>
            <w:sz w:val="24"/>
            <w:szCs w:val="24"/>
            <w:lang w:val="en"/>
          </w:rPr>
          <w:t xml:space="preserve">Harper </w:t>
        </w:r>
      </w:hyperlink>
      <w:hyperlink r:id="rId12" w:history="1">
        <w:r w:rsidRPr="00450EF3">
          <w:rPr>
            <w:rFonts w:ascii="Arial" w:hAnsi="Arial" w:cs="Arial"/>
            <w:sz w:val="24"/>
            <w:szCs w:val="24"/>
            <w:lang w:val="en"/>
          </w:rPr>
          <w:t xml:space="preserve">Pete Finnerty </w:t>
        </w:r>
      </w:hyperlink>
      <w:r w:rsidRPr="00450EF3">
        <w:rPr>
          <w:rFonts w:ascii="Arial" w:hAnsi="Arial" w:cs="Arial"/>
          <w:sz w:val="24"/>
          <w:szCs w:val="24"/>
          <w:lang w:val="en"/>
        </w:rPr>
        <w:t xml:space="preserve">, </w:t>
      </w:r>
      <w:hyperlink r:id="rId13" w:history="1">
        <w:r w:rsidRPr="00450EF3">
          <w:rPr>
            <w:rFonts w:ascii="Arial" w:hAnsi="Arial" w:cs="Arial"/>
            <w:sz w:val="24"/>
            <w:szCs w:val="24"/>
            <w:lang w:val="en"/>
          </w:rPr>
          <w:t xml:space="preserve">Margarita Martinez </w:t>
        </w:r>
      </w:hyperlink>
      <w:r w:rsidRPr="00450EF3">
        <w:rPr>
          <w:rFonts w:ascii="Arial" w:hAnsi="Arial" w:cs="Arial"/>
          <w:sz w:val="24"/>
          <w:szCs w:val="24"/>
          <w:lang w:val="en"/>
        </w:rPr>
        <w:t xml:space="preserve">, </w:t>
      </w:r>
      <w:hyperlink r:id="rId14" w:history="1">
        <w:r w:rsidRPr="00450EF3">
          <w:rPr>
            <w:rFonts w:ascii="Arial" w:hAnsi="Arial" w:cs="Arial"/>
            <w:sz w:val="24"/>
            <w:szCs w:val="24"/>
            <w:lang w:val="en"/>
          </w:rPr>
          <w:t xml:space="preserve">Amanda Brace </w:t>
        </w:r>
      </w:hyperlink>
      <w:r w:rsidRPr="00450EF3">
        <w:rPr>
          <w:rFonts w:ascii="Arial" w:hAnsi="Arial" w:cs="Arial"/>
          <w:sz w:val="24"/>
          <w:szCs w:val="24"/>
          <w:lang w:val="en"/>
        </w:rPr>
        <w:t xml:space="preserve">, </w:t>
      </w:r>
      <w:hyperlink r:id="rId15" w:history="1">
        <w:r w:rsidRPr="00450EF3">
          <w:rPr>
            <w:rFonts w:ascii="Arial" w:hAnsi="Arial" w:cs="Arial"/>
            <w:sz w:val="24"/>
            <w:szCs w:val="24"/>
            <w:lang w:val="en"/>
          </w:rPr>
          <w:t xml:space="preserve">Hugh C. </w:t>
        </w:r>
        <w:proofErr w:type="spellStart"/>
        <w:r w:rsidRPr="00450EF3">
          <w:rPr>
            <w:rFonts w:ascii="Arial" w:hAnsi="Arial" w:cs="Arial"/>
            <w:sz w:val="24"/>
            <w:szCs w:val="24"/>
            <w:lang w:val="en"/>
          </w:rPr>
          <w:t>Crethar</w:t>
        </w:r>
        <w:proofErr w:type="spellEnd"/>
        <w:r w:rsidRPr="00450EF3">
          <w:rPr>
            <w:rFonts w:ascii="Arial" w:hAnsi="Arial" w:cs="Arial"/>
            <w:sz w:val="24"/>
            <w:szCs w:val="24"/>
            <w:lang w:val="en"/>
          </w:rPr>
          <w:t xml:space="preserve"> </w:t>
        </w:r>
      </w:hyperlink>
      <w:r w:rsidRPr="00450EF3">
        <w:rPr>
          <w:rFonts w:ascii="Arial" w:hAnsi="Arial" w:cs="Arial"/>
          <w:sz w:val="24"/>
          <w:szCs w:val="24"/>
          <w:lang w:val="en"/>
        </w:rPr>
        <w:t xml:space="preserve">, </w:t>
      </w:r>
      <w:hyperlink r:id="rId16" w:history="1">
        <w:r w:rsidRPr="00450EF3">
          <w:rPr>
            <w:rFonts w:ascii="Arial" w:hAnsi="Arial" w:cs="Arial"/>
            <w:sz w:val="24"/>
            <w:szCs w:val="24"/>
            <w:lang w:val="en"/>
          </w:rPr>
          <w:t xml:space="preserve">Bob Loos </w:t>
        </w:r>
      </w:hyperlink>
      <w:r w:rsidRPr="00450EF3">
        <w:rPr>
          <w:rFonts w:ascii="Arial" w:hAnsi="Arial" w:cs="Arial"/>
          <w:sz w:val="24"/>
          <w:szCs w:val="24"/>
          <w:lang w:val="en"/>
        </w:rPr>
        <w:t xml:space="preserve">, </w:t>
      </w:r>
      <w:hyperlink r:id="rId17" w:history="1">
        <w:r w:rsidRPr="00450EF3">
          <w:rPr>
            <w:rFonts w:ascii="Arial" w:hAnsi="Arial" w:cs="Arial"/>
            <w:sz w:val="24"/>
            <w:szCs w:val="24"/>
            <w:lang w:val="en"/>
          </w:rPr>
          <w:t xml:space="preserve">Brandon Harper </w:t>
        </w:r>
      </w:hyperlink>
      <w:r w:rsidRPr="00450EF3">
        <w:rPr>
          <w:rFonts w:ascii="Arial" w:hAnsi="Arial" w:cs="Arial"/>
          <w:sz w:val="24"/>
          <w:szCs w:val="24"/>
          <w:lang w:val="en"/>
        </w:rPr>
        <w:t xml:space="preserve">, </w:t>
      </w:r>
      <w:hyperlink r:id="rId18" w:history="1">
        <w:r w:rsidRPr="00450EF3">
          <w:rPr>
            <w:rFonts w:ascii="Arial" w:hAnsi="Arial" w:cs="Arial"/>
            <w:sz w:val="24"/>
            <w:szCs w:val="24"/>
            <w:lang w:val="en"/>
          </w:rPr>
          <w:t xml:space="preserve">Stephanie Graham </w:t>
        </w:r>
      </w:hyperlink>
      <w:r w:rsidRPr="00450EF3">
        <w:rPr>
          <w:rFonts w:ascii="Arial" w:hAnsi="Arial" w:cs="Arial"/>
          <w:sz w:val="24"/>
          <w:szCs w:val="24"/>
          <w:lang w:val="en"/>
        </w:rPr>
        <w:t xml:space="preserve">, </w:t>
      </w:r>
      <w:hyperlink r:id="rId19" w:history="1">
        <w:r w:rsidRPr="00450EF3">
          <w:rPr>
            <w:rFonts w:ascii="Arial" w:hAnsi="Arial" w:cs="Arial"/>
            <w:sz w:val="24"/>
            <w:szCs w:val="24"/>
            <w:lang w:val="en"/>
          </w:rPr>
          <w:t xml:space="preserve">Anneliese Singh </w:t>
        </w:r>
      </w:hyperlink>
      <w:r w:rsidRPr="00450EF3">
        <w:rPr>
          <w:rFonts w:ascii="Arial" w:hAnsi="Arial" w:cs="Arial"/>
          <w:sz w:val="24"/>
          <w:szCs w:val="24"/>
          <w:lang w:val="en"/>
        </w:rPr>
        <w:t xml:space="preserve">, </w:t>
      </w:r>
      <w:hyperlink r:id="rId20" w:history="1">
        <w:r w:rsidRPr="00450EF3">
          <w:rPr>
            <w:rFonts w:ascii="Arial" w:hAnsi="Arial" w:cs="Arial"/>
            <w:sz w:val="24"/>
            <w:szCs w:val="24"/>
            <w:lang w:val="en"/>
          </w:rPr>
          <w:t xml:space="preserve">Michael </w:t>
        </w:r>
        <w:proofErr w:type="spellStart"/>
        <w:r w:rsidRPr="00450EF3">
          <w:rPr>
            <w:rFonts w:ascii="Arial" w:hAnsi="Arial" w:cs="Arial"/>
            <w:sz w:val="24"/>
            <w:szCs w:val="24"/>
            <w:lang w:val="en"/>
          </w:rPr>
          <w:t>Kocet</w:t>
        </w:r>
        <w:proofErr w:type="spellEnd"/>
        <w:r w:rsidRPr="00450EF3">
          <w:rPr>
            <w:rFonts w:ascii="Arial" w:hAnsi="Arial" w:cs="Arial"/>
            <w:sz w:val="24"/>
            <w:szCs w:val="24"/>
            <w:lang w:val="en"/>
          </w:rPr>
          <w:t xml:space="preserve"> </w:t>
        </w:r>
      </w:hyperlink>
      <w:r w:rsidRPr="00450EF3">
        <w:rPr>
          <w:rFonts w:ascii="Arial" w:hAnsi="Arial" w:cs="Arial"/>
          <w:sz w:val="24"/>
          <w:szCs w:val="24"/>
          <w:lang w:val="en"/>
        </w:rPr>
        <w:t xml:space="preserve">, </w:t>
      </w:r>
      <w:hyperlink r:id="rId21" w:history="1">
        <w:r w:rsidRPr="00450EF3">
          <w:rPr>
            <w:rFonts w:ascii="Arial" w:hAnsi="Arial" w:cs="Arial"/>
            <w:sz w:val="24"/>
            <w:szCs w:val="24"/>
            <w:lang w:val="en"/>
          </w:rPr>
          <w:t xml:space="preserve">Linda Travis </w:t>
        </w:r>
      </w:hyperlink>
      <w:r w:rsidRPr="00450EF3">
        <w:rPr>
          <w:rFonts w:ascii="Arial" w:hAnsi="Arial" w:cs="Arial"/>
          <w:sz w:val="24"/>
          <w:szCs w:val="24"/>
          <w:lang w:val="en"/>
        </w:rPr>
        <w:t xml:space="preserve">, </w:t>
      </w:r>
      <w:hyperlink r:id="rId22" w:history="1">
        <w:r w:rsidRPr="00450EF3">
          <w:rPr>
            <w:rFonts w:ascii="Arial" w:hAnsi="Arial" w:cs="Arial"/>
            <w:sz w:val="24"/>
            <w:szCs w:val="24"/>
            <w:lang w:val="en"/>
          </w:rPr>
          <w:t xml:space="preserve">Serena Lambert </w:t>
        </w:r>
      </w:hyperlink>
      <w:r w:rsidRPr="00450EF3">
        <w:rPr>
          <w:rFonts w:ascii="Arial" w:hAnsi="Arial" w:cs="Arial"/>
          <w:sz w:val="24"/>
          <w:szCs w:val="24"/>
          <w:lang w:val="en"/>
        </w:rPr>
        <w:t xml:space="preserve">, </w:t>
      </w:r>
      <w:hyperlink r:id="rId23" w:history="1">
        <w:r w:rsidRPr="00450EF3">
          <w:rPr>
            <w:rFonts w:ascii="Arial" w:hAnsi="Arial" w:cs="Arial"/>
            <w:sz w:val="24"/>
            <w:szCs w:val="24"/>
            <w:lang w:val="en"/>
          </w:rPr>
          <w:t xml:space="preserve">Theodore Burnes </w:t>
        </w:r>
      </w:hyperlink>
      <w:r w:rsidRPr="00450EF3">
        <w:rPr>
          <w:rFonts w:ascii="Arial" w:hAnsi="Arial" w:cs="Arial"/>
          <w:sz w:val="24"/>
          <w:szCs w:val="24"/>
          <w:lang w:val="en"/>
        </w:rPr>
        <w:t xml:space="preserve">, </w:t>
      </w:r>
      <w:hyperlink r:id="rId24" w:history="1">
        <w:r w:rsidRPr="00450EF3">
          <w:rPr>
            <w:rFonts w:ascii="Arial" w:hAnsi="Arial" w:cs="Arial"/>
            <w:sz w:val="24"/>
            <w:szCs w:val="24"/>
            <w:lang w:val="en"/>
          </w:rPr>
          <w:t xml:space="preserve">Lore M. Dickey </w:t>
        </w:r>
      </w:hyperlink>
      <w:r w:rsidRPr="00450EF3">
        <w:rPr>
          <w:rFonts w:ascii="Arial" w:hAnsi="Arial" w:cs="Arial"/>
          <w:sz w:val="24"/>
          <w:szCs w:val="24"/>
          <w:lang w:val="en"/>
        </w:rPr>
        <w:t xml:space="preserve">&amp; </w:t>
      </w:r>
      <w:hyperlink r:id="rId25" w:history="1">
        <w:r w:rsidRPr="00450EF3">
          <w:rPr>
            <w:rFonts w:ascii="Arial" w:hAnsi="Arial" w:cs="Arial"/>
            <w:sz w:val="24"/>
            <w:szCs w:val="24"/>
            <w:lang w:val="en"/>
          </w:rPr>
          <w:t xml:space="preserve">Tonya R. Hammer </w:t>
        </w:r>
      </w:hyperlink>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Harper, A., Finnerty, P., Martinez, M., Brace, A., Hugh, C., Harper, B., Graham, S., Singh, A., </w:t>
      </w:r>
      <w:proofErr w:type="spellStart"/>
      <w:r w:rsidRPr="00450EF3">
        <w:rPr>
          <w:rFonts w:ascii="Arial" w:hAnsi="Arial" w:cs="Arial"/>
          <w:sz w:val="24"/>
          <w:szCs w:val="24"/>
        </w:rPr>
        <w:t>Kocet</w:t>
      </w:r>
      <w:proofErr w:type="spellEnd"/>
      <w:r w:rsidRPr="00450EF3">
        <w:rPr>
          <w:rFonts w:ascii="Arial" w:hAnsi="Arial" w:cs="Arial"/>
          <w:sz w:val="24"/>
          <w:szCs w:val="24"/>
        </w:rPr>
        <w:t xml:space="preserve">, M., Travis, L., </w:t>
      </w:r>
      <w:proofErr w:type="spellStart"/>
      <w:r w:rsidRPr="00450EF3">
        <w:rPr>
          <w:rFonts w:ascii="Arial" w:hAnsi="Arial" w:cs="Arial"/>
          <w:sz w:val="24"/>
          <w:szCs w:val="24"/>
        </w:rPr>
        <w:t>Lamert</w:t>
      </w:r>
      <w:proofErr w:type="spellEnd"/>
      <w:r w:rsidRPr="00450EF3">
        <w:rPr>
          <w:rFonts w:ascii="Arial" w:hAnsi="Arial" w:cs="Arial"/>
          <w:sz w:val="24"/>
          <w:szCs w:val="24"/>
        </w:rPr>
        <w:t xml:space="preserve">, S., Burnes, T., Dickey, L. and Hammer, T. (2013) ‘Association for Lesbian, Gay, Bisexual and Transgender Issues in Counselling Competencies for </w:t>
      </w:r>
      <w:proofErr w:type="spellStart"/>
      <w:r w:rsidRPr="00450EF3">
        <w:rPr>
          <w:rFonts w:ascii="Arial" w:hAnsi="Arial" w:cs="Arial"/>
          <w:sz w:val="24"/>
          <w:szCs w:val="24"/>
        </w:rPr>
        <w:t>Couselling</w:t>
      </w:r>
      <w:proofErr w:type="spellEnd"/>
      <w:r w:rsidRPr="00450EF3">
        <w:rPr>
          <w:rFonts w:ascii="Arial" w:hAnsi="Arial" w:cs="Arial"/>
          <w:sz w:val="24"/>
          <w:szCs w:val="24"/>
        </w:rPr>
        <w:t xml:space="preserve"> with Lesbian, Gay, Bisexual, Queer, Questioning, Intersex and Ally Individuals’ </w:t>
      </w:r>
      <w:r w:rsidRPr="00450EF3">
        <w:rPr>
          <w:rFonts w:ascii="Arial" w:hAnsi="Arial" w:cs="Arial"/>
          <w:i/>
          <w:sz w:val="24"/>
          <w:szCs w:val="24"/>
        </w:rPr>
        <w:t xml:space="preserve">Journal of LGBT Issues in Counselling, </w:t>
      </w:r>
      <w:r w:rsidRPr="00450EF3">
        <w:rPr>
          <w:rFonts w:ascii="Arial" w:hAnsi="Arial" w:cs="Arial"/>
          <w:sz w:val="24"/>
          <w:szCs w:val="24"/>
        </w:rPr>
        <w:t xml:space="preserve">Volume 7, Issue 1, pp. 2-43. </w:t>
      </w:r>
    </w:p>
    <w:p w:rsidR="0035526A" w:rsidRPr="00450EF3" w:rsidRDefault="0035526A" w:rsidP="0035526A">
      <w:pPr>
        <w:spacing w:line="360" w:lineRule="auto"/>
        <w:jc w:val="both"/>
        <w:rPr>
          <w:rFonts w:ascii="Arial" w:hAnsi="Arial" w:cs="Arial"/>
          <w:sz w:val="24"/>
          <w:szCs w:val="24"/>
          <w:lang w:val="en-US"/>
        </w:rPr>
      </w:pPr>
      <w:r w:rsidRPr="00450EF3">
        <w:rPr>
          <w:rFonts w:ascii="Arial" w:hAnsi="Arial" w:cs="Arial"/>
          <w:sz w:val="24"/>
          <w:szCs w:val="24"/>
          <w:lang w:val="en-US"/>
        </w:rPr>
        <w:t>Hyde, J. S. (2007). Half the human experience: The psychology of women (7th ed.). Boston: Houghton-Mifflin.</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Lev, A. I. (2004) </w:t>
      </w:r>
      <w:r w:rsidRPr="00450EF3">
        <w:rPr>
          <w:rFonts w:ascii="Arial" w:hAnsi="Arial" w:cs="Arial"/>
          <w:i/>
          <w:sz w:val="24"/>
          <w:szCs w:val="24"/>
        </w:rPr>
        <w:t xml:space="preserve">Transgender emergence: Therapeutic guidelines for working with gender-variant people and their families. </w:t>
      </w:r>
      <w:r w:rsidRPr="00450EF3">
        <w:rPr>
          <w:rFonts w:ascii="Arial" w:hAnsi="Arial" w:cs="Arial"/>
          <w:sz w:val="24"/>
          <w:szCs w:val="24"/>
        </w:rPr>
        <w:t xml:space="preserve">New York: The Haworth Press.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Martineau, W., Meer, N. and Thompson, S. (2012) ‘Theory and Practice in the politics of Recognition and Misrecognition’, </w:t>
      </w:r>
      <w:r w:rsidRPr="00450EF3">
        <w:rPr>
          <w:rFonts w:ascii="Arial" w:hAnsi="Arial" w:cs="Arial"/>
          <w:i/>
          <w:sz w:val="24"/>
          <w:szCs w:val="24"/>
        </w:rPr>
        <w:t xml:space="preserve">Res Publica, </w:t>
      </w:r>
      <w:r w:rsidRPr="00450EF3">
        <w:rPr>
          <w:rFonts w:ascii="Arial" w:hAnsi="Arial" w:cs="Arial"/>
          <w:sz w:val="24"/>
          <w:szCs w:val="24"/>
        </w:rPr>
        <w:t xml:space="preserve">Volume 18, Issue 1, pp. 1-9.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McQueen, P. (2018) ‘Social and Political Recognition’ </w:t>
      </w:r>
      <w:hyperlink r:id="rId26" w:history="1">
        <w:r w:rsidRPr="00450EF3">
          <w:rPr>
            <w:rStyle w:val="Hyperlink"/>
            <w:rFonts w:ascii="Arial" w:hAnsi="Arial" w:cs="Arial"/>
            <w:sz w:val="24"/>
            <w:szCs w:val="24"/>
          </w:rPr>
          <w:t>https://www.iep.utm.edu/recog_sp/</w:t>
        </w:r>
      </w:hyperlink>
      <w:r w:rsidRPr="00450EF3">
        <w:rPr>
          <w:rFonts w:ascii="Arial" w:hAnsi="Arial" w:cs="Arial"/>
          <w:sz w:val="24"/>
          <w:szCs w:val="24"/>
        </w:rPr>
        <w:t xml:space="preserve"> [Accessed: 20</w:t>
      </w:r>
      <w:r w:rsidRPr="00450EF3">
        <w:rPr>
          <w:rFonts w:ascii="Arial" w:hAnsi="Arial" w:cs="Arial"/>
          <w:sz w:val="24"/>
          <w:szCs w:val="24"/>
          <w:vertAlign w:val="superscript"/>
        </w:rPr>
        <w:t>th</w:t>
      </w:r>
      <w:r w:rsidRPr="00450EF3">
        <w:rPr>
          <w:rFonts w:ascii="Arial" w:hAnsi="Arial" w:cs="Arial"/>
          <w:sz w:val="24"/>
          <w:szCs w:val="24"/>
        </w:rPr>
        <w:t xml:space="preserve"> January 2018]. </w:t>
      </w:r>
    </w:p>
    <w:p w:rsidR="0035526A" w:rsidRPr="00450EF3" w:rsidRDefault="0035526A" w:rsidP="0035526A">
      <w:pPr>
        <w:spacing w:line="360" w:lineRule="auto"/>
        <w:jc w:val="both"/>
        <w:rPr>
          <w:rFonts w:ascii="Arial" w:hAnsi="Arial" w:cs="Arial"/>
          <w:sz w:val="24"/>
          <w:szCs w:val="24"/>
          <w:lang w:val="en-US"/>
        </w:rPr>
      </w:pPr>
      <w:r w:rsidRPr="00450EF3">
        <w:rPr>
          <w:rFonts w:ascii="Arial" w:hAnsi="Arial" w:cs="Arial"/>
          <w:sz w:val="24"/>
          <w:szCs w:val="24"/>
          <w:lang w:val="en-US"/>
        </w:rPr>
        <w:t>Meyer, I. H. (2003). Prejudice, social stress, and mental health in lesbian, gay, and bisexual populations: Conceptual issues and research evidence. Psychological Bulletin, 129, 674-697.</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lastRenderedPageBreak/>
        <w:t xml:space="preserve">MFA (2019) ‘Transcript: Hear Hillary Clinton’s Women’s Rights Are Human Rights’ </w:t>
      </w:r>
      <w:hyperlink r:id="rId27" w:history="1">
        <w:r w:rsidRPr="00450EF3">
          <w:rPr>
            <w:rStyle w:val="Hyperlink"/>
            <w:rFonts w:ascii="Arial" w:hAnsi="Arial" w:cs="Arial"/>
            <w:sz w:val="24"/>
            <w:szCs w:val="24"/>
          </w:rPr>
          <w:t>https://www.mfa.org/exhibitions/amalia-pica/transcript-womens-rights-are-human-rights</w:t>
        </w:r>
      </w:hyperlink>
      <w:r w:rsidRPr="00450EF3">
        <w:rPr>
          <w:rFonts w:ascii="Arial" w:hAnsi="Arial" w:cs="Arial"/>
          <w:sz w:val="24"/>
          <w:szCs w:val="24"/>
        </w:rPr>
        <w:t xml:space="preserve"> [Accessed: 22</w:t>
      </w:r>
      <w:r w:rsidRPr="00450EF3">
        <w:rPr>
          <w:rFonts w:ascii="Arial" w:hAnsi="Arial" w:cs="Arial"/>
          <w:sz w:val="24"/>
          <w:szCs w:val="24"/>
          <w:vertAlign w:val="superscript"/>
        </w:rPr>
        <w:t>nd</w:t>
      </w:r>
      <w:r w:rsidRPr="00450EF3">
        <w:rPr>
          <w:rFonts w:ascii="Arial" w:hAnsi="Arial" w:cs="Arial"/>
          <w:sz w:val="24"/>
          <w:szCs w:val="24"/>
        </w:rPr>
        <w:t xml:space="preserve"> January 2019]. </w:t>
      </w:r>
    </w:p>
    <w:p w:rsidR="0035526A" w:rsidRPr="00450EF3" w:rsidRDefault="0035526A" w:rsidP="0035526A">
      <w:pPr>
        <w:spacing w:line="360" w:lineRule="auto"/>
        <w:jc w:val="both"/>
        <w:rPr>
          <w:rFonts w:ascii="Arial" w:hAnsi="Arial" w:cs="Arial"/>
          <w:sz w:val="24"/>
          <w:szCs w:val="24"/>
          <w:lang w:val="en-US"/>
        </w:rPr>
      </w:pPr>
      <w:r w:rsidRPr="00450EF3">
        <w:rPr>
          <w:rFonts w:ascii="Arial" w:hAnsi="Arial" w:cs="Arial"/>
          <w:sz w:val="24"/>
          <w:szCs w:val="24"/>
          <w:lang w:val="en-US"/>
        </w:rPr>
        <w:t>Oliver, M. B., &amp; Hyde, J. S. (1993). Gender differences in sexuality: A meta-analysis. Psychological Bulletin, 114, 29-51.</w:t>
      </w:r>
    </w:p>
    <w:p w:rsidR="0035526A" w:rsidRPr="00450EF3" w:rsidRDefault="0035526A" w:rsidP="0035526A">
      <w:pPr>
        <w:spacing w:line="360" w:lineRule="auto"/>
        <w:jc w:val="both"/>
        <w:rPr>
          <w:rFonts w:ascii="Arial" w:hAnsi="Arial" w:cs="Arial"/>
          <w:sz w:val="24"/>
          <w:szCs w:val="24"/>
          <w:u w:val="single"/>
        </w:rPr>
      </w:pPr>
      <w:r w:rsidRPr="00450EF3">
        <w:rPr>
          <w:rFonts w:ascii="Arial" w:hAnsi="Arial" w:cs="Arial"/>
          <w:sz w:val="24"/>
          <w:szCs w:val="24"/>
          <w:u w:val="single"/>
        </w:rPr>
        <w:t>References</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REFS FOR CLINTON ON PHONE </w:t>
      </w:r>
    </w:p>
    <w:p w:rsidR="0035526A" w:rsidRPr="00450EF3" w:rsidRDefault="0035526A" w:rsidP="0035526A">
      <w:pPr>
        <w:spacing w:line="360" w:lineRule="auto"/>
        <w:jc w:val="both"/>
        <w:rPr>
          <w:rFonts w:ascii="Arial" w:hAnsi="Arial" w:cs="Arial"/>
          <w:sz w:val="24"/>
          <w:szCs w:val="24"/>
          <w:lang w:val="en-US"/>
        </w:rPr>
      </w:pPr>
      <w:r w:rsidRPr="00450EF3">
        <w:rPr>
          <w:rFonts w:ascii="Arial" w:hAnsi="Arial" w:cs="Arial"/>
          <w:sz w:val="24"/>
          <w:szCs w:val="24"/>
          <w:lang w:val="en-US"/>
        </w:rPr>
        <w:t xml:space="preserve">Renzetti, M. C. and Curran, J. D. (2011) </w:t>
      </w:r>
      <w:r w:rsidRPr="00450EF3">
        <w:rPr>
          <w:rFonts w:ascii="Arial" w:hAnsi="Arial" w:cs="Arial"/>
          <w:i/>
          <w:sz w:val="24"/>
          <w:szCs w:val="24"/>
          <w:lang w:val="en-US"/>
        </w:rPr>
        <w:t xml:space="preserve">Women, Men and Society. </w:t>
      </w:r>
      <w:r w:rsidRPr="00450EF3">
        <w:rPr>
          <w:rFonts w:ascii="Arial" w:hAnsi="Arial" w:cs="Arial"/>
          <w:sz w:val="24"/>
          <w:szCs w:val="24"/>
          <w:lang w:val="en-US"/>
        </w:rPr>
        <w:t xml:space="preserve">NJ, Upper Saddle River: Print. </w:t>
      </w:r>
    </w:p>
    <w:p w:rsidR="0035526A" w:rsidRPr="00450EF3" w:rsidRDefault="0035526A" w:rsidP="0035526A">
      <w:pPr>
        <w:spacing w:line="360" w:lineRule="auto"/>
        <w:jc w:val="both"/>
        <w:rPr>
          <w:rFonts w:ascii="Arial" w:hAnsi="Arial" w:cs="Arial"/>
          <w:i/>
          <w:sz w:val="24"/>
          <w:szCs w:val="24"/>
        </w:rPr>
      </w:pPr>
      <w:r w:rsidRPr="00450EF3">
        <w:rPr>
          <w:rFonts w:ascii="Arial" w:hAnsi="Arial" w:cs="Arial"/>
          <w:sz w:val="24"/>
          <w:szCs w:val="24"/>
        </w:rPr>
        <w:t xml:space="preserve">Riggs, D. (2014) ‘Lesbian, gay, bisexual, trans and queer psychology: An introduction’, </w:t>
      </w:r>
      <w:r w:rsidRPr="00450EF3">
        <w:rPr>
          <w:rFonts w:ascii="Arial" w:hAnsi="Arial" w:cs="Arial"/>
          <w:i/>
          <w:sz w:val="24"/>
          <w:szCs w:val="24"/>
        </w:rPr>
        <w:t xml:space="preserve">Research Gate.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Robbins, M. (2013) ‘Contemporary counselling’ </w:t>
      </w:r>
      <w:hyperlink r:id="rId28" w:history="1">
        <w:r w:rsidRPr="00450EF3">
          <w:rPr>
            <w:rStyle w:val="Hyperlink"/>
            <w:rFonts w:ascii="Arial" w:hAnsi="Arial" w:cs="Arial"/>
            <w:sz w:val="24"/>
            <w:szCs w:val="24"/>
          </w:rPr>
          <w:t>https://maxinerobbins.co.uk/counselling/</w:t>
        </w:r>
      </w:hyperlink>
      <w:r w:rsidRPr="00450EF3">
        <w:rPr>
          <w:rFonts w:ascii="Arial" w:hAnsi="Arial" w:cs="Arial"/>
          <w:sz w:val="24"/>
          <w:szCs w:val="24"/>
        </w:rPr>
        <w:t xml:space="preserve"> [Accessed:21</w:t>
      </w:r>
      <w:r w:rsidRPr="00450EF3">
        <w:rPr>
          <w:rFonts w:ascii="Arial" w:hAnsi="Arial" w:cs="Arial"/>
          <w:sz w:val="24"/>
          <w:szCs w:val="24"/>
          <w:vertAlign w:val="superscript"/>
        </w:rPr>
        <w:t>st</w:t>
      </w:r>
      <w:r w:rsidRPr="00450EF3">
        <w:rPr>
          <w:rFonts w:ascii="Arial" w:hAnsi="Arial" w:cs="Arial"/>
          <w:sz w:val="24"/>
          <w:szCs w:val="24"/>
        </w:rPr>
        <w:t xml:space="preserve"> January 2018].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Ross, K. (2010) </w:t>
      </w:r>
      <w:r w:rsidRPr="00450EF3">
        <w:rPr>
          <w:rFonts w:ascii="Arial" w:hAnsi="Arial" w:cs="Arial"/>
          <w:i/>
          <w:sz w:val="24"/>
          <w:szCs w:val="24"/>
        </w:rPr>
        <w:t xml:space="preserve">Gendered media: Women, men and identity politics. </w:t>
      </w:r>
      <w:r w:rsidRPr="00450EF3">
        <w:rPr>
          <w:rFonts w:ascii="Arial" w:hAnsi="Arial" w:cs="Arial"/>
          <w:sz w:val="24"/>
          <w:szCs w:val="24"/>
        </w:rPr>
        <w:t xml:space="preserve">United Kingdom: Rowman &amp; Littlefield Publishers, Inc.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Scholl, M., McGowan, S. and Hansen, J. (2012) </w:t>
      </w:r>
      <w:r w:rsidRPr="00450EF3">
        <w:rPr>
          <w:rFonts w:ascii="Arial" w:hAnsi="Arial" w:cs="Arial"/>
          <w:i/>
          <w:sz w:val="24"/>
          <w:szCs w:val="24"/>
        </w:rPr>
        <w:t xml:space="preserve">Humanistic Perspectives on Contemporary Counselling Issues. </w:t>
      </w:r>
      <w:r w:rsidRPr="00450EF3">
        <w:rPr>
          <w:rFonts w:ascii="Arial" w:hAnsi="Arial" w:cs="Arial"/>
          <w:sz w:val="24"/>
          <w:szCs w:val="24"/>
        </w:rPr>
        <w:t xml:space="preserve">New York: Routledge.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Taylor, C. (1989) </w:t>
      </w:r>
      <w:r w:rsidRPr="00450EF3">
        <w:rPr>
          <w:rFonts w:ascii="Arial" w:hAnsi="Arial" w:cs="Arial"/>
          <w:i/>
          <w:sz w:val="24"/>
          <w:szCs w:val="24"/>
        </w:rPr>
        <w:t xml:space="preserve">Sources of the Self. </w:t>
      </w:r>
      <w:r w:rsidRPr="00450EF3">
        <w:rPr>
          <w:rFonts w:ascii="Arial" w:hAnsi="Arial" w:cs="Arial"/>
          <w:sz w:val="24"/>
          <w:szCs w:val="24"/>
        </w:rPr>
        <w:t xml:space="preserve">Cambridge: Cambridge University Press.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Taylor, C. (1994) </w:t>
      </w:r>
      <w:r w:rsidRPr="00450EF3">
        <w:rPr>
          <w:rFonts w:ascii="Arial" w:hAnsi="Arial" w:cs="Arial"/>
          <w:i/>
          <w:sz w:val="24"/>
          <w:szCs w:val="24"/>
        </w:rPr>
        <w:t xml:space="preserve">The politics of recognition: In Multiculturalism and the politics of recognition. </w:t>
      </w:r>
      <w:r w:rsidRPr="00450EF3">
        <w:rPr>
          <w:rFonts w:ascii="Arial" w:hAnsi="Arial" w:cs="Arial"/>
          <w:sz w:val="24"/>
          <w:szCs w:val="24"/>
        </w:rPr>
        <w:t xml:space="preserve">Princeton: Princeton University Press.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United Nations Human Rights (1996-2019) ‘Women’s Human Rights and Gender Equality’ </w:t>
      </w:r>
      <w:hyperlink r:id="rId29" w:history="1">
        <w:r w:rsidRPr="00450EF3">
          <w:rPr>
            <w:rStyle w:val="Hyperlink"/>
            <w:rFonts w:ascii="Arial" w:hAnsi="Arial" w:cs="Arial"/>
            <w:sz w:val="24"/>
            <w:szCs w:val="24"/>
          </w:rPr>
          <w:t>https://www.ohchr.org/en/issues/women/wrgs/pages/wrgsindex.aspx</w:t>
        </w:r>
      </w:hyperlink>
      <w:r w:rsidRPr="00450EF3">
        <w:rPr>
          <w:rFonts w:ascii="Arial" w:hAnsi="Arial" w:cs="Arial"/>
          <w:sz w:val="24"/>
          <w:szCs w:val="24"/>
        </w:rPr>
        <w:t xml:space="preserve"> [Accessed:21st January 2019]. </w:t>
      </w:r>
    </w:p>
    <w:p w:rsidR="0035526A" w:rsidRPr="00450EF3" w:rsidRDefault="0035526A" w:rsidP="0035526A">
      <w:pPr>
        <w:spacing w:line="360" w:lineRule="auto"/>
        <w:jc w:val="both"/>
        <w:rPr>
          <w:rFonts w:ascii="Arial" w:hAnsi="Arial" w:cs="Arial"/>
          <w:sz w:val="24"/>
          <w:szCs w:val="24"/>
        </w:rPr>
      </w:pPr>
      <w:r w:rsidRPr="00450EF3">
        <w:rPr>
          <w:rFonts w:ascii="Arial" w:hAnsi="Arial" w:cs="Arial"/>
          <w:sz w:val="24"/>
          <w:szCs w:val="24"/>
        </w:rPr>
        <w:t xml:space="preserve">Zurn, F. C. (2003) ‘Identity or Status? Struggles over Recognition in Fraser, Honneth and Taylor’ </w:t>
      </w:r>
    </w:p>
    <w:p w:rsidR="0035526A" w:rsidRPr="0035526A" w:rsidRDefault="0035526A" w:rsidP="008C73B0">
      <w:pPr>
        <w:spacing w:line="360" w:lineRule="auto"/>
        <w:jc w:val="both"/>
        <w:rPr>
          <w:rFonts w:ascii="Arial" w:hAnsi="Arial" w:cs="Arial"/>
          <w:sz w:val="24"/>
          <w:szCs w:val="24"/>
        </w:rPr>
      </w:pPr>
    </w:p>
    <w:p w:rsidR="008C73B0" w:rsidRDefault="008C73B0" w:rsidP="008C73B0">
      <w:pPr>
        <w:spacing w:line="360" w:lineRule="auto"/>
        <w:jc w:val="both"/>
        <w:rPr>
          <w:rFonts w:ascii="Arial" w:hAnsi="Arial" w:cs="Arial"/>
          <w:sz w:val="24"/>
          <w:szCs w:val="24"/>
        </w:rPr>
      </w:pPr>
    </w:p>
    <w:p w:rsidR="008C73B0" w:rsidRPr="001C7222" w:rsidRDefault="008C73B0" w:rsidP="008C73B0">
      <w:pPr>
        <w:spacing w:line="360" w:lineRule="auto"/>
        <w:jc w:val="both"/>
        <w:rPr>
          <w:rFonts w:ascii="Arial" w:hAnsi="Arial" w:cs="Arial"/>
          <w:sz w:val="24"/>
          <w:szCs w:val="24"/>
        </w:rPr>
      </w:pPr>
    </w:p>
    <w:p w:rsidR="005A5390" w:rsidRPr="005A5390" w:rsidRDefault="005A5390" w:rsidP="005A5390">
      <w:pPr>
        <w:spacing w:line="360" w:lineRule="auto"/>
        <w:jc w:val="both"/>
        <w:rPr>
          <w:rFonts w:ascii="Arial" w:hAnsi="Arial" w:cs="Arial"/>
          <w:sz w:val="24"/>
        </w:rPr>
      </w:pPr>
    </w:p>
    <w:p w:rsidR="00BC536B" w:rsidRPr="004700BC" w:rsidRDefault="00BC536B" w:rsidP="004700BC">
      <w:pPr>
        <w:spacing w:line="360" w:lineRule="auto"/>
        <w:jc w:val="both"/>
        <w:rPr>
          <w:rFonts w:ascii="Arial" w:hAnsi="Arial" w:cs="Arial"/>
          <w:sz w:val="24"/>
          <w:szCs w:val="24"/>
        </w:rPr>
      </w:pPr>
    </w:p>
    <w:sectPr w:rsidR="00BC536B" w:rsidRPr="004700BC">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582" w:rsidRDefault="00A92582" w:rsidP="008C73B0">
      <w:pPr>
        <w:spacing w:after="0" w:line="240" w:lineRule="auto"/>
      </w:pPr>
      <w:r>
        <w:separator/>
      </w:r>
    </w:p>
  </w:endnote>
  <w:endnote w:type="continuationSeparator" w:id="0">
    <w:p w:rsidR="00A92582" w:rsidRDefault="00A92582" w:rsidP="008C7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654858"/>
      <w:docPartObj>
        <w:docPartGallery w:val="Page Numbers (Bottom of Page)"/>
        <w:docPartUnique/>
      </w:docPartObj>
    </w:sdtPr>
    <w:sdtEndPr>
      <w:rPr>
        <w:noProof/>
      </w:rPr>
    </w:sdtEndPr>
    <w:sdtContent>
      <w:p w:rsidR="008C73B0" w:rsidRDefault="008C73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C73B0" w:rsidRDefault="008C7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582" w:rsidRDefault="00A92582" w:rsidP="008C73B0">
      <w:pPr>
        <w:spacing w:after="0" w:line="240" w:lineRule="auto"/>
      </w:pPr>
      <w:r>
        <w:separator/>
      </w:r>
    </w:p>
  </w:footnote>
  <w:footnote w:type="continuationSeparator" w:id="0">
    <w:p w:rsidR="00A92582" w:rsidRDefault="00A92582" w:rsidP="008C7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3B0" w:rsidRDefault="008C73B0" w:rsidP="008C73B0">
    <w:pPr>
      <w:pStyle w:val="Header"/>
      <w:spacing w:line="360" w:lineRule="auto"/>
      <w:jc w:val="both"/>
      <w:rPr>
        <w:rFonts w:ascii="Arial" w:hAnsi="Arial" w:cs="Arial"/>
        <w:sz w:val="24"/>
        <w:szCs w:val="24"/>
      </w:rPr>
    </w:pPr>
    <w:r>
      <w:rPr>
        <w:rFonts w:ascii="Arial" w:hAnsi="Arial" w:cs="Arial"/>
        <w:sz w:val="24"/>
        <w:szCs w:val="24"/>
      </w:rPr>
      <w:t xml:space="preserve">Counselling Theories and Human Flourishing </w:t>
    </w:r>
  </w:p>
  <w:p w:rsidR="008C73B0" w:rsidRDefault="008C73B0" w:rsidP="008C73B0">
    <w:pPr>
      <w:pStyle w:val="Header"/>
      <w:spacing w:line="360" w:lineRule="auto"/>
      <w:jc w:val="both"/>
      <w:rPr>
        <w:rFonts w:ascii="Arial" w:hAnsi="Arial" w:cs="Arial"/>
        <w:sz w:val="24"/>
        <w:szCs w:val="24"/>
      </w:rPr>
    </w:pPr>
    <w:r>
      <w:rPr>
        <w:rFonts w:ascii="Arial" w:hAnsi="Arial" w:cs="Arial"/>
        <w:sz w:val="24"/>
        <w:szCs w:val="24"/>
      </w:rPr>
      <w:t>Module Code: M6XO1443</w:t>
    </w:r>
  </w:p>
  <w:p w:rsidR="008C73B0" w:rsidRPr="008C73B0" w:rsidRDefault="008C73B0" w:rsidP="008C73B0">
    <w:pPr>
      <w:pStyle w:val="Header"/>
      <w:spacing w:line="360" w:lineRule="auto"/>
      <w:jc w:val="both"/>
      <w:rPr>
        <w:rFonts w:ascii="Arial" w:hAnsi="Arial" w:cs="Arial"/>
        <w:sz w:val="24"/>
        <w:szCs w:val="24"/>
      </w:rPr>
    </w:pPr>
    <w:r>
      <w:rPr>
        <w:rFonts w:ascii="Arial" w:hAnsi="Arial" w:cs="Arial"/>
        <w:sz w:val="24"/>
        <w:szCs w:val="24"/>
      </w:rPr>
      <w:t>Student Number: 1400657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D87"/>
    <w:rsid w:val="000C4FF3"/>
    <w:rsid w:val="000D487F"/>
    <w:rsid w:val="001C30E7"/>
    <w:rsid w:val="00300CB8"/>
    <w:rsid w:val="0035526A"/>
    <w:rsid w:val="004413FA"/>
    <w:rsid w:val="004700BC"/>
    <w:rsid w:val="005A5390"/>
    <w:rsid w:val="007707E5"/>
    <w:rsid w:val="00772B7C"/>
    <w:rsid w:val="008C73B0"/>
    <w:rsid w:val="008E1D87"/>
    <w:rsid w:val="009F7849"/>
    <w:rsid w:val="00A92582"/>
    <w:rsid w:val="00AB2858"/>
    <w:rsid w:val="00B310B2"/>
    <w:rsid w:val="00B67586"/>
    <w:rsid w:val="00BC5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36F24"/>
  <w15:chartTrackingRefBased/>
  <w15:docId w15:val="{31E8FE76-62EA-4465-8EBB-384BB03EA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1D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3B0"/>
  </w:style>
  <w:style w:type="paragraph" w:styleId="Footer">
    <w:name w:val="footer"/>
    <w:basedOn w:val="Normal"/>
    <w:link w:val="FooterChar"/>
    <w:uiPriority w:val="99"/>
    <w:unhideWhenUsed/>
    <w:rsid w:val="008C7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3B0"/>
  </w:style>
  <w:style w:type="character" w:styleId="Hyperlink">
    <w:name w:val="Hyperlink"/>
    <w:basedOn w:val="DefaultParagraphFont"/>
    <w:uiPriority w:val="99"/>
    <w:unhideWhenUsed/>
    <w:rsid w:val="003552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equality-act-2010/what-equality-act" TargetMode="External"/><Relationship Id="rId13" Type="http://schemas.openxmlformats.org/officeDocument/2006/relationships/hyperlink" Target="https://www.tandfonline.com/author/Martinez%2C+Margarita" TargetMode="External"/><Relationship Id="rId18" Type="http://schemas.openxmlformats.org/officeDocument/2006/relationships/hyperlink" Target="https://www.tandfonline.com/author/Graham%2C+Stephanie" TargetMode="External"/><Relationship Id="rId26" Type="http://schemas.openxmlformats.org/officeDocument/2006/relationships/hyperlink" Target="https://www.iep.utm.edu/recog_sp/" TargetMode="External"/><Relationship Id="rId3" Type="http://schemas.openxmlformats.org/officeDocument/2006/relationships/webSettings" Target="webSettings.xml"/><Relationship Id="rId21" Type="http://schemas.openxmlformats.org/officeDocument/2006/relationships/hyperlink" Target="https://www.tandfonline.com/author/Travis%2C+Linda" TargetMode="External"/><Relationship Id="rId34" Type="http://schemas.openxmlformats.org/officeDocument/2006/relationships/theme" Target="theme/theme1.xml"/><Relationship Id="rId7" Type="http://schemas.openxmlformats.org/officeDocument/2006/relationships/hyperlink" Target="https://scholar.google.co.uk/scholar?hl=en&amp;as_sdt=0%2C5&amp;q=hillary+clinton+women+rights+&amp;btnG" TargetMode="External"/><Relationship Id="rId12" Type="http://schemas.openxmlformats.org/officeDocument/2006/relationships/hyperlink" Target="https://www.tandfonline.com/author/Finnerty%2C+Pete" TargetMode="External"/><Relationship Id="rId17" Type="http://schemas.openxmlformats.org/officeDocument/2006/relationships/hyperlink" Target="https://www.tandfonline.com/author/Harper%2C+Brandon" TargetMode="External"/><Relationship Id="rId25" Type="http://schemas.openxmlformats.org/officeDocument/2006/relationships/hyperlink" Target="https://www.tandfonline.com/author/Hammer%2C+Tonya+R" TargetMode="External"/><Relationship Id="rId33" Type="http://schemas.openxmlformats.org/officeDocument/2006/relationships/glossaryDocument" Target="glossary/document.xml"/><Relationship Id="rId2" Type="http://schemas.openxmlformats.org/officeDocument/2006/relationships/settings" Target="settings.xml"/><Relationship Id="rId16" Type="http://schemas.openxmlformats.org/officeDocument/2006/relationships/hyperlink" Target="https://www.tandfonline.com/author/Loos%2C+Bob" TargetMode="External"/><Relationship Id="rId20" Type="http://schemas.openxmlformats.org/officeDocument/2006/relationships/hyperlink" Target="https://www.tandfonline.com/author/Kocet%2C+Michael" TargetMode="External"/><Relationship Id="rId29" Type="http://schemas.openxmlformats.org/officeDocument/2006/relationships/hyperlink" Target="https://www.ohchr.org/en/issues/women/wrgs/pages/wrgsindex.aspx" TargetMode="External"/><Relationship Id="rId1" Type="http://schemas.openxmlformats.org/officeDocument/2006/relationships/styles" Target="styles.xml"/><Relationship Id="rId6" Type="http://schemas.openxmlformats.org/officeDocument/2006/relationships/hyperlink" Target="https://www.aclu.org/issues/lgbt-rights/lgbt-relationships" TargetMode="External"/><Relationship Id="rId11" Type="http://schemas.openxmlformats.org/officeDocument/2006/relationships/hyperlink" Target="https://www.tandfonline.com/author/Harper%2C+Amney" TargetMode="External"/><Relationship Id="rId24" Type="http://schemas.openxmlformats.org/officeDocument/2006/relationships/hyperlink" Target="https://www.tandfonline.com/author/Dickey%2C+Lore+M"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andfonline.com/author/Crethar%2C+Hugh+C" TargetMode="External"/><Relationship Id="rId23" Type="http://schemas.openxmlformats.org/officeDocument/2006/relationships/hyperlink" Target="https://www.tandfonline.com/author/Burnes%2C+Theodore" TargetMode="External"/><Relationship Id="rId28" Type="http://schemas.openxmlformats.org/officeDocument/2006/relationships/hyperlink" Target="https://maxinerobbins.co.uk/counselling/" TargetMode="External"/><Relationship Id="rId10" Type="http://schemas.openxmlformats.org/officeDocument/2006/relationships/hyperlink" Target="https://www.gov.uk/guidance/equality-act-2010-guidance" TargetMode="External"/><Relationship Id="rId19" Type="http://schemas.openxmlformats.org/officeDocument/2006/relationships/hyperlink" Target="https://www.tandfonline.com/author/Singh%2C+Anneliese"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file:///C:/Users/Naomi%20Rosser/AppData/Local/Microsoft/Windows/INetCache/IE/0TLG9YKG/cons_006%20copy.pdf" TargetMode="External"/><Relationship Id="rId14" Type="http://schemas.openxmlformats.org/officeDocument/2006/relationships/hyperlink" Target="https://www.tandfonline.com/author/Brace%2C+Amanda" TargetMode="External"/><Relationship Id="rId22" Type="http://schemas.openxmlformats.org/officeDocument/2006/relationships/hyperlink" Target="https://www.tandfonline.com/author/Lambert%2C+Serena" TargetMode="External"/><Relationship Id="rId27" Type="http://schemas.openxmlformats.org/officeDocument/2006/relationships/hyperlink" Target="https://www.mfa.org/exhibitions/amalia-pica/transcript-womens-rights-are-human-rights" TargetMode="External"/><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F1"/>
    <w:rsid w:val="00073DF1"/>
    <w:rsid w:val="007D1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72210EDFCE4E2DBA22E84148B7C3BC">
    <w:name w:val="C572210EDFCE4E2DBA22E84148B7C3BC"/>
    <w:rsid w:val="00073D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11</Pages>
  <Words>3567</Words>
  <Characters>20337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dc:creator>
  <cp:keywords/>
  <dc:description/>
  <cp:lastModifiedBy>Naomi Rosser</cp:lastModifiedBy>
  <cp:revision>5</cp:revision>
  <dcterms:created xsi:type="dcterms:W3CDTF">2019-01-31T17:55:00Z</dcterms:created>
  <dcterms:modified xsi:type="dcterms:W3CDTF">2019-01-31T19:28:00Z</dcterms:modified>
</cp:coreProperties>
</file>